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95A72" w14:textId="58ACD049" w:rsidR="002F69AD" w:rsidRPr="009F2251" w:rsidRDefault="002F69AD" w:rsidP="002F69AD">
      <w:pPr>
        <w:jc w:val="center"/>
        <w:rPr>
          <w:rFonts w:ascii="Aptos" w:hAnsi="Aptos" w:cs="Times New Roman"/>
          <w:b/>
          <w:bCs/>
          <w:sz w:val="25"/>
          <w:szCs w:val="25"/>
        </w:rPr>
      </w:pPr>
      <w:r w:rsidRPr="009F2251">
        <w:rPr>
          <w:rFonts w:ascii="Aptos" w:hAnsi="Aptos" w:cs="Times New Roman"/>
          <w:b/>
          <w:bCs/>
          <w:sz w:val="25"/>
          <w:szCs w:val="25"/>
        </w:rPr>
        <w:t>COMMONWEALTH OF MASSACHUSETTS</w:t>
      </w:r>
    </w:p>
    <w:p w14:paraId="6FC77021" w14:textId="4B9CE3D1" w:rsidR="002F69AD" w:rsidRPr="009F2251" w:rsidRDefault="002F69AD" w:rsidP="002F69AD">
      <w:pPr>
        <w:jc w:val="center"/>
        <w:rPr>
          <w:rFonts w:ascii="Aptos" w:hAnsi="Aptos" w:cs="Times New Roman"/>
          <w:b/>
          <w:bCs/>
          <w:sz w:val="25"/>
          <w:szCs w:val="25"/>
        </w:rPr>
      </w:pPr>
      <w:r w:rsidRPr="009F2251">
        <w:rPr>
          <w:rFonts w:ascii="Aptos" w:hAnsi="Aptos" w:cs="Times New Roman"/>
          <w:b/>
          <w:bCs/>
          <w:sz w:val="25"/>
          <w:szCs w:val="25"/>
        </w:rPr>
        <w:t>DIVISION OF ADMINISTRATIVE LAW APPEALS</w:t>
      </w:r>
    </w:p>
    <w:p w14:paraId="3274F305" w14:textId="1296C495" w:rsidR="002F69AD" w:rsidRPr="009F2251" w:rsidRDefault="002F69AD" w:rsidP="002F69AD">
      <w:pPr>
        <w:spacing w:after="240"/>
        <w:jc w:val="center"/>
        <w:rPr>
          <w:rFonts w:ascii="Aptos" w:hAnsi="Aptos" w:cs="Times New Roman"/>
          <w:b/>
          <w:bCs/>
          <w:sz w:val="25"/>
          <w:szCs w:val="25"/>
        </w:rPr>
      </w:pPr>
      <w:r w:rsidRPr="009F2251">
        <w:rPr>
          <w:rFonts w:ascii="Aptos" w:hAnsi="Aptos" w:cs="Times New Roman"/>
          <w:b/>
          <w:bCs/>
          <w:sz w:val="25"/>
          <w:szCs w:val="25"/>
        </w:rPr>
        <w:t>BUREAU OF SPECIAL EDUCATION APPEALS</w:t>
      </w:r>
    </w:p>
    <w:p w14:paraId="334C0A05" w14:textId="399A6FBC" w:rsidR="00DA1A80" w:rsidRDefault="00E16272" w:rsidP="0039328A">
      <w:pPr>
        <w:rPr>
          <w:rFonts w:ascii="Aptos" w:hAnsi="Aptos" w:cs="Times New Roman"/>
          <w:sz w:val="25"/>
          <w:szCs w:val="25"/>
        </w:rPr>
      </w:pPr>
      <w:r w:rsidRPr="009F2251">
        <w:rPr>
          <w:rFonts w:ascii="Aptos" w:hAnsi="Aptos" w:cs="Times New Roman"/>
          <w:sz w:val="25"/>
          <w:szCs w:val="25"/>
        </w:rPr>
        <w:t>In re:</w:t>
      </w:r>
      <w:r w:rsidRPr="009F2251">
        <w:rPr>
          <w:rFonts w:ascii="Aptos" w:hAnsi="Aptos" w:cs="Times New Roman"/>
          <w:sz w:val="25"/>
          <w:szCs w:val="25"/>
        </w:rPr>
        <w:tab/>
      </w:r>
      <w:r w:rsidR="00DA1A80">
        <w:rPr>
          <w:rFonts w:ascii="Aptos" w:hAnsi="Aptos" w:cs="Times New Roman"/>
          <w:sz w:val="25"/>
          <w:szCs w:val="25"/>
        </w:rPr>
        <w:t>Frank</w:t>
      </w:r>
      <w:r w:rsidR="002F69AD" w:rsidRPr="009F2251">
        <w:rPr>
          <w:rStyle w:val="FootnoteReference"/>
          <w:rFonts w:ascii="Aptos" w:hAnsi="Aptos" w:cs="Times New Roman"/>
          <w:sz w:val="25"/>
          <w:szCs w:val="25"/>
        </w:rPr>
        <w:footnoteReference w:id="1"/>
      </w:r>
      <w:r w:rsidR="00D625A6">
        <w:rPr>
          <w:rFonts w:ascii="Aptos" w:hAnsi="Aptos" w:cs="Times New Roman"/>
          <w:sz w:val="25"/>
          <w:szCs w:val="25"/>
        </w:rPr>
        <w:t xml:space="preserve"> </w:t>
      </w:r>
      <w:r w:rsidR="00DA1A80">
        <w:rPr>
          <w:rFonts w:ascii="Aptos" w:hAnsi="Aptos" w:cs="Times New Roman"/>
          <w:sz w:val="25"/>
          <w:szCs w:val="25"/>
        </w:rPr>
        <w:t>and the Massachusetts</w:t>
      </w:r>
      <w:r w:rsidR="00DA1A80">
        <w:rPr>
          <w:rFonts w:ascii="Aptos" w:hAnsi="Aptos" w:cs="Times New Roman"/>
          <w:sz w:val="25"/>
          <w:szCs w:val="25"/>
        </w:rPr>
        <w:tab/>
      </w:r>
      <w:r w:rsidR="00DA1A80">
        <w:rPr>
          <w:rFonts w:ascii="Aptos" w:hAnsi="Aptos" w:cs="Times New Roman"/>
          <w:sz w:val="25"/>
          <w:szCs w:val="25"/>
        </w:rPr>
        <w:tab/>
      </w:r>
      <w:r w:rsidR="00DA1A80">
        <w:rPr>
          <w:rFonts w:ascii="Aptos" w:hAnsi="Aptos" w:cs="Times New Roman"/>
          <w:sz w:val="25"/>
          <w:szCs w:val="25"/>
        </w:rPr>
        <w:tab/>
      </w:r>
      <w:r w:rsidR="00DA1A80">
        <w:rPr>
          <w:rFonts w:ascii="Aptos" w:hAnsi="Aptos" w:cs="Times New Roman"/>
          <w:sz w:val="25"/>
          <w:szCs w:val="25"/>
        </w:rPr>
        <w:tab/>
      </w:r>
      <w:r w:rsidR="00DA1A80">
        <w:rPr>
          <w:rFonts w:ascii="Aptos" w:hAnsi="Aptos" w:cs="Times New Roman"/>
          <w:sz w:val="25"/>
          <w:szCs w:val="25"/>
        </w:rPr>
        <w:tab/>
      </w:r>
      <w:r w:rsidR="00DA1A80" w:rsidRPr="009F2251">
        <w:rPr>
          <w:rFonts w:ascii="Aptos" w:hAnsi="Aptos" w:cs="Times New Roman"/>
          <w:sz w:val="25"/>
          <w:szCs w:val="25"/>
        </w:rPr>
        <w:t>BSEA #2</w:t>
      </w:r>
      <w:r w:rsidR="00DA1A80">
        <w:rPr>
          <w:rFonts w:ascii="Aptos" w:hAnsi="Aptos" w:cs="Times New Roman"/>
          <w:sz w:val="25"/>
          <w:szCs w:val="25"/>
        </w:rPr>
        <w:t>605857</w:t>
      </w:r>
    </w:p>
    <w:p w14:paraId="5C204D99" w14:textId="25D8F380" w:rsidR="00D625A6" w:rsidRDefault="00DA1A80" w:rsidP="0039328A">
      <w:pPr>
        <w:rPr>
          <w:rFonts w:ascii="Aptos" w:hAnsi="Aptos" w:cs="Times New Roman"/>
          <w:sz w:val="25"/>
          <w:szCs w:val="25"/>
        </w:rPr>
      </w:pPr>
      <w:r>
        <w:rPr>
          <w:rFonts w:ascii="Aptos" w:hAnsi="Aptos" w:cs="Times New Roman"/>
          <w:sz w:val="25"/>
          <w:szCs w:val="25"/>
        </w:rPr>
        <w:tab/>
        <w:t>Department of Elementary and Secondary Education</w:t>
      </w:r>
      <w:r w:rsidR="002F69AD" w:rsidRPr="009F2251">
        <w:rPr>
          <w:rFonts w:ascii="Aptos" w:hAnsi="Aptos" w:cs="Times New Roman"/>
          <w:sz w:val="25"/>
          <w:szCs w:val="25"/>
        </w:rPr>
        <w:tab/>
      </w:r>
      <w:r w:rsidR="002F69AD" w:rsidRPr="009F2251">
        <w:rPr>
          <w:rFonts w:ascii="Aptos" w:hAnsi="Aptos" w:cs="Times New Roman"/>
          <w:sz w:val="25"/>
          <w:szCs w:val="25"/>
        </w:rPr>
        <w:tab/>
      </w:r>
    </w:p>
    <w:p w14:paraId="66683A88" w14:textId="77777777" w:rsidR="0039328A" w:rsidRPr="009F2251" w:rsidRDefault="0039328A" w:rsidP="0039328A">
      <w:pPr>
        <w:rPr>
          <w:rFonts w:ascii="Aptos" w:hAnsi="Aptos" w:cs="Times New Roman"/>
          <w:sz w:val="25"/>
          <w:szCs w:val="25"/>
        </w:rPr>
      </w:pPr>
    </w:p>
    <w:p w14:paraId="47F7139E" w14:textId="5C1B6312" w:rsidR="00E16272" w:rsidRPr="009F2251" w:rsidRDefault="00E16272" w:rsidP="0039328A">
      <w:pPr>
        <w:spacing w:after="240"/>
        <w:jc w:val="center"/>
        <w:rPr>
          <w:rFonts w:ascii="Aptos" w:hAnsi="Aptos" w:cs="Times New Roman"/>
          <w:b/>
          <w:bCs/>
          <w:sz w:val="25"/>
          <w:szCs w:val="25"/>
          <w:u w:val="single"/>
        </w:rPr>
      </w:pPr>
      <w:r w:rsidRPr="009F2251">
        <w:rPr>
          <w:rFonts w:ascii="Aptos" w:hAnsi="Aptos" w:cs="Times New Roman"/>
          <w:b/>
          <w:bCs/>
          <w:sz w:val="25"/>
          <w:szCs w:val="25"/>
          <w:u w:val="single"/>
        </w:rPr>
        <w:t xml:space="preserve">RULING ON </w:t>
      </w:r>
      <w:r w:rsidR="00DA1A80">
        <w:rPr>
          <w:rFonts w:ascii="Aptos" w:hAnsi="Aptos" w:cs="Times New Roman"/>
          <w:b/>
          <w:bCs/>
          <w:sz w:val="25"/>
          <w:szCs w:val="25"/>
          <w:u w:val="single"/>
        </w:rPr>
        <w:t>MASSACHUSETTS DEPARTMENT OF ELEMENTARY AND SECONDARY EDUCATION’S MOTION</w:t>
      </w:r>
      <w:r w:rsidRPr="009F2251">
        <w:rPr>
          <w:rFonts w:ascii="Aptos" w:hAnsi="Aptos" w:cs="Times New Roman"/>
          <w:b/>
          <w:bCs/>
          <w:sz w:val="25"/>
          <w:szCs w:val="25"/>
          <w:u w:val="single"/>
        </w:rPr>
        <w:t xml:space="preserve"> TO DISMISS</w:t>
      </w:r>
    </w:p>
    <w:p w14:paraId="197FB0D5" w14:textId="6C07AA7D" w:rsidR="007626D4" w:rsidRDefault="002F69AD" w:rsidP="00DA1A80">
      <w:pPr>
        <w:pStyle w:val="NoSpacing"/>
        <w:ind w:firstLine="720"/>
        <w:rPr>
          <w:rFonts w:ascii="Aptos" w:hAnsi="Aptos" w:cs="Times New Roman"/>
          <w:sz w:val="25"/>
          <w:szCs w:val="25"/>
        </w:rPr>
      </w:pPr>
      <w:r w:rsidRPr="009F2251">
        <w:rPr>
          <w:rFonts w:ascii="Aptos" w:hAnsi="Aptos" w:cs="Times New Roman"/>
          <w:sz w:val="25"/>
          <w:szCs w:val="25"/>
        </w:rPr>
        <w:t xml:space="preserve">This matter comes before the Hearing Officer on the Motion </w:t>
      </w:r>
      <w:r w:rsidR="00DA1A80">
        <w:rPr>
          <w:rFonts w:ascii="Aptos" w:hAnsi="Aptos" w:cs="Times New Roman"/>
          <w:sz w:val="25"/>
          <w:szCs w:val="25"/>
        </w:rPr>
        <w:t>filed on December 18, 2025 by the</w:t>
      </w:r>
      <w:r w:rsidRPr="009F2251">
        <w:rPr>
          <w:rFonts w:ascii="Aptos" w:hAnsi="Aptos" w:cs="Times New Roman"/>
          <w:sz w:val="25"/>
          <w:szCs w:val="25"/>
        </w:rPr>
        <w:t xml:space="preserve"> </w:t>
      </w:r>
      <w:r w:rsidR="00DA1A80">
        <w:rPr>
          <w:rFonts w:ascii="Aptos" w:hAnsi="Aptos" w:cs="Times New Roman"/>
          <w:sz w:val="25"/>
          <w:szCs w:val="25"/>
        </w:rPr>
        <w:t>Massachusetts Department of Elementary and Secondary Education (DESE</w:t>
      </w:r>
      <w:r w:rsidR="0044738F">
        <w:rPr>
          <w:rFonts w:ascii="Aptos" w:hAnsi="Aptos" w:cs="Times New Roman"/>
          <w:sz w:val="25"/>
          <w:szCs w:val="25"/>
        </w:rPr>
        <w:t xml:space="preserve"> or the Department</w:t>
      </w:r>
      <w:r w:rsidR="00DA1A80">
        <w:rPr>
          <w:rFonts w:ascii="Aptos" w:hAnsi="Aptos" w:cs="Times New Roman"/>
          <w:sz w:val="25"/>
          <w:szCs w:val="25"/>
        </w:rPr>
        <w:t>)</w:t>
      </w:r>
      <w:r w:rsidRPr="009F2251">
        <w:rPr>
          <w:rFonts w:ascii="Aptos" w:hAnsi="Aptos" w:cs="Times New Roman"/>
          <w:sz w:val="25"/>
          <w:szCs w:val="25"/>
        </w:rPr>
        <w:t xml:space="preserve"> to Dismiss the </w:t>
      </w:r>
      <w:r w:rsidRPr="0043484A">
        <w:rPr>
          <w:rFonts w:ascii="Aptos" w:hAnsi="Aptos" w:cs="Times New Roman"/>
          <w:i/>
          <w:iCs/>
          <w:sz w:val="25"/>
          <w:szCs w:val="25"/>
        </w:rPr>
        <w:t>Hearing</w:t>
      </w:r>
      <w:r w:rsidRPr="009F2251">
        <w:rPr>
          <w:rFonts w:ascii="Aptos" w:hAnsi="Aptos" w:cs="Times New Roman"/>
          <w:sz w:val="25"/>
          <w:szCs w:val="25"/>
        </w:rPr>
        <w:t xml:space="preserve"> </w:t>
      </w:r>
      <w:r w:rsidRPr="0043484A">
        <w:rPr>
          <w:rFonts w:ascii="Aptos" w:hAnsi="Aptos" w:cs="Times New Roman"/>
          <w:i/>
          <w:iCs/>
          <w:sz w:val="25"/>
          <w:szCs w:val="25"/>
        </w:rPr>
        <w:t>Request</w:t>
      </w:r>
      <w:r w:rsidRPr="009F2251">
        <w:rPr>
          <w:rFonts w:ascii="Aptos" w:hAnsi="Aptos" w:cs="Times New Roman"/>
          <w:sz w:val="25"/>
          <w:szCs w:val="25"/>
        </w:rPr>
        <w:t xml:space="preserve"> filed by Parent</w:t>
      </w:r>
      <w:r w:rsidR="00DA1A80">
        <w:rPr>
          <w:rFonts w:ascii="Aptos" w:hAnsi="Aptos" w:cs="Times New Roman"/>
          <w:sz w:val="25"/>
          <w:szCs w:val="25"/>
        </w:rPr>
        <w:t>s</w:t>
      </w:r>
      <w:r w:rsidRPr="009F2251">
        <w:rPr>
          <w:rFonts w:ascii="Aptos" w:hAnsi="Aptos" w:cs="Times New Roman"/>
          <w:sz w:val="25"/>
          <w:szCs w:val="25"/>
        </w:rPr>
        <w:t xml:space="preserve"> on behalf of </w:t>
      </w:r>
      <w:r w:rsidR="00DA1A80">
        <w:rPr>
          <w:rFonts w:ascii="Aptos" w:hAnsi="Aptos" w:cs="Times New Roman"/>
          <w:sz w:val="25"/>
          <w:szCs w:val="25"/>
        </w:rPr>
        <w:t>Frank</w:t>
      </w:r>
      <w:r w:rsidRPr="009F2251">
        <w:rPr>
          <w:rFonts w:ascii="Aptos" w:hAnsi="Aptos" w:cs="Times New Roman"/>
          <w:sz w:val="25"/>
          <w:szCs w:val="25"/>
        </w:rPr>
        <w:t xml:space="preserve">. </w:t>
      </w:r>
      <w:r w:rsidR="00DA1A80">
        <w:rPr>
          <w:rFonts w:ascii="Aptos" w:hAnsi="Aptos" w:cs="Times New Roman"/>
          <w:sz w:val="25"/>
          <w:szCs w:val="25"/>
        </w:rPr>
        <w:t xml:space="preserve">On the same date, Parents filed their </w:t>
      </w:r>
      <w:r w:rsidR="00DA1A80">
        <w:rPr>
          <w:rFonts w:ascii="Aptos" w:hAnsi="Aptos" w:cs="Times New Roman"/>
          <w:i/>
          <w:iCs/>
          <w:sz w:val="25"/>
          <w:szCs w:val="25"/>
        </w:rPr>
        <w:t>Rebuttal Motion in Opposition to Department’s Motion to Dismiss</w:t>
      </w:r>
      <w:r w:rsidR="006D674F">
        <w:rPr>
          <w:rFonts w:ascii="Aptos" w:hAnsi="Aptos" w:cs="Times New Roman"/>
          <w:sz w:val="25"/>
          <w:szCs w:val="25"/>
        </w:rPr>
        <w:t xml:space="preserve">, accompanied by </w:t>
      </w:r>
      <w:r w:rsidR="00DA1A80">
        <w:rPr>
          <w:rFonts w:ascii="Aptos" w:hAnsi="Aptos" w:cs="Times New Roman"/>
          <w:sz w:val="25"/>
          <w:szCs w:val="25"/>
        </w:rPr>
        <w:t xml:space="preserve">one exhibit. </w:t>
      </w:r>
      <w:r w:rsidR="00DA1A80" w:rsidRPr="002D5611">
        <w:rPr>
          <w:rFonts w:ascii="Aptos" w:hAnsi="Aptos" w:cs="Times New Roman"/>
          <w:sz w:val="25"/>
          <w:szCs w:val="25"/>
        </w:rPr>
        <w:t xml:space="preserve">As neither testimony nor oral argument would advance my understanding of the issues involved, I am issuing </w:t>
      </w:r>
      <w:r w:rsidR="00DA1A80">
        <w:rPr>
          <w:rFonts w:ascii="Aptos" w:hAnsi="Aptos" w:cs="Times New Roman"/>
          <w:sz w:val="25"/>
          <w:szCs w:val="25"/>
        </w:rPr>
        <w:t>this</w:t>
      </w:r>
      <w:r w:rsidR="00DA1A80" w:rsidRPr="002D5611">
        <w:rPr>
          <w:rFonts w:ascii="Aptos" w:hAnsi="Aptos" w:cs="Times New Roman"/>
          <w:sz w:val="25"/>
          <w:szCs w:val="25"/>
        </w:rPr>
        <w:t xml:space="preserve"> </w:t>
      </w:r>
      <w:r w:rsidR="00DA1A80">
        <w:rPr>
          <w:rFonts w:ascii="Aptos" w:hAnsi="Aptos" w:cs="Times New Roman"/>
          <w:sz w:val="25"/>
          <w:szCs w:val="25"/>
        </w:rPr>
        <w:t>R</w:t>
      </w:r>
      <w:r w:rsidR="00DA1A80" w:rsidRPr="002D5611">
        <w:rPr>
          <w:rFonts w:ascii="Aptos" w:hAnsi="Aptos" w:cs="Times New Roman"/>
          <w:sz w:val="25"/>
          <w:szCs w:val="25"/>
        </w:rPr>
        <w:t>uling on</w:t>
      </w:r>
      <w:r w:rsidR="00DA1A80">
        <w:rPr>
          <w:rFonts w:ascii="Aptos" w:hAnsi="Aptos" w:cs="Times New Roman"/>
          <w:sz w:val="25"/>
          <w:szCs w:val="25"/>
        </w:rPr>
        <w:t xml:space="preserve"> </w:t>
      </w:r>
      <w:r w:rsidR="0044738F">
        <w:rPr>
          <w:rFonts w:ascii="Aptos" w:hAnsi="Aptos" w:cs="Times New Roman"/>
          <w:sz w:val="25"/>
          <w:szCs w:val="25"/>
        </w:rPr>
        <w:t>the Department</w:t>
      </w:r>
      <w:r w:rsidR="00DA1A80">
        <w:rPr>
          <w:rFonts w:ascii="Aptos" w:hAnsi="Aptos" w:cs="Times New Roman"/>
          <w:sz w:val="25"/>
          <w:szCs w:val="25"/>
        </w:rPr>
        <w:t xml:space="preserve">’s </w:t>
      </w:r>
      <w:r w:rsidR="00DA1A80">
        <w:rPr>
          <w:rFonts w:ascii="Aptos" w:hAnsi="Aptos" w:cs="Times New Roman"/>
          <w:i/>
          <w:iCs/>
          <w:sz w:val="25"/>
          <w:szCs w:val="25"/>
        </w:rPr>
        <w:t>Motion to Dismiss</w:t>
      </w:r>
      <w:r w:rsidR="00DA1A80" w:rsidRPr="002D5611">
        <w:rPr>
          <w:rFonts w:ascii="Aptos" w:hAnsi="Aptos" w:cs="Times New Roman"/>
          <w:sz w:val="25"/>
          <w:szCs w:val="25"/>
        </w:rPr>
        <w:t xml:space="preserve"> without </w:t>
      </w:r>
      <w:proofErr w:type="gramStart"/>
      <w:r w:rsidR="00DA1A80" w:rsidRPr="002D5611">
        <w:rPr>
          <w:rFonts w:ascii="Aptos" w:hAnsi="Aptos" w:cs="Times New Roman"/>
          <w:sz w:val="25"/>
          <w:szCs w:val="25"/>
        </w:rPr>
        <w:t>a hearing</w:t>
      </w:r>
      <w:proofErr w:type="gramEnd"/>
      <w:r w:rsidR="00DA1A80" w:rsidRPr="002D5611">
        <w:rPr>
          <w:rFonts w:ascii="Aptos" w:hAnsi="Aptos" w:cs="Times New Roman"/>
          <w:sz w:val="25"/>
          <w:szCs w:val="25"/>
        </w:rPr>
        <w:t xml:space="preserve">, pursuant to </w:t>
      </w:r>
      <w:r w:rsidR="00DA1A80">
        <w:rPr>
          <w:rFonts w:ascii="Aptos" w:hAnsi="Aptos" w:cs="Times New Roman"/>
          <w:sz w:val="25"/>
          <w:szCs w:val="25"/>
        </w:rPr>
        <w:t xml:space="preserve">Rule VI(D) of the </w:t>
      </w:r>
      <w:r w:rsidR="00DA1A80">
        <w:rPr>
          <w:rFonts w:ascii="Aptos" w:hAnsi="Aptos" w:cs="Times New Roman"/>
          <w:i/>
          <w:iCs/>
          <w:sz w:val="25"/>
          <w:szCs w:val="25"/>
        </w:rPr>
        <w:t xml:space="preserve">Hearing Rules for Special Education Appeals </w:t>
      </w:r>
      <w:r w:rsidR="00DA1A80">
        <w:rPr>
          <w:rFonts w:ascii="Aptos" w:hAnsi="Aptos" w:cs="Times New Roman"/>
          <w:sz w:val="25"/>
          <w:szCs w:val="25"/>
        </w:rPr>
        <w:t>(</w:t>
      </w:r>
      <w:r w:rsidR="00DA1A80" w:rsidRPr="002D5611">
        <w:rPr>
          <w:rFonts w:ascii="Aptos" w:hAnsi="Aptos" w:cs="Times New Roman"/>
          <w:sz w:val="25"/>
          <w:szCs w:val="25"/>
        </w:rPr>
        <w:t xml:space="preserve">BSEA </w:t>
      </w:r>
      <w:r w:rsidR="00DA1A80" w:rsidRPr="002D5611">
        <w:rPr>
          <w:rFonts w:ascii="Aptos" w:hAnsi="Aptos" w:cs="Times New Roman"/>
          <w:i/>
          <w:sz w:val="25"/>
          <w:szCs w:val="25"/>
        </w:rPr>
        <w:t>Hearing Rule</w:t>
      </w:r>
      <w:r w:rsidR="00DA1A80">
        <w:rPr>
          <w:rFonts w:ascii="Aptos" w:hAnsi="Aptos" w:cs="Times New Roman"/>
          <w:i/>
          <w:sz w:val="25"/>
          <w:szCs w:val="25"/>
        </w:rPr>
        <w:t>s</w:t>
      </w:r>
      <w:r w:rsidR="00DA1A80">
        <w:rPr>
          <w:rFonts w:ascii="Aptos" w:hAnsi="Aptos" w:cs="Times New Roman"/>
          <w:iCs/>
          <w:sz w:val="25"/>
          <w:szCs w:val="25"/>
        </w:rPr>
        <w:t>)</w:t>
      </w:r>
      <w:r w:rsidR="00DA1A80" w:rsidRPr="002D5611">
        <w:rPr>
          <w:rFonts w:ascii="Aptos" w:hAnsi="Aptos" w:cs="Times New Roman"/>
          <w:sz w:val="25"/>
          <w:szCs w:val="25"/>
        </w:rPr>
        <w:t>.</w:t>
      </w:r>
      <w:r w:rsidR="00DA1A80" w:rsidRPr="00365C93">
        <w:rPr>
          <w:rFonts w:ascii="Aptos" w:hAnsi="Aptos" w:cs="Times New Roman"/>
          <w:sz w:val="25"/>
          <w:szCs w:val="25"/>
        </w:rPr>
        <w:t xml:space="preserve"> </w:t>
      </w:r>
    </w:p>
    <w:p w14:paraId="378ED09F" w14:textId="77777777" w:rsidR="007626D4" w:rsidRDefault="007626D4">
      <w:pPr>
        <w:rPr>
          <w:rFonts w:ascii="Aptos" w:hAnsi="Aptos" w:cs="Times New Roman"/>
          <w:sz w:val="25"/>
          <w:szCs w:val="25"/>
        </w:rPr>
      </w:pPr>
    </w:p>
    <w:p w14:paraId="32B7D976" w14:textId="679ECF97" w:rsidR="00E16272" w:rsidRPr="009F2251" w:rsidRDefault="002F69AD" w:rsidP="00880E34">
      <w:pPr>
        <w:ind w:firstLine="720"/>
        <w:rPr>
          <w:rFonts w:ascii="Aptos" w:hAnsi="Aptos" w:cs="Times New Roman"/>
          <w:sz w:val="25"/>
          <w:szCs w:val="25"/>
        </w:rPr>
      </w:pPr>
      <w:r w:rsidRPr="009F2251">
        <w:rPr>
          <w:rFonts w:ascii="Aptos" w:hAnsi="Aptos" w:cs="Times New Roman"/>
          <w:sz w:val="25"/>
          <w:szCs w:val="25"/>
        </w:rPr>
        <w:t xml:space="preserve">For the reasons set forth below, </w:t>
      </w:r>
      <w:r w:rsidR="00DA1A80">
        <w:rPr>
          <w:rFonts w:ascii="Aptos" w:hAnsi="Aptos" w:cs="Times New Roman"/>
          <w:sz w:val="25"/>
          <w:szCs w:val="25"/>
        </w:rPr>
        <w:t>DESE</w:t>
      </w:r>
      <w:r w:rsidR="00F947A1">
        <w:rPr>
          <w:rFonts w:ascii="Aptos" w:hAnsi="Aptos" w:cs="Times New Roman"/>
          <w:sz w:val="25"/>
          <w:szCs w:val="25"/>
        </w:rPr>
        <w:t>’s</w:t>
      </w:r>
      <w:r w:rsidRPr="009F2251">
        <w:rPr>
          <w:rFonts w:ascii="Aptos" w:hAnsi="Aptos" w:cs="Times New Roman"/>
          <w:sz w:val="25"/>
          <w:szCs w:val="25"/>
        </w:rPr>
        <w:t xml:space="preserve"> </w:t>
      </w:r>
      <w:r w:rsidRPr="009F2251">
        <w:rPr>
          <w:rFonts w:ascii="Aptos" w:hAnsi="Aptos" w:cs="Times New Roman"/>
          <w:i/>
          <w:iCs/>
          <w:sz w:val="25"/>
          <w:szCs w:val="25"/>
        </w:rPr>
        <w:t xml:space="preserve">Motion to Dismiss </w:t>
      </w:r>
      <w:r w:rsidRPr="009F2251">
        <w:rPr>
          <w:rFonts w:ascii="Aptos" w:hAnsi="Aptos" w:cs="Times New Roman"/>
          <w:sz w:val="25"/>
          <w:szCs w:val="25"/>
        </w:rPr>
        <w:t xml:space="preserve">is hereby </w:t>
      </w:r>
      <w:r w:rsidR="00684A18">
        <w:rPr>
          <w:rFonts w:ascii="Aptos" w:hAnsi="Aptos" w:cs="Times New Roman"/>
          <w:sz w:val="25"/>
          <w:szCs w:val="25"/>
        </w:rPr>
        <w:t>ALLOWED</w:t>
      </w:r>
      <w:r w:rsidR="00CD6672">
        <w:rPr>
          <w:rFonts w:ascii="Aptos" w:hAnsi="Aptos" w:cs="Times New Roman"/>
          <w:sz w:val="25"/>
          <w:szCs w:val="25"/>
        </w:rPr>
        <w:t>.</w:t>
      </w:r>
    </w:p>
    <w:p w14:paraId="73062E86" w14:textId="77777777" w:rsidR="00E16272" w:rsidRPr="009F2251" w:rsidRDefault="00E16272">
      <w:pPr>
        <w:rPr>
          <w:rFonts w:ascii="Aptos" w:hAnsi="Aptos" w:cs="Times New Roman"/>
          <w:sz w:val="25"/>
          <w:szCs w:val="25"/>
        </w:rPr>
      </w:pPr>
    </w:p>
    <w:p w14:paraId="330F4581" w14:textId="51AD75C1" w:rsidR="00E16272" w:rsidRPr="009F2251" w:rsidRDefault="00E16272" w:rsidP="0039328A">
      <w:pPr>
        <w:pStyle w:val="NoSpacing"/>
        <w:numPr>
          <w:ilvl w:val="0"/>
          <w:numId w:val="17"/>
        </w:numPr>
        <w:spacing w:after="240"/>
        <w:rPr>
          <w:rFonts w:ascii="Aptos" w:hAnsi="Aptos" w:cs="Times New Roman"/>
          <w:sz w:val="25"/>
          <w:szCs w:val="25"/>
        </w:rPr>
      </w:pPr>
      <w:r w:rsidRPr="009F2251">
        <w:rPr>
          <w:rFonts w:ascii="Aptos" w:hAnsi="Aptos" w:cs="Times New Roman"/>
          <w:sz w:val="25"/>
          <w:szCs w:val="25"/>
        </w:rPr>
        <w:t>FACTUAL BACKGROUND AND PROCEDURAL HISTORY</w:t>
      </w:r>
    </w:p>
    <w:p w14:paraId="204E2C8D" w14:textId="53EA31C2" w:rsidR="00E84E22" w:rsidRDefault="006E61B8" w:rsidP="00D11B06">
      <w:pPr>
        <w:pStyle w:val="NoSpacing"/>
        <w:spacing w:after="240"/>
        <w:ind w:firstLine="720"/>
        <w:rPr>
          <w:rFonts w:ascii="Aptos" w:hAnsi="Aptos" w:cs="Times New Roman"/>
          <w:sz w:val="25"/>
          <w:szCs w:val="25"/>
        </w:rPr>
      </w:pPr>
      <w:r w:rsidRPr="009F2251">
        <w:rPr>
          <w:rFonts w:ascii="Aptos" w:hAnsi="Aptos" w:cs="Times New Roman"/>
          <w:sz w:val="25"/>
          <w:szCs w:val="25"/>
        </w:rPr>
        <w:t xml:space="preserve">On </w:t>
      </w:r>
      <w:r w:rsidR="00E84E22">
        <w:rPr>
          <w:rFonts w:ascii="Aptos" w:hAnsi="Aptos" w:cs="Times New Roman"/>
          <w:sz w:val="25"/>
          <w:szCs w:val="25"/>
        </w:rPr>
        <w:t>November 27, 2025</w:t>
      </w:r>
      <w:r w:rsidR="006D674F">
        <w:rPr>
          <w:rFonts w:ascii="Aptos" w:hAnsi="Aptos" w:cs="Times New Roman"/>
          <w:sz w:val="25"/>
          <w:szCs w:val="25"/>
        </w:rPr>
        <w:t>, Parent</w:t>
      </w:r>
      <w:r w:rsidR="00E84E22">
        <w:rPr>
          <w:rFonts w:ascii="Aptos" w:hAnsi="Aptos" w:cs="Times New Roman"/>
          <w:sz w:val="25"/>
          <w:szCs w:val="25"/>
        </w:rPr>
        <w:t>s</w:t>
      </w:r>
      <w:r w:rsidR="006D674F">
        <w:rPr>
          <w:rFonts w:ascii="Aptos" w:hAnsi="Aptos" w:cs="Times New Roman"/>
          <w:sz w:val="25"/>
          <w:szCs w:val="25"/>
        </w:rPr>
        <w:t xml:space="preserve"> filed </w:t>
      </w:r>
      <w:r w:rsidR="00E84E22">
        <w:rPr>
          <w:rFonts w:ascii="Aptos" w:hAnsi="Aptos" w:cs="Times New Roman"/>
          <w:sz w:val="25"/>
          <w:szCs w:val="25"/>
        </w:rPr>
        <w:t xml:space="preserve">a </w:t>
      </w:r>
      <w:r w:rsidR="00E84E22">
        <w:rPr>
          <w:rFonts w:ascii="Aptos" w:hAnsi="Aptos" w:cs="Times New Roman"/>
          <w:i/>
          <w:iCs/>
          <w:sz w:val="25"/>
          <w:szCs w:val="25"/>
        </w:rPr>
        <w:t xml:space="preserve">Hearing Request </w:t>
      </w:r>
      <w:r w:rsidR="00E84E22">
        <w:rPr>
          <w:rFonts w:ascii="Aptos" w:hAnsi="Aptos" w:cs="Times New Roman"/>
          <w:sz w:val="25"/>
          <w:szCs w:val="25"/>
        </w:rPr>
        <w:t xml:space="preserve">against DESE “for its failure to ensure that the District complied with [the Individuals with Disabilities Education Act] and Massachusetts special education requirements, resulting in continued denial of [a free appropriate public education] to” Frank. </w:t>
      </w:r>
    </w:p>
    <w:p w14:paraId="6666D66F" w14:textId="27B52D1F" w:rsidR="00E84E22" w:rsidRDefault="00E84E22" w:rsidP="0044738F">
      <w:pPr>
        <w:pStyle w:val="NoSpacing"/>
        <w:spacing w:after="240"/>
        <w:ind w:firstLine="720"/>
        <w:rPr>
          <w:rFonts w:ascii="Aptos" w:hAnsi="Aptos" w:cs="Times New Roman"/>
          <w:sz w:val="25"/>
          <w:szCs w:val="25"/>
        </w:rPr>
      </w:pPr>
      <w:r>
        <w:rPr>
          <w:rFonts w:ascii="Aptos" w:hAnsi="Aptos" w:cs="Times New Roman"/>
          <w:sz w:val="25"/>
          <w:szCs w:val="25"/>
        </w:rPr>
        <w:t xml:space="preserve">According to Parents, Frank is a nine-year-old student </w:t>
      </w:r>
      <w:r w:rsidR="00602968">
        <w:rPr>
          <w:rFonts w:ascii="Aptos" w:hAnsi="Aptos" w:cs="Times New Roman"/>
          <w:sz w:val="25"/>
          <w:szCs w:val="25"/>
        </w:rPr>
        <w:t xml:space="preserve">with dyslexia, a specific language impairment, a pervasive phonological processing disorder, and profound dysgraphia, </w:t>
      </w:r>
      <w:r>
        <w:rPr>
          <w:rFonts w:ascii="Aptos" w:hAnsi="Aptos" w:cs="Times New Roman"/>
          <w:sz w:val="25"/>
          <w:szCs w:val="25"/>
        </w:rPr>
        <w:t>attending school within the Dudley-Charlton Regional School District (</w:t>
      </w:r>
      <w:r w:rsidR="00CD6672">
        <w:rPr>
          <w:rFonts w:ascii="Aptos" w:hAnsi="Aptos" w:cs="Times New Roman"/>
          <w:sz w:val="25"/>
          <w:szCs w:val="25"/>
        </w:rPr>
        <w:t xml:space="preserve">Dudley-Charlton or the </w:t>
      </w:r>
      <w:r>
        <w:rPr>
          <w:rFonts w:ascii="Aptos" w:hAnsi="Aptos" w:cs="Times New Roman"/>
          <w:sz w:val="25"/>
          <w:szCs w:val="25"/>
        </w:rPr>
        <w:t xml:space="preserve">District). </w:t>
      </w:r>
      <w:r w:rsidR="00CD6672">
        <w:rPr>
          <w:rFonts w:ascii="Aptos" w:hAnsi="Aptos" w:cs="Times New Roman"/>
          <w:sz w:val="25"/>
          <w:szCs w:val="25"/>
        </w:rPr>
        <w:t>Parents</w:t>
      </w:r>
      <w:r>
        <w:rPr>
          <w:rFonts w:ascii="Aptos" w:hAnsi="Aptos" w:cs="Times New Roman"/>
          <w:sz w:val="25"/>
          <w:szCs w:val="25"/>
        </w:rPr>
        <w:t xml:space="preserve"> contend that despite clear evidence and substantial documentation of these disabilities provided to both the District and DESE, Frank has not received the services, assessment</w:t>
      </w:r>
      <w:r w:rsidR="00602968">
        <w:rPr>
          <w:rFonts w:ascii="Aptos" w:hAnsi="Aptos" w:cs="Times New Roman"/>
          <w:sz w:val="25"/>
          <w:szCs w:val="25"/>
        </w:rPr>
        <w:t>s</w:t>
      </w:r>
      <w:r>
        <w:rPr>
          <w:rFonts w:ascii="Aptos" w:hAnsi="Aptos" w:cs="Times New Roman"/>
          <w:sz w:val="25"/>
          <w:szCs w:val="25"/>
        </w:rPr>
        <w:t xml:space="preserve">, placement, or qualified instructors required for him to access a </w:t>
      </w:r>
      <w:r w:rsidR="00CD6672">
        <w:rPr>
          <w:rFonts w:ascii="Aptos" w:hAnsi="Aptos" w:cs="Times New Roman"/>
          <w:sz w:val="25"/>
          <w:szCs w:val="25"/>
        </w:rPr>
        <w:t>free appropriate public education (</w:t>
      </w:r>
      <w:r>
        <w:rPr>
          <w:rFonts w:ascii="Aptos" w:hAnsi="Aptos" w:cs="Times New Roman"/>
          <w:sz w:val="25"/>
          <w:szCs w:val="25"/>
        </w:rPr>
        <w:t>FAPE</w:t>
      </w:r>
      <w:r w:rsidR="00CD6672">
        <w:rPr>
          <w:rFonts w:ascii="Aptos" w:hAnsi="Aptos" w:cs="Times New Roman"/>
          <w:sz w:val="25"/>
          <w:szCs w:val="25"/>
        </w:rPr>
        <w:t>)</w:t>
      </w:r>
      <w:r>
        <w:rPr>
          <w:rFonts w:ascii="Aptos" w:hAnsi="Aptos" w:cs="Times New Roman"/>
          <w:sz w:val="25"/>
          <w:szCs w:val="25"/>
        </w:rPr>
        <w:t xml:space="preserve">. Specifically, Parents assert that the District’s actions and inactions have led to: (A) a “significant and longstanding failure to provide evidence-based, individualized reading instruction;” (B) a failure to evaluate Frank in all areas of suspected disability; (C) a failure to provide speech and language and writing services; </w:t>
      </w:r>
      <w:r w:rsidR="00CD6672">
        <w:rPr>
          <w:rFonts w:ascii="Aptos" w:hAnsi="Aptos" w:cs="Times New Roman"/>
          <w:sz w:val="25"/>
          <w:szCs w:val="25"/>
        </w:rPr>
        <w:t xml:space="preserve">and </w:t>
      </w:r>
      <w:r>
        <w:rPr>
          <w:rFonts w:ascii="Aptos" w:hAnsi="Aptos" w:cs="Times New Roman"/>
          <w:sz w:val="25"/>
          <w:szCs w:val="25"/>
        </w:rPr>
        <w:t>(D) predetermination of services and placement</w:t>
      </w:r>
      <w:r w:rsidR="0044738F">
        <w:rPr>
          <w:rFonts w:ascii="Aptos" w:hAnsi="Aptos" w:cs="Times New Roman"/>
          <w:sz w:val="25"/>
          <w:szCs w:val="25"/>
        </w:rPr>
        <w:t xml:space="preserve">. In their final claim, </w:t>
      </w:r>
      <w:r w:rsidR="008D44A6">
        <w:rPr>
          <w:rFonts w:ascii="Aptos" w:hAnsi="Aptos" w:cs="Times New Roman"/>
          <w:sz w:val="25"/>
          <w:szCs w:val="25"/>
        </w:rPr>
        <w:t xml:space="preserve">(E), </w:t>
      </w:r>
      <w:r w:rsidR="0044738F">
        <w:rPr>
          <w:rFonts w:ascii="Aptos" w:hAnsi="Aptos" w:cs="Times New Roman"/>
          <w:sz w:val="25"/>
          <w:szCs w:val="25"/>
        </w:rPr>
        <w:t xml:space="preserve">Parents allege that the Department </w:t>
      </w:r>
      <w:r w:rsidR="0044738F">
        <w:rPr>
          <w:rFonts w:ascii="Aptos" w:hAnsi="Aptos" w:cs="Times New Roman"/>
          <w:sz w:val="25"/>
          <w:szCs w:val="25"/>
        </w:rPr>
        <w:lastRenderedPageBreak/>
        <w:t xml:space="preserve">has failed to ensure District compliance, despite Parents notifying both </w:t>
      </w:r>
      <w:r w:rsidR="00CD6672">
        <w:rPr>
          <w:rFonts w:ascii="Aptos" w:hAnsi="Aptos" w:cs="Times New Roman"/>
          <w:sz w:val="25"/>
          <w:szCs w:val="25"/>
        </w:rPr>
        <w:t>Dudley-Charlton</w:t>
      </w:r>
      <w:r w:rsidR="0044738F">
        <w:rPr>
          <w:rFonts w:ascii="Aptos" w:hAnsi="Aptos" w:cs="Times New Roman"/>
          <w:sz w:val="25"/>
          <w:szCs w:val="25"/>
        </w:rPr>
        <w:t xml:space="preserve"> and DESE of the lack of qualified personnel; insufficient evaluation; the absence of speech or writing services; the lack of meaningful progress data; and the ineffective reading programs being used. </w:t>
      </w:r>
      <w:r w:rsidR="0044738F" w:rsidRPr="0044738F">
        <w:rPr>
          <w:rFonts w:ascii="Aptos" w:hAnsi="Aptos" w:cs="Times New Roman"/>
          <w:sz w:val="25"/>
          <w:szCs w:val="25"/>
        </w:rPr>
        <w:t>According to Parents, DESE’s failure to act constitutes a violation of its duty under 20 U.S.C. §</w:t>
      </w:r>
      <w:r w:rsidR="0096602E">
        <w:rPr>
          <w:rFonts w:ascii="Aptos" w:hAnsi="Aptos" w:cs="Times New Roman"/>
          <w:sz w:val="25"/>
          <w:szCs w:val="25"/>
        </w:rPr>
        <w:t xml:space="preserve"> </w:t>
      </w:r>
      <w:r w:rsidR="0044738F">
        <w:rPr>
          <w:rFonts w:ascii="Aptos" w:hAnsi="Aptos" w:cs="Times New Roman"/>
          <w:sz w:val="25"/>
          <w:szCs w:val="25"/>
        </w:rPr>
        <w:t xml:space="preserve">1412(a)(11) to ensure school districts’ compliance with the </w:t>
      </w:r>
      <w:r w:rsidR="00CD6672">
        <w:rPr>
          <w:rFonts w:ascii="Aptos" w:hAnsi="Aptos" w:cs="Times New Roman"/>
          <w:sz w:val="25"/>
          <w:szCs w:val="25"/>
        </w:rPr>
        <w:t>Individuals with Disabilities Education Act (</w:t>
      </w:r>
      <w:r w:rsidR="0044738F">
        <w:rPr>
          <w:rFonts w:ascii="Aptos" w:hAnsi="Aptos" w:cs="Times New Roman"/>
          <w:sz w:val="25"/>
          <w:szCs w:val="25"/>
        </w:rPr>
        <w:t>IDEA</w:t>
      </w:r>
      <w:r w:rsidR="00CD6672">
        <w:rPr>
          <w:rFonts w:ascii="Aptos" w:hAnsi="Aptos" w:cs="Times New Roman"/>
          <w:sz w:val="25"/>
          <w:szCs w:val="25"/>
        </w:rPr>
        <w:t>)</w:t>
      </w:r>
      <w:r w:rsidR="0044738F">
        <w:rPr>
          <w:rFonts w:ascii="Aptos" w:hAnsi="Aptos" w:cs="Times New Roman"/>
          <w:sz w:val="25"/>
          <w:szCs w:val="25"/>
        </w:rPr>
        <w:t>. Finally, Parents argue that Frank has suffered harm in the form of severe academic regression, ongoing functional illiteracy, emotional harm, worsening writing-related physical pain, and loss of educational opportunity as a result of the District’s and DESE’s failures.</w:t>
      </w:r>
      <w:r w:rsidR="00CD6672">
        <w:rPr>
          <w:rStyle w:val="FootnoteReference"/>
          <w:rFonts w:ascii="Aptos" w:hAnsi="Aptos" w:cs="Times New Roman"/>
          <w:sz w:val="25"/>
          <w:szCs w:val="25"/>
        </w:rPr>
        <w:footnoteReference w:id="2"/>
      </w:r>
      <w:r w:rsidR="0044738F">
        <w:rPr>
          <w:rFonts w:ascii="Aptos" w:hAnsi="Aptos" w:cs="Times New Roman"/>
          <w:sz w:val="25"/>
          <w:szCs w:val="25"/>
        </w:rPr>
        <w:t xml:space="preserve"> Parents request, as a remedy, that DESE fund and place Frank in an out-of-district, substantially separate, language-based program; provide compensatory education; and provide an independent educational evaluation (IEE) at public expense in all disputed areas.</w:t>
      </w:r>
    </w:p>
    <w:p w14:paraId="35C0585B" w14:textId="15F0DF46" w:rsidR="00E84E22" w:rsidRDefault="00E84E22" w:rsidP="00D11B06">
      <w:pPr>
        <w:pStyle w:val="NoSpacing"/>
        <w:spacing w:after="240"/>
        <w:ind w:firstLine="720"/>
        <w:rPr>
          <w:rFonts w:ascii="Aptos" w:hAnsi="Aptos" w:cs="Times New Roman"/>
          <w:sz w:val="25"/>
          <w:szCs w:val="25"/>
        </w:rPr>
      </w:pPr>
      <w:r>
        <w:rPr>
          <w:rFonts w:ascii="Aptos" w:hAnsi="Aptos" w:cs="Times New Roman"/>
          <w:sz w:val="25"/>
          <w:szCs w:val="25"/>
        </w:rPr>
        <w:t>The matter was assigned to Hearing Officer Catherine Putney-Yaceshyn</w:t>
      </w:r>
      <w:r w:rsidR="00602968">
        <w:rPr>
          <w:rFonts w:ascii="Aptos" w:hAnsi="Aptos" w:cs="Times New Roman"/>
          <w:sz w:val="25"/>
          <w:szCs w:val="25"/>
        </w:rPr>
        <w:t>,</w:t>
      </w:r>
      <w:r>
        <w:rPr>
          <w:rFonts w:ascii="Aptos" w:hAnsi="Aptos" w:cs="Times New Roman"/>
          <w:sz w:val="25"/>
          <w:szCs w:val="25"/>
        </w:rPr>
        <w:t xml:space="preserve"> and the Hearing was scheduled for January 2, 2026.</w:t>
      </w:r>
    </w:p>
    <w:p w14:paraId="37D0797A" w14:textId="1C6D286F" w:rsidR="0044738F" w:rsidRPr="00E72264" w:rsidRDefault="0044738F" w:rsidP="00D11B06">
      <w:pPr>
        <w:pStyle w:val="NoSpacing"/>
        <w:spacing w:after="240"/>
        <w:ind w:firstLine="720"/>
        <w:rPr>
          <w:rFonts w:ascii="Aptos" w:hAnsi="Aptos" w:cs="Times New Roman"/>
          <w:sz w:val="25"/>
          <w:szCs w:val="25"/>
        </w:rPr>
      </w:pPr>
      <w:r>
        <w:rPr>
          <w:rFonts w:ascii="Aptos" w:hAnsi="Aptos" w:cs="Times New Roman"/>
          <w:sz w:val="25"/>
          <w:szCs w:val="25"/>
        </w:rPr>
        <w:t xml:space="preserve">On December 3, 2025, DESE requested a two-week extension to file its </w:t>
      </w:r>
      <w:r>
        <w:rPr>
          <w:rFonts w:ascii="Aptos" w:hAnsi="Aptos" w:cs="Times New Roman"/>
          <w:i/>
          <w:iCs/>
          <w:sz w:val="25"/>
          <w:szCs w:val="25"/>
        </w:rPr>
        <w:t>Response to Parents’ Hearing Request</w:t>
      </w:r>
      <w:r>
        <w:rPr>
          <w:rFonts w:ascii="Aptos" w:hAnsi="Aptos" w:cs="Times New Roman"/>
          <w:sz w:val="25"/>
          <w:szCs w:val="25"/>
        </w:rPr>
        <w:t>, noting that Parents, through their advocate, had assented. On December 4, 2025, Parents filed a letter indicating that they no longer agreed with the Department’s request for an extension and asking that the BSEA deny it.</w:t>
      </w:r>
      <w:r w:rsidR="00E72264">
        <w:rPr>
          <w:rFonts w:ascii="Aptos" w:hAnsi="Aptos" w:cs="Times New Roman"/>
          <w:sz w:val="25"/>
          <w:szCs w:val="25"/>
        </w:rPr>
        <w:t xml:space="preserve"> On </w:t>
      </w:r>
      <w:r w:rsidR="00C54083">
        <w:rPr>
          <w:rFonts w:ascii="Aptos" w:hAnsi="Aptos" w:cs="Times New Roman"/>
          <w:sz w:val="25"/>
          <w:szCs w:val="25"/>
        </w:rPr>
        <w:t>December 8, 2025</w:t>
      </w:r>
      <w:r w:rsidR="00E72264">
        <w:rPr>
          <w:rFonts w:ascii="Aptos" w:hAnsi="Aptos" w:cs="Times New Roman"/>
          <w:sz w:val="25"/>
          <w:szCs w:val="25"/>
        </w:rPr>
        <w:t>,</w:t>
      </w:r>
      <w:r>
        <w:rPr>
          <w:rFonts w:ascii="Aptos" w:hAnsi="Aptos" w:cs="Times New Roman"/>
          <w:sz w:val="25"/>
          <w:szCs w:val="25"/>
        </w:rPr>
        <w:t xml:space="preserve"> </w:t>
      </w:r>
      <w:r w:rsidR="00E72264">
        <w:rPr>
          <w:rFonts w:ascii="Aptos" w:hAnsi="Aptos" w:cs="Times New Roman"/>
          <w:sz w:val="25"/>
          <w:szCs w:val="25"/>
        </w:rPr>
        <w:t xml:space="preserve">Hearing Officer Putney-Yaceshyn </w:t>
      </w:r>
      <w:proofErr w:type="gramStart"/>
      <w:r w:rsidR="00E72264">
        <w:rPr>
          <w:rFonts w:ascii="Aptos" w:hAnsi="Aptos" w:cs="Times New Roman"/>
          <w:sz w:val="25"/>
          <w:szCs w:val="25"/>
        </w:rPr>
        <w:t>allowed</w:t>
      </w:r>
      <w:proofErr w:type="gramEnd"/>
      <w:r w:rsidR="00E72264">
        <w:rPr>
          <w:rFonts w:ascii="Aptos" w:hAnsi="Aptos" w:cs="Times New Roman"/>
          <w:sz w:val="25"/>
          <w:szCs w:val="25"/>
        </w:rPr>
        <w:t xml:space="preserve"> the Department’s request, extending the due date for DESE’s </w:t>
      </w:r>
      <w:r w:rsidR="00E72264">
        <w:rPr>
          <w:rFonts w:ascii="Aptos" w:hAnsi="Aptos" w:cs="Times New Roman"/>
          <w:i/>
          <w:iCs/>
          <w:sz w:val="25"/>
          <w:szCs w:val="25"/>
        </w:rPr>
        <w:t xml:space="preserve">Response </w:t>
      </w:r>
      <w:r w:rsidR="00E72264">
        <w:rPr>
          <w:rFonts w:ascii="Aptos" w:hAnsi="Aptos" w:cs="Times New Roman"/>
          <w:sz w:val="25"/>
          <w:szCs w:val="25"/>
        </w:rPr>
        <w:t>to December 22, 2025.</w:t>
      </w:r>
      <w:r w:rsidR="00C54083">
        <w:rPr>
          <w:rFonts w:ascii="Aptos" w:hAnsi="Aptos" w:cs="Times New Roman"/>
          <w:sz w:val="25"/>
          <w:szCs w:val="25"/>
        </w:rPr>
        <w:t xml:space="preserve"> T</w:t>
      </w:r>
      <w:r w:rsidR="00E72264">
        <w:rPr>
          <w:rFonts w:ascii="Aptos" w:hAnsi="Aptos" w:cs="Times New Roman"/>
          <w:sz w:val="25"/>
          <w:szCs w:val="25"/>
        </w:rPr>
        <w:t>he matter was transferred for administrative reasons to the undersigned Hearing Officer</w:t>
      </w:r>
      <w:r w:rsidR="00C54083">
        <w:rPr>
          <w:rFonts w:ascii="Aptos" w:hAnsi="Aptos" w:cs="Times New Roman"/>
          <w:sz w:val="25"/>
          <w:szCs w:val="25"/>
        </w:rPr>
        <w:t xml:space="preserve"> on December 9, 2025.</w:t>
      </w:r>
    </w:p>
    <w:p w14:paraId="7BA5E5F9" w14:textId="0BA35450" w:rsidR="002F39B6" w:rsidRPr="004C1AE4" w:rsidRDefault="002F39B6" w:rsidP="00D11B06">
      <w:pPr>
        <w:pStyle w:val="NoSpacing"/>
        <w:spacing w:after="240"/>
        <w:ind w:firstLine="720"/>
        <w:rPr>
          <w:rFonts w:ascii="Aptos" w:hAnsi="Aptos" w:cs="Times New Roman"/>
          <w:sz w:val="25"/>
          <w:szCs w:val="25"/>
        </w:rPr>
      </w:pPr>
      <w:r>
        <w:rPr>
          <w:rFonts w:ascii="Aptos" w:hAnsi="Aptos" w:cs="Times New Roman"/>
          <w:sz w:val="25"/>
          <w:szCs w:val="25"/>
        </w:rPr>
        <w:t xml:space="preserve">DESE filed the instant </w:t>
      </w:r>
      <w:r>
        <w:rPr>
          <w:rFonts w:ascii="Aptos" w:hAnsi="Aptos" w:cs="Times New Roman"/>
          <w:i/>
          <w:iCs/>
          <w:sz w:val="25"/>
          <w:szCs w:val="25"/>
        </w:rPr>
        <w:t xml:space="preserve">Motion to Dismiss </w:t>
      </w:r>
      <w:r w:rsidR="00CD6672">
        <w:rPr>
          <w:rFonts w:ascii="Aptos" w:hAnsi="Aptos" w:cs="Times New Roman"/>
          <w:sz w:val="25"/>
          <w:szCs w:val="25"/>
        </w:rPr>
        <w:t>(</w:t>
      </w:r>
      <w:r w:rsidR="00CD6672">
        <w:rPr>
          <w:rFonts w:ascii="Aptos" w:hAnsi="Aptos" w:cs="Times New Roman"/>
          <w:i/>
          <w:iCs/>
          <w:sz w:val="25"/>
          <w:szCs w:val="25"/>
        </w:rPr>
        <w:t>Motion</w:t>
      </w:r>
      <w:r w:rsidR="00CD6672">
        <w:rPr>
          <w:rFonts w:ascii="Aptos" w:hAnsi="Aptos" w:cs="Times New Roman"/>
          <w:sz w:val="25"/>
          <w:szCs w:val="25"/>
        </w:rPr>
        <w:t xml:space="preserve">) </w:t>
      </w:r>
      <w:r>
        <w:rPr>
          <w:rFonts w:ascii="Aptos" w:hAnsi="Aptos" w:cs="Times New Roman"/>
          <w:sz w:val="25"/>
          <w:szCs w:val="25"/>
        </w:rPr>
        <w:t xml:space="preserve">on December </w:t>
      </w:r>
      <w:r w:rsidR="00CA77DF">
        <w:rPr>
          <w:rFonts w:ascii="Aptos" w:hAnsi="Aptos" w:cs="Times New Roman"/>
          <w:sz w:val="25"/>
          <w:szCs w:val="25"/>
        </w:rPr>
        <w:t>18</w:t>
      </w:r>
      <w:r>
        <w:rPr>
          <w:rFonts w:ascii="Aptos" w:hAnsi="Aptos" w:cs="Times New Roman"/>
          <w:sz w:val="25"/>
          <w:szCs w:val="25"/>
        </w:rPr>
        <w:t>, 2025</w:t>
      </w:r>
      <w:r w:rsidR="00CA77DF">
        <w:rPr>
          <w:rFonts w:ascii="Aptos" w:hAnsi="Aptos" w:cs="Times New Roman"/>
          <w:sz w:val="25"/>
          <w:szCs w:val="25"/>
        </w:rPr>
        <w:t xml:space="preserve">, asserting that Parents’ </w:t>
      </w:r>
      <w:r w:rsidR="00CA77DF">
        <w:rPr>
          <w:rFonts w:ascii="Aptos" w:hAnsi="Aptos" w:cs="Times New Roman"/>
          <w:i/>
          <w:iCs/>
          <w:sz w:val="25"/>
          <w:szCs w:val="25"/>
        </w:rPr>
        <w:t xml:space="preserve">Hearing Request </w:t>
      </w:r>
      <w:r w:rsidR="00CA77DF">
        <w:rPr>
          <w:rFonts w:ascii="Aptos" w:hAnsi="Aptos" w:cs="Times New Roman"/>
          <w:sz w:val="25"/>
          <w:szCs w:val="25"/>
        </w:rPr>
        <w:t>fails to state a claim upon which relief may be granted</w:t>
      </w:r>
      <w:r w:rsidR="004C1AE4">
        <w:rPr>
          <w:rFonts w:ascii="Aptos" w:hAnsi="Aptos" w:cs="Times New Roman"/>
          <w:sz w:val="25"/>
          <w:szCs w:val="25"/>
        </w:rPr>
        <w:t xml:space="preserve"> and, further, that the BSEA lacks jurisdiction over their claims</w:t>
      </w:r>
      <w:r w:rsidR="00CA77DF">
        <w:rPr>
          <w:rFonts w:ascii="Aptos" w:hAnsi="Aptos" w:cs="Times New Roman"/>
          <w:sz w:val="25"/>
          <w:szCs w:val="25"/>
        </w:rPr>
        <w:t xml:space="preserve">. On the same date, </w:t>
      </w:r>
      <w:r w:rsidR="004C1AE4">
        <w:rPr>
          <w:rFonts w:ascii="Aptos" w:hAnsi="Aptos" w:cs="Times New Roman"/>
          <w:sz w:val="25"/>
          <w:szCs w:val="25"/>
        </w:rPr>
        <w:t xml:space="preserve">Parents filed a </w:t>
      </w:r>
      <w:r w:rsidR="004C1AE4">
        <w:rPr>
          <w:rFonts w:ascii="Aptos" w:hAnsi="Aptos" w:cs="Times New Roman"/>
          <w:i/>
          <w:iCs/>
          <w:sz w:val="25"/>
          <w:szCs w:val="25"/>
        </w:rPr>
        <w:t>Rebuttal Motion in Opposition to Department’s Motion to Dismiss</w:t>
      </w:r>
      <w:r w:rsidR="00CD6672">
        <w:rPr>
          <w:rFonts w:ascii="Aptos" w:hAnsi="Aptos" w:cs="Times New Roman"/>
          <w:sz w:val="25"/>
          <w:szCs w:val="25"/>
        </w:rPr>
        <w:t xml:space="preserve"> (</w:t>
      </w:r>
      <w:r w:rsidR="00CD6672">
        <w:rPr>
          <w:rFonts w:ascii="Aptos" w:hAnsi="Aptos" w:cs="Times New Roman"/>
          <w:i/>
          <w:iCs/>
          <w:sz w:val="25"/>
          <w:szCs w:val="25"/>
        </w:rPr>
        <w:t>Rebuttal</w:t>
      </w:r>
      <w:r w:rsidR="00CD6672">
        <w:rPr>
          <w:rFonts w:ascii="Aptos" w:hAnsi="Aptos" w:cs="Times New Roman"/>
          <w:sz w:val="25"/>
          <w:szCs w:val="25"/>
        </w:rPr>
        <w:t>).</w:t>
      </w:r>
    </w:p>
    <w:p w14:paraId="3EA9736F" w14:textId="69D01A24" w:rsidR="00E84E22" w:rsidRPr="00CA77DF" w:rsidRDefault="002F39B6" w:rsidP="00D11B06">
      <w:pPr>
        <w:pStyle w:val="NoSpacing"/>
        <w:spacing w:after="240"/>
        <w:ind w:firstLine="720"/>
        <w:rPr>
          <w:rFonts w:ascii="Aptos" w:hAnsi="Aptos" w:cs="Times New Roman"/>
          <w:sz w:val="25"/>
          <w:szCs w:val="25"/>
        </w:rPr>
      </w:pPr>
      <w:r>
        <w:rPr>
          <w:rFonts w:ascii="Aptos" w:hAnsi="Aptos" w:cs="Times New Roman"/>
          <w:sz w:val="25"/>
          <w:szCs w:val="25"/>
        </w:rPr>
        <w:t xml:space="preserve">On December 24, 2025, the Department requested that the Hearing be postponed to January 16, 2026, to permit the parties to work together toward resolution of the issues underlying the </w:t>
      </w:r>
      <w:r>
        <w:rPr>
          <w:rFonts w:ascii="Aptos" w:hAnsi="Aptos" w:cs="Times New Roman"/>
          <w:i/>
          <w:iCs/>
          <w:sz w:val="25"/>
          <w:szCs w:val="25"/>
        </w:rPr>
        <w:t>Hearing Request</w:t>
      </w:r>
      <w:r>
        <w:rPr>
          <w:rFonts w:ascii="Aptos" w:hAnsi="Aptos" w:cs="Times New Roman"/>
          <w:sz w:val="25"/>
          <w:szCs w:val="25"/>
        </w:rPr>
        <w:t xml:space="preserve">. On the same date, Parents filed an </w:t>
      </w:r>
      <w:r>
        <w:rPr>
          <w:rFonts w:ascii="Aptos" w:hAnsi="Aptos" w:cs="Times New Roman"/>
          <w:i/>
          <w:iCs/>
          <w:sz w:val="25"/>
          <w:szCs w:val="25"/>
        </w:rPr>
        <w:t>Amended Hearing Request</w:t>
      </w:r>
      <w:r>
        <w:rPr>
          <w:rFonts w:ascii="Aptos" w:hAnsi="Aptos" w:cs="Times New Roman"/>
          <w:sz w:val="25"/>
          <w:szCs w:val="25"/>
        </w:rPr>
        <w:t xml:space="preserve">. Parents did not object to DESE’s postponement request, </w:t>
      </w:r>
      <w:r w:rsidR="00CA77DF">
        <w:rPr>
          <w:rFonts w:ascii="Aptos" w:hAnsi="Aptos" w:cs="Times New Roman"/>
          <w:sz w:val="25"/>
          <w:szCs w:val="25"/>
        </w:rPr>
        <w:t xml:space="preserve">nor did they </w:t>
      </w:r>
      <w:r>
        <w:rPr>
          <w:rFonts w:ascii="Aptos" w:hAnsi="Aptos" w:cs="Times New Roman"/>
          <w:sz w:val="25"/>
          <w:szCs w:val="25"/>
        </w:rPr>
        <w:t>request DESE’s consent or the permission of the Hearing Officer</w:t>
      </w:r>
      <w:r w:rsidR="00CA77DF">
        <w:rPr>
          <w:rFonts w:ascii="Aptos" w:hAnsi="Aptos" w:cs="Times New Roman"/>
          <w:sz w:val="25"/>
          <w:szCs w:val="25"/>
        </w:rPr>
        <w:t xml:space="preserve"> to amend their </w:t>
      </w:r>
      <w:r w:rsidR="00CA77DF">
        <w:rPr>
          <w:rFonts w:ascii="Aptos" w:hAnsi="Aptos" w:cs="Times New Roman"/>
          <w:i/>
          <w:iCs/>
          <w:sz w:val="25"/>
          <w:szCs w:val="25"/>
        </w:rPr>
        <w:t>Hearing Request</w:t>
      </w:r>
      <w:r w:rsidR="00CA77DF">
        <w:rPr>
          <w:rFonts w:ascii="Aptos" w:hAnsi="Aptos" w:cs="Times New Roman"/>
          <w:sz w:val="25"/>
          <w:szCs w:val="25"/>
        </w:rPr>
        <w:t>.</w:t>
      </w:r>
      <w:r w:rsidR="00CA77DF" w:rsidRPr="00CA77DF">
        <w:rPr>
          <w:rStyle w:val="FootnoteReference"/>
          <w:rFonts w:ascii="Aptos" w:hAnsi="Aptos" w:cs="Times New Roman"/>
          <w:sz w:val="25"/>
          <w:szCs w:val="25"/>
        </w:rPr>
        <w:t xml:space="preserve"> </w:t>
      </w:r>
      <w:r w:rsidR="00CA77DF">
        <w:rPr>
          <w:rStyle w:val="FootnoteReference"/>
          <w:rFonts w:ascii="Aptos" w:hAnsi="Aptos" w:cs="Times New Roman"/>
          <w:sz w:val="25"/>
          <w:szCs w:val="25"/>
        </w:rPr>
        <w:footnoteReference w:id="3"/>
      </w:r>
      <w:r w:rsidR="00CA77DF">
        <w:rPr>
          <w:rFonts w:ascii="Aptos" w:hAnsi="Aptos" w:cs="Times New Roman"/>
          <w:sz w:val="25"/>
          <w:szCs w:val="25"/>
        </w:rPr>
        <w:t xml:space="preserve"> T</w:t>
      </w:r>
      <w:r>
        <w:rPr>
          <w:rFonts w:ascii="Aptos" w:hAnsi="Aptos" w:cs="Times New Roman"/>
          <w:sz w:val="25"/>
          <w:szCs w:val="25"/>
        </w:rPr>
        <w:t>he Department did not object to Parents’ Amendment</w:t>
      </w:r>
      <w:r w:rsidR="00CD6672">
        <w:rPr>
          <w:rFonts w:ascii="Aptos" w:hAnsi="Aptos" w:cs="Times New Roman"/>
          <w:sz w:val="25"/>
          <w:szCs w:val="25"/>
        </w:rPr>
        <w:t xml:space="preserve">, which </w:t>
      </w:r>
      <w:r w:rsidR="00CD6672">
        <w:rPr>
          <w:rFonts w:ascii="Aptos" w:hAnsi="Aptos" w:cs="Times New Roman"/>
          <w:sz w:val="25"/>
          <w:szCs w:val="25"/>
        </w:rPr>
        <w:lastRenderedPageBreak/>
        <w:t>is hereby allowed</w:t>
      </w:r>
      <w:r w:rsidR="00CA77DF">
        <w:rPr>
          <w:rFonts w:ascii="Aptos" w:hAnsi="Aptos" w:cs="Times New Roman"/>
          <w:sz w:val="25"/>
          <w:szCs w:val="25"/>
        </w:rPr>
        <w:t xml:space="preserve">. DESE’s postponement request </w:t>
      </w:r>
      <w:r w:rsidR="00CD6672">
        <w:rPr>
          <w:rFonts w:ascii="Aptos" w:hAnsi="Aptos" w:cs="Times New Roman"/>
          <w:sz w:val="25"/>
          <w:szCs w:val="25"/>
        </w:rPr>
        <w:t xml:space="preserve">was </w:t>
      </w:r>
      <w:r w:rsidR="00CA77DF">
        <w:rPr>
          <w:rFonts w:ascii="Aptos" w:hAnsi="Aptos" w:cs="Times New Roman"/>
          <w:sz w:val="25"/>
          <w:szCs w:val="25"/>
        </w:rPr>
        <w:t>allowed</w:t>
      </w:r>
      <w:r w:rsidR="00CD6672">
        <w:rPr>
          <w:rFonts w:ascii="Aptos" w:hAnsi="Aptos" w:cs="Times New Roman"/>
          <w:sz w:val="25"/>
          <w:szCs w:val="25"/>
        </w:rPr>
        <w:t xml:space="preserve">; however, </w:t>
      </w:r>
      <w:proofErr w:type="gramStart"/>
      <w:r w:rsidR="00CD6672">
        <w:rPr>
          <w:rFonts w:ascii="Aptos" w:hAnsi="Aptos" w:cs="Times New Roman"/>
          <w:sz w:val="25"/>
          <w:szCs w:val="25"/>
        </w:rPr>
        <w:t>i</w:t>
      </w:r>
      <w:r w:rsidR="00CA77DF">
        <w:rPr>
          <w:rFonts w:ascii="Aptos" w:hAnsi="Aptos" w:cs="Times New Roman"/>
          <w:sz w:val="25"/>
          <w:szCs w:val="25"/>
        </w:rPr>
        <w:t>n light of</w:t>
      </w:r>
      <w:proofErr w:type="gramEnd"/>
      <w:r w:rsidR="00CA77DF">
        <w:rPr>
          <w:rFonts w:ascii="Aptos" w:hAnsi="Aptos" w:cs="Times New Roman"/>
          <w:sz w:val="25"/>
          <w:szCs w:val="25"/>
        </w:rPr>
        <w:t xml:space="preserve"> Parents’ amendment of the </w:t>
      </w:r>
      <w:r w:rsidR="00CA77DF">
        <w:rPr>
          <w:rFonts w:ascii="Aptos" w:hAnsi="Aptos" w:cs="Times New Roman"/>
          <w:i/>
          <w:iCs/>
          <w:sz w:val="25"/>
          <w:szCs w:val="25"/>
        </w:rPr>
        <w:t xml:space="preserve">Hearing </w:t>
      </w:r>
      <w:r w:rsidR="00CA77DF" w:rsidRPr="00CA77DF">
        <w:rPr>
          <w:rFonts w:ascii="Aptos" w:hAnsi="Aptos" w:cs="Times New Roman"/>
          <w:i/>
          <w:iCs/>
          <w:sz w:val="25"/>
          <w:szCs w:val="25"/>
        </w:rPr>
        <w:t>Request</w:t>
      </w:r>
      <w:r w:rsidR="00CA77DF">
        <w:rPr>
          <w:rFonts w:ascii="Aptos" w:hAnsi="Aptos" w:cs="Times New Roman"/>
          <w:sz w:val="25"/>
          <w:szCs w:val="25"/>
        </w:rPr>
        <w:t>, “the entire process starts over for the purpose of timelines.”</w:t>
      </w:r>
      <w:r w:rsidR="00CA77DF">
        <w:rPr>
          <w:rStyle w:val="FootnoteReference"/>
          <w:rFonts w:ascii="Aptos" w:hAnsi="Aptos" w:cs="Times New Roman"/>
          <w:sz w:val="25"/>
          <w:szCs w:val="25"/>
        </w:rPr>
        <w:footnoteReference w:id="4"/>
      </w:r>
      <w:r>
        <w:rPr>
          <w:rFonts w:ascii="Aptos" w:hAnsi="Aptos" w:cs="Times New Roman"/>
          <w:sz w:val="25"/>
          <w:szCs w:val="25"/>
        </w:rPr>
        <w:t xml:space="preserve"> </w:t>
      </w:r>
      <w:r w:rsidR="00CA77DF">
        <w:rPr>
          <w:rFonts w:ascii="Aptos" w:hAnsi="Aptos" w:cs="Times New Roman"/>
          <w:sz w:val="25"/>
          <w:szCs w:val="25"/>
        </w:rPr>
        <w:t xml:space="preserve">In accordance with the </w:t>
      </w:r>
      <w:r w:rsidR="00CA77DF">
        <w:rPr>
          <w:rFonts w:ascii="Aptos" w:hAnsi="Aptos" w:cs="Times New Roman"/>
          <w:i/>
          <w:iCs/>
          <w:sz w:val="25"/>
          <w:szCs w:val="25"/>
        </w:rPr>
        <w:t>Amended Notice of Hearing</w:t>
      </w:r>
      <w:r w:rsidR="00CA77DF">
        <w:rPr>
          <w:rFonts w:ascii="Aptos" w:hAnsi="Aptos" w:cs="Times New Roman"/>
          <w:sz w:val="25"/>
          <w:szCs w:val="25"/>
        </w:rPr>
        <w:t xml:space="preserve"> issued December 29, 2025, the Hearing</w:t>
      </w:r>
      <w:r w:rsidR="00CD6672">
        <w:rPr>
          <w:rFonts w:ascii="Aptos" w:hAnsi="Aptos" w:cs="Times New Roman"/>
          <w:sz w:val="25"/>
          <w:szCs w:val="25"/>
        </w:rPr>
        <w:t xml:space="preserve"> on Parents’ </w:t>
      </w:r>
      <w:r w:rsidR="00CD6672">
        <w:rPr>
          <w:rFonts w:ascii="Aptos" w:hAnsi="Aptos" w:cs="Times New Roman"/>
          <w:i/>
          <w:iCs/>
          <w:sz w:val="25"/>
          <w:szCs w:val="25"/>
        </w:rPr>
        <w:t>Amended Hearing Request</w:t>
      </w:r>
      <w:r w:rsidR="00CA77DF">
        <w:rPr>
          <w:rFonts w:ascii="Aptos" w:hAnsi="Aptos" w:cs="Times New Roman"/>
          <w:sz w:val="25"/>
          <w:szCs w:val="25"/>
        </w:rPr>
        <w:t xml:space="preserve"> </w:t>
      </w:r>
      <w:r w:rsidR="000F49CF">
        <w:rPr>
          <w:rFonts w:ascii="Aptos" w:hAnsi="Aptos" w:cs="Times New Roman"/>
          <w:sz w:val="25"/>
          <w:szCs w:val="25"/>
        </w:rPr>
        <w:t>was</w:t>
      </w:r>
      <w:r w:rsidR="00CA77DF">
        <w:rPr>
          <w:rFonts w:ascii="Aptos" w:hAnsi="Aptos" w:cs="Times New Roman"/>
          <w:sz w:val="25"/>
          <w:szCs w:val="25"/>
        </w:rPr>
        <w:t xml:space="preserve"> scheduled for January 28, 2026.</w:t>
      </w:r>
      <w:r w:rsidR="000F49CF">
        <w:rPr>
          <w:rFonts w:ascii="Aptos" w:hAnsi="Aptos" w:cs="Times New Roman"/>
          <w:sz w:val="25"/>
          <w:szCs w:val="25"/>
        </w:rPr>
        <w:t xml:space="preserve"> On January 5, 2026, the Department filed a request for a two-week postponement due to the unavailability of Counsel.</w:t>
      </w:r>
      <w:r w:rsidR="001240B7">
        <w:rPr>
          <w:rStyle w:val="FootnoteReference"/>
          <w:rFonts w:ascii="Aptos" w:hAnsi="Aptos" w:cs="Times New Roman"/>
          <w:sz w:val="25"/>
          <w:szCs w:val="25"/>
        </w:rPr>
        <w:footnoteReference w:id="5"/>
      </w:r>
      <w:r w:rsidR="000F49CF">
        <w:rPr>
          <w:rFonts w:ascii="Aptos" w:hAnsi="Aptos" w:cs="Times New Roman"/>
          <w:sz w:val="25"/>
          <w:szCs w:val="25"/>
        </w:rPr>
        <w:t xml:space="preserve"> Parents assented, and the Hearing was postponed for good cause to February 12 and 13, 2026.</w:t>
      </w:r>
    </w:p>
    <w:p w14:paraId="7F7224D2" w14:textId="12A19A1B" w:rsidR="001B22E2" w:rsidRPr="009F2251" w:rsidRDefault="002630B3" w:rsidP="0039328A">
      <w:pPr>
        <w:pStyle w:val="NoSpacing"/>
        <w:numPr>
          <w:ilvl w:val="0"/>
          <w:numId w:val="17"/>
        </w:numPr>
        <w:spacing w:after="240"/>
        <w:rPr>
          <w:rFonts w:ascii="Aptos" w:hAnsi="Aptos" w:cs="Times New Roman"/>
          <w:sz w:val="25"/>
          <w:szCs w:val="25"/>
        </w:rPr>
      </w:pPr>
      <w:r w:rsidRPr="009F2251">
        <w:rPr>
          <w:rFonts w:ascii="Aptos" w:hAnsi="Aptos" w:cs="Times New Roman"/>
          <w:sz w:val="25"/>
          <w:szCs w:val="25"/>
        </w:rPr>
        <w:t>DISCUSSION</w:t>
      </w:r>
    </w:p>
    <w:p w14:paraId="20B68D47" w14:textId="32EAF86D" w:rsidR="002630B3" w:rsidRPr="009F2251" w:rsidRDefault="002630B3" w:rsidP="002630B3">
      <w:pPr>
        <w:pStyle w:val="NoSpacing"/>
        <w:spacing w:before="240"/>
        <w:ind w:firstLine="720"/>
        <w:rPr>
          <w:rFonts w:ascii="Aptos" w:hAnsi="Aptos" w:cs="Times New Roman"/>
          <w:sz w:val="25"/>
          <w:szCs w:val="25"/>
        </w:rPr>
      </w:pPr>
      <w:r w:rsidRPr="009F2251">
        <w:rPr>
          <w:rFonts w:ascii="Aptos" w:hAnsi="Aptos" w:cs="Times New Roman"/>
          <w:sz w:val="25"/>
          <w:szCs w:val="25"/>
        </w:rPr>
        <w:t>Whether Parent</w:t>
      </w:r>
      <w:r w:rsidR="00302273">
        <w:rPr>
          <w:rFonts w:ascii="Aptos" w:hAnsi="Aptos" w:cs="Times New Roman"/>
          <w:sz w:val="25"/>
          <w:szCs w:val="25"/>
        </w:rPr>
        <w:t>s</w:t>
      </w:r>
      <w:r w:rsidR="00CB5986">
        <w:rPr>
          <w:rFonts w:ascii="Aptos" w:hAnsi="Aptos" w:cs="Times New Roman"/>
          <w:sz w:val="25"/>
          <w:szCs w:val="25"/>
        </w:rPr>
        <w:t>’</w:t>
      </w:r>
      <w:r w:rsidRPr="009F2251">
        <w:rPr>
          <w:rFonts w:ascii="Aptos" w:hAnsi="Aptos" w:cs="Times New Roman"/>
          <w:sz w:val="25"/>
          <w:szCs w:val="25"/>
        </w:rPr>
        <w:t xml:space="preserve"> claims survive a </w:t>
      </w:r>
      <w:r w:rsidRPr="009F2251">
        <w:rPr>
          <w:rFonts w:ascii="Aptos" w:hAnsi="Aptos" w:cs="Times New Roman"/>
          <w:i/>
          <w:sz w:val="25"/>
          <w:szCs w:val="25"/>
        </w:rPr>
        <w:t xml:space="preserve">Motion to Dismiss </w:t>
      </w:r>
      <w:r w:rsidRPr="009F2251">
        <w:rPr>
          <w:rFonts w:ascii="Aptos" w:hAnsi="Aptos" w:cs="Times New Roman"/>
          <w:sz w:val="25"/>
          <w:szCs w:val="25"/>
        </w:rPr>
        <w:t xml:space="preserve">turns on both the procedural standards for such a motion and the substantive standards governing </w:t>
      </w:r>
      <w:r w:rsidR="00CB5986">
        <w:rPr>
          <w:rFonts w:ascii="Aptos" w:hAnsi="Aptos" w:cs="Times New Roman"/>
          <w:sz w:val="25"/>
          <w:szCs w:val="25"/>
        </w:rPr>
        <w:t xml:space="preserve">their </w:t>
      </w:r>
      <w:r w:rsidRPr="009F2251">
        <w:rPr>
          <w:rFonts w:ascii="Aptos" w:hAnsi="Aptos" w:cs="Times New Roman"/>
          <w:sz w:val="25"/>
          <w:szCs w:val="25"/>
        </w:rPr>
        <w:t xml:space="preserve">claims. </w:t>
      </w:r>
    </w:p>
    <w:p w14:paraId="1A91ECAD" w14:textId="13E23914" w:rsidR="001B22E2" w:rsidRPr="009F2251" w:rsidRDefault="001B22E2" w:rsidP="0039328A">
      <w:pPr>
        <w:pStyle w:val="NoSpacing"/>
        <w:numPr>
          <w:ilvl w:val="0"/>
          <w:numId w:val="14"/>
        </w:numPr>
        <w:spacing w:before="240"/>
        <w:rPr>
          <w:rFonts w:ascii="Aptos" w:hAnsi="Aptos" w:cs="Times New Roman"/>
          <w:sz w:val="25"/>
          <w:szCs w:val="25"/>
        </w:rPr>
      </w:pPr>
      <w:r w:rsidRPr="009F2251">
        <w:rPr>
          <w:rFonts w:ascii="Aptos" w:hAnsi="Aptos" w:cs="Times New Roman"/>
          <w:sz w:val="25"/>
          <w:szCs w:val="25"/>
        </w:rPr>
        <w:tab/>
      </w:r>
      <w:r w:rsidRPr="009F2251">
        <w:rPr>
          <w:rFonts w:ascii="Aptos" w:hAnsi="Aptos" w:cs="Times New Roman"/>
          <w:sz w:val="25"/>
          <w:szCs w:val="25"/>
          <w:u w:val="single"/>
        </w:rPr>
        <w:t xml:space="preserve">Standard for Ruling on </w:t>
      </w:r>
      <w:r w:rsidRPr="009F2251">
        <w:rPr>
          <w:rFonts w:ascii="Aptos" w:hAnsi="Aptos" w:cs="Times New Roman"/>
          <w:i/>
          <w:iCs/>
          <w:sz w:val="25"/>
          <w:szCs w:val="25"/>
          <w:u w:val="single"/>
        </w:rPr>
        <w:t xml:space="preserve">Motion to Dismiss </w:t>
      </w:r>
      <w:r w:rsidR="0040199E" w:rsidRPr="009F2251">
        <w:rPr>
          <w:rFonts w:ascii="Aptos" w:hAnsi="Aptos" w:cs="Times New Roman"/>
          <w:i/>
          <w:iCs/>
          <w:sz w:val="25"/>
          <w:szCs w:val="25"/>
          <w:u w:val="single"/>
        </w:rPr>
        <w:t xml:space="preserve">a </w:t>
      </w:r>
      <w:r w:rsidRPr="009F2251">
        <w:rPr>
          <w:rFonts w:ascii="Aptos" w:hAnsi="Aptos" w:cs="Times New Roman"/>
          <w:i/>
          <w:iCs/>
          <w:sz w:val="25"/>
          <w:szCs w:val="25"/>
          <w:u w:val="single"/>
        </w:rPr>
        <w:t xml:space="preserve">Hearing Request </w:t>
      </w:r>
    </w:p>
    <w:p w14:paraId="656A444B" w14:textId="0F28021B" w:rsidR="00302273" w:rsidRPr="007166CC" w:rsidRDefault="001B22E2" w:rsidP="00B609A3">
      <w:pPr>
        <w:spacing w:before="240"/>
        <w:ind w:firstLine="720"/>
        <w:rPr>
          <w:rFonts w:ascii="Aptos" w:hAnsi="Aptos" w:cs="Times New Roman"/>
          <w:sz w:val="25"/>
          <w:szCs w:val="25"/>
        </w:rPr>
      </w:pPr>
      <w:r w:rsidRPr="009F2251">
        <w:rPr>
          <w:rFonts w:ascii="Aptos" w:hAnsi="Aptos" w:cs="Times New Roman"/>
          <w:sz w:val="25"/>
          <w:szCs w:val="25"/>
        </w:rPr>
        <w:t xml:space="preserve">Pursuant to the </w:t>
      </w:r>
      <w:r w:rsidRPr="009F2251">
        <w:rPr>
          <w:rFonts w:ascii="Aptos" w:hAnsi="Aptos" w:cs="Times New Roman"/>
          <w:i/>
          <w:sz w:val="25"/>
          <w:szCs w:val="25"/>
        </w:rPr>
        <w:t>Standard Adjudicatory Rules of Practice and Procedure</w:t>
      </w:r>
      <w:r w:rsidRPr="009F2251">
        <w:rPr>
          <w:rFonts w:ascii="Aptos" w:hAnsi="Aptos" w:cs="Times New Roman"/>
          <w:sz w:val="25"/>
          <w:szCs w:val="25"/>
        </w:rPr>
        <w:t xml:space="preserve">, 801 CMR 1.01(7)(g)(3) and Rule XVIIB of the BSEA </w:t>
      </w:r>
      <w:r w:rsidRPr="009F2251">
        <w:rPr>
          <w:rFonts w:ascii="Aptos" w:hAnsi="Aptos" w:cs="Times New Roman"/>
          <w:i/>
          <w:sz w:val="25"/>
          <w:szCs w:val="25"/>
        </w:rPr>
        <w:t>Hearing</w:t>
      </w:r>
      <w:r w:rsidR="00B93938" w:rsidRPr="009F2251">
        <w:rPr>
          <w:rFonts w:ascii="Aptos" w:hAnsi="Aptos" w:cs="Times New Roman"/>
          <w:i/>
          <w:sz w:val="25"/>
          <w:szCs w:val="25"/>
        </w:rPr>
        <w:t xml:space="preserve"> Rules</w:t>
      </w:r>
      <w:r w:rsidRPr="009F2251">
        <w:rPr>
          <w:rFonts w:ascii="Aptos" w:hAnsi="Aptos" w:cs="Times New Roman"/>
          <w:sz w:val="25"/>
          <w:szCs w:val="25"/>
        </w:rPr>
        <w:t>, a hearing officer may allow a motion to dismiss if the party requesting the appeal fails to state a claim on which relief can be granted. This rule is analogous to Rule 12(b)(6) of the Federal Rules of Civil Procedure and as such hearing officers have generally used the same standards as the courts in deciding motions to dismiss for failure to state a claim. Specifically, what is required to survive a motion to dismiss “are factual ‘allegations plausibly suggesting (not merely consistent with)’ an entitlement to relief.”</w:t>
      </w:r>
      <w:r w:rsidRPr="009F2251">
        <w:rPr>
          <w:rStyle w:val="FootnoteReference"/>
          <w:rFonts w:ascii="Aptos" w:hAnsi="Aptos" w:cs="Times New Roman"/>
          <w:sz w:val="25"/>
          <w:szCs w:val="25"/>
        </w:rPr>
        <w:footnoteReference w:id="6"/>
      </w:r>
      <w:r w:rsidRPr="009F2251">
        <w:rPr>
          <w:rFonts w:ascii="Aptos" w:hAnsi="Aptos" w:cs="Times New Roman"/>
          <w:sz w:val="25"/>
          <w:szCs w:val="25"/>
        </w:rPr>
        <w:t xml:space="preserve"> </w:t>
      </w:r>
      <w:r w:rsidR="00795EFA">
        <w:rPr>
          <w:rFonts w:ascii="Aptos" w:hAnsi="Aptos" w:cs="Times New Roman"/>
          <w:sz w:val="25"/>
          <w:szCs w:val="25"/>
        </w:rPr>
        <w:t>Moreover, the plaintiff must plead “factual content that allows the court to draw the reasonable inference that the defendant is liable for the misconduct alleged.”</w:t>
      </w:r>
      <w:r w:rsidR="00795EFA">
        <w:rPr>
          <w:rStyle w:val="FootnoteReference"/>
          <w:rFonts w:ascii="Aptos" w:hAnsi="Aptos" w:cs="Times New Roman"/>
          <w:sz w:val="25"/>
          <w:szCs w:val="25"/>
        </w:rPr>
        <w:footnoteReference w:id="7"/>
      </w:r>
      <w:r w:rsidR="00795EFA">
        <w:rPr>
          <w:rFonts w:ascii="Aptos" w:hAnsi="Aptos" w:cs="Times New Roman"/>
          <w:sz w:val="25"/>
          <w:szCs w:val="25"/>
        </w:rPr>
        <w:t xml:space="preserve"> </w:t>
      </w:r>
      <w:r w:rsidR="00795EFA" w:rsidRPr="009F2251">
        <w:rPr>
          <w:rFonts w:ascii="Aptos" w:hAnsi="Aptos" w:cs="Times New Roman"/>
          <w:sz w:val="25"/>
          <w:szCs w:val="25"/>
        </w:rPr>
        <w:t>In evaluating the complaint, the hearing officer must take as true “the allegations of the complaint, as well as such inferences as may be drawn therefrom in the plaintiff’s favor.”</w:t>
      </w:r>
      <w:r w:rsidR="00795EFA" w:rsidRPr="009F2251">
        <w:rPr>
          <w:rStyle w:val="FootnoteReference"/>
          <w:rFonts w:ascii="Aptos" w:hAnsi="Aptos" w:cs="Times New Roman"/>
          <w:sz w:val="25"/>
          <w:szCs w:val="25"/>
        </w:rPr>
        <w:footnoteReference w:id="8"/>
      </w:r>
      <w:r w:rsidR="00795EFA" w:rsidRPr="009F2251">
        <w:rPr>
          <w:rFonts w:ascii="Aptos" w:hAnsi="Aptos" w:cs="Times New Roman"/>
          <w:sz w:val="25"/>
          <w:szCs w:val="25"/>
        </w:rPr>
        <w:t xml:space="preserve"> These “[f]actual allegations must be enough to raise a right to relief above the speculative level . . . [based] on the assumption that all the allegations in the complaint are true (even if doubtful in fact). . .</w:t>
      </w:r>
      <w:r w:rsidR="00795EFA">
        <w:rPr>
          <w:rFonts w:ascii="Aptos" w:hAnsi="Aptos" w:cs="Times New Roman"/>
          <w:sz w:val="25"/>
          <w:szCs w:val="25"/>
        </w:rPr>
        <w:t xml:space="preserve"> .</w:t>
      </w:r>
      <w:r w:rsidR="00795EFA" w:rsidRPr="009F2251">
        <w:rPr>
          <w:rFonts w:ascii="Aptos" w:hAnsi="Aptos" w:cs="Times New Roman"/>
          <w:sz w:val="25"/>
          <w:szCs w:val="25"/>
        </w:rPr>
        <w:t>”</w:t>
      </w:r>
      <w:r w:rsidR="00795EFA" w:rsidRPr="009F2251">
        <w:rPr>
          <w:rStyle w:val="FootnoteReference"/>
          <w:rFonts w:ascii="Aptos" w:hAnsi="Aptos" w:cs="Times New Roman"/>
          <w:sz w:val="25"/>
          <w:szCs w:val="25"/>
        </w:rPr>
        <w:footnoteReference w:id="9"/>
      </w:r>
    </w:p>
    <w:p w14:paraId="429D17AF" w14:textId="55253425" w:rsidR="001B22E2" w:rsidRPr="009F2251" w:rsidRDefault="001B22E2" w:rsidP="004D3210">
      <w:pPr>
        <w:pStyle w:val="ListParagraph"/>
        <w:numPr>
          <w:ilvl w:val="0"/>
          <w:numId w:val="14"/>
        </w:numPr>
        <w:spacing w:before="240"/>
        <w:rPr>
          <w:rFonts w:ascii="Aptos" w:hAnsi="Aptos" w:cs="Times New Roman"/>
          <w:sz w:val="25"/>
          <w:szCs w:val="25"/>
          <w:u w:val="single"/>
        </w:rPr>
      </w:pPr>
      <w:r w:rsidRPr="009F2251">
        <w:rPr>
          <w:rFonts w:ascii="Aptos" w:hAnsi="Aptos" w:cs="Times New Roman"/>
          <w:sz w:val="25"/>
          <w:szCs w:val="25"/>
        </w:rPr>
        <w:lastRenderedPageBreak/>
        <w:tab/>
      </w:r>
      <w:r w:rsidRPr="009F2251">
        <w:rPr>
          <w:rFonts w:ascii="Aptos" w:hAnsi="Aptos" w:cs="Times New Roman"/>
          <w:sz w:val="25"/>
          <w:szCs w:val="25"/>
          <w:u w:val="single"/>
        </w:rPr>
        <w:t>BSEA Jurisdiction</w:t>
      </w:r>
    </w:p>
    <w:p w14:paraId="1FA2705D" w14:textId="38EFAD29" w:rsidR="001B22E2" w:rsidRPr="009F2251" w:rsidRDefault="00756E31" w:rsidP="00756E31">
      <w:pPr>
        <w:spacing w:before="240"/>
        <w:ind w:firstLine="720"/>
        <w:rPr>
          <w:rFonts w:ascii="Aptos" w:hAnsi="Aptos" w:cs="Times New Roman"/>
          <w:sz w:val="25"/>
          <w:szCs w:val="25"/>
        </w:rPr>
      </w:pPr>
      <w:r>
        <w:rPr>
          <w:rFonts w:ascii="Aptos" w:hAnsi="Aptos" w:cs="Times New Roman"/>
          <w:sz w:val="25"/>
          <w:szCs w:val="25"/>
        </w:rPr>
        <w:t>T</w:t>
      </w:r>
      <w:r w:rsidR="001B22E2" w:rsidRPr="009F2251">
        <w:rPr>
          <w:rFonts w:ascii="Aptos" w:hAnsi="Aptos" w:cs="Times New Roman"/>
          <w:sz w:val="25"/>
          <w:szCs w:val="25"/>
        </w:rPr>
        <w:t xml:space="preserve">he </w:t>
      </w:r>
      <w:r w:rsidR="002C10A5">
        <w:rPr>
          <w:rFonts w:ascii="Aptos" w:hAnsi="Aptos" w:cs="Times New Roman"/>
          <w:sz w:val="25"/>
          <w:szCs w:val="25"/>
        </w:rPr>
        <w:t>IDEA</w:t>
      </w:r>
      <w:r w:rsidR="001B22E2" w:rsidRPr="009F2251">
        <w:rPr>
          <w:rFonts w:ascii="Aptos" w:hAnsi="Aptos" w:cs="Times New Roman"/>
          <w:sz w:val="25"/>
          <w:szCs w:val="25"/>
        </w:rPr>
        <w:t>, 20 U.S.C. §</w:t>
      </w:r>
      <w:r w:rsidR="0096602E">
        <w:rPr>
          <w:rFonts w:ascii="Aptos" w:hAnsi="Aptos" w:cs="Times New Roman"/>
          <w:sz w:val="25"/>
          <w:szCs w:val="25"/>
        </w:rPr>
        <w:t xml:space="preserve"> </w:t>
      </w:r>
      <w:r w:rsidR="001B22E2" w:rsidRPr="009F2251">
        <w:rPr>
          <w:rFonts w:ascii="Aptos" w:hAnsi="Aptos" w:cs="Times New Roman"/>
          <w:sz w:val="25"/>
          <w:szCs w:val="25"/>
        </w:rPr>
        <w:t xml:space="preserve">1400 </w:t>
      </w:r>
      <w:r w:rsidR="001B22E2" w:rsidRPr="009F2251">
        <w:rPr>
          <w:rFonts w:ascii="Aptos" w:hAnsi="Aptos" w:cs="Times New Roman"/>
          <w:i/>
          <w:sz w:val="25"/>
          <w:szCs w:val="25"/>
        </w:rPr>
        <w:t>et seq.</w:t>
      </w:r>
      <w:r>
        <w:rPr>
          <w:rFonts w:ascii="Aptos" w:hAnsi="Aptos" w:cs="Times New Roman"/>
          <w:iCs/>
          <w:sz w:val="25"/>
          <w:szCs w:val="25"/>
        </w:rPr>
        <w:t>,</w:t>
      </w:r>
      <w:r w:rsidR="001B22E2" w:rsidRPr="009F2251">
        <w:rPr>
          <w:rFonts w:ascii="Aptos" w:hAnsi="Aptos" w:cs="Times New Roman"/>
          <w:sz w:val="25"/>
          <w:szCs w:val="25"/>
        </w:rPr>
        <w:t xml:space="preserve"> provides parents with a formal</w:t>
      </w:r>
      <w:r>
        <w:rPr>
          <w:rFonts w:ascii="Aptos" w:hAnsi="Aptos" w:cs="Times New Roman"/>
          <w:sz w:val="25"/>
          <w:szCs w:val="25"/>
        </w:rPr>
        <w:t xml:space="preserve"> due process</w:t>
      </w:r>
      <w:r w:rsidR="001B22E2" w:rsidRPr="009F2251">
        <w:rPr>
          <w:rFonts w:ascii="Aptos" w:hAnsi="Aptos" w:cs="Times New Roman"/>
          <w:sz w:val="25"/>
          <w:szCs w:val="25"/>
        </w:rPr>
        <w:t xml:space="preserve"> complaint process with respect to “any matter relating to the identification, evaluation, or educational placement of the child, or the provision of a free appropriate public education to such child.”</w:t>
      </w:r>
      <w:r w:rsidR="001B22E2" w:rsidRPr="009F2251">
        <w:rPr>
          <w:rStyle w:val="FootnoteReference"/>
          <w:rFonts w:ascii="Aptos" w:hAnsi="Aptos" w:cs="Times New Roman"/>
          <w:sz w:val="25"/>
          <w:szCs w:val="25"/>
        </w:rPr>
        <w:footnoteReference w:id="10"/>
      </w:r>
      <w:r w:rsidR="001B22E2" w:rsidRPr="009F2251">
        <w:rPr>
          <w:rFonts w:ascii="Aptos" w:hAnsi="Aptos" w:cs="Times New Roman"/>
          <w:sz w:val="25"/>
          <w:szCs w:val="25"/>
        </w:rPr>
        <w:t xml:space="preserve"> In Massachusetts</w:t>
      </w:r>
      <w:r w:rsidR="00E14C3E" w:rsidRPr="009F2251">
        <w:rPr>
          <w:rFonts w:ascii="Aptos" w:hAnsi="Aptos" w:cs="Times New Roman"/>
          <w:sz w:val="25"/>
          <w:szCs w:val="25"/>
        </w:rPr>
        <w:t>,</w:t>
      </w:r>
      <w:r w:rsidR="001B22E2" w:rsidRPr="009F2251">
        <w:rPr>
          <w:rFonts w:ascii="Aptos" w:hAnsi="Aptos" w:cs="Times New Roman"/>
          <w:sz w:val="25"/>
          <w:szCs w:val="25"/>
        </w:rPr>
        <w:t xml:space="preserve"> the BSEA is the administrative agency before which any impartial due process hearing regarding these issues takes place. The BSEA is an agency of limited jurisdiction; it has jurisdiction over requests for hearing filed by: </w:t>
      </w:r>
    </w:p>
    <w:p w14:paraId="35BD66D1" w14:textId="40243C90" w:rsidR="001B22E2" w:rsidRPr="009F2251" w:rsidRDefault="001B22E2" w:rsidP="001B22E2">
      <w:pPr>
        <w:spacing w:before="240"/>
        <w:ind w:left="1440"/>
        <w:rPr>
          <w:rFonts w:ascii="Aptos" w:hAnsi="Aptos" w:cs="Times New Roman"/>
          <w:sz w:val="25"/>
          <w:szCs w:val="25"/>
        </w:rPr>
      </w:pPr>
      <w:r w:rsidRPr="009F2251">
        <w:rPr>
          <w:rFonts w:ascii="Aptos" w:hAnsi="Aptos" w:cs="Times New Roman"/>
          <w:sz w:val="25"/>
          <w:szCs w:val="25"/>
        </w:rPr>
        <w:t>a parent or school district   . . . on any matter concerning the eligibility, evaluation, placement, IEP, provision of special education in accordance with state and federal law, or procedural protections of state and federal law for students with disabilities. A parent of a student with a disability may also request a hearing on any issue involving the denial of the free appropriate public education guaranteed by Section 504 . . .</w:t>
      </w:r>
      <w:r w:rsidR="00880E34">
        <w:rPr>
          <w:rFonts w:ascii="Aptos" w:hAnsi="Aptos" w:cs="Times New Roman"/>
          <w:sz w:val="25"/>
          <w:szCs w:val="25"/>
        </w:rPr>
        <w:t xml:space="preserve"> .</w:t>
      </w:r>
      <w:r w:rsidRPr="009F2251">
        <w:rPr>
          <w:rStyle w:val="FootnoteReference"/>
          <w:rFonts w:ascii="Aptos" w:hAnsi="Aptos" w:cs="Times New Roman"/>
          <w:sz w:val="25"/>
          <w:szCs w:val="25"/>
        </w:rPr>
        <w:footnoteReference w:id="11"/>
      </w:r>
    </w:p>
    <w:p w14:paraId="7F1DE3DE" w14:textId="698EB710" w:rsidR="00A13BDD" w:rsidRDefault="001B22E2" w:rsidP="00CB5986">
      <w:pPr>
        <w:spacing w:before="240" w:after="240"/>
        <w:rPr>
          <w:rFonts w:ascii="Aptos" w:hAnsi="Aptos" w:cs="Times New Roman"/>
          <w:sz w:val="25"/>
          <w:szCs w:val="25"/>
        </w:rPr>
      </w:pPr>
      <w:r w:rsidRPr="009F2251">
        <w:rPr>
          <w:rFonts w:ascii="Aptos" w:hAnsi="Aptos" w:cs="Times New Roman"/>
          <w:sz w:val="25"/>
          <w:szCs w:val="25"/>
        </w:rPr>
        <w:tab/>
      </w:r>
      <w:r w:rsidR="00A13BDD">
        <w:rPr>
          <w:rFonts w:ascii="Aptos" w:hAnsi="Aptos" w:cs="Times New Roman"/>
          <w:sz w:val="25"/>
          <w:szCs w:val="25"/>
        </w:rPr>
        <w:t xml:space="preserve">As BSEA Hearing Officers have recognized, “individual claims must be dismissed . . . if they do not arise under federal or state special education statutes, or applicable portions of </w:t>
      </w:r>
      <w:r w:rsidR="00A13BDD" w:rsidRPr="009F2251">
        <w:rPr>
          <w:rFonts w:ascii="Aptos" w:hAnsi="Aptos" w:cs="Times New Roman"/>
          <w:sz w:val="25"/>
          <w:szCs w:val="25"/>
        </w:rPr>
        <w:t>§</w:t>
      </w:r>
      <w:r w:rsidR="0096602E">
        <w:rPr>
          <w:rFonts w:ascii="Aptos" w:hAnsi="Aptos" w:cs="Times New Roman"/>
          <w:sz w:val="25"/>
          <w:szCs w:val="25"/>
        </w:rPr>
        <w:t xml:space="preserve"> </w:t>
      </w:r>
      <w:r w:rsidR="00A13BDD">
        <w:rPr>
          <w:rFonts w:ascii="Aptos" w:hAnsi="Aptos" w:cs="Times New Roman"/>
          <w:sz w:val="25"/>
          <w:szCs w:val="25"/>
        </w:rPr>
        <w:t>504 of the Rehabilitation Act. Unlike a court with general jurisdiction, the BSEA may consider only those claims for which enabling statutes and regulations expressly grant authority.”</w:t>
      </w:r>
      <w:r w:rsidR="00A13BDD">
        <w:rPr>
          <w:rStyle w:val="FootnoteReference"/>
          <w:rFonts w:ascii="Aptos" w:hAnsi="Aptos" w:cs="Times New Roman"/>
          <w:sz w:val="25"/>
          <w:szCs w:val="25"/>
        </w:rPr>
        <w:footnoteReference w:id="12"/>
      </w:r>
    </w:p>
    <w:p w14:paraId="666B9B7E" w14:textId="18120486" w:rsidR="007335B7" w:rsidRPr="009F2251" w:rsidRDefault="001B22E2" w:rsidP="007335B7">
      <w:pPr>
        <w:spacing w:after="240"/>
        <w:rPr>
          <w:rFonts w:ascii="Aptos" w:hAnsi="Aptos" w:cs="Times New Roman"/>
          <w:sz w:val="25"/>
          <w:szCs w:val="25"/>
        </w:rPr>
      </w:pPr>
      <w:r w:rsidRPr="009F2251">
        <w:rPr>
          <w:rFonts w:ascii="Aptos" w:hAnsi="Aptos" w:cs="Times New Roman"/>
          <w:sz w:val="25"/>
          <w:szCs w:val="25"/>
        </w:rPr>
        <w:tab/>
      </w:r>
      <w:r w:rsidR="0032713E">
        <w:rPr>
          <w:rFonts w:ascii="Aptos" w:hAnsi="Aptos" w:cs="Times New Roman"/>
          <w:sz w:val="25"/>
          <w:szCs w:val="25"/>
        </w:rPr>
        <w:t>It is within this legal framework that I</w:t>
      </w:r>
      <w:r w:rsidRPr="009F2251">
        <w:rPr>
          <w:rFonts w:ascii="Aptos" w:hAnsi="Aptos" w:cs="Times New Roman"/>
          <w:sz w:val="25"/>
          <w:szCs w:val="25"/>
        </w:rPr>
        <w:t xml:space="preserve"> now examine the allegations in this case.</w:t>
      </w:r>
    </w:p>
    <w:p w14:paraId="7262A4BC" w14:textId="0C69036A" w:rsidR="00B40C66" w:rsidRPr="009F2251" w:rsidRDefault="004D3210" w:rsidP="0039328A">
      <w:pPr>
        <w:pStyle w:val="ListParagraph"/>
        <w:numPr>
          <w:ilvl w:val="0"/>
          <w:numId w:val="14"/>
        </w:numPr>
        <w:spacing w:before="240"/>
        <w:rPr>
          <w:rFonts w:ascii="Aptos" w:hAnsi="Aptos" w:cs="Times New Roman"/>
          <w:sz w:val="25"/>
          <w:szCs w:val="25"/>
        </w:rPr>
      </w:pPr>
      <w:r w:rsidRPr="009F2251">
        <w:rPr>
          <w:rFonts w:ascii="Aptos" w:hAnsi="Aptos" w:cs="Times New Roman"/>
          <w:sz w:val="25"/>
          <w:szCs w:val="25"/>
        </w:rPr>
        <w:tab/>
      </w:r>
      <w:r w:rsidRPr="009F2251">
        <w:rPr>
          <w:rFonts w:ascii="Aptos" w:hAnsi="Aptos" w:cs="Times New Roman"/>
          <w:sz w:val="25"/>
          <w:szCs w:val="25"/>
          <w:u w:val="single"/>
        </w:rPr>
        <w:t>Application</w:t>
      </w:r>
      <w:r w:rsidR="00AF2BC8" w:rsidRPr="009F2251">
        <w:rPr>
          <w:rFonts w:ascii="Aptos" w:hAnsi="Aptos" w:cs="Times New Roman"/>
          <w:sz w:val="25"/>
          <w:szCs w:val="25"/>
          <w:u w:val="single"/>
        </w:rPr>
        <w:t xml:space="preserve"> of </w:t>
      </w:r>
      <w:r w:rsidR="00E313C1">
        <w:rPr>
          <w:rFonts w:ascii="Aptos" w:hAnsi="Aptos" w:cs="Times New Roman"/>
          <w:sz w:val="25"/>
          <w:szCs w:val="25"/>
          <w:u w:val="single"/>
        </w:rPr>
        <w:t xml:space="preserve">Legal </w:t>
      </w:r>
      <w:r w:rsidR="00AF2BC8" w:rsidRPr="009F2251">
        <w:rPr>
          <w:rFonts w:ascii="Aptos" w:hAnsi="Aptos" w:cs="Times New Roman"/>
          <w:sz w:val="25"/>
          <w:szCs w:val="25"/>
          <w:u w:val="single"/>
        </w:rPr>
        <w:t>Standards Permits Dismissal</w:t>
      </w:r>
      <w:r w:rsidR="00CB5986">
        <w:rPr>
          <w:rFonts w:ascii="Aptos" w:hAnsi="Aptos" w:cs="Times New Roman"/>
          <w:sz w:val="25"/>
          <w:szCs w:val="25"/>
          <w:u w:val="single"/>
        </w:rPr>
        <w:t xml:space="preserve"> of All Claims Raised in Parents’ Initial </w:t>
      </w:r>
      <w:r w:rsidR="00CB5986">
        <w:rPr>
          <w:rFonts w:ascii="Aptos" w:hAnsi="Aptos" w:cs="Times New Roman"/>
          <w:i/>
          <w:iCs/>
          <w:sz w:val="25"/>
          <w:szCs w:val="25"/>
          <w:u w:val="single"/>
        </w:rPr>
        <w:t>Hearing Request</w:t>
      </w:r>
    </w:p>
    <w:p w14:paraId="07C72E0C" w14:textId="77777777" w:rsidR="007335B7" w:rsidRPr="009F2251" w:rsidRDefault="007335B7" w:rsidP="0039328A">
      <w:pPr>
        <w:pStyle w:val="ListParagraph"/>
        <w:spacing w:before="240"/>
        <w:ind w:left="1080"/>
        <w:rPr>
          <w:rFonts w:ascii="Aptos" w:hAnsi="Aptos" w:cs="Times New Roman"/>
          <w:sz w:val="25"/>
          <w:szCs w:val="25"/>
        </w:rPr>
      </w:pPr>
    </w:p>
    <w:p w14:paraId="300E4FF6" w14:textId="3C8FFC4C" w:rsidR="000F49CF" w:rsidRPr="00C3159D" w:rsidRDefault="001F2736" w:rsidP="00C3159D">
      <w:pPr>
        <w:pStyle w:val="ListParagraph"/>
        <w:spacing w:before="240"/>
        <w:ind w:left="0" w:firstLine="720"/>
        <w:rPr>
          <w:rFonts w:ascii="Aptos" w:hAnsi="Aptos" w:cs="Times New Roman"/>
          <w:sz w:val="25"/>
          <w:szCs w:val="25"/>
        </w:rPr>
      </w:pPr>
      <w:r>
        <w:rPr>
          <w:rFonts w:ascii="Aptos" w:hAnsi="Aptos" w:cs="Times New Roman"/>
          <w:sz w:val="25"/>
          <w:szCs w:val="25"/>
        </w:rPr>
        <w:t xml:space="preserve">The Department </w:t>
      </w:r>
      <w:r w:rsidR="00B40C66" w:rsidRPr="009F2251">
        <w:rPr>
          <w:rFonts w:ascii="Aptos" w:hAnsi="Aptos" w:cs="Times New Roman"/>
          <w:sz w:val="25"/>
          <w:szCs w:val="25"/>
        </w:rPr>
        <w:t>a</w:t>
      </w:r>
      <w:r w:rsidR="004C1AE4">
        <w:rPr>
          <w:rFonts w:ascii="Aptos" w:hAnsi="Aptos" w:cs="Times New Roman"/>
          <w:sz w:val="25"/>
          <w:szCs w:val="25"/>
        </w:rPr>
        <w:t>sserts</w:t>
      </w:r>
      <w:r w:rsidR="00B40C66" w:rsidRPr="009F2251">
        <w:rPr>
          <w:rFonts w:ascii="Aptos" w:hAnsi="Aptos" w:cs="Times New Roman"/>
          <w:sz w:val="25"/>
          <w:szCs w:val="25"/>
        </w:rPr>
        <w:t xml:space="preserve"> that all claims </w:t>
      </w:r>
      <w:r>
        <w:rPr>
          <w:rFonts w:ascii="Aptos" w:hAnsi="Aptos" w:cs="Times New Roman"/>
          <w:sz w:val="25"/>
          <w:szCs w:val="25"/>
        </w:rPr>
        <w:t xml:space="preserve">set forth in Parents’ initial </w:t>
      </w:r>
      <w:r>
        <w:rPr>
          <w:rFonts w:ascii="Aptos" w:hAnsi="Aptos" w:cs="Times New Roman"/>
          <w:i/>
          <w:iCs/>
          <w:sz w:val="25"/>
          <w:szCs w:val="25"/>
        </w:rPr>
        <w:t xml:space="preserve">Hearing </w:t>
      </w:r>
      <w:r w:rsidRPr="001F2736">
        <w:rPr>
          <w:rFonts w:ascii="Aptos" w:hAnsi="Aptos" w:cs="Times New Roman"/>
          <w:i/>
          <w:iCs/>
          <w:sz w:val="25"/>
          <w:szCs w:val="25"/>
        </w:rPr>
        <w:t xml:space="preserve">Request </w:t>
      </w:r>
      <w:r w:rsidR="004C1AE4">
        <w:rPr>
          <w:rFonts w:ascii="Aptos" w:hAnsi="Aptos" w:cs="Times New Roman"/>
          <w:sz w:val="25"/>
          <w:szCs w:val="25"/>
        </w:rPr>
        <w:t>should be dismissed for failure to state a claim and for lack of jurisdiction. As DESE divides its arguments into two section</w:t>
      </w:r>
      <w:r w:rsidR="00E51379">
        <w:rPr>
          <w:rFonts w:ascii="Aptos" w:hAnsi="Aptos" w:cs="Times New Roman"/>
          <w:sz w:val="25"/>
          <w:szCs w:val="25"/>
        </w:rPr>
        <w:t>s</w:t>
      </w:r>
      <w:r w:rsidR="004C1AE4">
        <w:rPr>
          <w:rFonts w:ascii="Aptos" w:hAnsi="Aptos" w:cs="Times New Roman"/>
          <w:sz w:val="25"/>
          <w:szCs w:val="25"/>
        </w:rPr>
        <w:t>, I do the same.</w:t>
      </w:r>
    </w:p>
    <w:p w14:paraId="2DEBA170" w14:textId="1CF4855A" w:rsidR="00335C53" w:rsidRPr="00335C53" w:rsidRDefault="00335C53" w:rsidP="0039328A">
      <w:pPr>
        <w:pStyle w:val="NoSpacing"/>
        <w:numPr>
          <w:ilvl w:val="0"/>
          <w:numId w:val="19"/>
        </w:numPr>
        <w:spacing w:before="240"/>
        <w:rPr>
          <w:rFonts w:ascii="Aptos" w:hAnsi="Aptos" w:cs="Times New Roman"/>
          <w:i/>
          <w:sz w:val="25"/>
          <w:szCs w:val="25"/>
        </w:rPr>
      </w:pPr>
      <w:r>
        <w:rPr>
          <w:rFonts w:ascii="Aptos" w:hAnsi="Aptos" w:cs="Times New Roman"/>
          <w:i/>
          <w:sz w:val="25"/>
          <w:szCs w:val="25"/>
        </w:rPr>
        <w:t>Claim</w:t>
      </w:r>
      <w:r w:rsidR="00E51379">
        <w:rPr>
          <w:rFonts w:ascii="Aptos" w:hAnsi="Aptos" w:cs="Times New Roman"/>
          <w:i/>
          <w:sz w:val="25"/>
          <w:szCs w:val="25"/>
        </w:rPr>
        <w:t xml:space="preserve"> E</w:t>
      </w:r>
      <w:r w:rsidR="00C3159D">
        <w:rPr>
          <w:rFonts w:ascii="Aptos" w:hAnsi="Aptos" w:cs="Times New Roman"/>
          <w:i/>
          <w:sz w:val="25"/>
          <w:szCs w:val="25"/>
        </w:rPr>
        <w:t>, Parents’ Claim that the</w:t>
      </w:r>
      <w:r w:rsidR="00E51379">
        <w:rPr>
          <w:rFonts w:ascii="Aptos" w:hAnsi="Aptos" w:cs="Times New Roman"/>
          <w:i/>
          <w:sz w:val="25"/>
          <w:szCs w:val="25"/>
        </w:rPr>
        <w:t xml:space="preserve"> Department </w:t>
      </w:r>
      <w:r w:rsidR="00C3159D">
        <w:rPr>
          <w:rFonts w:ascii="Aptos" w:hAnsi="Aptos" w:cs="Times New Roman"/>
          <w:i/>
          <w:sz w:val="25"/>
          <w:szCs w:val="25"/>
        </w:rPr>
        <w:t>Failed to Ensure District Compliance, Is Not Within the Jurisdiction of the BSEA.</w:t>
      </w:r>
      <w:r w:rsidR="00E51379">
        <w:rPr>
          <w:rFonts w:ascii="Aptos" w:hAnsi="Aptos" w:cs="Times New Roman"/>
          <w:i/>
          <w:sz w:val="25"/>
          <w:szCs w:val="25"/>
        </w:rPr>
        <w:t xml:space="preserve"> </w:t>
      </w:r>
    </w:p>
    <w:p w14:paraId="6C47507D" w14:textId="4BE57958" w:rsidR="00C3159D" w:rsidRDefault="00C3159D" w:rsidP="00335C53">
      <w:pPr>
        <w:pStyle w:val="NoSpacing"/>
        <w:spacing w:before="240"/>
        <w:ind w:firstLine="720"/>
        <w:rPr>
          <w:rFonts w:ascii="Aptos" w:hAnsi="Aptos" w:cs="Times New Roman"/>
          <w:iCs/>
          <w:sz w:val="25"/>
          <w:szCs w:val="25"/>
        </w:rPr>
      </w:pPr>
      <w:r>
        <w:rPr>
          <w:rFonts w:ascii="Aptos" w:hAnsi="Aptos" w:cs="Times New Roman"/>
          <w:iCs/>
          <w:sz w:val="25"/>
          <w:szCs w:val="25"/>
        </w:rPr>
        <w:t>Parents allege that they repeatedly notified both DESE and Dudley-Charlton regarding</w:t>
      </w:r>
      <w:r w:rsidR="00160234">
        <w:rPr>
          <w:rFonts w:ascii="Aptos" w:hAnsi="Aptos" w:cs="Times New Roman"/>
          <w:iCs/>
          <w:sz w:val="25"/>
          <w:szCs w:val="25"/>
        </w:rPr>
        <w:t xml:space="preserve"> the District</w:t>
      </w:r>
      <w:r>
        <w:rPr>
          <w:rFonts w:ascii="Aptos" w:hAnsi="Aptos" w:cs="Times New Roman"/>
          <w:iCs/>
          <w:sz w:val="25"/>
          <w:szCs w:val="25"/>
        </w:rPr>
        <w:t xml:space="preserve">’s lack of qualified personnel; insufficient evaluation; the absence </w:t>
      </w:r>
      <w:r>
        <w:rPr>
          <w:rFonts w:ascii="Aptos" w:hAnsi="Aptos" w:cs="Times New Roman"/>
          <w:iCs/>
          <w:sz w:val="25"/>
          <w:szCs w:val="25"/>
        </w:rPr>
        <w:lastRenderedPageBreak/>
        <w:t>of speech or writing services; the lack of meaningful progress data; and the ineffective reading programs being used. Despite this, they assert, the Department “did not ensure the District corrected violations, provided [</w:t>
      </w:r>
      <w:r>
        <w:rPr>
          <w:rFonts w:ascii="Aptos" w:hAnsi="Aptos" w:cs="Times New Roman"/>
          <w:i/>
          <w:sz w:val="25"/>
          <w:szCs w:val="25"/>
        </w:rPr>
        <w:t>sic</w:t>
      </w:r>
      <w:r>
        <w:rPr>
          <w:rFonts w:ascii="Aptos" w:hAnsi="Aptos" w:cs="Times New Roman"/>
          <w:iCs/>
          <w:sz w:val="25"/>
          <w:szCs w:val="25"/>
        </w:rPr>
        <w:t>] oversight, or required [</w:t>
      </w:r>
      <w:r>
        <w:rPr>
          <w:rFonts w:ascii="Aptos" w:hAnsi="Aptos" w:cs="Times New Roman"/>
          <w:i/>
          <w:sz w:val="25"/>
          <w:szCs w:val="25"/>
        </w:rPr>
        <w:t>sic</w:t>
      </w:r>
      <w:r>
        <w:rPr>
          <w:rFonts w:ascii="Aptos" w:hAnsi="Aptos" w:cs="Times New Roman"/>
          <w:iCs/>
          <w:sz w:val="25"/>
          <w:szCs w:val="25"/>
        </w:rPr>
        <w:t>] compliant services” violating DESE’s “ultimate responsibility” under 20 U.S.C</w:t>
      </w:r>
      <w:r w:rsidRPr="00143141">
        <w:rPr>
          <w:rFonts w:ascii="Aptos" w:hAnsi="Aptos" w:cs="Times New Roman"/>
          <w:iCs/>
          <w:sz w:val="25"/>
          <w:szCs w:val="25"/>
        </w:rPr>
        <w:t xml:space="preserve">. </w:t>
      </w:r>
      <w:r w:rsidR="00143141" w:rsidRPr="00143141">
        <w:rPr>
          <w:rFonts w:ascii="Aptos" w:hAnsi="Aptos" w:cs="Times New Roman"/>
          <w:sz w:val="25"/>
          <w:szCs w:val="25"/>
        </w:rPr>
        <w:t>§</w:t>
      </w:r>
      <w:r w:rsidR="0096602E">
        <w:rPr>
          <w:rFonts w:ascii="Aptos" w:hAnsi="Aptos" w:cs="Times New Roman"/>
          <w:sz w:val="25"/>
          <w:szCs w:val="25"/>
        </w:rPr>
        <w:t xml:space="preserve"> </w:t>
      </w:r>
      <w:r w:rsidRPr="00143141">
        <w:rPr>
          <w:rFonts w:ascii="Aptos" w:hAnsi="Aptos" w:cs="Times New Roman"/>
          <w:iCs/>
          <w:sz w:val="25"/>
          <w:szCs w:val="25"/>
        </w:rPr>
        <w:t>1412</w:t>
      </w:r>
      <w:r>
        <w:rPr>
          <w:rFonts w:ascii="Aptos" w:hAnsi="Aptos" w:cs="Times New Roman"/>
          <w:iCs/>
          <w:sz w:val="25"/>
          <w:szCs w:val="25"/>
        </w:rPr>
        <w:t>(a)(11) to ensure district compliance with the IDEA.</w:t>
      </w:r>
      <w:r w:rsidR="00A116C7">
        <w:rPr>
          <w:rStyle w:val="FootnoteReference"/>
          <w:rFonts w:ascii="Aptos" w:hAnsi="Aptos" w:cs="Times New Roman"/>
          <w:iCs/>
          <w:sz w:val="25"/>
          <w:szCs w:val="25"/>
        </w:rPr>
        <w:footnoteReference w:id="13"/>
      </w:r>
    </w:p>
    <w:p w14:paraId="5FB7D496" w14:textId="7293F038" w:rsidR="00C3159D" w:rsidRDefault="00C3159D" w:rsidP="00335C53">
      <w:pPr>
        <w:pStyle w:val="NoSpacing"/>
        <w:spacing w:before="240"/>
        <w:ind w:firstLine="720"/>
        <w:rPr>
          <w:rFonts w:ascii="Aptos" w:hAnsi="Aptos" w:cs="Times New Roman"/>
          <w:iCs/>
          <w:sz w:val="25"/>
          <w:szCs w:val="25"/>
        </w:rPr>
      </w:pPr>
      <w:r>
        <w:rPr>
          <w:rFonts w:ascii="Aptos" w:hAnsi="Aptos" w:cs="Times New Roman"/>
          <w:iCs/>
          <w:sz w:val="25"/>
          <w:szCs w:val="25"/>
        </w:rPr>
        <w:t xml:space="preserve">In its </w:t>
      </w:r>
      <w:r>
        <w:rPr>
          <w:rFonts w:ascii="Aptos" w:hAnsi="Aptos" w:cs="Times New Roman"/>
          <w:i/>
          <w:sz w:val="25"/>
          <w:szCs w:val="25"/>
        </w:rPr>
        <w:t>Motion</w:t>
      </w:r>
      <w:r>
        <w:rPr>
          <w:rFonts w:ascii="Aptos" w:hAnsi="Aptos" w:cs="Times New Roman"/>
          <w:iCs/>
          <w:sz w:val="25"/>
          <w:szCs w:val="25"/>
        </w:rPr>
        <w:t xml:space="preserve">, DESE contends </w:t>
      </w:r>
      <w:r w:rsidR="00143141">
        <w:rPr>
          <w:rFonts w:ascii="Aptos" w:hAnsi="Aptos" w:cs="Times New Roman"/>
          <w:iCs/>
          <w:sz w:val="25"/>
          <w:szCs w:val="25"/>
        </w:rPr>
        <w:t xml:space="preserve">that Parents cannot assert this claim directly against the Department, as there is no private right of action within the IDEA that permits an individual to enforce a State’s supervisory </w:t>
      </w:r>
      <w:r w:rsidR="00ED4B55">
        <w:rPr>
          <w:rFonts w:ascii="Aptos" w:hAnsi="Aptos" w:cs="Times New Roman"/>
          <w:iCs/>
          <w:sz w:val="25"/>
          <w:szCs w:val="25"/>
        </w:rPr>
        <w:t xml:space="preserve">responsibilities </w:t>
      </w:r>
      <w:r w:rsidR="00143141">
        <w:rPr>
          <w:rFonts w:ascii="Aptos" w:hAnsi="Aptos" w:cs="Times New Roman"/>
          <w:iCs/>
          <w:sz w:val="25"/>
          <w:szCs w:val="25"/>
        </w:rPr>
        <w:t xml:space="preserve">over special education. The Department cites </w:t>
      </w:r>
      <w:r w:rsidR="005C7CD7">
        <w:rPr>
          <w:rFonts w:ascii="Aptos" w:hAnsi="Aptos" w:cs="Times New Roman"/>
          <w:iCs/>
          <w:sz w:val="25"/>
          <w:szCs w:val="25"/>
        </w:rPr>
        <w:t>to</w:t>
      </w:r>
      <w:r w:rsidR="00143141">
        <w:rPr>
          <w:rFonts w:ascii="Aptos" w:hAnsi="Aptos" w:cs="Times New Roman"/>
          <w:iCs/>
          <w:sz w:val="25"/>
          <w:szCs w:val="25"/>
        </w:rPr>
        <w:t xml:space="preserve"> a </w:t>
      </w:r>
      <w:r w:rsidR="00ED4B55">
        <w:rPr>
          <w:rFonts w:ascii="Aptos" w:hAnsi="Aptos" w:cs="Times New Roman"/>
          <w:iCs/>
          <w:sz w:val="25"/>
          <w:szCs w:val="25"/>
        </w:rPr>
        <w:t>ruling</w:t>
      </w:r>
      <w:r w:rsidR="00143141">
        <w:rPr>
          <w:rFonts w:ascii="Aptos" w:hAnsi="Aptos" w:cs="Times New Roman"/>
          <w:iCs/>
          <w:sz w:val="25"/>
          <w:szCs w:val="25"/>
        </w:rPr>
        <w:t xml:space="preserve"> from the federal District Court in the</w:t>
      </w:r>
      <w:r w:rsidR="00ED4B55">
        <w:rPr>
          <w:rFonts w:ascii="Aptos" w:hAnsi="Aptos" w:cs="Times New Roman"/>
          <w:iCs/>
          <w:sz w:val="25"/>
          <w:szCs w:val="25"/>
        </w:rPr>
        <w:t xml:space="preserve"> Southern</w:t>
      </w:r>
      <w:r w:rsidR="00143141">
        <w:rPr>
          <w:rFonts w:ascii="Aptos" w:hAnsi="Aptos" w:cs="Times New Roman"/>
          <w:iCs/>
          <w:sz w:val="25"/>
          <w:szCs w:val="25"/>
        </w:rPr>
        <w:t xml:space="preserve"> District of New York</w:t>
      </w:r>
      <w:r w:rsidR="00ED4B55">
        <w:rPr>
          <w:rFonts w:ascii="Aptos" w:hAnsi="Aptos" w:cs="Times New Roman"/>
          <w:iCs/>
          <w:sz w:val="25"/>
          <w:szCs w:val="25"/>
        </w:rPr>
        <w:t xml:space="preserve"> dismissing claims against a state agency</w:t>
      </w:r>
      <w:r w:rsidR="0096602E">
        <w:rPr>
          <w:rFonts w:ascii="Aptos" w:hAnsi="Aptos" w:cs="Times New Roman"/>
          <w:iCs/>
          <w:sz w:val="25"/>
          <w:szCs w:val="25"/>
        </w:rPr>
        <w:t xml:space="preserve">, as the IDEA does not “authorize[] claims against a state agency </w:t>
      </w:r>
      <w:r w:rsidR="00ED4B55">
        <w:rPr>
          <w:rFonts w:ascii="Aptos" w:hAnsi="Aptos" w:cs="Times New Roman"/>
          <w:iCs/>
          <w:sz w:val="25"/>
          <w:szCs w:val="25"/>
        </w:rPr>
        <w:t>rooted in the</w:t>
      </w:r>
      <w:r w:rsidR="0096602E">
        <w:rPr>
          <w:rFonts w:ascii="Aptos" w:hAnsi="Aptos" w:cs="Times New Roman"/>
          <w:iCs/>
          <w:sz w:val="25"/>
          <w:szCs w:val="25"/>
        </w:rPr>
        <w:t xml:space="preserve"> State’s general supervisory role under the IDEA.”</w:t>
      </w:r>
      <w:r w:rsidR="0096602E">
        <w:rPr>
          <w:rStyle w:val="FootnoteReference"/>
          <w:rFonts w:ascii="Aptos" w:hAnsi="Aptos" w:cs="Times New Roman"/>
          <w:iCs/>
          <w:sz w:val="25"/>
          <w:szCs w:val="25"/>
        </w:rPr>
        <w:footnoteReference w:id="14"/>
      </w:r>
      <w:r w:rsidR="00ED4B55">
        <w:rPr>
          <w:rFonts w:ascii="Aptos" w:hAnsi="Aptos" w:cs="Times New Roman"/>
          <w:iCs/>
          <w:sz w:val="25"/>
          <w:szCs w:val="25"/>
        </w:rPr>
        <w:t xml:space="preserve"> </w:t>
      </w:r>
      <w:r w:rsidR="00160234">
        <w:rPr>
          <w:rFonts w:ascii="Aptos" w:hAnsi="Aptos" w:cs="Times New Roman"/>
          <w:iCs/>
          <w:sz w:val="25"/>
          <w:szCs w:val="25"/>
        </w:rPr>
        <w:t>The Department also cites to a 2023 Ruling where the</w:t>
      </w:r>
      <w:r w:rsidR="0096602E">
        <w:rPr>
          <w:rFonts w:ascii="Aptos" w:hAnsi="Aptos" w:cs="Times New Roman"/>
          <w:iCs/>
          <w:sz w:val="25"/>
          <w:szCs w:val="25"/>
        </w:rPr>
        <w:t xml:space="preserve"> </w:t>
      </w:r>
      <w:r w:rsidR="00143141">
        <w:rPr>
          <w:rFonts w:ascii="Aptos" w:hAnsi="Aptos" w:cs="Times New Roman"/>
          <w:iCs/>
          <w:sz w:val="25"/>
          <w:szCs w:val="25"/>
        </w:rPr>
        <w:t>BSEA</w:t>
      </w:r>
      <w:r w:rsidR="0096602E">
        <w:rPr>
          <w:rFonts w:ascii="Aptos" w:hAnsi="Aptos" w:cs="Times New Roman"/>
          <w:iCs/>
          <w:sz w:val="25"/>
          <w:szCs w:val="25"/>
        </w:rPr>
        <w:t xml:space="preserve"> considered this question and ruled the same way, concluding that the BSEA lacks jurisdiction over claims alleging violations of DESE’s general supervision responsibilities because Section 1415 of the IDEA does not authorize a private right of action for violations of Section 1412.</w:t>
      </w:r>
      <w:r w:rsidR="00401A40">
        <w:rPr>
          <w:rStyle w:val="FootnoteReference"/>
          <w:rFonts w:ascii="Aptos" w:hAnsi="Aptos" w:cs="Times New Roman"/>
          <w:iCs/>
          <w:sz w:val="25"/>
          <w:szCs w:val="25"/>
        </w:rPr>
        <w:footnoteReference w:id="15"/>
      </w:r>
    </w:p>
    <w:p w14:paraId="491D3744" w14:textId="5D805EA9" w:rsidR="00F0022F" w:rsidRPr="00F0022F" w:rsidRDefault="00F0022F" w:rsidP="00335C53">
      <w:pPr>
        <w:pStyle w:val="NoSpacing"/>
        <w:spacing w:before="240"/>
        <w:ind w:firstLine="720"/>
        <w:rPr>
          <w:rFonts w:ascii="Aptos" w:hAnsi="Aptos" w:cs="Times New Roman"/>
          <w:iCs/>
          <w:sz w:val="25"/>
          <w:szCs w:val="25"/>
        </w:rPr>
      </w:pPr>
      <w:r>
        <w:rPr>
          <w:rFonts w:ascii="Aptos" w:hAnsi="Aptos" w:cs="Times New Roman"/>
          <w:iCs/>
          <w:sz w:val="25"/>
          <w:szCs w:val="25"/>
        </w:rPr>
        <w:t xml:space="preserve">In their </w:t>
      </w:r>
      <w:r>
        <w:rPr>
          <w:rFonts w:ascii="Aptos" w:hAnsi="Aptos" w:cs="Times New Roman"/>
          <w:i/>
          <w:sz w:val="25"/>
          <w:szCs w:val="25"/>
        </w:rPr>
        <w:t>Rebuttal</w:t>
      </w:r>
      <w:r>
        <w:rPr>
          <w:rFonts w:ascii="Aptos" w:hAnsi="Aptos" w:cs="Times New Roman"/>
          <w:iCs/>
          <w:sz w:val="25"/>
          <w:szCs w:val="25"/>
        </w:rPr>
        <w:t>, Parents argue that DESE’s supervisory responsibilities under IDEA “are actionable.” In support of their assertion, Parents cite to</w:t>
      </w:r>
      <w:r w:rsidR="00160234">
        <w:rPr>
          <w:rFonts w:ascii="Aptos" w:hAnsi="Aptos" w:cs="Times New Roman"/>
          <w:iCs/>
          <w:sz w:val="25"/>
          <w:szCs w:val="25"/>
        </w:rPr>
        <w:t xml:space="preserve"> (and attach as an exhibit)</w:t>
      </w:r>
      <w:r>
        <w:rPr>
          <w:rFonts w:ascii="Aptos" w:hAnsi="Aptos" w:cs="Times New Roman"/>
          <w:iCs/>
          <w:sz w:val="25"/>
          <w:szCs w:val="25"/>
        </w:rPr>
        <w:t xml:space="preserve"> a Report issued by the United States Department of Education’s Office of Special Education Programs (OSEP), issued January 16, 2025, detailing instances of noncompliance by DESE. They contend that because “Parents’ claims arise in the context of </w:t>
      </w:r>
      <w:r>
        <w:rPr>
          <w:rFonts w:ascii="Aptos" w:hAnsi="Aptos" w:cs="Times New Roman"/>
          <w:i/>
          <w:sz w:val="25"/>
          <w:szCs w:val="25"/>
        </w:rPr>
        <w:t>demonstrated and ongoing systemic noncompliance</w:t>
      </w:r>
      <w:r>
        <w:rPr>
          <w:rFonts w:ascii="Aptos" w:hAnsi="Aptos" w:cs="Times New Roman"/>
          <w:iCs/>
          <w:sz w:val="25"/>
          <w:szCs w:val="25"/>
        </w:rPr>
        <w:t xml:space="preserve"> by the Department,” Parents’ claims are “actionable . . . based on established federal findings” (emphasis in the original). </w:t>
      </w:r>
      <w:r w:rsidR="00E313C1">
        <w:rPr>
          <w:rFonts w:ascii="Aptos" w:hAnsi="Aptos" w:cs="Times New Roman"/>
          <w:iCs/>
          <w:sz w:val="25"/>
          <w:szCs w:val="25"/>
        </w:rPr>
        <w:t>Moreover</w:t>
      </w:r>
      <w:r w:rsidR="001240B7">
        <w:rPr>
          <w:rFonts w:ascii="Aptos" w:hAnsi="Aptos" w:cs="Times New Roman"/>
          <w:iCs/>
          <w:sz w:val="25"/>
          <w:szCs w:val="25"/>
        </w:rPr>
        <w:t>,</w:t>
      </w:r>
      <w:r w:rsidR="00E313C1">
        <w:rPr>
          <w:rFonts w:ascii="Aptos" w:hAnsi="Aptos" w:cs="Times New Roman"/>
          <w:iCs/>
          <w:sz w:val="25"/>
          <w:szCs w:val="25"/>
        </w:rPr>
        <w:t xml:space="preserve"> a</w:t>
      </w:r>
      <w:r>
        <w:rPr>
          <w:rFonts w:ascii="Aptos" w:hAnsi="Aptos" w:cs="Times New Roman"/>
          <w:iCs/>
          <w:sz w:val="25"/>
          <w:szCs w:val="25"/>
        </w:rPr>
        <w:t>ccording to Parents,</w:t>
      </w:r>
      <w:r w:rsidR="00A116C7">
        <w:rPr>
          <w:rFonts w:ascii="Aptos" w:hAnsi="Aptos" w:cs="Times New Roman"/>
          <w:iCs/>
          <w:sz w:val="25"/>
          <w:szCs w:val="25"/>
        </w:rPr>
        <w:t xml:space="preserve"> the Department is a necessary </w:t>
      </w:r>
      <w:r w:rsidR="00160234">
        <w:rPr>
          <w:rFonts w:ascii="Aptos" w:hAnsi="Aptos" w:cs="Times New Roman"/>
          <w:iCs/>
          <w:sz w:val="25"/>
          <w:szCs w:val="25"/>
        </w:rPr>
        <w:t>p</w:t>
      </w:r>
      <w:r w:rsidR="00A116C7">
        <w:rPr>
          <w:rFonts w:ascii="Aptos" w:hAnsi="Aptos" w:cs="Times New Roman"/>
          <w:iCs/>
          <w:sz w:val="25"/>
          <w:szCs w:val="25"/>
        </w:rPr>
        <w:t>arty for effective relief, and the BSEA has jurisdiction “to address systemic noncompliance directly impacting FAPE.”</w:t>
      </w:r>
    </w:p>
    <w:p w14:paraId="46176806" w14:textId="128C8914" w:rsidR="00A116C7" w:rsidRDefault="00F0022F" w:rsidP="00A116C7">
      <w:pPr>
        <w:pStyle w:val="NoSpacing"/>
        <w:spacing w:before="240"/>
        <w:ind w:firstLine="720"/>
        <w:rPr>
          <w:rFonts w:ascii="Aptos" w:hAnsi="Aptos" w:cs="Times New Roman"/>
          <w:iCs/>
          <w:sz w:val="25"/>
          <w:szCs w:val="25"/>
        </w:rPr>
      </w:pPr>
      <w:r>
        <w:rPr>
          <w:rFonts w:ascii="Aptos" w:hAnsi="Aptos" w:cs="Times New Roman"/>
          <w:iCs/>
          <w:sz w:val="25"/>
          <w:szCs w:val="25"/>
        </w:rPr>
        <w:t xml:space="preserve">To evaluate DESE’s </w:t>
      </w:r>
      <w:r>
        <w:rPr>
          <w:rFonts w:ascii="Aptos" w:hAnsi="Aptos" w:cs="Times New Roman"/>
          <w:i/>
          <w:sz w:val="25"/>
          <w:szCs w:val="25"/>
        </w:rPr>
        <w:t xml:space="preserve">Motion </w:t>
      </w:r>
      <w:r>
        <w:rPr>
          <w:rFonts w:ascii="Aptos" w:hAnsi="Aptos" w:cs="Times New Roman"/>
          <w:iCs/>
          <w:sz w:val="25"/>
          <w:szCs w:val="25"/>
        </w:rPr>
        <w:t xml:space="preserve">as to this claim, I must take as true Parents’ factual allegations, as well as any inferences that may be drawn therefrom in Parents’ favor, </w:t>
      </w:r>
      <w:r>
        <w:rPr>
          <w:rFonts w:ascii="Aptos" w:hAnsi="Aptos" w:cs="Times New Roman"/>
          <w:iCs/>
          <w:sz w:val="25"/>
          <w:szCs w:val="25"/>
        </w:rPr>
        <w:lastRenderedPageBreak/>
        <w:t>and I must find that they plausibly suggest an entitlement to relief.</w:t>
      </w:r>
      <w:r>
        <w:rPr>
          <w:rStyle w:val="FootnoteReference"/>
          <w:rFonts w:ascii="Aptos" w:hAnsi="Aptos" w:cs="Times New Roman"/>
          <w:iCs/>
          <w:sz w:val="25"/>
          <w:szCs w:val="25"/>
        </w:rPr>
        <w:footnoteReference w:id="16"/>
      </w:r>
      <w:r>
        <w:rPr>
          <w:rFonts w:ascii="Aptos" w:hAnsi="Aptos" w:cs="Times New Roman"/>
          <w:iCs/>
          <w:sz w:val="25"/>
          <w:szCs w:val="25"/>
        </w:rPr>
        <w:t xml:space="preserve"> </w:t>
      </w:r>
      <w:r w:rsidR="00A116C7">
        <w:rPr>
          <w:rFonts w:ascii="Aptos" w:hAnsi="Aptos" w:cs="Times New Roman"/>
          <w:iCs/>
          <w:sz w:val="25"/>
          <w:szCs w:val="25"/>
        </w:rPr>
        <w:t>As such, I take as true as true Parents’ allegations that they alerted the Department to Dudley-Charlton’s violations of Frank’s right</w:t>
      </w:r>
      <w:r w:rsidR="00160234">
        <w:rPr>
          <w:rFonts w:ascii="Aptos" w:hAnsi="Aptos" w:cs="Times New Roman"/>
          <w:iCs/>
          <w:sz w:val="25"/>
          <w:szCs w:val="25"/>
        </w:rPr>
        <w:t xml:space="preserve"> to a </w:t>
      </w:r>
      <w:r w:rsidR="00A116C7">
        <w:rPr>
          <w:rFonts w:ascii="Aptos" w:hAnsi="Aptos" w:cs="Times New Roman"/>
          <w:iCs/>
          <w:sz w:val="25"/>
          <w:szCs w:val="25"/>
        </w:rPr>
        <w:t>FAPE and that DESE failed to act in accordance with its supervisory responsibility over school districts’ provision of special education services to eligible students.</w:t>
      </w:r>
    </w:p>
    <w:p w14:paraId="439EDFC1" w14:textId="1455F625" w:rsidR="00C3159D" w:rsidRPr="002E76B5" w:rsidRDefault="009D3D58" w:rsidP="00FB4B27">
      <w:pPr>
        <w:pStyle w:val="NoSpacing"/>
        <w:spacing w:before="240"/>
        <w:ind w:firstLine="720"/>
        <w:rPr>
          <w:rFonts w:ascii="Aptos" w:hAnsi="Aptos" w:cs="Times New Roman"/>
          <w:iCs/>
          <w:sz w:val="25"/>
          <w:szCs w:val="25"/>
        </w:rPr>
      </w:pPr>
      <w:r>
        <w:rPr>
          <w:rFonts w:ascii="Aptos" w:hAnsi="Aptos" w:cs="Times New Roman"/>
          <w:iCs/>
          <w:sz w:val="25"/>
          <w:szCs w:val="25"/>
        </w:rPr>
        <w:t>These facts</w:t>
      </w:r>
      <w:r w:rsidR="00CA5724">
        <w:rPr>
          <w:rFonts w:ascii="Aptos" w:hAnsi="Aptos" w:cs="Times New Roman"/>
          <w:iCs/>
          <w:sz w:val="25"/>
          <w:szCs w:val="25"/>
        </w:rPr>
        <w:t xml:space="preserve">, however, </w:t>
      </w:r>
      <w:r>
        <w:rPr>
          <w:rFonts w:ascii="Aptos" w:hAnsi="Aptos" w:cs="Times New Roman"/>
          <w:iCs/>
          <w:sz w:val="25"/>
          <w:szCs w:val="25"/>
        </w:rPr>
        <w:t>taken as true, do</w:t>
      </w:r>
      <w:r w:rsidR="00CA5724">
        <w:rPr>
          <w:rFonts w:ascii="Aptos" w:hAnsi="Aptos" w:cs="Times New Roman"/>
          <w:iCs/>
          <w:sz w:val="25"/>
          <w:szCs w:val="25"/>
        </w:rPr>
        <w:t xml:space="preserve"> not suggest an entitlement to relief for which</w:t>
      </w:r>
      <w:r w:rsidR="00160234">
        <w:rPr>
          <w:rFonts w:ascii="Aptos" w:hAnsi="Aptos" w:cs="Times New Roman"/>
          <w:iCs/>
          <w:sz w:val="25"/>
          <w:szCs w:val="25"/>
        </w:rPr>
        <w:t xml:space="preserve"> the BSEA may find</w:t>
      </w:r>
      <w:r w:rsidR="00CA5724">
        <w:rPr>
          <w:rFonts w:ascii="Aptos" w:hAnsi="Aptos" w:cs="Times New Roman"/>
          <w:iCs/>
          <w:sz w:val="25"/>
          <w:szCs w:val="25"/>
        </w:rPr>
        <w:t xml:space="preserve"> DES</w:t>
      </w:r>
      <w:r w:rsidR="00160234">
        <w:rPr>
          <w:rFonts w:ascii="Aptos" w:hAnsi="Aptos" w:cs="Times New Roman"/>
          <w:iCs/>
          <w:sz w:val="25"/>
          <w:szCs w:val="25"/>
        </w:rPr>
        <w:t>E</w:t>
      </w:r>
      <w:r w:rsidR="00CA5724">
        <w:rPr>
          <w:rFonts w:ascii="Aptos" w:hAnsi="Aptos" w:cs="Times New Roman"/>
          <w:iCs/>
          <w:sz w:val="25"/>
          <w:szCs w:val="25"/>
        </w:rPr>
        <w:t xml:space="preserve"> liable,</w:t>
      </w:r>
      <w:r w:rsidR="00CA5724">
        <w:rPr>
          <w:rStyle w:val="FootnoteReference"/>
          <w:rFonts w:ascii="Aptos" w:hAnsi="Aptos" w:cs="Times New Roman"/>
          <w:iCs/>
          <w:sz w:val="25"/>
          <w:szCs w:val="25"/>
        </w:rPr>
        <w:footnoteReference w:id="17"/>
      </w:r>
      <w:r w:rsidR="00CA5724">
        <w:rPr>
          <w:rFonts w:ascii="Aptos" w:hAnsi="Aptos" w:cs="Times New Roman"/>
          <w:iCs/>
          <w:sz w:val="25"/>
          <w:szCs w:val="25"/>
        </w:rPr>
        <w:t xml:space="preserve"> because the responsibility for developing an</w:t>
      </w:r>
      <w:r w:rsidR="00602968">
        <w:rPr>
          <w:rFonts w:ascii="Aptos" w:hAnsi="Aptos" w:cs="Times New Roman"/>
          <w:iCs/>
          <w:sz w:val="25"/>
          <w:szCs w:val="25"/>
        </w:rPr>
        <w:t>d</w:t>
      </w:r>
      <w:r w:rsidR="00CA5724">
        <w:rPr>
          <w:rFonts w:ascii="Aptos" w:hAnsi="Aptos" w:cs="Times New Roman"/>
          <w:iCs/>
          <w:sz w:val="25"/>
          <w:szCs w:val="25"/>
        </w:rPr>
        <w:t xml:space="preserve"> implementing IEPs “is placed upon local school districts and not the state,”</w:t>
      </w:r>
      <w:r w:rsidR="00CA5724">
        <w:rPr>
          <w:rStyle w:val="FootnoteReference"/>
          <w:rFonts w:ascii="Aptos" w:hAnsi="Aptos" w:cs="Times New Roman"/>
          <w:iCs/>
          <w:sz w:val="25"/>
          <w:szCs w:val="25"/>
        </w:rPr>
        <w:footnoteReference w:id="18"/>
      </w:r>
      <w:r w:rsidR="00CA5724">
        <w:rPr>
          <w:rFonts w:ascii="Aptos" w:hAnsi="Aptos" w:cs="Times New Roman"/>
          <w:iCs/>
          <w:sz w:val="25"/>
          <w:szCs w:val="25"/>
        </w:rPr>
        <w:t xml:space="preserve"> and because there is no private right of action </w:t>
      </w:r>
      <w:r>
        <w:rPr>
          <w:rFonts w:ascii="Aptos" w:hAnsi="Aptos" w:cs="Times New Roman"/>
          <w:iCs/>
          <w:sz w:val="25"/>
          <w:szCs w:val="25"/>
        </w:rPr>
        <w:t>for violations of the DESE’s supervisory responsibilities under the IDEA</w:t>
      </w:r>
      <w:r w:rsidR="00160234">
        <w:rPr>
          <w:rFonts w:ascii="Aptos" w:hAnsi="Aptos" w:cs="Times New Roman"/>
          <w:iCs/>
          <w:sz w:val="25"/>
          <w:szCs w:val="25"/>
        </w:rPr>
        <w:t>.</w:t>
      </w:r>
      <w:r>
        <w:rPr>
          <w:rStyle w:val="FootnoteReference"/>
          <w:rFonts w:ascii="Aptos" w:hAnsi="Aptos" w:cs="Times New Roman"/>
          <w:iCs/>
          <w:sz w:val="25"/>
          <w:szCs w:val="25"/>
        </w:rPr>
        <w:footnoteReference w:id="19"/>
      </w:r>
      <w:r w:rsidR="00160234">
        <w:rPr>
          <w:rFonts w:ascii="Aptos" w:hAnsi="Aptos" w:cs="Times New Roman"/>
          <w:iCs/>
          <w:sz w:val="25"/>
          <w:szCs w:val="25"/>
        </w:rPr>
        <w:t xml:space="preserve"> For these reasons, to the extent Parents wish to pursue claims against the Department for failure to supervise Dudley-Charlton, such claims do not arise under federal or state special education statutes that are within the jurisdiction of the BSEA.</w:t>
      </w:r>
      <w:r w:rsidR="00160234">
        <w:rPr>
          <w:rStyle w:val="FootnoteReference"/>
          <w:rFonts w:ascii="Aptos" w:hAnsi="Aptos" w:cs="Times New Roman"/>
          <w:iCs/>
          <w:sz w:val="25"/>
          <w:szCs w:val="25"/>
        </w:rPr>
        <w:footnoteReference w:id="20"/>
      </w:r>
    </w:p>
    <w:p w14:paraId="7779A2B5" w14:textId="7E9FFD2B" w:rsidR="008853F7" w:rsidRPr="00FB4B27" w:rsidRDefault="00E51379" w:rsidP="00FB4B27">
      <w:pPr>
        <w:pStyle w:val="NoSpacing"/>
        <w:numPr>
          <w:ilvl w:val="0"/>
          <w:numId w:val="19"/>
        </w:numPr>
        <w:spacing w:before="240"/>
        <w:rPr>
          <w:rFonts w:ascii="Aptos" w:hAnsi="Aptos" w:cs="Times New Roman"/>
          <w:i/>
          <w:sz w:val="25"/>
          <w:szCs w:val="25"/>
        </w:rPr>
      </w:pPr>
      <w:r w:rsidRPr="00FB4B27">
        <w:rPr>
          <w:rFonts w:ascii="Aptos" w:hAnsi="Aptos" w:cs="Times New Roman"/>
          <w:i/>
          <w:sz w:val="25"/>
          <w:szCs w:val="25"/>
        </w:rPr>
        <w:t>Claims A through D</w:t>
      </w:r>
      <w:r w:rsidR="00C3159D" w:rsidRPr="00FB4B27">
        <w:rPr>
          <w:rFonts w:ascii="Aptos" w:hAnsi="Aptos" w:cs="Times New Roman"/>
          <w:i/>
          <w:sz w:val="25"/>
          <w:szCs w:val="25"/>
        </w:rPr>
        <w:t xml:space="preserve">, Alleging Actions and </w:t>
      </w:r>
      <w:r w:rsidR="00160234">
        <w:rPr>
          <w:rFonts w:ascii="Aptos" w:hAnsi="Aptos" w:cs="Times New Roman"/>
          <w:i/>
          <w:sz w:val="25"/>
          <w:szCs w:val="25"/>
        </w:rPr>
        <w:t>Ina</w:t>
      </w:r>
      <w:r w:rsidR="00C3159D" w:rsidRPr="00FB4B27">
        <w:rPr>
          <w:rFonts w:ascii="Aptos" w:hAnsi="Aptos" w:cs="Times New Roman"/>
          <w:i/>
          <w:sz w:val="25"/>
          <w:szCs w:val="25"/>
        </w:rPr>
        <w:t>ctions by Dudley-Charlton, Fail to State a Claim Against the Department</w:t>
      </w:r>
    </w:p>
    <w:p w14:paraId="0D7A4F1B" w14:textId="59AD6655" w:rsidR="0002489B" w:rsidRDefault="002E76B5" w:rsidP="0002489B">
      <w:pPr>
        <w:pStyle w:val="NoSpacing"/>
        <w:spacing w:before="240"/>
        <w:ind w:firstLine="720"/>
        <w:rPr>
          <w:rFonts w:ascii="Aptos" w:hAnsi="Aptos" w:cs="Times New Roman"/>
          <w:iCs/>
          <w:sz w:val="25"/>
          <w:szCs w:val="25"/>
        </w:rPr>
      </w:pPr>
      <w:r>
        <w:rPr>
          <w:rFonts w:ascii="Aptos" w:hAnsi="Aptos" w:cs="Times New Roman"/>
          <w:iCs/>
          <w:sz w:val="25"/>
          <w:szCs w:val="25"/>
        </w:rPr>
        <w:t>The remainder of Parents’ claims</w:t>
      </w:r>
      <w:r w:rsidR="00C3159D">
        <w:rPr>
          <w:rFonts w:ascii="Aptos" w:hAnsi="Aptos" w:cs="Times New Roman"/>
          <w:iCs/>
          <w:sz w:val="25"/>
          <w:szCs w:val="25"/>
        </w:rPr>
        <w:t xml:space="preserve"> allege </w:t>
      </w:r>
      <w:r>
        <w:rPr>
          <w:rFonts w:ascii="Aptos" w:hAnsi="Aptos" w:cs="Times New Roman"/>
          <w:iCs/>
          <w:sz w:val="25"/>
          <w:szCs w:val="25"/>
        </w:rPr>
        <w:t>that Dudley-Charlton</w:t>
      </w:r>
      <w:r w:rsidR="00C3159D">
        <w:rPr>
          <w:rFonts w:ascii="Aptos" w:hAnsi="Aptos" w:cs="Times New Roman"/>
          <w:iCs/>
          <w:sz w:val="25"/>
          <w:szCs w:val="25"/>
        </w:rPr>
        <w:t xml:space="preserve">: (A) </w:t>
      </w:r>
      <w:r>
        <w:rPr>
          <w:rFonts w:ascii="Aptos" w:hAnsi="Aptos" w:cs="Times New Roman"/>
          <w:iCs/>
          <w:sz w:val="25"/>
          <w:szCs w:val="25"/>
        </w:rPr>
        <w:t>failed to provide evidence-based, individualized reading instruction for Frank; (B) failed to evaluate Frank in all areas of suspected disability; (C) failed to provide speech/language and writing services; and (D) predetermined services and placement, all in violation of the IDEA</w:t>
      </w:r>
      <w:r w:rsidR="00602968">
        <w:rPr>
          <w:rFonts w:ascii="Aptos" w:hAnsi="Aptos" w:cs="Times New Roman"/>
          <w:iCs/>
          <w:sz w:val="25"/>
          <w:szCs w:val="25"/>
        </w:rPr>
        <w:t>; and that these actions and inactions</w:t>
      </w:r>
      <w:r>
        <w:rPr>
          <w:rFonts w:ascii="Aptos" w:hAnsi="Aptos" w:cs="Times New Roman"/>
          <w:iCs/>
          <w:sz w:val="25"/>
          <w:szCs w:val="25"/>
        </w:rPr>
        <w:t xml:space="preserve"> (F) caus</w:t>
      </w:r>
      <w:r w:rsidR="00602968">
        <w:rPr>
          <w:rFonts w:ascii="Aptos" w:hAnsi="Aptos" w:cs="Times New Roman"/>
          <w:iCs/>
          <w:sz w:val="25"/>
          <w:szCs w:val="25"/>
        </w:rPr>
        <w:t>ed</w:t>
      </w:r>
      <w:r>
        <w:rPr>
          <w:rFonts w:ascii="Aptos" w:hAnsi="Aptos" w:cs="Times New Roman"/>
          <w:iCs/>
          <w:sz w:val="25"/>
          <w:szCs w:val="25"/>
        </w:rPr>
        <w:t xml:space="preserve"> harm to Frank.</w:t>
      </w:r>
    </w:p>
    <w:p w14:paraId="2DC7CDB0" w14:textId="3BBF4009" w:rsidR="00FB4B27" w:rsidRDefault="00FB4B27" w:rsidP="0002489B">
      <w:pPr>
        <w:pStyle w:val="NoSpacing"/>
        <w:spacing w:before="240"/>
        <w:ind w:firstLine="720"/>
        <w:rPr>
          <w:rFonts w:ascii="Aptos" w:hAnsi="Aptos" w:cs="Times New Roman"/>
          <w:iCs/>
          <w:sz w:val="25"/>
          <w:szCs w:val="25"/>
        </w:rPr>
      </w:pPr>
      <w:r>
        <w:rPr>
          <w:rFonts w:ascii="Aptos" w:hAnsi="Aptos" w:cs="Times New Roman"/>
          <w:iCs/>
          <w:sz w:val="25"/>
          <w:szCs w:val="25"/>
        </w:rPr>
        <w:t xml:space="preserve">In its </w:t>
      </w:r>
      <w:r w:rsidR="00602968">
        <w:rPr>
          <w:rFonts w:ascii="Aptos" w:hAnsi="Aptos" w:cs="Times New Roman"/>
          <w:i/>
          <w:sz w:val="25"/>
          <w:szCs w:val="25"/>
        </w:rPr>
        <w:t>Motion</w:t>
      </w:r>
      <w:r>
        <w:rPr>
          <w:rFonts w:ascii="Aptos" w:hAnsi="Aptos" w:cs="Times New Roman"/>
          <w:iCs/>
          <w:sz w:val="25"/>
          <w:szCs w:val="25"/>
        </w:rPr>
        <w:t>, t</w:t>
      </w:r>
      <w:r w:rsidRPr="00FB4B27">
        <w:rPr>
          <w:rFonts w:ascii="Aptos" w:hAnsi="Aptos" w:cs="Times New Roman"/>
          <w:iCs/>
          <w:sz w:val="25"/>
          <w:szCs w:val="25"/>
        </w:rPr>
        <w:t>he</w:t>
      </w:r>
      <w:r>
        <w:rPr>
          <w:rFonts w:ascii="Aptos" w:hAnsi="Aptos" w:cs="Times New Roman"/>
          <w:iCs/>
          <w:sz w:val="25"/>
          <w:szCs w:val="25"/>
        </w:rPr>
        <w:t xml:space="preserve"> Department contends that in this portion of the Hearing Request, Parents do not identify any action or inaction taken by the Department and, as such, Claims A, B, C, and D</w:t>
      </w:r>
      <w:r w:rsidR="00196107">
        <w:rPr>
          <w:rFonts w:ascii="Aptos" w:hAnsi="Aptos" w:cs="Times New Roman"/>
          <w:iCs/>
          <w:sz w:val="25"/>
          <w:szCs w:val="25"/>
        </w:rPr>
        <w:t xml:space="preserve"> each</w:t>
      </w:r>
      <w:r>
        <w:rPr>
          <w:rFonts w:ascii="Aptos" w:hAnsi="Aptos" w:cs="Times New Roman"/>
          <w:iCs/>
          <w:sz w:val="25"/>
          <w:szCs w:val="25"/>
        </w:rPr>
        <w:t xml:space="preserve"> fail to state a claim for relief against DESE. To the extent Parents imply that DESE may be held liable on these claims based on the Department’s supervisory responsibility, DESE asserts, these claims should be dismissed for the reasons applicable to Claim E.</w:t>
      </w:r>
    </w:p>
    <w:p w14:paraId="0465337A" w14:textId="56AC15E2" w:rsidR="00FB4B27" w:rsidRDefault="00FB4B27" w:rsidP="0002489B">
      <w:pPr>
        <w:pStyle w:val="NoSpacing"/>
        <w:spacing w:before="240"/>
        <w:ind w:firstLine="720"/>
        <w:rPr>
          <w:rFonts w:ascii="Aptos" w:hAnsi="Aptos" w:cs="Times New Roman"/>
          <w:iCs/>
          <w:sz w:val="25"/>
          <w:szCs w:val="25"/>
        </w:rPr>
      </w:pPr>
      <w:r>
        <w:rPr>
          <w:rFonts w:ascii="Aptos" w:hAnsi="Aptos" w:cs="Times New Roman"/>
          <w:iCs/>
          <w:sz w:val="25"/>
          <w:szCs w:val="25"/>
        </w:rPr>
        <w:lastRenderedPageBreak/>
        <w:t xml:space="preserve">In their </w:t>
      </w:r>
      <w:r>
        <w:rPr>
          <w:rFonts w:ascii="Aptos" w:hAnsi="Aptos" w:cs="Times New Roman"/>
          <w:i/>
          <w:sz w:val="25"/>
          <w:szCs w:val="25"/>
        </w:rPr>
        <w:t>Rebuttal</w:t>
      </w:r>
      <w:r>
        <w:rPr>
          <w:rFonts w:ascii="Aptos" w:hAnsi="Aptos" w:cs="Times New Roman"/>
          <w:iCs/>
          <w:sz w:val="25"/>
          <w:szCs w:val="25"/>
        </w:rPr>
        <w:t xml:space="preserve">, Parents offer the same arguments they make as to Claim E – essentially, that </w:t>
      </w:r>
      <w:r w:rsidR="006E1058">
        <w:rPr>
          <w:rFonts w:ascii="Aptos" w:hAnsi="Aptos" w:cs="Times New Roman"/>
          <w:iCs/>
          <w:sz w:val="25"/>
          <w:szCs w:val="25"/>
        </w:rPr>
        <w:t xml:space="preserve">the </w:t>
      </w:r>
      <w:r>
        <w:rPr>
          <w:rFonts w:ascii="Aptos" w:hAnsi="Aptos" w:cs="Times New Roman"/>
          <w:iCs/>
          <w:sz w:val="25"/>
          <w:szCs w:val="25"/>
        </w:rPr>
        <w:t>context of OSEP’s findings regarding the Department’s noncompliance</w:t>
      </w:r>
      <w:r w:rsidR="006E1058">
        <w:rPr>
          <w:rFonts w:ascii="Aptos" w:hAnsi="Aptos" w:cs="Times New Roman"/>
          <w:iCs/>
          <w:sz w:val="25"/>
          <w:szCs w:val="25"/>
        </w:rPr>
        <w:t xml:space="preserve"> shifts “the nature of</w:t>
      </w:r>
      <w:r>
        <w:rPr>
          <w:rFonts w:ascii="Aptos" w:hAnsi="Aptos" w:cs="Times New Roman"/>
          <w:iCs/>
          <w:sz w:val="25"/>
          <w:szCs w:val="25"/>
        </w:rPr>
        <w:t xml:space="preserve"> </w:t>
      </w:r>
      <w:r w:rsidR="006E1058">
        <w:rPr>
          <w:rFonts w:ascii="Aptos" w:hAnsi="Aptos" w:cs="Times New Roman"/>
          <w:iCs/>
          <w:sz w:val="25"/>
          <w:szCs w:val="25"/>
        </w:rPr>
        <w:t>the claim from a theoretical supervisory failure to an actionable one based on established federal findings,” that falls within the BSEA’s jurisdiction.</w:t>
      </w:r>
      <w:r>
        <w:rPr>
          <w:rFonts w:ascii="Aptos" w:hAnsi="Aptos" w:cs="Times New Roman"/>
          <w:iCs/>
          <w:sz w:val="25"/>
          <w:szCs w:val="25"/>
        </w:rPr>
        <w:t xml:space="preserve"> Parents also contend that Claims A through D “are directly linked to and exacerbated by Departmental supervisory failures</w:t>
      </w:r>
      <w:r w:rsidR="006E1058">
        <w:rPr>
          <w:rFonts w:ascii="Aptos" w:hAnsi="Aptos" w:cs="Times New Roman"/>
          <w:iCs/>
          <w:sz w:val="25"/>
          <w:szCs w:val="25"/>
        </w:rPr>
        <w:t xml:space="preserve">,” such that these failures “created an environment where the District’s alleged noncompliance could persist unchecked, contributing to [Frank]’s denial of FAPE.” Finally, Parents assert that the BSEA </w:t>
      </w:r>
      <w:r w:rsidR="00602968">
        <w:rPr>
          <w:rFonts w:ascii="Aptos" w:hAnsi="Aptos" w:cs="Times New Roman"/>
          <w:iCs/>
          <w:sz w:val="25"/>
          <w:szCs w:val="25"/>
        </w:rPr>
        <w:t>has</w:t>
      </w:r>
      <w:r w:rsidR="006E1058">
        <w:rPr>
          <w:rFonts w:ascii="Aptos" w:hAnsi="Aptos" w:cs="Times New Roman"/>
          <w:iCs/>
          <w:sz w:val="25"/>
          <w:szCs w:val="25"/>
        </w:rPr>
        <w:t xml:space="preserve"> jurisdiction to address systematic noncompliance directly impacting FAPE.</w:t>
      </w:r>
    </w:p>
    <w:p w14:paraId="5CC1CC60" w14:textId="777E9BB9" w:rsidR="006E1058" w:rsidRDefault="006E1058" w:rsidP="0002489B">
      <w:pPr>
        <w:pStyle w:val="NoSpacing"/>
        <w:spacing w:before="240"/>
        <w:ind w:firstLine="720"/>
        <w:rPr>
          <w:rFonts w:ascii="Aptos" w:hAnsi="Aptos" w:cs="Times New Roman"/>
          <w:iCs/>
          <w:sz w:val="25"/>
          <w:szCs w:val="25"/>
        </w:rPr>
      </w:pPr>
      <w:r>
        <w:rPr>
          <w:rFonts w:ascii="Aptos" w:hAnsi="Aptos" w:cs="Times New Roman"/>
          <w:iCs/>
          <w:sz w:val="25"/>
          <w:szCs w:val="25"/>
        </w:rPr>
        <w:t xml:space="preserve">The Department is correct that Claims A through D do not allege any action or inaction by DESE. As such, even taking as true Parents’ </w:t>
      </w:r>
      <w:r w:rsidR="00196107">
        <w:rPr>
          <w:rFonts w:ascii="Aptos" w:hAnsi="Aptos" w:cs="Times New Roman"/>
          <w:iCs/>
          <w:sz w:val="25"/>
          <w:szCs w:val="25"/>
        </w:rPr>
        <w:t xml:space="preserve">factual </w:t>
      </w:r>
      <w:r>
        <w:rPr>
          <w:rFonts w:ascii="Aptos" w:hAnsi="Aptos" w:cs="Times New Roman"/>
          <w:iCs/>
          <w:sz w:val="25"/>
          <w:szCs w:val="25"/>
        </w:rPr>
        <w:t xml:space="preserve">allegations and any inferences that may be drawn therefrom, </w:t>
      </w:r>
      <w:r w:rsidR="00196107">
        <w:rPr>
          <w:rFonts w:ascii="Aptos" w:hAnsi="Aptos" w:cs="Times New Roman"/>
          <w:iCs/>
          <w:sz w:val="25"/>
          <w:szCs w:val="25"/>
        </w:rPr>
        <w:t>as I must,</w:t>
      </w:r>
      <w:r w:rsidR="00196107">
        <w:rPr>
          <w:rStyle w:val="FootnoteReference"/>
          <w:rFonts w:ascii="Aptos" w:hAnsi="Aptos" w:cs="Times New Roman"/>
          <w:iCs/>
          <w:sz w:val="25"/>
          <w:szCs w:val="25"/>
        </w:rPr>
        <w:footnoteReference w:id="21"/>
      </w:r>
      <w:r w:rsidR="00196107">
        <w:rPr>
          <w:rFonts w:ascii="Aptos" w:hAnsi="Aptos" w:cs="Times New Roman"/>
          <w:iCs/>
          <w:sz w:val="25"/>
          <w:szCs w:val="25"/>
        </w:rPr>
        <w:t xml:space="preserve"> this factual content does not allow for a “reasonable inference that the [Department] is liable for the misconduct alleged.”</w:t>
      </w:r>
      <w:r w:rsidR="00196107">
        <w:rPr>
          <w:rStyle w:val="FootnoteReference"/>
          <w:rFonts w:ascii="Aptos" w:hAnsi="Aptos" w:cs="Times New Roman"/>
          <w:iCs/>
          <w:sz w:val="25"/>
          <w:szCs w:val="25"/>
        </w:rPr>
        <w:footnoteReference w:id="22"/>
      </w:r>
      <w:r w:rsidR="00196107">
        <w:rPr>
          <w:rFonts w:ascii="Aptos" w:hAnsi="Aptos" w:cs="Times New Roman"/>
          <w:iCs/>
          <w:sz w:val="25"/>
          <w:szCs w:val="25"/>
        </w:rPr>
        <w:t xml:space="preserve"> Claims A through D each fail to state a claim upon which relief can be granted against DESE.</w:t>
      </w:r>
      <w:r w:rsidR="00196107">
        <w:rPr>
          <w:rStyle w:val="FootnoteReference"/>
          <w:rFonts w:ascii="Aptos" w:hAnsi="Aptos" w:cs="Times New Roman"/>
          <w:iCs/>
          <w:sz w:val="25"/>
          <w:szCs w:val="25"/>
        </w:rPr>
        <w:footnoteReference w:id="23"/>
      </w:r>
    </w:p>
    <w:p w14:paraId="5FDB1D6F" w14:textId="3C536B12" w:rsidR="002A04CA" w:rsidRPr="009F2251" w:rsidRDefault="00FE014C" w:rsidP="0039328A">
      <w:pPr>
        <w:pStyle w:val="NoSpacing"/>
        <w:numPr>
          <w:ilvl w:val="0"/>
          <w:numId w:val="17"/>
        </w:numPr>
        <w:spacing w:before="240"/>
        <w:rPr>
          <w:rFonts w:ascii="Aptos" w:hAnsi="Aptos" w:cs="Times New Roman"/>
          <w:sz w:val="25"/>
          <w:szCs w:val="25"/>
        </w:rPr>
      </w:pPr>
      <w:r w:rsidRPr="009F2251">
        <w:rPr>
          <w:rFonts w:ascii="Aptos" w:hAnsi="Aptos" w:cs="Times New Roman"/>
          <w:sz w:val="25"/>
          <w:szCs w:val="25"/>
        </w:rPr>
        <w:t>CONCLUSION</w:t>
      </w:r>
    </w:p>
    <w:p w14:paraId="7FE8A242" w14:textId="5FA366B9" w:rsidR="000269A6" w:rsidRDefault="002A04CA" w:rsidP="0039328A">
      <w:pPr>
        <w:pStyle w:val="NoSpacing"/>
        <w:spacing w:before="240"/>
        <w:rPr>
          <w:rFonts w:ascii="Aptos" w:hAnsi="Aptos" w:cs="Times New Roman"/>
          <w:sz w:val="25"/>
          <w:szCs w:val="25"/>
        </w:rPr>
      </w:pPr>
      <w:r w:rsidRPr="009F2251">
        <w:rPr>
          <w:rFonts w:ascii="Aptos" w:hAnsi="Aptos" w:cs="Times New Roman"/>
          <w:sz w:val="25"/>
          <w:szCs w:val="25"/>
        </w:rPr>
        <w:tab/>
      </w:r>
      <w:r w:rsidR="00FE014C" w:rsidRPr="009F2251">
        <w:rPr>
          <w:rFonts w:ascii="Aptos" w:hAnsi="Aptos" w:cs="Times New Roman"/>
          <w:sz w:val="25"/>
          <w:szCs w:val="25"/>
        </w:rPr>
        <w:t xml:space="preserve">Upon </w:t>
      </w:r>
      <w:r w:rsidR="0035383C" w:rsidRPr="009F2251">
        <w:rPr>
          <w:rFonts w:ascii="Aptos" w:hAnsi="Aptos" w:cs="Times New Roman"/>
          <w:sz w:val="25"/>
          <w:szCs w:val="25"/>
        </w:rPr>
        <w:t xml:space="preserve">reviewing </w:t>
      </w:r>
      <w:r w:rsidR="000A07C5">
        <w:rPr>
          <w:rFonts w:ascii="Aptos" w:hAnsi="Aptos" w:cs="Times New Roman"/>
          <w:sz w:val="25"/>
          <w:szCs w:val="25"/>
        </w:rPr>
        <w:t>DESE</w:t>
      </w:r>
      <w:r w:rsidR="0035383C" w:rsidRPr="009F2251">
        <w:rPr>
          <w:rFonts w:ascii="Aptos" w:hAnsi="Aptos" w:cs="Times New Roman"/>
          <w:sz w:val="25"/>
          <w:szCs w:val="25"/>
        </w:rPr>
        <w:t>’</w:t>
      </w:r>
      <w:r w:rsidR="000A07C5">
        <w:rPr>
          <w:rFonts w:ascii="Aptos" w:hAnsi="Aptos" w:cs="Times New Roman"/>
          <w:sz w:val="25"/>
          <w:szCs w:val="25"/>
        </w:rPr>
        <w:t>s</w:t>
      </w:r>
      <w:r w:rsidR="0035383C" w:rsidRPr="009F2251">
        <w:rPr>
          <w:rFonts w:ascii="Aptos" w:hAnsi="Aptos" w:cs="Times New Roman"/>
          <w:sz w:val="25"/>
          <w:szCs w:val="25"/>
        </w:rPr>
        <w:t xml:space="preserve"> </w:t>
      </w:r>
      <w:r w:rsidR="0035383C" w:rsidRPr="009F2251">
        <w:rPr>
          <w:rFonts w:ascii="Aptos" w:hAnsi="Aptos" w:cs="Times New Roman"/>
          <w:i/>
          <w:iCs/>
          <w:sz w:val="25"/>
          <w:szCs w:val="25"/>
        </w:rPr>
        <w:t>Motion to Dismiss</w:t>
      </w:r>
      <w:r w:rsidR="0052706E" w:rsidRPr="009F2251">
        <w:rPr>
          <w:rFonts w:ascii="Aptos" w:hAnsi="Aptos" w:cs="Times New Roman"/>
          <w:sz w:val="25"/>
          <w:szCs w:val="25"/>
        </w:rPr>
        <w:t xml:space="preserve"> and Parents’ </w:t>
      </w:r>
      <w:r w:rsidR="000A07C5">
        <w:rPr>
          <w:rFonts w:ascii="Aptos" w:hAnsi="Aptos" w:cs="Times New Roman"/>
          <w:i/>
          <w:iCs/>
          <w:sz w:val="25"/>
          <w:szCs w:val="25"/>
        </w:rPr>
        <w:t>Rebuttal</w:t>
      </w:r>
      <w:r w:rsidR="0052706E" w:rsidRPr="009F2251">
        <w:rPr>
          <w:rFonts w:ascii="Aptos" w:hAnsi="Aptos" w:cs="Times New Roman"/>
          <w:sz w:val="25"/>
          <w:szCs w:val="25"/>
        </w:rPr>
        <w:t xml:space="preserve"> there</w:t>
      </w:r>
      <w:r w:rsidR="00B06D57">
        <w:rPr>
          <w:rFonts w:ascii="Aptos" w:hAnsi="Aptos" w:cs="Times New Roman"/>
          <w:sz w:val="25"/>
          <w:szCs w:val="25"/>
        </w:rPr>
        <w:t>to,</w:t>
      </w:r>
      <w:r w:rsidR="0035383C" w:rsidRPr="009F2251">
        <w:rPr>
          <w:rFonts w:ascii="Aptos" w:hAnsi="Aptos" w:cs="Times New Roman"/>
          <w:sz w:val="25"/>
          <w:szCs w:val="25"/>
        </w:rPr>
        <w:t xml:space="preserve"> I find that </w:t>
      </w:r>
      <w:r w:rsidR="000A07C5">
        <w:rPr>
          <w:rFonts w:ascii="Aptos" w:hAnsi="Aptos" w:cs="Times New Roman"/>
          <w:sz w:val="25"/>
          <w:szCs w:val="25"/>
        </w:rPr>
        <w:t>Claims A through D fail to state a claim against the Department, and that Claim E is not within the jurisdiction of the BSEA.</w:t>
      </w:r>
    </w:p>
    <w:p w14:paraId="5ABAFDC5" w14:textId="77777777" w:rsidR="00684A18" w:rsidRDefault="00684A18" w:rsidP="00684A18">
      <w:pPr>
        <w:pStyle w:val="NoSpacing"/>
        <w:rPr>
          <w:rFonts w:ascii="Aptos" w:hAnsi="Aptos" w:cs="Times New Roman"/>
          <w:sz w:val="25"/>
          <w:szCs w:val="25"/>
        </w:rPr>
      </w:pPr>
    </w:p>
    <w:p w14:paraId="25D11043" w14:textId="7EB9F297" w:rsidR="00A95502" w:rsidRPr="009F2251" w:rsidRDefault="00A95502" w:rsidP="00684A18">
      <w:pPr>
        <w:pStyle w:val="NoSpacing"/>
        <w:rPr>
          <w:rFonts w:ascii="Aptos" w:hAnsi="Aptos" w:cs="Times New Roman"/>
          <w:sz w:val="25"/>
          <w:szCs w:val="25"/>
        </w:rPr>
      </w:pPr>
      <w:r w:rsidRPr="009F2251">
        <w:rPr>
          <w:rFonts w:ascii="Aptos" w:hAnsi="Aptos" w:cs="Times New Roman"/>
          <w:sz w:val="25"/>
          <w:szCs w:val="25"/>
        </w:rPr>
        <w:t>ORDER</w:t>
      </w:r>
    </w:p>
    <w:p w14:paraId="50D31AE9" w14:textId="4A8E9786" w:rsidR="006E3E18" w:rsidRPr="000A07C5" w:rsidRDefault="00A95502" w:rsidP="006E3E18">
      <w:pPr>
        <w:pStyle w:val="NoSpacing"/>
        <w:spacing w:before="240"/>
        <w:rPr>
          <w:rFonts w:ascii="Aptos" w:hAnsi="Aptos" w:cs="Times New Roman"/>
          <w:sz w:val="25"/>
          <w:szCs w:val="25"/>
        </w:rPr>
      </w:pPr>
      <w:r w:rsidRPr="009F2251">
        <w:rPr>
          <w:rFonts w:ascii="Aptos" w:hAnsi="Aptos" w:cs="Times New Roman"/>
          <w:sz w:val="25"/>
          <w:szCs w:val="25"/>
        </w:rPr>
        <w:tab/>
      </w:r>
      <w:r w:rsidR="000A07C5">
        <w:rPr>
          <w:rFonts w:ascii="Aptos" w:hAnsi="Aptos" w:cs="Times New Roman"/>
          <w:sz w:val="25"/>
          <w:szCs w:val="25"/>
        </w:rPr>
        <w:t>The Department</w:t>
      </w:r>
      <w:r w:rsidR="002E7F84">
        <w:rPr>
          <w:rFonts w:ascii="Aptos" w:hAnsi="Aptos" w:cs="Times New Roman"/>
          <w:sz w:val="25"/>
          <w:szCs w:val="25"/>
        </w:rPr>
        <w:t xml:space="preserve"> of Elementary and Secondary Education’s </w:t>
      </w:r>
      <w:r w:rsidRPr="000269A6">
        <w:rPr>
          <w:rFonts w:ascii="Aptos" w:hAnsi="Aptos" w:cs="Times New Roman"/>
          <w:i/>
          <w:iCs/>
          <w:sz w:val="25"/>
          <w:szCs w:val="25"/>
        </w:rPr>
        <w:t>Motion</w:t>
      </w:r>
      <w:r w:rsidRPr="009F2251">
        <w:rPr>
          <w:rFonts w:ascii="Aptos" w:hAnsi="Aptos" w:cs="Times New Roman"/>
          <w:sz w:val="25"/>
          <w:szCs w:val="25"/>
        </w:rPr>
        <w:t xml:space="preserve"> </w:t>
      </w:r>
      <w:r w:rsidRPr="000269A6">
        <w:rPr>
          <w:rFonts w:ascii="Aptos" w:hAnsi="Aptos" w:cs="Times New Roman"/>
          <w:i/>
          <w:iCs/>
          <w:sz w:val="25"/>
          <w:szCs w:val="25"/>
        </w:rPr>
        <w:t>to</w:t>
      </w:r>
      <w:r w:rsidRPr="009F2251">
        <w:rPr>
          <w:rFonts w:ascii="Aptos" w:hAnsi="Aptos" w:cs="Times New Roman"/>
          <w:sz w:val="25"/>
          <w:szCs w:val="25"/>
        </w:rPr>
        <w:t xml:space="preserve"> </w:t>
      </w:r>
      <w:r w:rsidRPr="000269A6">
        <w:rPr>
          <w:rFonts w:ascii="Aptos" w:hAnsi="Aptos" w:cs="Times New Roman"/>
          <w:i/>
          <w:iCs/>
          <w:sz w:val="25"/>
          <w:szCs w:val="25"/>
        </w:rPr>
        <w:t>Dismiss</w:t>
      </w:r>
      <w:r w:rsidRPr="009F2251">
        <w:rPr>
          <w:rFonts w:ascii="Aptos" w:hAnsi="Aptos" w:cs="Times New Roman"/>
          <w:sz w:val="25"/>
          <w:szCs w:val="25"/>
        </w:rPr>
        <w:t xml:space="preserve"> is hereby </w:t>
      </w:r>
      <w:r w:rsidR="000A07C5">
        <w:rPr>
          <w:rFonts w:ascii="Aptos" w:hAnsi="Aptos" w:cs="Times New Roman"/>
          <w:sz w:val="25"/>
          <w:szCs w:val="25"/>
        </w:rPr>
        <w:t>ALLOWED</w:t>
      </w:r>
      <w:r w:rsidR="00E929F9">
        <w:rPr>
          <w:rFonts w:ascii="Aptos" w:hAnsi="Aptos" w:cs="Times New Roman"/>
          <w:sz w:val="25"/>
          <w:szCs w:val="25"/>
        </w:rPr>
        <w:t>, with prejudice,</w:t>
      </w:r>
      <w:r w:rsidR="00002B00" w:rsidRPr="009F2251">
        <w:rPr>
          <w:rFonts w:ascii="Aptos" w:hAnsi="Aptos" w:cs="Times New Roman"/>
          <w:sz w:val="25"/>
          <w:szCs w:val="25"/>
        </w:rPr>
        <w:t xml:space="preserve"> as to</w:t>
      </w:r>
      <w:r w:rsidR="000A07C5">
        <w:rPr>
          <w:rFonts w:ascii="Aptos" w:hAnsi="Aptos" w:cs="Times New Roman"/>
          <w:sz w:val="25"/>
          <w:szCs w:val="25"/>
        </w:rPr>
        <w:t xml:space="preserve"> all of</w:t>
      </w:r>
      <w:r w:rsidR="00002B00" w:rsidRPr="009F2251">
        <w:rPr>
          <w:rFonts w:ascii="Aptos" w:hAnsi="Aptos" w:cs="Times New Roman"/>
          <w:sz w:val="25"/>
          <w:szCs w:val="25"/>
        </w:rPr>
        <w:t xml:space="preserve"> </w:t>
      </w:r>
      <w:r w:rsidR="00B06D57">
        <w:rPr>
          <w:rFonts w:ascii="Aptos" w:hAnsi="Aptos" w:cs="Times New Roman"/>
          <w:sz w:val="25"/>
          <w:szCs w:val="25"/>
        </w:rPr>
        <w:t xml:space="preserve">Parents’ claims </w:t>
      </w:r>
      <w:r w:rsidR="000A07C5">
        <w:rPr>
          <w:rFonts w:ascii="Aptos" w:hAnsi="Aptos" w:cs="Times New Roman"/>
          <w:sz w:val="25"/>
          <w:szCs w:val="25"/>
        </w:rPr>
        <w:t xml:space="preserve">in the initial </w:t>
      </w:r>
      <w:r w:rsidR="000A07C5">
        <w:rPr>
          <w:rFonts w:ascii="Aptos" w:hAnsi="Aptos" w:cs="Times New Roman"/>
          <w:i/>
          <w:iCs/>
          <w:sz w:val="25"/>
          <w:szCs w:val="25"/>
        </w:rPr>
        <w:t>Hearing Request</w:t>
      </w:r>
      <w:r w:rsidR="000A07C5">
        <w:rPr>
          <w:rFonts w:ascii="Aptos" w:hAnsi="Aptos" w:cs="Times New Roman"/>
          <w:sz w:val="25"/>
          <w:szCs w:val="25"/>
        </w:rPr>
        <w:t>.</w:t>
      </w:r>
    </w:p>
    <w:p w14:paraId="79B00858" w14:textId="29CD9A6E" w:rsidR="008811E2" w:rsidRPr="009F2251" w:rsidRDefault="008811E2" w:rsidP="006E3E18">
      <w:pPr>
        <w:pStyle w:val="NoSpacing"/>
        <w:spacing w:before="240"/>
        <w:rPr>
          <w:rFonts w:ascii="Aptos" w:hAnsi="Aptos" w:cs="Times New Roman"/>
          <w:sz w:val="25"/>
          <w:szCs w:val="25"/>
        </w:rPr>
      </w:pPr>
      <w:r>
        <w:rPr>
          <w:rFonts w:ascii="Aptos" w:hAnsi="Aptos" w:cs="Times New Roman"/>
          <w:sz w:val="25"/>
          <w:szCs w:val="25"/>
        </w:rPr>
        <w:tab/>
      </w:r>
      <w:r w:rsidR="000269A6">
        <w:rPr>
          <w:rFonts w:ascii="Aptos" w:hAnsi="Aptos" w:cs="Times New Roman"/>
          <w:sz w:val="25"/>
          <w:szCs w:val="25"/>
        </w:rPr>
        <w:t xml:space="preserve">The Hearing </w:t>
      </w:r>
      <w:r w:rsidR="000A07C5">
        <w:rPr>
          <w:rFonts w:ascii="Aptos" w:hAnsi="Aptos" w:cs="Times New Roman"/>
          <w:sz w:val="25"/>
          <w:szCs w:val="25"/>
        </w:rPr>
        <w:t xml:space="preserve">on Parents’ </w:t>
      </w:r>
      <w:r w:rsidR="000A07C5">
        <w:rPr>
          <w:rFonts w:ascii="Aptos" w:hAnsi="Aptos" w:cs="Times New Roman"/>
          <w:i/>
          <w:iCs/>
          <w:sz w:val="25"/>
          <w:szCs w:val="25"/>
        </w:rPr>
        <w:t xml:space="preserve">Amended Hearing Request </w:t>
      </w:r>
      <w:r w:rsidR="000A07C5">
        <w:rPr>
          <w:rFonts w:ascii="Aptos" w:hAnsi="Aptos" w:cs="Times New Roman"/>
          <w:sz w:val="25"/>
          <w:szCs w:val="25"/>
        </w:rPr>
        <w:t>will take place on February 12 and 13, 2026</w:t>
      </w:r>
      <w:r w:rsidR="00F27EF4">
        <w:rPr>
          <w:rFonts w:ascii="Aptos" w:hAnsi="Aptos" w:cs="Times New Roman"/>
          <w:sz w:val="25"/>
          <w:szCs w:val="25"/>
        </w:rPr>
        <w:t xml:space="preserve">. </w:t>
      </w:r>
    </w:p>
    <w:p w14:paraId="40BC7B31" w14:textId="77777777" w:rsidR="000A07C5" w:rsidRDefault="000A07C5" w:rsidP="006E3E18">
      <w:pPr>
        <w:pStyle w:val="NoSpacing"/>
        <w:rPr>
          <w:rFonts w:ascii="Aptos" w:hAnsi="Aptos" w:cs="Times New Roman"/>
          <w:sz w:val="25"/>
          <w:szCs w:val="25"/>
        </w:rPr>
      </w:pPr>
    </w:p>
    <w:p w14:paraId="15F91B59" w14:textId="77777777" w:rsidR="002E7F84" w:rsidRPr="009F2251" w:rsidRDefault="002E7F84" w:rsidP="006E3E18">
      <w:pPr>
        <w:pStyle w:val="NoSpacing"/>
        <w:rPr>
          <w:rFonts w:ascii="Aptos" w:hAnsi="Aptos" w:cs="Times New Roman"/>
          <w:sz w:val="25"/>
          <w:szCs w:val="25"/>
        </w:rPr>
      </w:pPr>
    </w:p>
    <w:p w14:paraId="5413EB61" w14:textId="109AEA58" w:rsidR="002E7F84" w:rsidRPr="001240B7" w:rsidRDefault="006E3E18" w:rsidP="001240B7">
      <w:pPr>
        <w:pStyle w:val="NoSpacing"/>
        <w:rPr>
          <w:rFonts w:ascii="Aptos" w:hAnsi="Aptos" w:cs="Times New Roman"/>
          <w:sz w:val="25"/>
          <w:szCs w:val="25"/>
        </w:rPr>
      </w:pPr>
      <w:r w:rsidRPr="009F2251">
        <w:rPr>
          <w:rFonts w:ascii="Aptos" w:hAnsi="Aptos" w:cs="Times New Roman"/>
          <w:sz w:val="25"/>
          <w:szCs w:val="25"/>
        </w:rPr>
        <w:t>By the Hearing Officer:</w:t>
      </w:r>
    </w:p>
    <w:p w14:paraId="47C2BA65" w14:textId="6067787B" w:rsidR="006E3E18" w:rsidRPr="00546EE7" w:rsidRDefault="00546EE7" w:rsidP="00546EE7">
      <w:pPr>
        <w:rPr>
          <w:rFonts w:ascii="Lucida Handwriting" w:hAnsi="Lucida Handwriting"/>
          <w:sz w:val="25"/>
          <w:u w:val="single"/>
        </w:rPr>
      </w:pPr>
      <w:r w:rsidRPr="00365C93">
        <w:rPr>
          <w:rFonts w:ascii="Lucida Handwriting" w:hAnsi="Lucida Handwriting"/>
          <w:sz w:val="25"/>
          <w:u w:val="single"/>
        </w:rPr>
        <w:t xml:space="preserve">  /s/  </w:t>
      </w:r>
      <w:r w:rsidRPr="00365C93">
        <w:rPr>
          <w:rFonts w:ascii="Lucida Handwriting" w:hAnsi="Lucida Handwriting"/>
          <w:sz w:val="32"/>
          <w:szCs w:val="32"/>
          <w:u w:val="single"/>
        </w:rPr>
        <w:t>Amy Reichbach</w:t>
      </w:r>
      <w:r w:rsidR="006E3E18" w:rsidRPr="009F2251">
        <w:rPr>
          <w:rFonts w:ascii="Aptos" w:hAnsi="Aptos" w:cs="Times New Roman"/>
          <w:sz w:val="25"/>
          <w:szCs w:val="25"/>
        </w:rPr>
        <w:tab/>
      </w:r>
      <w:r w:rsidR="006E3E18" w:rsidRPr="009F2251">
        <w:rPr>
          <w:rFonts w:ascii="Aptos" w:hAnsi="Aptos" w:cs="Times New Roman"/>
          <w:sz w:val="25"/>
          <w:szCs w:val="25"/>
        </w:rPr>
        <w:tab/>
      </w:r>
      <w:r w:rsidR="006E3E18" w:rsidRPr="009F2251">
        <w:rPr>
          <w:rFonts w:ascii="Aptos" w:hAnsi="Aptos" w:cs="Times New Roman"/>
          <w:sz w:val="25"/>
          <w:szCs w:val="25"/>
        </w:rPr>
        <w:tab/>
      </w:r>
      <w:r w:rsidR="006E3E18" w:rsidRPr="009F2251">
        <w:rPr>
          <w:rFonts w:ascii="Aptos" w:hAnsi="Aptos" w:cs="Times New Roman"/>
          <w:sz w:val="25"/>
          <w:szCs w:val="25"/>
        </w:rPr>
        <w:tab/>
      </w:r>
      <w:r w:rsidR="006E3E18" w:rsidRPr="009F2251">
        <w:rPr>
          <w:rFonts w:ascii="Aptos" w:hAnsi="Aptos" w:cs="Times New Roman"/>
          <w:sz w:val="25"/>
          <w:szCs w:val="25"/>
        </w:rPr>
        <w:tab/>
      </w:r>
      <w:r w:rsidR="006E3E18" w:rsidRPr="009F2251">
        <w:rPr>
          <w:rFonts w:ascii="Aptos" w:hAnsi="Aptos" w:cs="Times New Roman"/>
          <w:sz w:val="25"/>
          <w:szCs w:val="25"/>
        </w:rPr>
        <w:tab/>
      </w:r>
      <w:r w:rsidR="006E3E18" w:rsidRPr="009F2251">
        <w:rPr>
          <w:rFonts w:ascii="Aptos" w:hAnsi="Aptos" w:cs="Times New Roman"/>
          <w:sz w:val="25"/>
          <w:szCs w:val="25"/>
        </w:rPr>
        <w:tab/>
      </w:r>
    </w:p>
    <w:p w14:paraId="639F41C7" w14:textId="63CDD2A1" w:rsidR="00F27EF4" w:rsidRPr="009F2251" w:rsidRDefault="00D07762" w:rsidP="006E3E18">
      <w:pPr>
        <w:pStyle w:val="NoSpacing"/>
        <w:rPr>
          <w:rFonts w:ascii="Aptos" w:hAnsi="Aptos" w:cs="Times New Roman"/>
          <w:sz w:val="25"/>
          <w:szCs w:val="25"/>
        </w:rPr>
      </w:pPr>
      <w:r w:rsidRPr="009F2251">
        <w:rPr>
          <w:rFonts w:ascii="Aptos" w:hAnsi="Aptos" w:cs="Times New Roman"/>
          <w:sz w:val="25"/>
          <w:szCs w:val="25"/>
        </w:rPr>
        <w:t>Amy M. Reichbac</w:t>
      </w:r>
      <w:r w:rsidR="00F27EF4">
        <w:rPr>
          <w:rFonts w:ascii="Aptos" w:hAnsi="Aptos" w:cs="Times New Roman"/>
          <w:sz w:val="25"/>
          <w:szCs w:val="25"/>
        </w:rPr>
        <w:t>h</w:t>
      </w:r>
    </w:p>
    <w:p w14:paraId="0464BC3C" w14:textId="46D3AF72" w:rsidR="00E929F9" w:rsidRDefault="006E3E18" w:rsidP="001240B7">
      <w:pPr>
        <w:pStyle w:val="NoSpacing"/>
        <w:rPr>
          <w:rFonts w:ascii="Aptos" w:hAnsi="Aptos" w:cs="Times New Roman"/>
          <w:sz w:val="25"/>
          <w:szCs w:val="25"/>
        </w:rPr>
      </w:pPr>
      <w:r w:rsidRPr="009F2251">
        <w:rPr>
          <w:rFonts w:ascii="Aptos" w:hAnsi="Aptos" w:cs="Times New Roman"/>
          <w:sz w:val="25"/>
          <w:szCs w:val="25"/>
        </w:rPr>
        <w:t xml:space="preserve">Dated: </w:t>
      </w:r>
      <w:r w:rsidR="000A07C5">
        <w:rPr>
          <w:rFonts w:ascii="Aptos" w:hAnsi="Aptos" w:cs="Times New Roman"/>
          <w:sz w:val="25"/>
          <w:szCs w:val="25"/>
        </w:rPr>
        <w:t>January 7, 2026</w:t>
      </w:r>
    </w:p>
    <w:p w14:paraId="75BA25AD" w14:textId="77777777" w:rsidR="00E929F9" w:rsidRPr="003B49EC" w:rsidRDefault="00E929F9" w:rsidP="00E929F9">
      <w:pPr>
        <w:spacing w:line="259" w:lineRule="auto"/>
        <w:jc w:val="center"/>
        <w:rPr>
          <w:rFonts w:ascii="Aptos" w:hAnsi="Aptos"/>
        </w:rPr>
      </w:pPr>
      <w:r w:rsidRPr="003B49EC">
        <w:rPr>
          <w:rFonts w:ascii="Aptos" w:hAnsi="Aptos"/>
          <w:noProof/>
        </w:rPr>
        <w:lastRenderedPageBreak/>
        <w:drawing>
          <wp:inline distT="0" distB="0" distL="0" distR="0" wp14:anchorId="7980D4B6" wp14:editId="6BCCAB41">
            <wp:extent cx="12192" cy="9147"/>
            <wp:effectExtent l="0" t="0" r="0" b="0"/>
            <wp:docPr id="2221" name="Picture 22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21" name="Picture 2221">
                      <a:extLst>
                        <a:ext uri="{C183D7F6-B498-43B3-948B-1728B52AA6E4}">
                          <adec:decorative xmlns:adec="http://schemas.microsoft.com/office/drawing/2017/decorative" val="1"/>
                        </a:ext>
                      </a:extLst>
                    </pic:cNvPr>
                    <pic:cNvPicPr/>
                  </pic:nvPicPr>
                  <pic:blipFill>
                    <a:blip r:embed="rId8"/>
                    <a:stretch>
                      <a:fillRect/>
                    </a:stretch>
                  </pic:blipFill>
                  <pic:spPr>
                    <a:xfrm>
                      <a:off x="0" y="0"/>
                      <a:ext cx="12192" cy="9147"/>
                    </a:xfrm>
                    <a:prstGeom prst="rect">
                      <a:avLst/>
                    </a:prstGeom>
                  </pic:spPr>
                </pic:pic>
              </a:graphicData>
            </a:graphic>
          </wp:inline>
        </w:drawing>
      </w:r>
      <w:r w:rsidRPr="003B49EC">
        <w:rPr>
          <w:rFonts w:ascii="Aptos" w:hAnsi="Aptos"/>
        </w:rPr>
        <w:t>COMMONWEALTH OF MASSACHUSETTS</w:t>
      </w:r>
    </w:p>
    <w:p w14:paraId="01444C99" w14:textId="77777777" w:rsidR="00E929F9" w:rsidRPr="003B49EC" w:rsidRDefault="00E929F9" w:rsidP="00E929F9">
      <w:pPr>
        <w:spacing w:after="591" w:line="259" w:lineRule="auto"/>
        <w:ind w:right="250"/>
        <w:jc w:val="center"/>
        <w:rPr>
          <w:rFonts w:ascii="Aptos" w:hAnsi="Aptos"/>
        </w:rPr>
      </w:pPr>
      <w:r w:rsidRPr="003B49EC">
        <w:rPr>
          <w:rFonts w:ascii="Aptos" w:hAnsi="Aptos"/>
          <w:noProof/>
        </w:rPr>
        <w:drawing>
          <wp:inline distT="0" distB="0" distL="0" distR="0" wp14:anchorId="203F2F55" wp14:editId="2299B044">
            <wp:extent cx="9144" cy="9147"/>
            <wp:effectExtent l="0" t="0" r="0" b="0"/>
            <wp:docPr id="2222" name="Picture 22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22" name="Picture 2222">
                      <a:extLst>
                        <a:ext uri="{C183D7F6-B498-43B3-948B-1728B52AA6E4}">
                          <adec:decorative xmlns:adec="http://schemas.microsoft.com/office/drawing/2017/decorative" val="1"/>
                        </a:ext>
                      </a:extLst>
                    </pic:cNvPr>
                    <pic:cNvPicPr/>
                  </pic:nvPicPr>
                  <pic:blipFill>
                    <a:blip r:embed="rId9"/>
                    <a:stretch>
                      <a:fillRect/>
                    </a:stretch>
                  </pic:blipFill>
                  <pic:spPr>
                    <a:xfrm>
                      <a:off x="0" y="0"/>
                      <a:ext cx="9144" cy="9147"/>
                    </a:xfrm>
                    <a:prstGeom prst="rect">
                      <a:avLst/>
                    </a:prstGeom>
                  </pic:spPr>
                </pic:pic>
              </a:graphicData>
            </a:graphic>
          </wp:inline>
        </w:drawing>
      </w:r>
      <w:r w:rsidRPr="003B49EC">
        <w:rPr>
          <w:rFonts w:ascii="Aptos" w:hAnsi="Aptos"/>
        </w:rPr>
        <w:t>BUREAU OF SPECIAL EDUCATION APPEALS</w:t>
      </w:r>
    </w:p>
    <w:p w14:paraId="343B28AE" w14:textId="77777777" w:rsidR="00E929F9" w:rsidRPr="003B49EC" w:rsidRDefault="00E929F9" w:rsidP="00E929F9">
      <w:pPr>
        <w:tabs>
          <w:tab w:val="center" w:pos="440"/>
          <w:tab w:val="center" w:pos="4627"/>
        </w:tabs>
        <w:spacing w:after="533" w:line="259" w:lineRule="auto"/>
        <w:jc w:val="center"/>
        <w:rPr>
          <w:rFonts w:ascii="Aptos" w:hAnsi="Aptos"/>
        </w:rPr>
      </w:pPr>
      <w:r w:rsidRPr="003B49EC">
        <w:rPr>
          <w:rFonts w:ascii="Aptos" w:hAnsi="Aptos"/>
          <w:u w:val="single" w:color="000000"/>
        </w:rPr>
        <w:t xml:space="preserve">EFFECT OF FINAL BSEA ACTIONS AND </w:t>
      </w:r>
      <w:r w:rsidRPr="003B49EC">
        <w:rPr>
          <w:rFonts w:ascii="Aptos" w:hAnsi="Aptos"/>
          <w:noProof/>
        </w:rPr>
        <w:drawing>
          <wp:inline distT="0" distB="0" distL="0" distR="0" wp14:anchorId="42ABA734" wp14:editId="4B394A7A">
            <wp:extent cx="9144" cy="9147"/>
            <wp:effectExtent l="0" t="0" r="0" b="0"/>
            <wp:docPr id="2223" name="Picture 22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23" name="Picture 2223">
                      <a:extLst>
                        <a:ext uri="{C183D7F6-B498-43B3-948B-1728B52AA6E4}">
                          <adec:decorative xmlns:adec="http://schemas.microsoft.com/office/drawing/2017/decorative" val="1"/>
                        </a:ext>
                      </a:extLst>
                    </pic:cNvPr>
                    <pic:cNvPicPr/>
                  </pic:nvPicPr>
                  <pic:blipFill>
                    <a:blip r:embed="rId10"/>
                    <a:stretch>
                      <a:fillRect/>
                    </a:stretch>
                  </pic:blipFill>
                  <pic:spPr>
                    <a:xfrm>
                      <a:off x="0" y="0"/>
                      <a:ext cx="9144" cy="9147"/>
                    </a:xfrm>
                    <a:prstGeom prst="rect">
                      <a:avLst/>
                    </a:prstGeom>
                  </pic:spPr>
                </pic:pic>
              </a:graphicData>
            </a:graphic>
          </wp:inline>
        </w:drawing>
      </w:r>
      <w:r w:rsidRPr="003B49EC">
        <w:rPr>
          <w:rFonts w:ascii="Aptos" w:hAnsi="Aptos"/>
          <w:u w:val="single" w:color="000000"/>
        </w:rPr>
        <w:t>RIGHTS OF APPEAL</w:t>
      </w:r>
    </w:p>
    <w:p w14:paraId="5C945D4C" w14:textId="77777777" w:rsidR="00E929F9" w:rsidRPr="003B49EC" w:rsidRDefault="00E929F9" w:rsidP="00E929F9">
      <w:pPr>
        <w:pStyle w:val="Heading1"/>
        <w:spacing w:after="261"/>
        <w:ind w:left="38" w:right="0" w:firstLine="0"/>
        <w:rPr>
          <w:rFonts w:ascii="Aptos" w:hAnsi="Aptos"/>
          <w:sz w:val="24"/>
          <w:szCs w:val="24"/>
        </w:rPr>
      </w:pPr>
      <w:r w:rsidRPr="003B49EC">
        <w:rPr>
          <w:rFonts w:ascii="Aptos" w:hAnsi="Aptos"/>
          <w:sz w:val="24"/>
          <w:szCs w:val="24"/>
        </w:rPr>
        <w:t>Effect of BSEA Decision, Dismissal with Prejudice and Allowance of Motion for Summary Judgment</w:t>
      </w:r>
    </w:p>
    <w:p w14:paraId="42CC19E4" w14:textId="77777777" w:rsidR="00E929F9" w:rsidRPr="003B49EC" w:rsidRDefault="00E929F9" w:rsidP="00E929F9">
      <w:pPr>
        <w:spacing w:after="312" w:line="250" w:lineRule="auto"/>
        <w:ind w:left="43" w:firstLine="5"/>
        <w:rPr>
          <w:rFonts w:ascii="Aptos" w:hAnsi="Aptos"/>
        </w:rPr>
      </w:pPr>
      <w:r w:rsidRPr="003B49EC">
        <w:rPr>
          <w:rFonts w:ascii="Aptos" w:hAnsi="Aptos"/>
        </w:rPr>
        <w:t xml:space="preserve">20 U.S.C. s. 1415(i)(1)(B) requires that a decision of the Bureau of Special Education Appeals be final and subject to no further agency review. Similarly, </w:t>
      </w:r>
      <w:proofErr w:type="gramStart"/>
      <w:r w:rsidRPr="003B49EC">
        <w:rPr>
          <w:rFonts w:ascii="Aptos" w:hAnsi="Aptos"/>
        </w:rPr>
        <w:t>a Ruling</w:t>
      </w:r>
      <w:proofErr w:type="gramEnd"/>
      <w:r w:rsidRPr="003B49EC">
        <w:rPr>
          <w:rFonts w:ascii="Aptos" w:hAnsi="Aptos"/>
        </w:rPr>
        <w:t xml:space="preserve"> Dismissing a Matter with Prejudice and </w:t>
      </w:r>
      <w:proofErr w:type="gramStart"/>
      <w:r w:rsidRPr="003B49EC">
        <w:rPr>
          <w:rFonts w:ascii="Aptos" w:hAnsi="Aptos"/>
        </w:rPr>
        <w:t>a Ruling</w:t>
      </w:r>
      <w:proofErr w:type="gramEnd"/>
      <w:r w:rsidRPr="003B49EC">
        <w:rPr>
          <w:rFonts w:ascii="Aptos" w:hAnsi="Aptos"/>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2B0A29EE" w14:textId="77777777" w:rsidR="00E929F9" w:rsidRPr="003B49EC" w:rsidRDefault="00E929F9" w:rsidP="00E929F9">
      <w:pPr>
        <w:spacing w:after="312" w:line="250" w:lineRule="auto"/>
        <w:ind w:left="43" w:firstLine="5"/>
        <w:rPr>
          <w:rFonts w:ascii="Aptos" w:hAnsi="Aptos"/>
        </w:rPr>
      </w:pPr>
      <w:r w:rsidRPr="003B49EC">
        <w:rPr>
          <w:rFonts w:ascii="Aptos" w:hAnsi="Aptos"/>
        </w:rPr>
        <w:t>Accordingly</w:t>
      </w:r>
      <w:r w:rsidRPr="003B49EC">
        <w:rPr>
          <w:rFonts w:ascii="Aptos" w:hAnsi="Aptos"/>
          <w:strike/>
        </w:rPr>
        <w:t>,</w:t>
      </w:r>
      <w:r w:rsidRPr="003B49EC">
        <w:rPr>
          <w:rFonts w:ascii="Aptos" w:hAnsi="Aptos"/>
        </w:rPr>
        <w:t xml:space="preserve"> the Bureau cannot permit motions to reconsider or to re-open either a Bureau decision or the Rulings set forth above once they have issued. They are final subject only to judicial (court) review.</w:t>
      </w:r>
    </w:p>
    <w:p w14:paraId="3FF74ABB" w14:textId="77777777" w:rsidR="00E929F9" w:rsidRDefault="00E929F9" w:rsidP="00E929F9">
      <w:pPr>
        <w:ind w:left="19" w:right="62"/>
        <w:rPr>
          <w:rFonts w:ascii="Aptos" w:hAnsi="Aptos"/>
        </w:rPr>
      </w:pPr>
      <w:r w:rsidRPr="003B49EC">
        <w:rPr>
          <w:rFonts w:ascii="Aptos" w:hAnsi="Aptos"/>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0CFAB56A" w14:textId="77777777" w:rsidR="00E929F9" w:rsidRPr="003B49EC" w:rsidRDefault="00E929F9" w:rsidP="00E929F9">
      <w:pPr>
        <w:ind w:left="19" w:right="62"/>
        <w:rPr>
          <w:rFonts w:ascii="Aptos" w:hAnsi="Aptos"/>
        </w:rPr>
      </w:pPr>
    </w:p>
    <w:p w14:paraId="090E4FF2" w14:textId="77777777" w:rsidR="00E929F9" w:rsidRPr="003B49EC" w:rsidRDefault="00E929F9" w:rsidP="00E929F9">
      <w:pPr>
        <w:ind w:left="19" w:right="62"/>
        <w:rPr>
          <w:rFonts w:ascii="Aptos" w:hAnsi="Aptos"/>
        </w:rPr>
      </w:pPr>
      <w:r w:rsidRPr="003B49EC">
        <w:rPr>
          <w:rFonts w:ascii="Aptos" w:hAnsi="Aptos"/>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051D9F61" w14:textId="77777777" w:rsidR="00E929F9" w:rsidRPr="003B49EC" w:rsidRDefault="00E929F9" w:rsidP="00E929F9">
      <w:pPr>
        <w:ind w:left="19" w:right="62"/>
        <w:rPr>
          <w:rFonts w:ascii="Aptos" w:hAnsi="Aptos"/>
        </w:rPr>
      </w:pPr>
      <w:r w:rsidRPr="003B49EC">
        <w:rPr>
          <w:rFonts w:ascii="Aptos" w:hAnsi="Aptos"/>
        </w:rPr>
        <w:t xml:space="preserve">Therefore, where the Bureau has ordered the public school to place the child in a new placement, and the parents or guardian agree with that order, the public school shall immediately implement the placement ordered by the Bureau.  </w:t>
      </w:r>
      <w:r w:rsidRPr="003B49EC">
        <w:rPr>
          <w:rFonts w:ascii="Aptos" w:hAnsi="Aptos"/>
          <w:i/>
          <w:iCs/>
        </w:rPr>
        <w:t>School Committee of Burlington v. Massachusetts Department of Education</w:t>
      </w:r>
      <w:r w:rsidRPr="003B49EC">
        <w:rPr>
          <w:rFonts w:ascii="Aptos" w:hAnsi="Aptos"/>
        </w:rPr>
        <w:t xml:space="preserve">, 471 U.S. 359 (1985).  Otherwise, a party seeking to change the child’s placement while judicial proceedings are pending must ask the court </w:t>
      </w:r>
      <w:proofErr w:type="gramStart"/>
      <w:r w:rsidRPr="003B49EC">
        <w:rPr>
          <w:rFonts w:ascii="Aptos" w:hAnsi="Aptos"/>
        </w:rPr>
        <w:t>having</w:t>
      </w:r>
      <w:proofErr w:type="gramEnd"/>
      <w:r w:rsidRPr="003B49EC">
        <w:rPr>
          <w:rFonts w:ascii="Aptos" w:hAnsi="Aptos"/>
        </w:rPr>
        <w:t xml:space="preserve"> jurisdiction over the appeal to grant a preliminary injunction ordering such a change in placement. </w:t>
      </w:r>
      <w:r w:rsidRPr="003B49EC">
        <w:rPr>
          <w:rFonts w:ascii="Aptos" w:hAnsi="Aptos"/>
          <w:i/>
          <w:iCs/>
        </w:rPr>
        <w:t>Honig v. Doe</w:t>
      </w:r>
      <w:r w:rsidRPr="003B49EC">
        <w:rPr>
          <w:rFonts w:ascii="Aptos" w:hAnsi="Aptos"/>
        </w:rPr>
        <w:t xml:space="preserve">, 484 U.S. 305 (1988); </w:t>
      </w:r>
      <w:r w:rsidRPr="003B49EC">
        <w:rPr>
          <w:rFonts w:ascii="Aptos" w:hAnsi="Aptos"/>
          <w:i/>
          <w:iCs/>
        </w:rPr>
        <w:t>Doe v. Brookline</w:t>
      </w:r>
      <w:r w:rsidRPr="003B49EC">
        <w:rPr>
          <w:rFonts w:ascii="Aptos" w:hAnsi="Aptos"/>
        </w:rPr>
        <w:t>, 722 F.2d 910 (1</w:t>
      </w:r>
      <w:r w:rsidRPr="003B49EC">
        <w:rPr>
          <w:rFonts w:ascii="Aptos" w:hAnsi="Aptos"/>
          <w:vertAlign w:val="superscript"/>
        </w:rPr>
        <w:t>st</w:t>
      </w:r>
      <w:r w:rsidRPr="003B49EC">
        <w:rPr>
          <w:rFonts w:ascii="Aptos" w:hAnsi="Aptos"/>
        </w:rPr>
        <w:t xml:space="preserve"> Cir. 1983).</w:t>
      </w:r>
    </w:p>
    <w:p w14:paraId="5C780302" w14:textId="77777777" w:rsidR="00E929F9" w:rsidRPr="003B49EC" w:rsidRDefault="00E929F9" w:rsidP="00E929F9">
      <w:pPr>
        <w:pStyle w:val="Heading1"/>
        <w:ind w:left="96" w:right="0"/>
        <w:rPr>
          <w:rFonts w:ascii="Aptos" w:hAnsi="Aptos"/>
          <w:sz w:val="24"/>
          <w:szCs w:val="24"/>
        </w:rPr>
      </w:pPr>
      <w:r w:rsidRPr="003B49EC">
        <w:rPr>
          <w:rFonts w:ascii="Aptos" w:hAnsi="Aptos"/>
          <w:sz w:val="24"/>
          <w:szCs w:val="24"/>
        </w:rPr>
        <w:lastRenderedPageBreak/>
        <w:t>Compliance</w:t>
      </w:r>
    </w:p>
    <w:p w14:paraId="03185B77" w14:textId="77777777" w:rsidR="00E929F9" w:rsidRDefault="00E929F9" w:rsidP="00E929F9">
      <w:pPr>
        <w:ind w:left="19" w:right="172"/>
        <w:rPr>
          <w:rFonts w:ascii="Aptos" w:hAnsi="Aptos"/>
        </w:rPr>
      </w:pPr>
      <w:r w:rsidRPr="003B49EC">
        <w:rPr>
          <w:rFonts w:ascii="Aptos" w:hAnsi="Aptos"/>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3B49EC">
        <w:rPr>
          <w:rFonts w:ascii="Aptos" w:hAnsi="Aptos"/>
        </w:rPr>
        <w:t>such a</w:t>
      </w:r>
      <w:proofErr w:type="gramEnd"/>
      <w:r w:rsidRPr="003B49EC">
        <w:rPr>
          <w:rFonts w:ascii="Aptos" w:hAnsi="Aptos"/>
        </w:rPr>
        <w:t xml:space="preserve"> nature as to excuse performance, and facts bearing on a remedy. Upon </w:t>
      </w:r>
      <w:proofErr w:type="gramStart"/>
      <w:r w:rsidRPr="003B49EC">
        <w:rPr>
          <w:rFonts w:ascii="Aptos" w:hAnsi="Aptos"/>
        </w:rPr>
        <w:t>a finding of</w:t>
      </w:r>
      <w:proofErr w:type="gramEnd"/>
      <w:r w:rsidRPr="003B49EC">
        <w:rPr>
          <w:rFonts w:ascii="Aptos" w:hAnsi="Aptos"/>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5879A1BF" w14:textId="77777777" w:rsidR="00E929F9" w:rsidRDefault="00E929F9" w:rsidP="00E929F9">
      <w:pPr>
        <w:ind w:left="19" w:right="172"/>
        <w:rPr>
          <w:rFonts w:ascii="Aptos" w:hAnsi="Aptos"/>
        </w:rPr>
      </w:pPr>
    </w:p>
    <w:p w14:paraId="4D3EFB19" w14:textId="77777777" w:rsidR="00E929F9" w:rsidRPr="003B49EC" w:rsidRDefault="00E929F9" w:rsidP="00E929F9">
      <w:pPr>
        <w:ind w:left="19" w:right="172"/>
        <w:rPr>
          <w:rFonts w:ascii="Aptos" w:hAnsi="Aptos"/>
        </w:rPr>
      </w:pPr>
    </w:p>
    <w:p w14:paraId="0433CF58" w14:textId="77777777" w:rsidR="00E929F9" w:rsidRPr="003B49EC" w:rsidRDefault="00E929F9" w:rsidP="00E929F9">
      <w:pPr>
        <w:pStyle w:val="Heading1"/>
        <w:ind w:left="-5" w:right="0"/>
        <w:rPr>
          <w:rFonts w:ascii="Aptos" w:hAnsi="Aptos"/>
          <w:sz w:val="24"/>
          <w:szCs w:val="24"/>
        </w:rPr>
      </w:pPr>
      <w:r w:rsidRPr="003B49EC">
        <w:rPr>
          <w:rFonts w:ascii="Aptos" w:hAnsi="Aptos"/>
          <w:sz w:val="24"/>
          <w:szCs w:val="24"/>
        </w:rPr>
        <w:t>Rights of Appeal</w:t>
      </w:r>
    </w:p>
    <w:p w14:paraId="52A60D9A" w14:textId="77777777" w:rsidR="00E929F9" w:rsidRPr="003B49EC" w:rsidRDefault="00E929F9" w:rsidP="00E929F9">
      <w:pPr>
        <w:ind w:left="19" w:right="172"/>
        <w:rPr>
          <w:rFonts w:ascii="Aptos" w:hAnsi="Aptos"/>
        </w:rPr>
      </w:pPr>
      <w:r w:rsidRPr="003B49EC">
        <w:rPr>
          <w:rFonts w:ascii="Aptos" w:hAnsi="Aptos"/>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4764B459" w14:textId="77777777" w:rsidR="00E929F9" w:rsidRPr="003B49EC" w:rsidRDefault="00E929F9" w:rsidP="00E929F9">
      <w:pPr>
        <w:spacing w:after="566"/>
        <w:ind w:left="19" w:right="172"/>
        <w:rPr>
          <w:rFonts w:ascii="Aptos" w:hAnsi="Aptos"/>
        </w:rPr>
      </w:pPr>
      <w:r w:rsidRPr="003B49EC">
        <w:rPr>
          <w:rFonts w:ascii="Aptos" w:hAnsi="Aptos"/>
        </w:rPr>
        <w:t>An appeal of a Bureau decision to state superior court or to federal district court must be filed within ninety (90) days from the date of the decision. 20 U.S.C. s. 1415(i)(2)(B).</w:t>
      </w:r>
    </w:p>
    <w:p w14:paraId="7D678748" w14:textId="77777777" w:rsidR="00E929F9" w:rsidRPr="003B49EC" w:rsidRDefault="00E929F9" w:rsidP="00E929F9">
      <w:pPr>
        <w:pStyle w:val="Heading1"/>
        <w:ind w:left="-5" w:right="0"/>
        <w:rPr>
          <w:rFonts w:ascii="Aptos" w:hAnsi="Aptos"/>
          <w:sz w:val="24"/>
          <w:szCs w:val="24"/>
        </w:rPr>
      </w:pPr>
      <w:r w:rsidRPr="003B49EC">
        <w:rPr>
          <w:rFonts w:ascii="Aptos" w:hAnsi="Aptos"/>
          <w:sz w:val="24"/>
          <w:szCs w:val="24"/>
        </w:rPr>
        <w:t>Confidentiality</w:t>
      </w:r>
    </w:p>
    <w:p w14:paraId="07BDC3E7" w14:textId="77777777" w:rsidR="00E929F9" w:rsidRPr="003B49EC" w:rsidRDefault="00E929F9" w:rsidP="00E929F9">
      <w:pPr>
        <w:ind w:left="19" w:right="34"/>
        <w:rPr>
          <w:rFonts w:ascii="Aptos" w:hAnsi="Aptos"/>
          <w:i/>
          <w:iCs/>
        </w:rPr>
      </w:pPr>
      <w:r w:rsidRPr="003B49EC">
        <w:rPr>
          <w:rFonts w:ascii="Aptos" w:hAnsi="Aptos"/>
          <w:noProof/>
        </w:rPr>
        <w:drawing>
          <wp:anchor distT="0" distB="0" distL="114300" distR="114300" simplePos="0" relativeHeight="251659264" behindDoc="0" locked="0" layoutInCell="1" allowOverlap="0" wp14:anchorId="2F61DB7A" wp14:editId="24C3B950">
            <wp:simplePos x="0" y="0"/>
            <wp:positionH relativeFrom="page">
              <wp:posOffset>271272</wp:posOffset>
            </wp:positionH>
            <wp:positionV relativeFrom="page">
              <wp:posOffset>1670810</wp:posOffset>
            </wp:positionV>
            <wp:extent cx="12192" cy="12196"/>
            <wp:effectExtent l="0" t="0" r="0" b="0"/>
            <wp:wrapSquare wrapText="bothSides"/>
            <wp:docPr id="4778" name="Picture 47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78" name="Picture 4778">
                      <a:extLst>
                        <a:ext uri="{C183D7F6-B498-43B3-948B-1728B52AA6E4}">
                          <adec:decorative xmlns:adec="http://schemas.microsoft.com/office/drawing/2017/decorative" val="1"/>
                        </a:ext>
                      </a:extLst>
                    </pic:cNvPr>
                    <pic:cNvPicPr/>
                  </pic:nvPicPr>
                  <pic:blipFill>
                    <a:blip r:embed="rId11"/>
                    <a:stretch>
                      <a:fillRect/>
                    </a:stretch>
                  </pic:blipFill>
                  <pic:spPr>
                    <a:xfrm>
                      <a:off x="0" y="0"/>
                      <a:ext cx="12192" cy="12196"/>
                    </a:xfrm>
                    <a:prstGeom prst="rect">
                      <a:avLst/>
                    </a:prstGeom>
                  </pic:spPr>
                </pic:pic>
              </a:graphicData>
            </a:graphic>
          </wp:anchor>
        </w:drawing>
      </w:r>
      <w:r w:rsidRPr="003B49EC">
        <w:rPr>
          <w:rFonts w:ascii="Aptos" w:hAnsi="Aptos"/>
          <w:noProof/>
        </w:rPr>
        <w:drawing>
          <wp:anchor distT="0" distB="0" distL="114300" distR="114300" simplePos="0" relativeHeight="251660288" behindDoc="0" locked="0" layoutInCell="1" allowOverlap="0" wp14:anchorId="689C89F9" wp14:editId="02D3A14A">
            <wp:simplePos x="0" y="0"/>
            <wp:positionH relativeFrom="page">
              <wp:posOffset>624840</wp:posOffset>
            </wp:positionH>
            <wp:positionV relativeFrom="page">
              <wp:posOffset>3841644</wp:posOffset>
            </wp:positionV>
            <wp:extent cx="9144" cy="9147"/>
            <wp:effectExtent l="0" t="0" r="0" b="0"/>
            <wp:wrapSquare wrapText="bothSides"/>
            <wp:docPr id="4785" name="Picture 47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5" name="Picture 4785">
                      <a:extLst>
                        <a:ext uri="{C183D7F6-B498-43B3-948B-1728B52AA6E4}">
                          <adec:decorative xmlns:adec="http://schemas.microsoft.com/office/drawing/2017/decorative" val="1"/>
                        </a:ext>
                      </a:extLst>
                    </pic:cNvPr>
                    <pic:cNvPicPr/>
                  </pic:nvPicPr>
                  <pic:blipFill>
                    <a:blip r:embed="rId12"/>
                    <a:stretch>
                      <a:fillRect/>
                    </a:stretch>
                  </pic:blipFill>
                  <pic:spPr>
                    <a:xfrm>
                      <a:off x="0" y="0"/>
                      <a:ext cx="9144" cy="9147"/>
                    </a:xfrm>
                    <a:prstGeom prst="rect">
                      <a:avLst/>
                    </a:prstGeom>
                  </pic:spPr>
                </pic:pic>
              </a:graphicData>
            </a:graphic>
          </wp:anchor>
        </w:drawing>
      </w:r>
      <w:r w:rsidRPr="003B49EC">
        <w:rPr>
          <w:rFonts w:ascii="Aptos" w:hAnsi="Aptos"/>
          <w:noProof/>
        </w:rPr>
        <w:drawing>
          <wp:anchor distT="0" distB="0" distL="114300" distR="114300" simplePos="0" relativeHeight="251661312" behindDoc="0" locked="0" layoutInCell="1" allowOverlap="0" wp14:anchorId="5EBBAD2E" wp14:editId="10511FA2">
            <wp:simplePos x="0" y="0"/>
            <wp:positionH relativeFrom="page">
              <wp:posOffset>551688</wp:posOffset>
            </wp:positionH>
            <wp:positionV relativeFrom="page">
              <wp:posOffset>4195319</wp:posOffset>
            </wp:positionV>
            <wp:extent cx="9144" cy="9147"/>
            <wp:effectExtent l="0" t="0" r="0" b="0"/>
            <wp:wrapSquare wrapText="bothSides"/>
            <wp:docPr id="4786" name="Picture 47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6" name="Picture 4786">
                      <a:extLst>
                        <a:ext uri="{C183D7F6-B498-43B3-948B-1728B52AA6E4}">
                          <adec:decorative xmlns:adec="http://schemas.microsoft.com/office/drawing/2017/decorative" val="1"/>
                        </a:ext>
                      </a:extLst>
                    </pic:cNvPr>
                    <pic:cNvPicPr/>
                  </pic:nvPicPr>
                  <pic:blipFill>
                    <a:blip r:embed="rId13"/>
                    <a:stretch>
                      <a:fillRect/>
                    </a:stretch>
                  </pic:blipFill>
                  <pic:spPr>
                    <a:xfrm>
                      <a:off x="0" y="0"/>
                      <a:ext cx="9144" cy="9147"/>
                    </a:xfrm>
                    <a:prstGeom prst="rect">
                      <a:avLst/>
                    </a:prstGeom>
                  </pic:spPr>
                </pic:pic>
              </a:graphicData>
            </a:graphic>
          </wp:anchor>
        </w:drawing>
      </w:r>
      <w:r w:rsidRPr="003B49EC">
        <w:rPr>
          <w:rFonts w:ascii="Aptos" w:hAnsi="Aptos"/>
          <w:noProof/>
        </w:rPr>
        <w:drawing>
          <wp:anchor distT="0" distB="0" distL="114300" distR="114300" simplePos="0" relativeHeight="251662336" behindDoc="0" locked="0" layoutInCell="1" allowOverlap="0" wp14:anchorId="61FD74BF" wp14:editId="4A7746DC">
            <wp:simplePos x="0" y="0"/>
            <wp:positionH relativeFrom="page">
              <wp:posOffset>6797040</wp:posOffset>
            </wp:positionH>
            <wp:positionV relativeFrom="page">
              <wp:posOffset>1710446</wp:posOffset>
            </wp:positionV>
            <wp:extent cx="9144" cy="12196"/>
            <wp:effectExtent l="0" t="0" r="0" b="0"/>
            <wp:wrapSquare wrapText="bothSides"/>
            <wp:docPr id="4779" name="Picture 47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79" name="Picture 4779">
                      <a:extLst>
                        <a:ext uri="{C183D7F6-B498-43B3-948B-1728B52AA6E4}">
                          <adec:decorative xmlns:adec="http://schemas.microsoft.com/office/drawing/2017/decorative" val="1"/>
                        </a:ext>
                      </a:extLst>
                    </pic:cNvPr>
                    <pic:cNvPicPr/>
                  </pic:nvPicPr>
                  <pic:blipFill>
                    <a:blip r:embed="rId14"/>
                    <a:stretch>
                      <a:fillRect/>
                    </a:stretch>
                  </pic:blipFill>
                  <pic:spPr>
                    <a:xfrm>
                      <a:off x="0" y="0"/>
                      <a:ext cx="9144" cy="12196"/>
                    </a:xfrm>
                    <a:prstGeom prst="rect">
                      <a:avLst/>
                    </a:prstGeom>
                  </pic:spPr>
                </pic:pic>
              </a:graphicData>
            </a:graphic>
          </wp:anchor>
        </w:drawing>
      </w:r>
      <w:r w:rsidRPr="003B49EC">
        <w:rPr>
          <w:rFonts w:ascii="Aptos" w:hAnsi="Aptos"/>
          <w:noProof/>
        </w:rPr>
        <w:drawing>
          <wp:anchor distT="0" distB="0" distL="114300" distR="114300" simplePos="0" relativeHeight="251663360" behindDoc="0" locked="0" layoutInCell="1" allowOverlap="0" wp14:anchorId="3FABBE9C" wp14:editId="05DD1800">
            <wp:simplePos x="0" y="0"/>
            <wp:positionH relativeFrom="page">
              <wp:posOffset>374904</wp:posOffset>
            </wp:positionH>
            <wp:positionV relativeFrom="page">
              <wp:posOffset>3021484</wp:posOffset>
            </wp:positionV>
            <wp:extent cx="15240" cy="12196"/>
            <wp:effectExtent l="0" t="0" r="0" b="0"/>
            <wp:wrapSquare wrapText="bothSides"/>
            <wp:docPr id="4782" name="Picture 47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2" name="Picture 4782">
                      <a:extLst>
                        <a:ext uri="{C183D7F6-B498-43B3-948B-1728B52AA6E4}">
                          <adec:decorative xmlns:adec="http://schemas.microsoft.com/office/drawing/2017/decorative" val="1"/>
                        </a:ext>
                      </a:extLst>
                    </pic:cNvPr>
                    <pic:cNvPicPr/>
                  </pic:nvPicPr>
                  <pic:blipFill>
                    <a:blip r:embed="rId15"/>
                    <a:stretch>
                      <a:fillRect/>
                    </a:stretch>
                  </pic:blipFill>
                  <pic:spPr>
                    <a:xfrm>
                      <a:off x="0" y="0"/>
                      <a:ext cx="15240" cy="12196"/>
                    </a:xfrm>
                    <a:prstGeom prst="rect">
                      <a:avLst/>
                    </a:prstGeom>
                  </pic:spPr>
                </pic:pic>
              </a:graphicData>
            </a:graphic>
          </wp:anchor>
        </w:drawing>
      </w:r>
      <w:r w:rsidRPr="003B49EC">
        <w:rPr>
          <w:rFonts w:ascii="Aptos" w:hAnsi="Aptos"/>
          <w:noProof/>
        </w:rPr>
        <w:drawing>
          <wp:anchor distT="0" distB="0" distL="114300" distR="114300" simplePos="0" relativeHeight="251664384" behindDoc="0" locked="0" layoutInCell="1" allowOverlap="0" wp14:anchorId="6020F47F" wp14:editId="0EE2F5E4">
            <wp:simplePos x="0" y="0"/>
            <wp:positionH relativeFrom="page">
              <wp:posOffset>6870193</wp:posOffset>
            </wp:positionH>
            <wp:positionV relativeFrom="page">
              <wp:posOffset>3478822</wp:posOffset>
            </wp:positionV>
            <wp:extent cx="9144" cy="9147"/>
            <wp:effectExtent l="0" t="0" r="0" b="0"/>
            <wp:wrapSquare wrapText="bothSides"/>
            <wp:docPr id="4784" name="Picture 47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4" name="Picture 4784">
                      <a:extLst>
                        <a:ext uri="{C183D7F6-B498-43B3-948B-1728B52AA6E4}">
                          <adec:decorative xmlns:adec="http://schemas.microsoft.com/office/drawing/2017/decorative" val="1"/>
                        </a:ext>
                      </a:extLst>
                    </pic:cNvPr>
                    <pic:cNvPicPr/>
                  </pic:nvPicPr>
                  <pic:blipFill>
                    <a:blip r:embed="rId16"/>
                    <a:stretch>
                      <a:fillRect/>
                    </a:stretch>
                  </pic:blipFill>
                  <pic:spPr>
                    <a:xfrm>
                      <a:off x="0" y="0"/>
                      <a:ext cx="9144" cy="9147"/>
                    </a:xfrm>
                    <a:prstGeom prst="rect">
                      <a:avLst/>
                    </a:prstGeom>
                  </pic:spPr>
                </pic:pic>
              </a:graphicData>
            </a:graphic>
          </wp:anchor>
        </w:drawing>
      </w:r>
      <w:r w:rsidRPr="003B49EC">
        <w:rPr>
          <w:rFonts w:ascii="Aptos" w:hAnsi="Aptos"/>
          <w:noProof/>
        </w:rPr>
        <w:drawing>
          <wp:anchor distT="0" distB="0" distL="114300" distR="114300" simplePos="0" relativeHeight="251665408" behindDoc="0" locked="0" layoutInCell="1" allowOverlap="0" wp14:anchorId="0E9D520D" wp14:editId="7C8229D9">
            <wp:simplePos x="0" y="0"/>
            <wp:positionH relativeFrom="page">
              <wp:posOffset>566928</wp:posOffset>
            </wp:positionH>
            <wp:positionV relativeFrom="page">
              <wp:posOffset>4695343</wp:posOffset>
            </wp:positionV>
            <wp:extent cx="9144" cy="9147"/>
            <wp:effectExtent l="0" t="0" r="0" b="0"/>
            <wp:wrapSquare wrapText="bothSides"/>
            <wp:docPr id="4787" name="Picture 47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7" name="Picture 4787">
                      <a:extLst>
                        <a:ext uri="{C183D7F6-B498-43B3-948B-1728B52AA6E4}">
                          <adec:decorative xmlns:adec="http://schemas.microsoft.com/office/drawing/2017/decorative" val="1"/>
                        </a:ext>
                      </a:extLst>
                    </pic:cNvPr>
                    <pic:cNvPicPr/>
                  </pic:nvPicPr>
                  <pic:blipFill>
                    <a:blip r:embed="rId17"/>
                    <a:stretch>
                      <a:fillRect/>
                    </a:stretch>
                  </pic:blipFill>
                  <pic:spPr>
                    <a:xfrm>
                      <a:off x="0" y="0"/>
                      <a:ext cx="9144" cy="9147"/>
                    </a:xfrm>
                    <a:prstGeom prst="rect">
                      <a:avLst/>
                    </a:prstGeom>
                  </pic:spPr>
                </pic:pic>
              </a:graphicData>
            </a:graphic>
          </wp:anchor>
        </w:drawing>
      </w:r>
      <w:r w:rsidRPr="003B49EC">
        <w:rPr>
          <w:rFonts w:ascii="Aptos" w:hAnsi="Aptos"/>
          <w:noProof/>
        </w:rPr>
        <w:drawing>
          <wp:anchor distT="0" distB="0" distL="114300" distR="114300" simplePos="0" relativeHeight="251666432" behindDoc="0" locked="0" layoutInCell="1" allowOverlap="0" wp14:anchorId="6A679732" wp14:editId="2A8552C8">
            <wp:simplePos x="0" y="0"/>
            <wp:positionH relativeFrom="page">
              <wp:posOffset>262128</wp:posOffset>
            </wp:positionH>
            <wp:positionV relativeFrom="page">
              <wp:posOffset>1969605</wp:posOffset>
            </wp:positionV>
            <wp:extent cx="9144" cy="9147"/>
            <wp:effectExtent l="0" t="0" r="0" b="0"/>
            <wp:wrapSquare wrapText="bothSides"/>
            <wp:docPr id="4780" name="Picture 47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0" name="Picture 4780">
                      <a:extLst>
                        <a:ext uri="{C183D7F6-B498-43B3-948B-1728B52AA6E4}">
                          <adec:decorative xmlns:adec="http://schemas.microsoft.com/office/drawing/2017/decorative" val="1"/>
                        </a:ext>
                      </a:extLst>
                    </pic:cNvPr>
                    <pic:cNvPicPr/>
                  </pic:nvPicPr>
                  <pic:blipFill>
                    <a:blip r:embed="rId18"/>
                    <a:stretch>
                      <a:fillRect/>
                    </a:stretch>
                  </pic:blipFill>
                  <pic:spPr>
                    <a:xfrm>
                      <a:off x="0" y="0"/>
                      <a:ext cx="9144" cy="9147"/>
                    </a:xfrm>
                    <a:prstGeom prst="rect">
                      <a:avLst/>
                    </a:prstGeom>
                  </pic:spPr>
                </pic:pic>
              </a:graphicData>
            </a:graphic>
          </wp:anchor>
        </w:drawing>
      </w:r>
      <w:r w:rsidRPr="003B49EC">
        <w:rPr>
          <w:rFonts w:ascii="Aptos" w:hAnsi="Aptos"/>
          <w:noProof/>
        </w:rPr>
        <w:drawing>
          <wp:anchor distT="0" distB="0" distL="114300" distR="114300" simplePos="0" relativeHeight="251667456" behindDoc="0" locked="0" layoutInCell="1" allowOverlap="0" wp14:anchorId="28599C1E" wp14:editId="50684475">
            <wp:simplePos x="0" y="0"/>
            <wp:positionH relativeFrom="page">
              <wp:posOffset>381000</wp:posOffset>
            </wp:positionH>
            <wp:positionV relativeFrom="page">
              <wp:posOffset>2021437</wp:posOffset>
            </wp:positionV>
            <wp:extent cx="18288" cy="15245"/>
            <wp:effectExtent l="0" t="0" r="0" b="0"/>
            <wp:wrapSquare wrapText="bothSides"/>
            <wp:docPr id="4781" name="Picture 47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1" name="Picture 4781">
                      <a:extLst>
                        <a:ext uri="{C183D7F6-B498-43B3-948B-1728B52AA6E4}">
                          <adec:decorative xmlns:adec="http://schemas.microsoft.com/office/drawing/2017/decorative" val="1"/>
                        </a:ext>
                      </a:extLst>
                    </pic:cNvPr>
                    <pic:cNvPicPr/>
                  </pic:nvPicPr>
                  <pic:blipFill>
                    <a:blip r:embed="rId19"/>
                    <a:stretch>
                      <a:fillRect/>
                    </a:stretch>
                  </pic:blipFill>
                  <pic:spPr>
                    <a:xfrm>
                      <a:off x="0" y="0"/>
                      <a:ext cx="18288" cy="15245"/>
                    </a:xfrm>
                    <a:prstGeom prst="rect">
                      <a:avLst/>
                    </a:prstGeom>
                  </pic:spPr>
                </pic:pic>
              </a:graphicData>
            </a:graphic>
          </wp:anchor>
        </w:drawing>
      </w:r>
      <w:r w:rsidRPr="003B49EC">
        <w:rPr>
          <w:rFonts w:ascii="Aptos" w:hAnsi="Aptos"/>
        </w:rPr>
        <w:t xml:space="preserve">In order to preserve the confidentiality of the student involved in these proceedings, when an </w:t>
      </w:r>
      <w:r w:rsidRPr="003B49EC">
        <w:rPr>
          <w:rFonts w:ascii="Aptos" w:hAnsi="Aptos"/>
          <w:noProof/>
        </w:rPr>
        <w:drawing>
          <wp:inline distT="0" distB="0" distL="0" distR="0" wp14:anchorId="3DF6995E" wp14:editId="52534206">
            <wp:extent cx="6096" cy="12196"/>
            <wp:effectExtent l="0" t="0" r="0" b="0"/>
            <wp:docPr id="4783" name="Picture 47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3" name="Picture 4783">
                      <a:extLst>
                        <a:ext uri="{C183D7F6-B498-43B3-948B-1728B52AA6E4}">
                          <adec:decorative xmlns:adec="http://schemas.microsoft.com/office/drawing/2017/decorative" val="1"/>
                        </a:ext>
                      </a:extLst>
                    </pic:cNvPr>
                    <pic:cNvPicPr/>
                  </pic:nvPicPr>
                  <pic:blipFill>
                    <a:blip r:embed="rId20"/>
                    <a:stretch>
                      <a:fillRect/>
                    </a:stretch>
                  </pic:blipFill>
                  <pic:spPr>
                    <a:xfrm>
                      <a:off x="0" y="0"/>
                      <a:ext cx="6096" cy="12196"/>
                    </a:xfrm>
                    <a:prstGeom prst="rect">
                      <a:avLst/>
                    </a:prstGeom>
                  </pic:spPr>
                </pic:pic>
              </a:graphicData>
            </a:graphic>
          </wp:inline>
        </w:drawing>
      </w:r>
      <w:r w:rsidRPr="003B49EC">
        <w:rPr>
          <w:rFonts w:ascii="Aptos" w:hAnsi="Aptos"/>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3B49EC">
        <w:rPr>
          <w:rFonts w:ascii="Aptos" w:hAnsi="Aptos"/>
          <w:i/>
          <w:iCs/>
        </w:rPr>
        <w:t xml:space="preserve">Webster </w:t>
      </w:r>
      <w:proofErr w:type="spellStart"/>
      <w:r w:rsidRPr="003B49EC">
        <w:rPr>
          <w:rFonts w:ascii="Aptos" w:hAnsi="Aptos"/>
          <w:i/>
          <w:iCs/>
        </w:rPr>
        <w:t>Grove_School</w:t>
      </w:r>
      <w:proofErr w:type="spellEnd"/>
      <w:r w:rsidRPr="003B49EC">
        <w:rPr>
          <w:rFonts w:ascii="Aptos" w:hAnsi="Aptos"/>
          <w:i/>
          <w:iCs/>
        </w:rPr>
        <w:t xml:space="preserve"> District v. Pulitzer Publishing</w:t>
      </w:r>
    </w:p>
    <w:p w14:paraId="16113A61" w14:textId="77777777" w:rsidR="00E929F9" w:rsidRPr="003B49EC" w:rsidRDefault="00E929F9" w:rsidP="00E929F9">
      <w:pPr>
        <w:spacing w:after="562"/>
        <w:ind w:left="19" w:right="172"/>
        <w:rPr>
          <w:rFonts w:ascii="Aptos" w:hAnsi="Aptos"/>
        </w:rPr>
      </w:pPr>
      <w:r w:rsidRPr="003B49EC">
        <w:rPr>
          <w:rFonts w:ascii="Aptos" w:hAnsi="Aptos"/>
          <w:i/>
          <w:iCs/>
        </w:rPr>
        <w:t>Company</w:t>
      </w:r>
      <w:r w:rsidRPr="003B49EC">
        <w:rPr>
          <w:rFonts w:ascii="Aptos" w:hAnsi="Aptos"/>
        </w:rPr>
        <w:t>, 898 F.2d 1371 (8th. Cir. 1990). If the appealing party does not seek to impound the documents, the Bureau of Special Education Appeals, through the Attorney General's Office, may move to impound the documents.</w:t>
      </w:r>
    </w:p>
    <w:p w14:paraId="2DF95D54" w14:textId="77777777" w:rsidR="00E929F9" w:rsidRPr="003B49EC" w:rsidRDefault="00E929F9" w:rsidP="00E929F9">
      <w:pPr>
        <w:spacing w:after="231" w:line="259" w:lineRule="auto"/>
        <w:ind w:left="62"/>
        <w:rPr>
          <w:rFonts w:ascii="Aptos" w:hAnsi="Aptos"/>
          <w:u w:val="single"/>
        </w:rPr>
      </w:pPr>
      <w:r w:rsidRPr="003B49EC">
        <w:rPr>
          <w:rFonts w:ascii="Aptos" w:hAnsi="Aptos"/>
          <w:u w:val="single"/>
        </w:rPr>
        <w:t>Record of the Hearing</w:t>
      </w:r>
    </w:p>
    <w:p w14:paraId="527E1AEF" w14:textId="77777777" w:rsidR="00E929F9" w:rsidRPr="003B49EC" w:rsidRDefault="00E929F9" w:rsidP="00E929F9">
      <w:pPr>
        <w:ind w:left="19" w:right="172"/>
        <w:rPr>
          <w:rFonts w:ascii="Aptos" w:hAnsi="Aptos"/>
        </w:rPr>
      </w:pPr>
      <w:r w:rsidRPr="003B49EC">
        <w:rPr>
          <w:rFonts w:ascii="Aptos" w:hAnsi="Aptos"/>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4ADC1E3D" w14:textId="77777777" w:rsidR="00E929F9" w:rsidRPr="00B02D1C" w:rsidRDefault="00E929F9" w:rsidP="00E929F9">
      <w:pPr>
        <w:pStyle w:val="NoSpacing"/>
        <w:rPr>
          <w:rFonts w:ascii="Aptos" w:hAnsi="Aptos" w:cs="Times New Roman"/>
          <w:sz w:val="25"/>
          <w:szCs w:val="25"/>
        </w:rPr>
      </w:pPr>
    </w:p>
    <w:p w14:paraId="36F87C02" w14:textId="24E7F848" w:rsidR="00941FA9" w:rsidRPr="009006B8" w:rsidRDefault="00941FA9" w:rsidP="009006B8">
      <w:pPr>
        <w:rPr>
          <w:rFonts w:ascii="Aptos" w:hAnsi="Aptos" w:cs="Times New Roman"/>
          <w:kern w:val="0"/>
          <w:sz w:val="25"/>
          <w:szCs w:val="25"/>
          <w14:ligatures w14:val="none"/>
        </w:rPr>
      </w:pPr>
    </w:p>
    <w:sectPr w:rsidR="00941FA9" w:rsidRPr="009006B8" w:rsidSect="0083557E">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49BBD" w14:textId="77777777" w:rsidR="00424BF0" w:rsidRDefault="00424BF0" w:rsidP="008A4F3D">
      <w:r>
        <w:separator/>
      </w:r>
    </w:p>
  </w:endnote>
  <w:endnote w:type="continuationSeparator" w:id="0">
    <w:p w14:paraId="5779628E" w14:textId="77777777" w:rsidR="00424BF0" w:rsidRDefault="00424BF0" w:rsidP="008A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ngsanaUPC">
    <w:charset w:val="DE"/>
    <w:family w:val="roman"/>
    <w:pitch w:val="variable"/>
    <w:sig w:usb0="81000003" w:usb1="00000000" w:usb2="00000000" w:usb3="00000000" w:csb0="00010001"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933308"/>
      <w:docPartObj>
        <w:docPartGallery w:val="Page Numbers (Bottom of Page)"/>
        <w:docPartUnique/>
      </w:docPartObj>
    </w:sdtPr>
    <w:sdtEndPr>
      <w:rPr>
        <w:rStyle w:val="PageNumber"/>
      </w:rPr>
    </w:sdtEndPr>
    <w:sdtContent>
      <w:p w14:paraId="593941E6" w14:textId="52E48EA1" w:rsidR="005C2650" w:rsidRDefault="005C2650" w:rsidP="008E30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F7104E" w14:textId="77777777" w:rsidR="005C2650" w:rsidRDefault="005C2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Display" w:hAnsi="Aptos Display"/>
      </w:rPr>
      <w:id w:val="-50769054"/>
      <w:docPartObj>
        <w:docPartGallery w:val="Page Numbers (Bottom of Page)"/>
        <w:docPartUnique/>
      </w:docPartObj>
    </w:sdtPr>
    <w:sdtEndPr>
      <w:rPr>
        <w:rStyle w:val="PageNumber"/>
      </w:rPr>
    </w:sdtEndPr>
    <w:sdtContent>
      <w:p w14:paraId="2A219B03" w14:textId="67096DBA" w:rsidR="005C2650" w:rsidRPr="00122451" w:rsidRDefault="005C2650" w:rsidP="008E305B">
        <w:pPr>
          <w:pStyle w:val="Footer"/>
          <w:framePr w:wrap="none" w:vAnchor="text" w:hAnchor="margin" w:xAlign="center" w:y="1"/>
          <w:rPr>
            <w:rStyle w:val="PageNumber"/>
            <w:rFonts w:ascii="Aptos Display" w:hAnsi="Aptos Display"/>
          </w:rPr>
        </w:pPr>
        <w:r w:rsidRPr="00122451">
          <w:rPr>
            <w:rStyle w:val="PageNumber"/>
            <w:rFonts w:ascii="Aptos Display" w:hAnsi="Aptos Display"/>
          </w:rPr>
          <w:fldChar w:fldCharType="begin"/>
        </w:r>
        <w:r w:rsidRPr="00122451">
          <w:rPr>
            <w:rStyle w:val="PageNumber"/>
            <w:rFonts w:ascii="Aptos Display" w:hAnsi="Aptos Display"/>
          </w:rPr>
          <w:instrText xml:space="preserve"> PAGE </w:instrText>
        </w:r>
        <w:r w:rsidRPr="00122451">
          <w:rPr>
            <w:rStyle w:val="PageNumber"/>
            <w:rFonts w:ascii="Aptos Display" w:hAnsi="Aptos Display"/>
          </w:rPr>
          <w:fldChar w:fldCharType="separate"/>
        </w:r>
        <w:r w:rsidRPr="00122451">
          <w:rPr>
            <w:rStyle w:val="PageNumber"/>
            <w:rFonts w:ascii="Aptos Display" w:hAnsi="Aptos Display"/>
            <w:noProof/>
          </w:rPr>
          <w:t>1</w:t>
        </w:r>
        <w:r w:rsidRPr="00122451">
          <w:rPr>
            <w:rStyle w:val="PageNumber"/>
            <w:rFonts w:ascii="Aptos Display" w:hAnsi="Aptos Display"/>
          </w:rPr>
          <w:fldChar w:fldCharType="end"/>
        </w:r>
      </w:p>
    </w:sdtContent>
  </w:sdt>
  <w:p w14:paraId="6ACF3498" w14:textId="77777777" w:rsidR="005C2650" w:rsidRDefault="005C2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57F5" w14:textId="77777777" w:rsidR="00424BF0" w:rsidRDefault="00424BF0" w:rsidP="008A4F3D">
      <w:r>
        <w:separator/>
      </w:r>
    </w:p>
  </w:footnote>
  <w:footnote w:type="continuationSeparator" w:id="0">
    <w:p w14:paraId="1A3D0D64" w14:textId="77777777" w:rsidR="00424BF0" w:rsidRDefault="00424BF0" w:rsidP="008A4F3D">
      <w:r>
        <w:continuationSeparator/>
      </w:r>
    </w:p>
  </w:footnote>
  <w:footnote w:id="1">
    <w:p w14:paraId="72CD6FDD" w14:textId="29794A2A" w:rsidR="002F69AD" w:rsidRPr="005E503E" w:rsidRDefault="002F69AD">
      <w:pPr>
        <w:pStyle w:val="FootnoteText"/>
        <w:rPr>
          <w:rFonts w:ascii="Aptos" w:hAnsi="Aptos" w:cs="AngsanaUPC"/>
          <w:sz w:val="20"/>
          <w:szCs w:val="20"/>
        </w:rPr>
      </w:pPr>
      <w:r w:rsidRPr="009F2251">
        <w:rPr>
          <w:rStyle w:val="FootnoteReference"/>
          <w:rFonts w:ascii="Aptos" w:hAnsi="Aptos"/>
          <w:sz w:val="20"/>
          <w:szCs w:val="20"/>
        </w:rPr>
        <w:footnoteRef/>
      </w:r>
      <w:r w:rsidRPr="009F2251">
        <w:rPr>
          <w:rFonts w:ascii="Aptos" w:hAnsi="Aptos"/>
          <w:sz w:val="20"/>
          <w:szCs w:val="20"/>
        </w:rPr>
        <w:t xml:space="preserve"> “</w:t>
      </w:r>
      <w:r w:rsidR="00E84E22">
        <w:rPr>
          <w:rFonts w:ascii="Aptos" w:hAnsi="Aptos"/>
          <w:sz w:val="20"/>
          <w:szCs w:val="20"/>
        </w:rPr>
        <w:t>Frank</w:t>
      </w:r>
      <w:r w:rsidRPr="009F2251">
        <w:rPr>
          <w:rFonts w:ascii="Aptos" w:hAnsi="Aptos"/>
          <w:sz w:val="20"/>
          <w:szCs w:val="20"/>
        </w:rPr>
        <w:t xml:space="preserve">” is a pseudonym chosen by the Hearing Officer to protect the privacy of the Student in the documents </w:t>
      </w:r>
      <w:r w:rsidRPr="005E503E">
        <w:rPr>
          <w:rFonts w:ascii="Aptos" w:hAnsi="Aptos" w:cs="AngsanaUPC"/>
          <w:sz w:val="20"/>
          <w:szCs w:val="20"/>
        </w:rPr>
        <w:t>available to the public.</w:t>
      </w:r>
    </w:p>
  </w:footnote>
  <w:footnote w:id="2">
    <w:p w14:paraId="4091C57E" w14:textId="6C90B961" w:rsidR="00CD6672" w:rsidRPr="00CD6672" w:rsidRDefault="00CD6672">
      <w:pPr>
        <w:pStyle w:val="FootnoteText"/>
        <w:rPr>
          <w:rFonts w:ascii="Aptos" w:hAnsi="Aptos"/>
          <w:sz w:val="20"/>
          <w:szCs w:val="20"/>
        </w:rPr>
      </w:pPr>
      <w:r w:rsidRPr="00CD6672">
        <w:rPr>
          <w:rStyle w:val="FootnoteReference"/>
          <w:rFonts w:ascii="Aptos" w:hAnsi="Aptos"/>
          <w:sz w:val="20"/>
          <w:szCs w:val="20"/>
        </w:rPr>
        <w:footnoteRef/>
      </w:r>
      <w:r w:rsidRPr="00CD6672">
        <w:rPr>
          <w:rFonts w:ascii="Aptos" w:hAnsi="Aptos"/>
          <w:sz w:val="20"/>
          <w:szCs w:val="20"/>
        </w:rPr>
        <w:t xml:space="preserve"> In their </w:t>
      </w:r>
      <w:r w:rsidRPr="00CD6672">
        <w:rPr>
          <w:rFonts w:ascii="Aptos" w:hAnsi="Aptos"/>
          <w:i/>
          <w:iCs/>
          <w:sz w:val="20"/>
          <w:szCs w:val="20"/>
        </w:rPr>
        <w:t>Hearing Request</w:t>
      </w:r>
      <w:r w:rsidRPr="00CD6672">
        <w:rPr>
          <w:rFonts w:ascii="Aptos" w:hAnsi="Aptos"/>
          <w:sz w:val="20"/>
          <w:szCs w:val="20"/>
        </w:rPr>
        <w:t>, Parents allege harm to Frank as Claim F.</w:t>
      </w:r>
    </w:p>
  </w:footnote>
  <w:footnote w:id="3">
    <w:p w14:paraId="0B752E33" w14:textId="54B25074" w:rsidR="00CA77DF" w:rsidRPr="002F39B6" w:rsidRDefault="00CA77DF" w:rsidP="00CA77DF">
      <w:pPr>
        <w:pStyle w:val="FootnoteText"/>
        <w:rPr>
          <w:rFonts w:ascii="Aptos" w:hAnsi="Aptos"/>
          <w:sz w:val="20"/>
          <w:szCs w:val="20"/>
        </w:rPr>
      </w:pPr>
      <w:r w:rsidRPr="00CD6672">
        <w:rPr>
          <w:rStyle w:val="FootnoteReference"/>
          <w:rFonts w:ascii="Aptos" w:hAnsi="Aptos"/>
          <w:sz w:val="20"/>
          <w:szCs w:val="20"/>
        </w:rPr>
        <w:footnoteRef/>
      </w:r>
      <w:r w:rsidRPr="00CD6672">
        <w:rPr>
          <w:rStyle w:val="FootnoteReference"/>
          <w:rFonts w:ascii="Aptos" w:hAnsi="Aptos"/>
          <w:sz w:val="20"/>
          <w:szCs w:val="20"/>
        </w:rPr>
        <w:t xml:space="preserve"> </w:t>
      </w:r>
      <w:r w:rsidR="00CD6672" w:rsidRPr="00CD6672">
        <w:rPr>
          <w:rFonts w:ascii="Aptos" w:hAnsi="Aptos"/>
          <w:sz w:val="20"/>
          <w:szCs w:val="20"/>
        </w:rPr>
        <w:t xml:space="preserve"> </w:t>
      </w:r>
      <w:r w:rsidR="00CD6672" w:rsidRPr="00CD6672">
        <w:rPr>
          <w:rFonts w:ascii="Aptos" w:hAnsi="Aptos"/>
          <w:i/>
          <w:iCs/>
          <w:sz w:val="20"/>
          <w:szCs w:val="20"/>
        </w:rPr>
        <w:t>Cf.</w:t>
      </w:r>
      <w:r w:rsidRPr="00CD6672">
        <w:rPr>
          <w:rFonts w:ascii="Aptos" w:hAnsi="Aptos"/>
          <w:sz w:val="20"/>
          <w:szCs w:val="20"/>
        </w:rPr>
        <w:t xml:space="preserve"> </w:t>
      </w:r>
      <w:r w:rsidR="00CD6672" w:rsidRPr="00CD6672">
        <w:rPr>
          <w:rFonts w:ascii="Aptos" w:hAnsi="Aptos"/>
          <w:sz w:val="20"/>
          <w:szCs w:val="20"/>
        </w:rPr>
        <w:t xml:space="preserve">Rule I(G) of the </w:t>
      </w:r>
      <w:r w:rsidRPr="00CD6672">
        <w:rPr>
          <w:rFonts w:ascii="Aptos" w:hAnsi="Aptos"/>
          <w:sz w:val="20"/>
          <w:szCs w:val="20"/>
        </w:rPr>
        <w:t xml:space="preserve">BSEA </w:t>
      </w:r>
      <w:r w:rsidRPr="00CD6672">
        <w:rPr>
          <w:rFonts w:ascii="Aptos" w:hAnsi="Aptos"/>
          <w:i/>
          <w:iCs/>
          <w:sz w:val="20"/>
          <w:szCs w:val="20"/>
        </w:rPr>
        <w:t>Hearing Rules</w:t>
      </w:r>
      <w:r w:rsidRPr="00CD6672">
        <w:rPr>
          <w:rFonts w:ascii="Aptos" w:hAnsi="Aptos"/>
          <w:sz w:val="20"/>
          <w:szCs w:val="20"/>
        </w:rPr>
        <w:t xml:space="preserve"> (permitting moving party to amend hearing</w:t>
      </w:r>
      <w:r w:rsidRPr="002F39B6">
        <w:rPr>
          <w:rFonts w:ascii="Aptos" w:hAnsi="Aptos"/>
          <w:sz w:val="20"/>
          <w:szCs w:val="20"/>
        </w:rPr>
        <w:t xml:space="preserve"> request under two circumstances: in response to a Hearing Officer’s determination that a hearing request is insufficient, and if the other party consents in writing or the Hearing Officer gran</w:t>
      </w:r>
      <w:r w:rsidR="00CD6672">
        <w:rPr>
          <w:rFonts w:ascii="Aptos" w:hAnsi="Aptos"/>
          <w:sz w:val="20"/>
          <w:szCs w:val="20"/>
        </w:rPr>
        <w:t>t</w:t>
      </w:r>
      <w:r w:rsidRPr="002F39B6">
        <w:rPr>
          <w:rFonts w:ascii="Aptos" w:hAnsi="Aptos"/>
          <w:sz w:val="20"/>
          <w:szCs w:val="20"/>
        </w:rPr>
        <w:t>s permission, not later than five calendar days before the start of the Hearing).</w:t>
      </w:r>
    </w:p>
  </w:footnote>
  <w:footnote w:id="4">
    <w:p w14:paraId="29BD8E30" w14:textId="0D4CB4DB" w:rsidR="00CA77DF" w:rsidRPr="001240B7" w:rsidRDefault="00CA77DF">
      <w:pPr>
        <w:pStyle w:val="FootnoteText"/>
        <w:rPr>
          <w:rFonts w:ascii="Aptos" w:hAnsi="Aptos"/>
          <w:sz w:val="20"/>
          <w:szCs w:val="20"/>
        </w:rPr>
      </w:pPr>
      <w:r w:rsidRPr="001240B7">
        <w:rPr>
          <w:rStyle w:val="FootnoteReference"/>
          <w:rFonts w:ascii="Aptos" w:hAnsi="Aptos"/>
          <w:sz w:val="20"/>
          <w:szCs w:val="20"/>
        </w:rPr>
        <w:footnoteRef/>
      </w:r>
      <w:r w:rsidRPr="001240B7">
        <w:rPr>
          <w:rFonts w:ascii="Aptos" w:hAnsi="Aptos"/>
          <w:sz w:val="20"/>
          <w:szCs w:val="20"/>
        </w:rPr>
        <w:t xml:space="preserve"> See </w:t>
      </w:r>
      <w:r w:rsidRPr="001240B7">
        <w:rPr>
          <w:rFonts w:ascii="Aptos" w:hAnsi="Aptos"/>
          <w:i/>
          <w:iCs/>
          <w:sz w:val="20"/>
          <w:szCs w:val="20"/>
        </w:rPr>
        <w:t>id</w:t>
      </w:r>
      <w:r w:rsidRPr="001240B7">
        <w:rPr>
          <w:rFonts w:ascii="Aptos" w:hAnsi="Aptos"/>
          <w:sz w:val="20"/>
          <w:szCs w:val="20"/>
        </w:rPr>
        <w:t>.</w:t>
      </w:r>
    </w:p>
  </w:footnote>
  <w:footnote w:id="5">
    <w:p w14:paraId="6F87C080" w14:textId="58F832DE" w:rsidR="001240B7" w:rsidRPr="001240B7" w:rsidRDefault="001240B7">
      <w:pPr>
        <w:pStyle w:val="FootnoteText"/>
        <w:rPr>
          <w:rFonts w:ascii="Aptos" w:hAnsi="Aptos"/>
          <w:sz w:val="20"/>
          <w:szCs w:val="20"/>
        </w:rPr>
      </w:pPr>
      <w:r w:rsidRPr="001240B7">
        <w:rPr>
          <w:rStyle w:val="FootnoteReference"/>
          <w:rFonts w:ascii="Aptos" w:hAnsi="Aptos"/>
          <w:sz w:val="20"/>
          <w:szCs w:val="20"/>
        </w:rPr>
        <w:footnoteRef/>
      </w:r>
      <w:r w:rsidRPr="001240B7">
        <w:rPr>
          <w:rFonts w:ascii="Aptos" w:hAnsi="Aptos"/>
          <w:sz w:val="20"/>
          <w:szCs w:val="20"/>
        </w:rPr>
        <w:t xml:space="preserve"> The Department also requested an extension through close of business on January 16, 2026 to file its </w:t>
      </w:r>
      <w:r w:rsidRPr="001240B7">
        <w:rPr>
          <w:rFonts w:ascii="Aptos" w:hAnsi="Aptos"/>
          <w:i/>
          <w:iCs/>
          <w:sz w:val="20"/>
          <w:szCs w:val="20"/>
        </w:rPr>
        <w:t>Response</w:t>
      </w:r>
      <w:r w:rsidRPr="001240B7">
        <w:rPr>
          <w:rFonts w:ascii="Aptos" w:hAnsi="Aptos"/>
          <w:sz w:val="20"/>
          <w:szCs w:val="20"/>
        </w:rPr>
        <w:t xml:space="preserve"> to Parents’ </w:t>
      </w:r>
      <w:r w:rsidRPr="001240B7">
        <w:rPr>
          <w:rFonts w:ascii="Aptos" w:hAnsi="Aptos"/>
          <w:i/>
          <w:iCs/>
          <w:sz w:val="20"/>
          <w:szCs w:val="20"/>
        </w:rPr>
        <w:t>Hearing Request</w:t>
      </w:r>
      <w:r w:rsidRPr="001240B7">
        <w:rPr>
          <w:rFonts w:ascii="Aptos" w:hAnsi="Aptos"/>
          <w:sz w:val="20"/>
          <w:szCs w:val="20"/>
        </w:rPr>
        <w:t>. Parents assented, and this request was allowed.</w:t>
      </w:r>
    </w:p>
  </w:footnote>
  <w:footnote w:id="6">
    <w:p w14:paraId="4040D0B5" w14:textId="77777777" w:rsidR="001B22E2" w:rsidRPr="00795EFA" w:rsidRDefault="001B22E2" w:rsidP="001B22E2">
      <w:pPr>
        <w:pStyle w:val="FootnoteText"/>
        <w:rPr>
          <w:rFonts w:ascii="Aptos" w:hAnsi="Aptos" w:cs="Times New Roman"/>
          <w:sz w:val="20"/>
          <w:szCs w:val="20"/>
        </w:rPr>
      </w:pPr>
      <w:r w:rsidRPr="001240B7">
        <w:rPr>
          <w:rStyle w:val="FootnoteReference"/>
          <w:rFonts w:ascii="Aptos" w:hAnsi="Aptos" w:cs="Times New Roman"/>
          <w:sz w:val="20"/>
          <w:szCs w:val="20"/>
        </w:rPr>
        <w:footnoteRef/>
      </w:r>
      <w:r w:rsidRPr="001240B7">
        <w:rPr>
          <w:rFonts w:ascii="Aptos" w:hAnsi="Aptos" w:cs="Times New Roman"/>
          <w:sz w:val="20"/>
          <w:szCs w:val="20"/>
        </w:rPr>
        <w:t xml:space="preserve"> </w:t>
      </w:r>
      <w:r w:rsidRPr="001240B7">
        <w:rPr>
          <w:rFonts w:ascii="Aptos" w:hAnsi="Aptos" w:cs="Times New Roman"/>
          <w:i/>
          <w:sz w:val="20"/>
          <w:szCs w:val="20"/>
        </w:rPr>
        <w:t>Iannocchino v. Ford Motor Co.</w:t>
      </w:r>
      <w:r w:rsidRPr="001240B7">
        <w:rPr>
          <w:rFonts w:ascii="Aptos" w:hAnsi="Aptos" w:cs="Times New Roman"/>
          <w:sz w:val="20"/>
          <w:szCs w:val="20"/>
        </w:rPr>
        <w:t xml:space="preserve">, 451 Mass. 623, 636 (2008) (quoting </w:t>
      </w:r>
      <w:r w:rsidRPr="001240B7">
        <w:rPr>
          <w:rFonts w:ascii="Aptos" w:hAnsi="Aptos" w:cs="Times New Roman"/>
          <w:i/>
          <w:sz w:val="20"/>
          <w:szCs w:val="20"/>
        </w:rPr>
        <w:t>Bell Atl. Corp. v. Twombly</w:t>
      </w:r>
      <w:r w:rsidRPr="001240B7">
        <w:rPr>
          <w:rFonts w:ascii="Aptos" w:hAnsi="Aptos" w:cs="Times New Roman"/>
          <w:sz w:val="20"/>
          <w:szCs w:val="20"/>
        </w:rPr>
        <w:t>, 550 U.S. 544, 557 (2007)).</w:t>
      </w:r>
      <w:r w:rsidRPr="00795EFA">
        <w:rPr>
          <w:rFonts w:ascii="Aptos" w:hAnsi="Aptos" w:cs="Times New Roman"/>
          <w:sz w:val="20"/>
          <w:szCs w:val="20"/>
        </w:rPr>
        <w:t xml:space="preserve">   </w:t>
      </w:r>
    </w:p>
  </w:footnote>
  <w:footnote w:id="7">
    <w:p w14:paraId="2854505C" w14:textId="682CBD3C" w:rsidR="00795EFA" w:rsidRPr="00795EFA" w:rsidRDefault="00795EFA">
      <w:pPr>
        <w:pStyle w:val="FootnoteText"/>
        <w:rPr>
          <w:rFonts w:ascii="Aptos" w:hAnsi="Aptos"/>
          <w:sz w:val="20"/>
          <w:szCs w:val="20"/>
        </w:rPr>
      </w:pPr>
      <w:r w:rsidRPr="00795EFA">
        <w:rPr>
          <w:rStyle w:val="FootnoteReference"/>
          <w:rFonts w:ascii="Aptos" w:hAnsi="Aptos"/>
          <w:sz w:val="20"/>
          <w:szCs w:val="20"/>
        </w:rPr>
        <w:footnoteRef/>
      </w:r>
      <w:r w:rsidRPr="00795EFA">
        <w:rPr>
          <w:rFonts w:ascii="Aptos" w:hAnsi="Aptos"/>
          <w:sz w:val="20"/>
          <w:szCs w:val="20"/>
        </w:rPr>
        <w:t xml:space="preserve"> </w:t>
      </w:r>
      <w:r w:rsidRPr="00795EFA">
        <w:rPr>
          <w:rFonts w:ascii="Aptos" w:hAnsi="Aptos"/>
          <w:i/>
          <w:iCs/>
          <w:sz w:val="20"/>
          <w:szCs w:val="20"/>
        </w:rPr>
        <w:t>Ashcroft v. Iqbal</w:t>
      </w:r>
      <w:r w:rsidRPr="00795EFA">
        <w:rPr>
          <w:rFonts w:ascii="Aptos" w:hAnsi="Aptos"/>
          <w:sz w:val="20"/>
          <w:szCs w:val="20"/>
        </w:rPr>
        <w:t>, 556 U.S. 662, 678 (2009).</w:t>
      </w:r>
    </w:p>
  </w:footnote>
  <w:footnote w:id="8">
    <w:p w14:paraId="0CE58880" w14:textId="77777777" w:rsidR="00795EFA" w:rsidRPr="00795EFA" w:rsidRDefault="00795EFA" w:rsidP="00795EFA">
      <w:pPr>
        <w:pStyle w:val="FootnoteText"/>
        <w:tabs>
          <w:tab w:val="left" w:pos="7200"/>
        </w:tabs>
        <w:rPr>
          <w:rFonts w:ascii="Aptos" w:hAnsi="Aptos" w:cs="Times New Roman"/>
          <w:sz w:val="20"/>
          <w:szCs w:val="20"/>
        </w:rPr>
      </w:pPr>
      <w:r w:rsidRPr="00795EFA">
        <w:rPr>
          <w:rStyle w:val="FootnoteReference"/>
          <w:rFonts w:ascii="Aptos" w:hAnsi="Aptos" w:cs="Times New Roman"/>
          <w:sz w:val="20"/>
          <w:szCs w:val="20"/>
        </w:rPr>
        <w:footnoteRef/>
      </w:r>
      <w:r w:rsidRPr="00795EFA">
        <w:rPr>
          <w:rFonts w:ascii="Aptos" w:hAnsi="Aptos" w:cs="Times New Roman"/>
          <w:sz w:val="20"/>
          <w:szCs w:val="20"/>
        </w:rPr>
        <w:t xml:space="preserve"> </w:t>
      </w:r>
      <w:r w:rsidRPr="00795EFA">
        <w:rPr>
          <w:rFonts w:ascii="Aptos" w:hAnsi="Aptos" w:cs="Times New Roman"/>
          <w:i/>
          <w:sz w:val="20"/>
          <w:szCs w:val="20"/>
        </w:rPr>
        <w:t>Blank v. Chelmsford Ob/Gyn, P.C.</w:t>
      </w:r>
      <w:r w:rsidRPr="00795EFA">
        <w:rPr>
          <w:rFonts w:ascii="Aptos" w:hAnsi="Aptos" w:cs="Times New Roman"/>
          <w:sz w:val="20"/>
          <w:szCs w:val="20"/>
        </w:rPr>
        <w:t>, 420 Mass. 404, 407 (1995).</w:t>
      </w:r>
      <w:r w:rsidRPr="00795EFA">
        <w:rPr>
          <w:rFonts w:ascii="Aptos" w:hAnsi="Aptos" w:cs="Times New Roman"/>
          <w:sz w:val="20"/>
          <w:szCs w:val="20"/>
        </w:rPr>
        <w:tab/>
      </w:r>
    </w:p>
  </w:footnote>
  <w:footnote w:id="9">
    <w:p w14:paraId="5CB23CF0" w14:textId="77777777" w:rsidR="00795EFA" w:rsidRPr="00B609A3" w:rsidRDefault="00795EFA" w:rsidP="00795EFA">
      <w:pPr>
        <w:pStyle w:val="FootnoteText"/>
        <w:rPr>
          <w:rFonts w:ascii="Aptos" w:hAnsi="Aptos" w:cs="Times New Roman"/>
          <w:sz w:val="20"/>
          <w:szCs w:val="20"/>
        </w:rPr>
      </w:pPr>
      <w:r w:rsidRPr="00795EFA">
        <w:rPr>
          <w:rStyle w:val="FootnoteReference"/>
          <w:rFonts w:ascii="Aptos" w:hAnsi="Aptos" w:cs="Times New Roman"/>
          <w:sz w:val="20"/>
          <w:szCs w:val="20"/>
        </w:rPr>
        <w:footnoteRef/>
      </w:r>
      <w:r w:rsidRPr="00795EFA">
        <w:rPr>
          <w:rFonts w:ascii="Aptos" w:hAnsi="Aptos" w:cs="Times New Roman"/>
          <w:sz w:val="20"/>
          <w:szCs w:val="20"/>
        </w:rPr>
        <w:t xml:space="preserve"> </w:t>
      </w:r>
      <w:r w:rsidRPr="00795EFA">
        <w:rPr>
          <w:rFonts w:ascii="Aptos" w:hAnsi="Aptos" w:cs="Times New Roman"/>
          <w:i/>
          <w:sz w:val="20"/>
          <w:szCs w:val="20"/>
        </w:rPr>
        <w:t>Golchin v. Liberty Mut. Ins. Co.</w:t>
      </w:r>
      <w:r w:rsidRPr="00795EFA">
        <w:rPr>
          <w:rFonts w:ascii="Aptos" w:hAnsi="Aptos" w:cs="Times New Roman"/>
          <w:sz w:val="20"/>
          <w:szCs w:val="20"/>
        </w:rPr>
        <w:t xml:space="preserve">, 460 Mass. 222, 223 (2011) (internal quotation marks and citations omitted); see </w:t>
      </w:r>
      <w:r w:rsidRPr="00795EFA">
        <w:rPr>
          <w:rFonts w:ascii="Aptos" w:hAnsi="Aptos" w:cs="Times New Roman"/>
          <w:i/>
          <w:iCs/>
          <w:sz w:val="20"/>
          <w:szCs w:val="20"/>
        </w:rPr>
        <w:t>Ocasio-Hernandez v. Fortuno-Burset,</w:t>
      </w:r>
      <w:r w:rsidRPr="00795EFA">
        <w:rPr>
          <w:rFonts w:ascii="Aptos" w:hAnsi="Aptos" w:cs="Times New Roman"/>
          <w:sz w:val="20"/>
          <w:szCs w:val="20"/>
        </w:rPr>
        <w:t xml:space="preserve"> 640 F.3d 1, 12 (1st Cir. 2011) (internal citation omitted) (“in order to ‘show’ an entitlement to relief a complaint must contain enough factual material ‘to raise a right to relief above the speculative level on the assumption that all the allegations in the complaint are true (even if doubtful in fact)’”).</w:t>
      </w:r>
    </w:p>
  </w:footnote>
  <w:footnote w:id="10">
    <w:p w14:paraId="6974C8EB" w14:textId="2311C212" w:rsidR="001B22E2" w:rsidRPr="009D3D58" w:rsidRDefault="001B22E2" w:rsidP="001B22E2">
      <w:pPr>
        <w:pStyle w:val="FootnoteText"/>
        <w:rPr>
          <w:rFonts w:ascii="Aptos" w:hAnsi="Aptos" w:cs="Times New Roman"/>
          <w:sz w:val="20"/>
          <w:szCs w:val="20"/>
        </w:rPr>
      </w:pPr>
      <w:r w:rsidRPr="009D3D58">
        <w:rPr>
          <w:rStyle w:val="FootnoteReference"/>
          <w:rFonts w:ascii="Aptos" w:hAnsi="Aptos" w:cs="Times New Roman"/>
          <w:sz w:val="20"/>
          <w:szCs w:val="20"/>
        </w:rPr>
        <w:footnoteRef/>
      </w:r>
      <w:r w:rsidRPr="009D3D58">
        <w:rPr>
          <w:rFonts w:ascii="Aptos" w:hAnsi="Aptos" w:cs="Times New Roman"/>
          <w:sz w:val="20"/>
          <w:szCs w:val="20"/>
        </w:rPr>
        <w:t xml:space="preserve"> 20 U.S.C. §</w:t>
      </w:r>
      <w:r w:rsidR="0096602E" w:rsidRPr="009D3D58">
        <w:rPr>
          <w:rFonts w:ascii="Aptos" w:hAnsi="Aptos" w:cs="Times New Roman"/>
          <w:sz w:val="20"/>
          <w:szCs w:val="20"/>
        </w:rPr>
        <w:t xml:space="preserve"> </w:t>
      </w:r>
      <w:r w:rsidRPr="009D3D58">
        <w:rPr>
          <w:rFonts w:ascii="Aptos" w:hAnsi="Aptos" w:cs="Times New Roman"/>
          <w:sz w:val="20"/>
          <w:szCs w:val="20"/>
        </w:rPr>
        <w:t>1415(b)(6).</w:t>
      </w:r>
    </w:p>
  </w:footnote>
  <w:footnote w:id="11">
    <w:p w14:paraId="404CCCD7" w14:textId="4EEE6EA4" w:rsidR="001B22E2" w:rsidRPr="009D3D58" w:rsidRDefault="001B22E2" w:rsidP="001B22E2">
      <w:pPr>
        <w:pStyle w:val="FootnoteText"/>
        <w:rPr>
          <w:rFonts w:ascii="Aptos" w:hAnsi="Aptos" w:cs="Times New Roman"/>
          <w:sz w:val="20"/>
          <w:szCs w:val="20"/>
        </w:rPr>
      </w:pPr>
      <w:r w:rsidRPr="009D3D58">
        <w:rPr>
          <w:rStyle w:val="FootnoteReference"/>
          <w:rFonts w:ascii="Aptos" w:hAnsi="Aptos" w:cs="Times New Roman"/>
          <w:sz w:val="20"/>
          <w:szCs w:val="20"/>
        </w:rPr>
        <w:footnoteRef/>
      </w:r>
      <w:r w:rsidRPr="009D3D58">
        <w:rPr>
          <w:rFonts w:ascii="Aptos" w:hAnsi="Aptos" w:cs="Times New Roman"/>
          <w:sz w:val="20"/>
          <w:szCs w:val="20"/>
        </w:rPr>
        <w:t xml:space="preserve"> 603 CMR 28.08(3)(a).</w:t>
      </w:r>
      <w:r w:rsidR="00756E31" w:rsidRPr="009D3D58">
        <w:rPr>
          <w:rFonts w:ascii="Aptos" w:hAnsi="Aptos" w:cs="Times New Roman"/>
          <w:sz w:val="20"/>
          <w:szCs w:val="20"/>
        </w:rPr>
        <w:t xml:space="preserve"> Sections 3(c) and 3(d) of 603 CMR 28.08 contain certain exceptions</w:t>
      </w:r>
      <w:r w:rsidR="0032713E" w:rsidRPr="009D3D58">
        <w:rPr>
          <w:rFonts w:ascii="Aptos" w:hAnsi="Aptos" w:cs="Times New Roman"/>
          <w:sz w:val="20"/>
          <w:szCs w:val="20"/>
        </w:rPr>
        <w:t xml:space="preserve"> that do not apply here.</w:t>
      </w:r>
    </w:p>
  </w:footnote>
  <w:footnote w:id="12">
    <w:p w14:paraId="3EF82F92" w14:textId="4493655F" w:rsidR="00A13BDD" w:rsidRDefault="00A13BDD">
      <w:pPr>
        <w:pStyle w:val="FootnoteText"/>
      </w:pPr>
      <w:r w:rsidRPr="009D3D58">
        <w:rPr>
          <w:rStyle w:val="FootnoteReference"/>
          <w:rFonts w:ascii="Aptos" w:hAnsi="Aptos"/>
          <w:sz w:val="20"/>
          <w:szCs w:val="20"/>
        </w:rPr>
        <w:footnoteRef/>
      </w:r>
      <w:r w:rsidRPr="009D3D58">
        <w:rPr>
          <w:rFonts w:ascii="Aptos" w:hAnsi="Aptos"/>
          <w:sz w:val="20"/>
          <w:szCs w:val="20"/>
        </w:rPr>
        <w:t xml:space="preserve"> </w:t>
      </w:r>
      <w:r w:rsidRPr="009D3D58">
        <w:rPr>
          <w:rFonts w:ascii="Aptos" w:hAnsi="Aptos"/>
          <w:i/>
          <w:iCs/>
          <w:sz w:val="20"/>
          <w:szCs w:val="20"/>
        </w:rPr>
        <w:t>In Re: Parent and Student v. Springfield Public Schools et al.</w:t>
      </w:r>
      <w:r w:rsidRPr="009D3D58">
        <w:rPr>
          <w:rFonts w:ascii="Aptos" w:hAnsi="Aptos"/>
          <w:sz w:val="20"/>
          <w:szCs w:val="20"/>
        </w:rPr>
        <w:t xml:space="preserve"> (</w:t>
      </w:r>
      <w:r w:rsidRPr="009D3D58">
        <w:rPr>
          <w:rFonts w:ascii="Aptos" w:hAnsi="Aptos"/>
          <w:i/>
          <w:iCs/>
          <w:sz w:val="20"/>
          <w:szCs w:val="20"/>
        </w:rPr>
        <w:t>Ruling on Defendants’ Motions to Dismiss)</w:t>
      </w:r>
      <w:r w:rsidRPr="009D3D58">
        <w:rPr>
          <w:rFonts w:ascii="Aptos" w:hAnsi="Aptos"/>
          <w:sz w:val="20"/>
          <w:szCs w:val="20"/>
        </w:rPr>
        <w:t>, BSEA #230935</w:t>
      </w:r>
      <w:r w:rsidR="00602968">
        <w:rPr>
          <w:rFonts w:ascii="Aptos" w:hAnsi="Aptos"/>
          <w:sz w:val="20"/>
          <w:szCs w:val="20"/>
        </w:rPr>
        <w:t xml:space="preserve">1 </w:t>
      </w:r>
      <w:r w:rsidRPr="009D3D58">
        <w:rPr>
          <w:rFonts w:ascii="Aptos" w:hAnsi="Aptos"/>
          <w:sz w:val="20"/>
          <w:szCs w:val="20"/>
        </w:rPr>
        <w:t xml:space="preserve">(Mitchell, 2023) </w:t>
      </w:r>
      <w:r w:rsidR="00427E4A" w:rsidRPr="009D3D58">
        <w:rPr>
          <w:rFonts w:ascii="Aptos" w:hAnsi="Aptos"/>
          <w:sz w:val="20"/>
          <w:szCs w:val="20"/>
        </w:rPr>
        <w:t xml:space="preserve">[hereinafter </w:t>
      </w:r>
      <w:r w:rsidR="00427E4A" w:rsidRPr="009D3D58">
        <w:rPr>
          <w:rFonts w:ascii="Aptos" w:hAnsi="Aptos"/>
          <w:i/>
          <w:iCs/>
          <w:sz w:val="20"/>
          <w:szCs w:val="20"/>
        </w:rPr>
        <w:t>Springfield Ruling</w:t>
      </w:r>
      <w:r w:rsidR="00427E4A" w:rsidRPr="009D3D58">
        <w:rPr>
          <w:rFonts w:ascii="Aptos" w:hAnsi="Aptos"/>
          <w:sz w:val="20"/>
          <w:szCs w:val="20"/>
        </w:rPr>
        <w:t>]</w:t>
      </w:r>
      <w:r w:rsidR="00427E4A">
        <w:rPr>
          <w:rFonts w:ascii="Aptos" w:hAnsi="Aptos"/>
          <w:sz w:val="20"/>
          <w:szCs w:val="20"/>
        </w:rPr>
        <w:t xml:space="preserve"> </w:t>
      </w:r>
      <w:r w:rsidRPr="009D3D58">
        <w:rPr>
          <w:rFonts w:ascii="Aptos" w:hAnsi="Aptos"/>
          <w:sz w:val="20"/>
          <w:szCs w:val="20"/>
        </w:rPr>
        <w:t xml:space="preserve">(citing </w:t>
      </w:r>
      <w:r w:rsidRPr="009D3D58">
        <w:rPr>
          <w:rFonts w:ascii="Aptos" w:hAnsi="Aptos"/>
          <w:i/>
          <w:iCs/>
          <w:sz w:val="20"/>
          <w:szCs w:val="20"/>
        </w:rPr>
        <w:t>In Re</w:t>
      </w:r>
      <w:r w:rsidR="000770B8">
        <w:rPr>
          <w:rFonts w:ascii="Aptos" w:hAnsi="Aptos"/>
          <w:i/>
          <w:iCs/>
          <w:sz w:val="20"/>
          <w:szCs w:val="20"/>
        </w:rPr>
        <w:t>:</w:t>
      </w:r>
      <w:r w:rsidRPr="009D3D58">
        <w:rPr>
          <w:rFonts w:ascii="Aptos" w:hAnsi="Aptos"/>
          <w:i/>
          <w:iCs/>
          <w:sz w:val="20"/>
          <w:szCs w:val="20"/>
        </w:rPr>
        <w:t xml:space="preserve"> Student v. Springfield Public </w:t>
      </w:r>
      <w:r w:rsidRPr="009D3D58">
        <w:rPr>
          <w:rFonts w:ascii="Aptos" w:hAnsi="Aptos"/>
          <w:sz w:val="20"/>
          <w:szCs w:val="20"/>
        </w:rPr>
        <w:t xml:space="preserve">Schools, BSEA #2203555 and 2210887 </w:t>
      </w:r>
      <w:r w:rsidR="00427E4A">
        <w:rPr>
          <w:rFonts w:ascii="Aptos" w:hAnsi="Aptos"/>
          <w:sz w:val="20"/>
          <w:szCs w:val="20"/>
        </w:rPr>
        <w:t xml:space="preserve">(Berman, 2022) </w:t>
      </w:r>
      <w:r w:rsidRPr="009D3D58">
        <w:rPr>
          <w:rFonts w:ascii="Aptos" w:hAnsi="Aptos"/>
          <w:sz w:val="20"/>
          <w:szCs w:val="20"/>
        </w:rPr>
        <w:t>(internal quotation marks and additional citations omitted)).</w:t>
      </w:r>
    </w:p>
  </w:footnote>
  <w:footnote w:id="13">
    <w:p w14:paraId="18915B19" w14:textId="6BAE9BA0" w:rsidR="00A116C7" w:rsidRPr="00A116C7" w:rsidRDefault="00A116C7" w:rsidP="00160234">
      <w:pPr>
        <w:pStyle w:val="NoSpacing"/>
        <w:rPr>
          <w:rFonts w:ascii="Aptos" w:hAnsi="Aptos" w:cs="Times New Roman"/>
          <w:iCs/>
          <w:sz w:val="20"/>
          <w:szCs w:val="20"/>
        </w:rPr>
      </w:pPr>
      <w:r w:rsidRPr="00A116C7">
        <w:rPr>
          <w:rStyle w:val="FootnoteReference"/>
          <w:rFonts w:ascii="Aptos" w:hAnsi="Aptos"/>
          <w:sz w:val="20"/>
          <w:szCs w:val="20"/>
        </w:rPr>
        <w:footnoteRef/>
      </w:r>
      <w:r w:rsidRPr="00A116C7">
        <w:rPr>
          <w:rFonts w:ascii="Aptos" w:hAnsi="Aptos"/>
          <w:sz w:val="20"/>
          <w:szCs w:val="20"/>
        </w:rPr>
        <w:t xml:space="preserve"> </w:t>
      </w:r>
      <w:r w:rsidRPr="00A116C7">
        <w:rPr>
          <w:rFonts w:ascii="Aptos" w:hAnsi="Aptos" w:cs="Times New Roman"/>
          <w:iCs/>
          <w:sz w:val="20"/>
          <w:szCs w:val="20"/>
        </w:rPr>
        <w:t xml:space="preserve">Pursuant to 20 U.S.C. </w:t>
      </w:r>
      <w:r w:rsidRPr="00A116C7">
        <w:rPr>
          <w:rFonts w:ascii="Aptos" w:hAnsi="Aptos" w:cs="Times New Roman"/>
          <w:sz w:val="20"/>
          <w:szCs w:val="20"/>
        </w:rPr>
        <w:t xml:space="preserve">§ </w:t>
      </w:r>
      <w:r w:rsidRPr="00A116C7">
        <w:rPr>
          <w:rFonts w:ascii="Aptos" w:hAnsi="Aptos" w:cs="Times New Roman"/>
          <w:iCs/>
          <w:sz w:val="20"/>
          <w:szCs w:val="20"/>
        </w:rPr>
        <w:t>1412(a)(11), to maintain eligibility for federal funding under the IDEA Part B, a State must provide assurances that it has in effect policies and procedures to ensure that the State meets certain conditions. Specifically, the State educational agency is responsible for general supervision, which involves, in pertinent part, ensuring that the requirements</w:t>
      </w:r>
      <w:r w:rsidR="00160234">
        <w:rPr>
          <w:rFonts w:ascii="Aptos" w:hAnsi="Aptos" w:cs="Times New Roman"/>
          <w:iCs/>
          <w:sz w:val="20"/>
          <w:szCs w:val="20"/>
        </w:rPr>
        <w:t xml:space="preserve"> of</w:t>
      </w:r>
      <w:r w:rsidRPr="00A116C7">
        <w:rPr>
          <w:rFonts w:ascii="Aptos" w:hAnsi="Aptos" w:cs="Times New Roman"/>
          <w:iCs/>
          <w:sz w:val="20"/>
          <w:szCs w:val="20"/>
        </w:rPr>
        <w:t xml:space="preserve"> the relevant subchapter are met and that all educational programs for children with disabilities in the State, including those administered by local educational agencies, “(I) are under the general supervision of individuals in the State who are responsible for educational programs for children with disabilities; and (II) meet the educational standards of the State educational agency.”</w:t>
      </w:r>
    </w:p>
  </w:footnote>
  <w:footnote w:id="14">
    <w:p w14:paraId="57D45374" w14:textId="7AA9ED6F" w:rsidR="0096602E" w:rsidRPr="00A116C7" w:rsidRDefault="0096602E" w:rsidP="00160234">
      <w:pPr>
        <w:pStyle w:val="FootnoteText"/>
        <w:rPr>
          <w:rFonts w:ascii="Aptos" w:hAnsi="Aptos"/>
          <w:sz w:val="20"/>
          <w:szCs w:val="20"/>
        </w:rPr>
      </w:pPr>
      <w:r w:rsidRPr="00A116C7">
        <w:rPr>
          <w:rStyle w:val="FootnoteReference"/>
          <w:rFonts w:ascii="Aptos" w:hAnsi="Aptos"/>
          <w:sz w:val="20"/>
          <w:szCs w:val="20"/>
        </w:rPr>
        <w:footnoteRef/>
      </w:r>
      <w:r w:rsidRPr="00A116C7">
        <w:rPr>
          <w:rFonts w:ascii="Aptos" w:hAnsi="Aptos"/>
          <w:sz w:val="20"/>
          <w:szCs w:val="20"/>
        </w:rPr>
        <w:t xml:space="preserve"> </w:t>
      </w:r>
      <w:r w:rsidRPr="00A116C7">
        <w:rPr>
          <w:rFonts w:ascii="Aptos" w:hAnsi="Aptos"/>
          <w:i/>
          <w:iCs/>
          <w:sz w:val="20"/>
          <w:szCs w:val="20"/>
        </w:rPr>
        <w:t>Larach-Cohen v. Porter</w:t>
      </w:r>
      <w:r w:rsidRPr="00A116C7">
        <w:rPr>
          <w:rFonts w:ascii="Aptos" w:hAnsi="Aptos"/>
          <w:sz w:val="20"/>
          <w:szCs w:val="20"/>
        </w:rPr>
        <w:t xml:space="preserve">, 2021 WL 1203686 (S.D.N.Y. 3/30/31) at *3 (internal quotation marks omitted); see </w:t>
      </w:r>
      <w:r w:rsidRPr="00A116C7">
        <w:rPr>
          <w:rFonts w:ascii="Aptos" w:hAnsi="Aptos"/>
          <w:i/>
          <w:iCs/>
          <w:sz w:val="20"/>
          <w:szCs w:val="20"/>
        </w:rPr>
        <w:t>B.J.S. ex rel. N.S. v. New York</w:t>
      </w:r>
      <w:r w:rsidRPr="00A116C7">
        <w:rPr>
          <w:rFonts w:ascii="Aptos" w:hAnsi="Aptos"/>
          <w:sz w:val="20"/>
          <w:szCs w:val="20"/>
        </w:rPr>
        <w:t xml:space="preserve">, 699 F. Supp. 2d 586, 600 (W.D.N.Y. 2010) (State agency may not be sued as a defendant to an IDEA action brought pursuant to </w:t>
      </w:r>
      <w:r w:rsidRPr="00A116C7">
        <w:rPr>
          <w:rFonts w:ascii="Aptos" w:hAnsi="Aptos" w:cs="Times New Roman"/>
          <w:sz w:val="20"/>
          <w:szCs w:val="20"/>
        </w:rPr>
        <w:t>§ 1415(i)(2)(a)).</w:t>
      </w:r>
    </w:p>
  </w:footnote>
  <w:footnote w:id="15">
    <w:p w14:paraId="55AC97EA" w14:textId="61B0C28C" w:rsidR="00401A40" w:rsidRPr="00795EFA" w:rsidRDefault="00401A40" w:rsidP="00160234">
      <w:pPr>
        <w:pStyle w:val="FootnoteText"/>
      </w:pPr>
      <w:r w:rsidRPr="0026304F">
        <w:rPr>
          <w:rStyle w:val="FootnoteReference"/>
          <w:rFonts w:ascii="Aptos" w:hAnsi="Aptos"/>
          <w:sz w:val="20"/>
          <w:szCs w:val="20"/>
        </w:rPr>
        <w:footnoteRef/>
      </w:r>
      <w:r w:rsidRPr="0026304F">
        <w:rPr>
          <w:rFonts w:ascii="Aptos" w:hAnsi="Aptos"/>
          <w:sz w:val="20"/>
          <w:szCs w:val="20"/>
        </w:rPr>
        <w:t xml:space="preserve"> </w:t>
      </w:r>
      <w:r w:rsidR="00F0022F">
        <w:rPr>
          <w:rFonts w:ascii="Aptos" w:hAnsi="Aptos"/>
          <w:i/>
          <w:iCs/>
          <w:sz w:val="20"/>
          <w:szCs w:val="20"/>
        </w:rPr>
        <w:t>Springfield Ruling</w:t>
      </w:r>
      <w:r w:rsidR="009D3D58">
        <w:rPr>
          <w:rFonts w:ascii="Aptos" w:hAnsi="Aptos"/>
          <w:i/>
          <w:iCs/>
          <w:sz w:val="20"/>
          <w:szCs w:val="20"/>
        </w:rPr>
        <w:t xml:space="preserve"> </w:t>
      </w:r>
      <w:r w:rsidR="009D3D58">
        <w:rPr>
          <w:rFonts w:ascii="Aptos" w:hAnsi="Aptos"/>
          <w:sz w:val="20"/>
          <w:szCs w:val="20"/>
        </w:rPr>
        <w:t>at n.58</w:t>
      </w:r>
      <w:r w:rsidR="00F0022F">
        <w:rPr>
          <w:rFonts w:ascii="Aptos" w:hAnsi="Aptos"/>
          <w:i/>
          <w:iCs/>
          <w:sz w:val="20"/>
          <w:szCs w:val="20"/>
        </w:rPr>
        <w:t>.</w:t>
      </w:r>
    </w:p>
  </w:footnote>
  <w:footnote w:id="16">
    <w:p w14:paraId="49DB000C" w14:textId="20BC5A21" w:rsidR="00F0022F" w:rsidRPr="0026304F" w:rsidRDefault="00F0022F" w:rsidP="00F0022F">
      <w:pPr>
        <w:pStyle w:val="FootnoteText"/>
        <w:rPr>
          <w:rFonts w:ascii="Aptos" w:hAnsi="Aptos"/>
          <w:sz w:val="20"/>
          <w:szCs w:val="20"/>
        </w:rPr>
      </w:pPr>
      <w:r w:rsidRPr="0026304F">
        <w:rPr>
          <w:rStyle w:val="FootnoteReference"/>
          <w:rFonts w:ascii="Aptos" w:hAnsi="Aptos"/>
          <w:sz w:val="20"/>
          <w:szCs w:val="20"/>
        </w:rPr>
        <w:footnoteRef/>
      </w:r>
      <w:r w:rsidRPr="0026304F">
        <w:rPr>
          <w:rFonts w:ascii="Aptos" w:hAnsi="Aptos"/>
          <w:sz w:val="20"/>
          <w:szCs w:val="20"/>
        </w:rPr>
        <w:t xml:space="preserve"> See </w:t>
      </w:r>
      <w:r w:rsidRPr="0026304F">
        <w:rPr>
          <w:rFonts w:ascii="Aptos" w:hAnsi="Aptos"/>
          <w:i/>
          <w:iCs/>
          <w:sz w:val="20"/>
          <w:szCs w:val="20"/>
        </w:rPr>
        <w:t>Iqbal</w:t>
      </w:r>
      <w:r w:rsidRPr="0026304F">
        <w:rPr>
          <w:rFonts w:ascii="Aptos" w:hAnsi="Aptos"/>
          <w:sz w:val="20"/>
          <w:szCs w:val="20"/>
        </w:rPr>
        <w:t xml:space="preserve">, 556 U.S. at 678; </w:t>
      </w:r>
      <w:r w:rsidRPr="0026304F">
        <w:rPr>
          <w:rFonts w:ascii="Aptos" w:hAnsi="Aptos"/>
          <w:i/>
          <w:iCs/>
          <w:sz w:val="20"/>
          <w:szCs w:val="20"/>
        </w:rPr>
        <w:t xml:space="preserve">Twombly, </w:t>
      </w:r>
      <w:r w:rsidRPr="0026304F">
        <w:rPr>
          <w:rFonts w:ascii="Aptos" w:hAnsi="Aptos"/>
          <w:sz w:val="20"/>
          <w:szCs w:val="20"/>
        </w:rPr>
        <w:t>550 U.S. at 557</w:t>
      </w:r>
      <w:r w:rsidRPr="0026304F">
        <w:rPr>
          <w:rFonts w:ascii="Aptos" w:hAnsi="Aptos"/>
          <w:i/>
          <w:iCs/>
          <w:sz w:val="20"/>
          <w:szCs w:val="20"/>
        </w:rPr>
        <w:t xml:space="preserve">; </w:t>
      </w:r>
      <w:proofErr w:type="spellStart"/>
      <w:r w:rsidRPr="0026304F">
        <w:rPr>
          <w:rFonts w:ascii="Aptos" w:hAnsi="Aptos"/>
          <w:i/>
          <w:iCs/>
          <w:sz w:val="20"/>
          <w:szCs w:val="20"/>
        </w:rPr>
        <w:t>Iannoccino</w:t>
      </w:r>
      <w:proofErr w:type="spellEnd"/>
      <w:r w:rsidRPr="0026304F">
        <w:rPr>
          <w:rFonts w:ascii="Aptos" w:hAnsi="Aptos"/>
          <w:sz w:val="20"/>
          <w:szCs w:val="20"/>
        </w:rPr>
        <w:t xml:space="preserve">, 451 Mass. at 636; </w:t>
      </w:r>
      <w:r w:rsidRPr="0026304F">
        <w:rPr>
          <w:rFonts w:ascii="Aptos" w:hAnsi="Aptos"/>
          <w:i/>
          <w:iCs/>
          <w:sz w:val="20"/>
          <w:szCs w:val="20"/>
        </w:rPr>
        <w:t>Blank</w:t>
      </w:r>
      <w:r w:rsidRPr="0026304F">
        <w:rPr>
          <w:rFonts w:ascii="Aptos" w:hAnsi="Aptos"/>
          <w:sz w:val="20"/>
          <w:szCs w:val="20"/>
        </w:rPr>
        <w:t xml:space="preserve">, </w:t>
      </w:r>
      <w:r w:rsidRPr="0026304F">
        <w:rPr>
          <w:rFonts w:ascii="Aptos" w:hAnsi="Aptos" w:cs="Times New Roman"/>
          <w:sz w:val="20"/>
          <w:szCs w:val="20"/>
        </w:rPr>
        <w:t>420 Mass. at 407.</w:t>
      </w:r>
    </w:p>
  </w:footnote>
  <w:footnote w:id="17">
    <w:p w14:paraId="0C2BC02C" w14:textId="1AA4CEEE" w:rsidR="00CA5724" w:rsidRPr="00160234" w:rsidRDefault="00CA5724">
      <w:pPr>
        <w:pStyle w:val="FootnoteText"/>
        <w:rPr>
          <w:rFonts w:ascii="Aptos" w:hAnsi="Aptos"/>
          <w:sz w:val="20"/>
          <w:szCs w:val="20"/>
        </w:rPr>
      </w:pPr>
      <w:r w:rsidRPr="00160234">
        <w:rPr>
          <w:rStyle w:val="FootnoteReference"/>
          <w:rFonts w:ascii="Aptos" w:hAnsi="Aptos"/>
          <w:sz w:val="20"/>
          <w:szCs w:val="20"/>
        </w:rPr>
        <w:footnoteRef/>
      </w:r>
      <w:r w:rsidRPr="00160234">
        <w:rPr>
          <w:rFonts w:ascii="Aptos" w:hAnsi="Aptos"/>
          <w:sz w:val="20"/>
          <w:szCs w:val="20"/>
        </w:rPr>
        <w:t xml:space="preserve"> See </w:t>
      </w:r>
      <w:r w:rsidRPr="00160234">
        <w:rPr>
          <w:rFonts w:ascii="Aptos" w:hAnsi="Aptos"/>
          <w:i/>
          <w:iCs/>
          <w:sz w:val="20"/>
          <w:szCs w:val="20"/>
        </w:rPr>
        <w:t>Iqbal</w:t>
      </w:r>
      <w:r w:rsidRPr="00160234">
        <w:rPr>
          <w:rFonts w:ascii="Aptos" w:hAnsi="Aptos"/>
          <w:sz w:val="20"/>
          <w:szCs w:val="20"/>
        </w:rPr>
        <w:t>, 556 U.S. at 678;</w:t>
      </w:r>
      <w:r w:rsidRPr="00160234">
        <w:rPr>
          <w:rFonts w:ascii="Aptos" w:hAnsi="Aptos" w:cs="Times New Roman"/>
          <w:i/>
          <w:sz w:val="20"/>
          <w:szCs w:val="20"/>
        </w:rPr>
        <w:t xml:space="preserve"> Twombly</w:t>
      </w:r>
      <w:r w:rsidRPr="00160234">
        <w:rPr>
          <w:rFonts w:ascii="Aptos" w:hAnsi="Aptos" w:cs="Times New Roman"/>
          <w:sz w:val="20"/>
          <w:szCs w:val="20"/>
        </w:rPr>
        <w:t>, 550 U.S. at 557.</w:t>
      </w:r>
    </w:p>
  </w:footnote>
  <w:footnote w:id="18">
    <w:p w14:paraId="37698296" w14:textId="70C0552D" w:rsidR="00CA5724" w:rsidRPr="00160234" w:rsidRDefault="00CA5724">
      <w:pPr>
        <w:pStyle w:val="FootnoteText"/>
        <w:rPr>
          <w:rFonts w:ascii="Aptos" w:hAnsi="Aptos"/>
          <w:sz w:val="20"/>
          <w:szCs w:val="20"/>
        </w:rPr>
      </w:pPr>
      <w:r w:rsidRPr="00160234">
        <w:rPr>
          <w:rStyle w:val="FootnoteReference"/>
          <w:rFonts w:ascii="Aptos" w:hAnsi="Aptos"/>
          <w:sz w:val="20"/>
          <w:szCs w:val="20"/>
        </w:rPr>
        <w:footnoteRef/>
      </w:r>
      <w:r w:rsidRPr="00160234">
        <w:rPr>
          <w:rFonts w:ascii="Aptos" w:hAnsi="Aptos"/>
          <w:sz w:val="20"/>
          <w:szCs w:val="20"/>
        </w:rPr>
        <w:t xml:space="preserve"> </w:t>
      </w:r>
      <w:r w:rsidRPr="00160234">
        <w:rPr>
          <w:rFonts w:ascii="Aptos" w:hAnsi="Aptos"/>
          <w:i/>
          <w:iCs/>
          <w:sz w:val="20"/>
          <w:szCs w:val="20"/>
        </w:rPr>
        <w:t>B.J.S., 699 F. Supp. 2d at 600</w:t>
      </w:r>
      <w:r w:rsidRPr="00160234">
        <w:rPr>
          <w:rFonts w:ascii="Aptos" w:hAnsi="Aptos"/>
          <w:sz w:val="20"/>
          <w:szCs w:val="20"/>
        </w:rPr>
        <w:t>.</w:t>
      </w:r>
    </w:p>
  </w:footnote>
  <w:footnote w:id="19">
    <w:p w14:paraId="621E670A" w14:textId="67BB2827" w:rsidR="009D3D58" w:rsidRPr="00160234" w:rsidRDefault="009D3D58">
      <w:pPr>
        <w:pStyle w:val="FootnoteText"/>
        <w:rPr>
          <w:rFonts w:ascii="Aptos" w:hAnsi="Aptos"/>
          <w:sz w:val="20"/>
          <w:szCs w:val="20"/>
        </w:rPr>
      </w:pPr>
      <w:r w:rsidRPr="00160234">
        <w:rPr>
          <w:rStyle w:val="FootnoteReference"/>
          <w:rFonts w:ascii="Aptos" w:hAnsi="Aptos"/>
          <w:sz w:val="20"/>
          <w:szCs w:val="20"/>
        </w:rPr>
        <w:footnoteRef/>
      </w:r>
      <w:r w:rsidRPr="00160234">
        <w:rPr>
          <w:rFonts w:ascii="Aptos" w:hAnsi="Aptos"/>
          <w:sz w:val="20"/>
          <w:szCs w:val="20"/>
        </w:rPr>
        <w:t xml:space="preserve"> See, e.g., </w:t>
      </w:r>
      <w:r w:rsidRPr="00160234">
        <w:rPr>
          <w:rFonts w:ascii="Aptos" w:hAnsi="Aptos"/>
          <w:i/>
          <w:iCs/>
          <w:sz w:val="20"/>
          <w:szCs w:val="20"/>
        </w:rPr>
        <w:t>Larach-Cohen</w:t>
      </w:r>
      <w:r w:rsidRPr="00160234">
        <w:rPr>
          <w:rFonts w:ascii="Aptos" w:hAnsi="Aptos"/>
          <w:sz w:val="20"/>
          <w:szCs w:val="20"/>
        </w:rPr>
        <w:t xml:space="preserve"> at *3 (collecting cases supporting proposition that IDEA d</w:t>
      </w:r>
      <w:r w:rsidR="00160234" w:rsidRPr="00160234">
        <w:rPr>
          <w:rFonts w:ascii="Aptos" w:hAnsi="Aptos"/>
          <w:sz w:val="20"/>
          <w:szCs w:val="20"/>
        </w:rPr>
        <w:t>id</w:t>
      </w:r>
      <w:r w:rsidRPr="00160234">
        <w:rPr>
          <w:rFonts w:ascii="Aptos" w:hAnsi="Aptos"/>
          <w:sz w:val="20"/>
          <w:szCs w:val="20"/>
        </w:rPr>
        <w:t xml:space="preserve"> not create a private right of action to remedy violations of section 1412); </w:t>
      </w:r>
      <w:r w:rsidRPr="00160234">
        <w:rPr>
          <w:rFonts w:ascii="Aptos" w:hAnsi="Aptos"/>
          <w:i/>
          <w:iCs/>
          <w:sz w:val="20"/>
          <w:szCs w:val="20"/>
        </w:rPr>
        <w:t>B.J.S.</w:t>
      </w:r>
      <w:r w:rsidRPr="00160234">
        <w:rPr>
          <w:rFonts w:ascii="Aptos" w:hAnsi="Aptos"/>
          <w:sz w:val="20"/>
          <w:szCs w:val="20"/>
        </w:rPr>
        <w:t xml:space="preserve">, 699 F. Supp. 2d at 600-601 (collecting cases supporting proposition that state agencies may not be sued as defendants to an IDEA action based on their supervisory responsibilities); </w:t>
      </w:r>
      <w:r w:rsidRPr="00160234">
        <w:rPr>
          <w:rFonts w:ascii="Aptos" w:hAnsi="Aptos"/>
          <w:i/>
          <w:iCs/>
          <w:sz w:val="20"/>
          <w:szCs w:val="20"/>
        </w:rPr>
        <w:t xml:space="preserve">Springfield Ruling </w:t>
      </w:r>
      <w:r w:rsidRPr="001240B7">
        <w:rPr>
          <w:rFonts w:ascii="Aptos" w:hAnsi="Aptos"/>
          <w:sz w:val="20"/>
          <w:szCs w:val="20"/>
        </w:rPr>
        <w:t>at</w:t>
      </w:r>
      <w:r w:rsidRPr="00160234">
        <w:rPr>
          <w:rFonts w:ascii="Aptos" w:hAnsi="Aptos"/>
          <w:i/>
          <w:iCs/>
          <w:sz w:val="20"/>
          <w:szCs w:val="20"/>
        </w:rPr>
        <w:t xml:space="preserve"> </w:t>
      </w:r>
      <w:r w:rsidRPr="00160234">
        <w:rPr>
          <w:rFonts w:ascii="Aptos" w:hAnsi="Aptos"/>
          <w:sz w:val="20"/>
          <w:szCs w:val="20"/>
        </w:rPr>
        <w:t>n.58 (dismissing claims alleging violations of DESE’s general supervision responsibilities, and collecting cases supporting proposition that no private right of action exists for violations of Section 1412 of the IDEA).</w:t>
      </w:r>
    </w:p>
  </w:footnote>
  <w:footnote w:id="20">
    <w:p w14:paraId="18970941" w14:textId="521CEC61" w:rsidR="00160234" w:rsidRPr="00160234" w:rsidRDefault="00160234">
      <w:pPr>
        <w:pStyle w:val="FootnoteText"/>
      </w:pPr>
      <w:r w:rsidRPr="00160234">
        <w:rPr>
          <w:rStyle w:val="FootnoteReference"/>
          <w:rFonts w:ascii="Aptos" w:hAnsi="Aptos"/>
          <w:sz w:val="20"/>
          <w:szCs w:val="20"/>
        </w:rPr>
        <w:footnoteRef/>
      </w:r>
      <w:r w:rsidRPr="00160234">
        <w:rPr>
          <w:rFonts w:ascii="Aptos" w:hAnsi="Aptos"/>
          <w:sz w:val="20"/>
          <w:szCs w:val="20"/>
        </w:rPr>
        <w:t xml:space="preserve"> See </w:t>
      </w:r>
      <w:r w:rsidRPr="00160234">
        <w:rPr>
          <w:rFonts w:ascii="Aptos" w:hAnsi="Aptos"/>
          <w:i/>
          <w:iCs/>
          <w:sz w:val="20"/>
          <w:szCs w:val="20"/>
        </w:rPr>
        <w:t>Springfield Ruling</w:t>
      </w:r>
      <w:r w:rsidRPr="00160234">
        <w:rPr>
          <w:rFonts w:ascii="Aptos" w:hAnsi="Aptos"/>
          <w:sz w:val="20"/>
          <w:szCs w:val="20"/>
        </w:rPr>
        <w:t>.</w:t>
      </w:r>
    </w:p>
  </w:footnote>
  <w:footnote w:id="21">
    <w:p w14:paraId="19CF7736" w14:textId="34308B70" w:rsidR="00196107" w:rsidRPr="000A07C5" w:rsidRDefault="00196107">
      <w:pPr>
        <w:pStyle w:val="FootnoteText"/>
        <w:rPr>
          <w:rFonts w:ascii="Aptos" w:hAnsi="Aptos"/>
          <w:sz w:val="20"/>
          <w:szCs w:val="20"/>
        </w:rPr>
      </w:pPr>
      <w:r w:rsidRPr="000A07C5">
        <w:rPr>
          <w:rStyle w:val="FootnoteReference"/>
          <w:rFonts w:ascii="Aptos" w:hAnsi="Aptos"/>
          <w:sz w:val="20"/>
          <w:szCs w:val="20"/>
        </w:rPr>
        <w:footnoteRef/>
      </w:r>
      <w:r w:rsidRPr="000A07C5">
        <w:rPr>
          <w:rFonts w:ascii="Aptos" w:hAnsi="Aptos"/>
          <w:sz w:val="20"/>
          <w:szCs w:val="20"/>
        </w:rPr>
        <w:t xml:space="preserve"> See </w:t>
      </w:r>
      <w:r w:rsidRPr="000A07C5">
        <w:rPr>
          <w:rFonts w:ascii="Aptos" w:hAnsi="Aptos"/>
          <w:i/>
          <w:iCs/>
          <w:sz w:val="20"/>
          <w:szCs w:val="20"/>
        </w:rPr>
        <w:t>Blank</w:t>
      </w:r>
      <w:r w:rsidRPr="000A07C5">
        <w:rPr>
          <w:rFonts w:ascii="Aptos" w:hAnsi="Aptos"/>
          <w:sz w:val="20"/>
          <w:szCs w:val="20"/>
        </w:rPr>
        <w:t>, 420 Mass. at 407.</w:t>
      </w:r>
    </w:p>
  </w:footnote>
  <w:footnote w:id="22">
    <w:p w14:paraId="7BCE0EAD" w14:textId="2E2521ED" w:rsidR="00196107" w:rsidRPr="000A07C5" w:rsidRDefault="00196107">
      <w:pPr>
        <w:pStyle w:val="FootnoteText"/>
        <w:rPr>
          <w:rFonts w:ascii="Aptos" w:hAnsi="Aptos"/>
          <w:sz w:val="20"/>
          <w:szCs w:val="20"/>
        </w:rPr>
      </w:pPr>
      <w:r w:rsidRPr="000A07C5">
        <w:rPr>
          <w:rStyle w:val="FootnoteReference"/>
          <w:rFonts w:ascii="Aptos" w:hAnsi="Aptos"/>
          <w:sz w:val="20"/>
          <w:szCs w:val="20"/>
        </w:rPr>
        <w:footnoteRef/>
      </w:r>
      <w:r w:rsidRPr="000A07C5">
        <w:rPr>
          <w:rFonts w:ascii="Aptos" w:hAnsi="Aptos"/>
          <w:sz w:val="20"/>
          <w:szCs w:val="20"/>
        </w:rPr>
        <w:t xml:space="preserve"> </w:t>
      </w:r>
      <w:r w:rsidRPr="000A07C5">
        <w:rPr>
          <w:rFonts w:ascii="Aptos" w:hAnsi="Aptos"/>
          <w:i/>
          <w:iCs/>
          <w:sz w:val="20"/>
          <w:szCs w:val="20"/>
        </w:rPr>
        <w:t>Iqbal</w:t>
      </w:r>
      <w:r w:rsidRPr="000A07C5">
        <w:rPr>
          <w:rFonts w:ascii="Aptos" w:hAnsi="Aptos"/>
          <w:sz w:val="20"/>
          <w:szCs w:val="20"/>
        </w:rPr>
        <w:t xml:space="preserve">, 556 U.S. at 678. </w:t>
      </w:r>
    </w:p>
  </w:footnote>
  <w:footnote w:id="23">
    <w:p w14:paraId="0FD615EE" w14:textId="799B931B" w:rsidR="00196107" w:rsidRDefault="00196107" w:rsidP="00196107">
      <w:pPr>
        <w:pStyle w:val="FootnoteText"/>
      </w:pPr>
      <w:r w:rsidRPr="000A07C5">
        <w:rPr>
          <w:rStyle w:val="FootnoteReference"/>
          <w:rFonts w:ascii="Aptos" w:hAnsi="Aptos"/>
          <w:sz w:val="20"/>
          <w:szCs w:val="20"/>
        </w:rPr>
        <w:footnoteRef/>
      </w:r>
      <w:r w:rsidRPr="000A07C5">
        <w:rPr>
          <w:rFonts w:ascii="Aptos" w:hAnsi="Aptos"/>
          <w:sz w:val="20"/>
          <w:szCs w:val="20"/>
        </w:rPr>
        <w:t xml:space="preserve"> See 801 CMR 1.01(7)(g)(3). </w:t>
      </w:r>
      <w:r w:rsidR="001240B7" w:rsidRPr="000A07C5">
        <w:rPr>
          <w:rFonts w:ascii="Aptos" w:hAnsi="Aptos"/>
          <w:sz w:val="20"/>
          <w:szCs w:val="20"/>
        </w:rPr>
        <w:t>For this reason, I need not address Parents’ argument that the BSEA may address systemic noncompliance directly impacting FAPE.</w:t>
      </w:r>
      <w:r w:rsidR="001240B7">
        <w:rPr>
          <w:rFonts w:ascii="Aptos" w:hAnsi="Aptos"/>
          <w:sz w:val="20"/>
          <w:szCs w:val="20"/>
        </w:rPr>
        <w:t xml:space="preserve"> </w:t>
      </w:r>
      <w:r w:rsidRPr="000A07C5">
        <w:rPr>
          <w:rFonts w:ascii="Aptos" w:hAnsi="Aptos"/>
          <w:sz w:val="20"/>
          <w:szCs w:val="20"/>
        </w:rPr>
        <w:t xml:space="preserve">To the extent Claims A. B, C, and D </w:t>
      </w:r>
      <w:r w:rsidR="000A07C5" w:rsidRPr="000A07C5">
        <w:rPr>
          <w:rFonts w:ascii="Aptos" w:hAnsi="Aptos"/>
          <w:sz w:val="20"/>
          <w:szCs w:val="20"/>
        </w:rPr>
        <w:t>were meant to include, indirectly, claims against DESE based on its supervisory responsibility, such claims are not within the jurisdiction of the BSEA for the reasons discussed in Section II (C)(i), above.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D2B"/>
    <w:multiLevelType w:val="hybridMultilevel"/>
    <w:tmpl w:val="27C8666C"/>
    <w:lvl w:ilvl="0" w:tplc="28ACCF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A64AB"/>
    <w:multiLevelType w:val="multilevel"/>
    <w:tmpl w:val="5CEA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15D81"/>
    <w:multiLevelType w:val="multilevel"/>
    <w:tmpl w:val="F39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F23A0A"/>
    <w:multiLevelType w:val="multilevel"/>
    <w:tmpl w:val="882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B855BA"/>
    <w:multiLevelType w:val="multilevel"/>
    <w:tmpl w:val="F81A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D2504D"/>
    <w:multiLevelType w:val="multilevel"/>
    <w:tmpl w:val="9B44E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4C1C01"/>
    <w:multiLevelType w:val="hybridMultilevel"/>
    <w:tmpl w:val="8042DC22"/>
    <w:lvl w:ilvl="0" w:tplc="FFFFFFFF">
      <w:start w:val="1"/>
      <w:numFmt w:val="decimal"/>
      <w:lvlText w:val="%1."/>
      <w:lvlJc w:val="left"/>
      <w:pPr>
        <w:ind w:left="1800" w:hanging="360"/>
      </w:pPr>
      <w:rPr>
        <w:rFonts w:hint="default"/>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20F81015"/>
    <w:multiLevelType w:val="multilevel"/>
    <w:tmpl w:val="34BC9BE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017360"/>
    <w:multiLevelType w:val="multilevel"/>
    <w:tmpl w:val="7096BD14"/>
    <w:lvl w:ilvl="0">
      <w:start w:val="1"/>
      <w:numFmt w:val="upperRoman"/>
      <w:lvlText w:val="%1"/>
      <w:lvlJc w:val="left"/>
      <w:pPr>
        <w:tabs>
          <w:tab w:val="num" w:pos="720"/>
        </w:tabs>
        <w:ind w:left="720" w:hanging="360"/>
      </w:pPr>
      <w:rPr>
        <w:rFonts w:hint="default"/>
        <w:sz w:val="20"/>
      </w:rPr>
    </w:lvl>
    <w:lvl w:ilvl="1">
      <w:start w:val="1"/>
      <w:numFmt w:val="upperLetter"/>
      <w:lvlText w:val="%2."/>
      <w:lvlJc w:val="left"/>
      <w:pPr>
        <w:ind w:left="1800" w:hanging="72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A50C86"/>
    <w:multiLevelType w:val="hybridMultilevel"/>
    <w:tmpl w:val="A53A5598"/>
    <w:lvl w:ilvl="0" w:tplc="F2A06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DA25D2"/>
    <w:multiLevelType w:val="hybridMultilevel"/>
    <w:tmpl w:val="E9889B64"/>
    <w:lvl w:ilvl="0" w:tplc="6464D5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0C5D28"/>
    <w:multiLevelType w:val="multilevel"/>
    <w:tmpl w:val="26A0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A81947"/>
    <w:multiLevelType w:val="hybridMultilevel"/>
    <w:tmpl w:val="C8BC6D24"/>
    <w:lvl w:ilvl="0" w:tplc="5B624CC6">
      <w:start w:val="1"/>
      <w:numFmt w:val="upp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254410"/>
    <w:multiLevelType w:val="multilevel"/>
    <w:tmpl w:val="B1F8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C06000"/>
    <w:multiLevelType w:val="multilevel"/>
    <w:tmpl w:val="72D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B9176B"/>
    <w:multiLevelType w:val="hybridMultilevel"/>
    <w:tmpl w:val="F8BE2FC4"/>
    <w:lvl w:ilvl="0" w:tplc="C0E0E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5507D"/>
    <w:multiLevelType w:val="hybridMultilevel"/>
    <w:tmpl w:val="0A3A9670"/>
    <w:lvl w:ilvl="0" w:tplc="284418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E36E7F"/>
    <w:multiLevelType w:val="hybridMultilevel"/>
    <w:tmpl w:val="8042DC22"/>
    <w:lvl w:ilvl="0" w:tplc="FFFFFFFF">
      <w:start w:val="1"/>
      <w:numFmt w:val="decimal"/>
      <w:lvlText w:val="%1."/>
      <w:lvlJc w:val="left"/>
      <w:pPr>
        <w:ind w:left="1800" w:hanging="360"/>
      </w:pPr>
      <w:rPr>
        <w:rFonts w:hint="default"/>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5D1C5192"/>
    <w:multiLevelType w:val="hybridMultilevel"/>
    <w:tmpl w:val="8042DC22"/>
    <w:lvl w:ilvl="0" w:tplc="FFFFFFFF">
      <w:start w:val="1"/>
      <w:numFmt w:val="decimal"/>
      <w:lvlText w:val="%1."/>
      <w:lvlJc w:val="left"/>
      <w:pPr>
        <w:ind w:left="1800" w:hanging="360"/>
      </w:pPr>
      <w:rPr>
        <w:rFonts w:hint="default"/>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628F4FE8"/>
    <w:multiLevelType w:val="hybridMultilevel"/>
    <w:tmpl w:val="8042DC22"/>
    <w:lvl w:ilvl="0" w:tplc="0409000F">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BE864B0"/>
    <w:multiLevelType w:val="hybridMultilevel"/>
    <w:tmpl w:val="F87A1154"/>
    <w:lvl w:ilvl="0" w:tplc="11FA05F6">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C820865"/>
    <w:multiLevelType w:val="hybridMultilevel"/>
    <w:tmpl w:val="9AA892AE"/>
    <w:lvl w:ilvl="0" w:tplc="7D94095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7D14FA"/>
    <w:multiLevelType w:val="hybridMultilevel"/>
    <w:tmpl w:val="25E4EBE0"/>
    <w:lvl w:ilvl="0" w:tplc="A8C066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6679DB"/>
    <w:multiLevelType w:val="hybridMultilevel"/>
    <w:tmpl w:val="9B82376C"/>
    <w:lvl w:ilvl="0" w:tplc="48A8B3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A03FF6"/>
    <w:multiLevelType w:val="hybridMultilevel"/>
    <w:tmpl w:val="D8B63E68"/>
    <w:lvl w:ilvl="0" w:tplc="7AF23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6A0511"/>
    <w:multiLevelType w:val="hybridMultilevel"/>
    <w:tmpl w:val="75CEEC4C"/>
    <w:lvl w:ilvl="0" w:tplc="8F0EA1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4645320">
    <w:abstractNumId w:val="13"/>
  </w:num>
  <w:num w:numId="2" w16cid:durableId="2064593210">
    <w:abstractNumId w:val="2"/>
  </w:num>
  <w:num w:numId="3" w16cid:durableId="1061976706">
    <w:abstractNumId w:val="4"/>
  </w:num>
  <w:num w:numId="4" w16cid:durableId="626932839">
    <w:abstractNumId w:val="1"/>
  </w:num>
  <w:num w:numId="5" w16cid:durableId="1832597029">
    <w:abstractNumId w:val="14"/>
  </w:num>
  <w:num w:numId="6" w16cid:durableId="1434670917">
    <w:abstractNumId w:val="3"/>
  </w:num>
  <w:num w:numId="7" w16cid:durableId="1255161792">
    <w:abstractNumId w:val="5"/>
  </w:num>
  <w:num w:numId="8" w16cid:durableId="1589119939">
    <w:abstractNumId w:val="8"/>
  </w:num>
  <w:num w:numId="9" w16cid:durableId="1600991467">
    <w:abstractNumId w:val="15"/>
  </w:num>
  <w:num w:numId="10" w16cid:durableId="1486316263">
    <w:abstractNumId w:val="0"/>
  </w:num>
  <w:num w:numId="11" w16cid:durableId="1781139578">
    <w:abstractNumId w:val="7"/>
  </w:num>
  <w:num w:numId="12" w16cid:durableId="985158129">
    <w:abstractNumId w:val="22"/>
  </w:num>
  <w:num w:numId="13" w16cid:durableId="657391986">
    <w:abstractNumId w:val="23"/>
  </w:num>
  <w:num w:numId="14" w16cid:durableId="1026829227">
    <w:abstractNumId w:val="9"/>
  </w:num>
  <w:num w:numId="15" w16cid:durableId="1148782568">
    <w:abstractNumId w:val="20"/>
  </w:num>
  <w:num w:numId="16" w16cid:durableId="1778869985">
    <w:abstractNumId w:val="16"/>
  </w:num>
  <w:num w:numId="17" w16cid:durableId="1068573782">
    <w:abstractNumId w:val="24"/>
  </w:num>
  <w:num w:numId="18" w16cid:durableId="2091003057">
    <w:abstractNumId w:val="10"/>
  </w:num>
  <w:num w:numId="19" w16cid:durableId="1646543390">
    <w:abstractNumId w:val="19"/>
  </w:num>
  <w:num w:numId="20" w16cid:durableId="907571018">
    <w:abstractNumId w:val="21"/>
  </w:num>
  <w:num w:numId="21" w16cid:durableId="466973254">
    <w:abstractNumId w:val="11"/>
  </w:num>
  <w:num w:numId="22" w16cid:durableId="1275284815">
    <w:abstractNumId w:val="17"/>
  </w:num>
  <w:num w:numId="23" w16cid:durableId="378285230">
    <w:abstractNumId w:val="18"/>
  </w:num>
  <w:num w:numId="24" w16cid:durableId="387268823">
    <w:abstractNumId w:val="25"/>
  </w:num>
  <w:num w:numId="25" w16cid:durableId="2106419968">
    <w:abstractNumId w:val="12"/>
  </w:num>
  <w:num w:numId="26" w16cid:durableId="264968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4F"/>
    <w:rsid w:val="000015F6"/>
    <w:rsid w:val="00002024"/>
    <w:rsid w:val="00002252"/>
    <w:rsid w:val="000023DB"/>
    <w:rsid w:val="00002B00"/>
    <w:rsid w:val="000032AA"/>
    <w:rsid w:val="00004173"/>
    <w:rsid w:val="0000463E"/>
    <w:rsid w:val="00005416"/>
    <w:rsid w:val="00006867"/>
    <w:rsid w:val="0001204B"/>
    <w:rsid w:val="00012C6D"/>
    <w:rsid w:val="00014C40"/>
    <w:rsid w:val="00015122"/>
    <w:rsid w:val="00017296"/>
    <w:rsid w:val="00017903"/>
    <w:rsid w:val="00020CAA"/>
    <w:rsid w:val="00021C8D"/>
    <w:rsid w:val="00024044"/>
    <w:rsid w:val="0002489B"/>
    <w:rsid w:val="00025EF0"/>
    <w:rsid w:val="00026784"/>
    <w:rsid w:val="000269A6"/>
    <w:rsid w:val="00031023"/>
    <w:rsid w:val="00031924"/>
    <w:rsid w:val="00033766"/>
    <w:rsid w:val="000349E6"/>
    <w:rsid w:val="00037A57"/>
    <w:rsid w:val="00037B34"/>
    <w:rsid w:val="00041D59"/>
    <w:rsid w:val="00042CB8"/>
    <w:rsid w:val="00043B8C"/>
    <w:rsid w:val="00044B61"/>
    <w:rsid w:val="00045E32"/>
    <w:rsid w:val="00046666"/>
    <w:rsid w:val="00046D10"/>
    <w:rsid w:val="00047011"/>
    <w:rsid w:val="00055D2F"/>
    <w:rsid w:val="0005624E"/>
    <w:rsid w:val="000572AA"/>
    <w:rsid w:val="000672E8"/>
    <w:rsid w:val="000708A1"/>
    <w:rsid w:val="00072C7B"/>
    <w:rsid w:val="000770B8"/>
    <w:rsid w:val="00081192"/>
    <w:rsid w:val="00082DE2"/>
    <w:rsid w:val="00083D2A"/>
    <w:rsid w:val="00085B66"/>
    <w:rsid w:val="00085F25"/>
    <w:rsid w:val="00086370"/>
    <w:rsid w:val="00086F89"/>
    <w:rsid w:val="00091757"/>
    <w:rsid w:val="00091AA1"/>
    <w:rsid w:val="000942FE"/>
    <w:rsid w:val="000959AC"/>
    <w:rsid w:val="000977F3"/>
    <w:rsid w:val="00097C22"/>
    <w:rsid w:val="000A07C5"/>
    <w:rsid w:val="000A1B81"/>
    <w:rsid w:val="000A37BD"/>
    <w:rsid w:val="000A410B"/>
    <w:rsid w:val="000B0B62"/>
    <w:rsid w:val="000B15CC"/>
    <w:rsid w:val="000B2ED5"/>
    <w:rsid w:val="000B4EBF"/>
    <w:rsid w:val="000B7567"/>
    <w:rsid w:val="000C7D97"/>
    <w:rsid w:val="000D76D2"/>
    <w:rsid w:val="000E2573"/>
    <w:rsid w:val="000E4F06"/>
    <w:rsid w:val="000E4FCC"/>
    <w:rsid w:val="000F0682"/>
    <w:rsid w:val="000F4324"/>
    <w:rsid w:val="000F49CF"/>
    <w:rsid w:val="000F4B11"/>
    <w:rsid w:val="000F5276"/>
    <w:rsid w:val="000F5721"/>
    <w:rsid w:val="000F5B18"/>
    <w:rsid w:val="000F6341"/>
    <w:rsid w:val="000F6E8E"/>
    <w:rsid w:val="001000A4"/>
    <w:rsid w:val="00103537"/>
    <w:rsid w:val="0010359D"/>
    <w:rsid w:val="001049D1"/>
    <w:rsid w:val="00106A73"/>
    <w:rsid w:val="00107AFF"/>
    <w:rsid w:val="001127C6"/>
    <w:rsid w:val="00112CCE"/>
    <w:rsid w:val="001159DA"/>
    <w:rsid w:val="00117B36"/>
    <w:rsid w:val="001223E9"/>
    <w:rsid w:val="00122451"/>
    <w:rsid w:val="00122BFF"/>
    <w:rsid w:val="00122CF9"/>
    <w:rsid w:val="00123BAF"/>
    <w:rsid w:val="001240B7"/>
    <w:rsid w:val="001254C9"/>
    <w:rsid w:val="00130515"/>
    <w:rsid w:val="001314FE"/>
    <w:rsid w:val="001322C2"/>
    <w:rsid w:val="001326BC"/>
    <w:rsid w:val="001337E7"/>
    <w:rsid w:val="001405EC"/>
    <w:rsid w:val="00143141"/>
    <w:rsid w:val="00144B75"/>
    <w:rsid w:val="0015126A"/>
    <w:rsid w:val="001518C5"/>
    <w:rsid w:val="0015230B"/>
    <w:rsid w:val="00153B94"/>
    <w:rsid w:val="0015532C"/>
    <w:rsid w:val="001554B6"/>
    <w:rsid w:val="001559D2"/>
    <w:rsid w:val="00160234"/>
    <w:rsid w:val="00161203"/>
    <w:rsid w:val="001637E0"/>
    <w:rsid w:val="0016587C"/>
    <w:rsid w:val="00166209"/>
    <w:rsid w:val="001708FA"/>
    <w:rsid w:val="001736B4"/>
    <w:rsid w:val="00173E36"/>
    <w:rsid w:val="00174035"/>
    <w:rsid w:val="00174668"/>
    <w:rsid w:val="0017530C"/>
    <w:rsid w:val="00177CC5"/>
    <w:rsid w:val="0018174F"/>
    <w:rsid w:val="00182FAD"/>
    <w:rsid w:val="00183CA6"/>
    <w:rsid w:val="00183E3C"/>
    <w:rsid w:val="00196107"/>
    <w:rsid w:val="0019707A"/>
    <w:rsid w:val="001971AA"/>
    <w:rsid w:val="001A1159"/>
    <w:rsid w:val="001A154A"/>
    <w:rsid w:val="001A269F"/>
    <w:rsid w:val="001A356B"/>
    <w:rsid w:val="001A45C0"/>
    <w:rsid w:val="001A466A"/>
    <w:rsid w:val="001A7BA4"/>
    <w:rsid w:val="001A7F87"/>
    <w:rsid w:val="001B03EC"/>
    <w:rsid w:val="001B1A67"/>
    <w:rsid w:val="001B2024"/>
    <w:rsid w:val="001B22E2"/>
    <w:rsid w:val="001B3D46"/>
    <w:rsid w:val="001B61DE"/>
    <w:rsid w:val="001B78BF"/>
    <w:rsid w:val="001B78D8"/>
    <w:rsid w:val="001C0327"/>
    <w:rsid w:val="001C205A"/>
    <w:rsid w:val="001C262A"/>
    <w:rsid w:val="001C3EC8"/>
    <w:rsid w:val="001C5016"/>
    <w:rsid w:val="001D45FB"/>
    <w:rsid w:val="001D7552"/>
    <w:rsid w:val="001D76EE"/>
    <w:rsid w:val="001D7D02"/>
    <w:rsid w:val="001E4268"/>
    <w:rsid w:val="001E614D"/>
    <w:rsid w:val="001F2736"/>
    <w:rsid w:val="001F4271"/>
    <w:rsid w:val="001F427D"/>
    <w:rsid w:val="002003F5"/>
    <w:rsid w:val="002024FE"/>
    <w:rsid w:val="0020690B"/>
    <w:rsid w:val="00207DB9"/>
    <w:rsid w:val="00210E69"/>
    <w:rsid w:val="002111C3"/>
    <w:rsid w:val="00211AD3"/>
    <w:rsid w:val="0021249A"/>
    <w:rsid w:val="00214AD1"/>
    <w:rsid w:val="00216803"/>
    <w:rsid w:val="00221B02"/>
    <w:rsid w:val="002225EB"/>
    <w:rsid w:val="0022363D"/>
    <w:rsid w:val="00225577"/>
    <w:rsid w:val="00225A17"/>
    <w:rsid w:val="0022718D"/>
    <w:rsid w:val="00231FC4"/>
    <w:rsid w:val="00235277"/>
    <w:rsid w:val="00240FD5"/>
    <w:rsid w:val="00246EC8"/>
    <w:rsid w:val="002500CD"/>
    <w:rsid w:val="002523EF"/>
    <w:rsid w:val="00253EC4"/>
    <w:rsid w:val="0025685F"/>
    <w:rsid w:val="00260424"/>
    <w:rsid w:val="0026304F"/>
    <w:rsid w:val="002630B3"/>
    <w:rsid w:val="002630DB"/>
    <w:rsid w:val="002648BD"/>
    <w:rsid w:val="00264C43"/>
    <w:rsid w:val="00265AA0"/>
    <w:rsid w:val="00271438"/>
    <w:rsid w:val="00272027"/>
    <w:rsid w:val="0027418A"/>
    <w:rsid w:val="002741FE"/>
    <w:rsid w:val="00274E4F"/>
    <w:rsid w:val="0027561D"/>
    <w:rsid w:val="002806AD"/>
    <w:rsid w:val="0028462C"/>
    <w:rsid w:val="00285F2D"/>
    <w:rsid w:val="0028636A"/>
    <w:rsid w:val="002866CB"/>
    <w:rsid w:val="0028740B"/>
    <w:rsid w:val="00292D03"/>
    <w:rsid w:val="00294D6C"/>
    <w:rsid w:val="00295F36"/>
    <w:rsid w:val="00297EBC"/>
    <w:rsid w:val="002A04CA"/>
    <w:rsid w:val="002A2823"/>
    <w:rsid w:val="002A2DA7"/>
    <w:rsid w:val="002A5FBC"/>
    <w:rsid w:val="002A6D28"/>
    <w:rsid w:val="002B0326"/>
    <w:rsid w:val="002B04A1"/>
    <w:rsid w:val="002B0AD4"/>
    <w:rsid w:val="002B4283"/>
    <w:rsid w:val="002B7253"/>
    <w:rsid w:val="002C10A5"/>
    <w:rsid w:val="002C5C9F"/>
    <w:rsid w:val="002C76F6"/>
    <w:rsid w:val="002C77BE"/>
    <w:rsid w:val="002D03FF"/>
    <w:rsid w:val="002D2558"/>
    <w:rsid w:val="002D2F6A"/>
    <w:rsid w:val="002D40A8"/>
    <w:rsid w:val="002D4871"/>
    <w:rsid w:val="002D57B1"/>
    <w:rsid w:val="002D7118"/>
    <w:rsid w:val="002D73EA"/>
    <w:rsid w:val="002E23BA"/>
    <w:rsid w:val="002E3447"/>
    <w:rsid w:val="002E76B5"/>
    <w:rsid w:val="002E7F84"/>
    <w:rsid w:val="002F1589"/>
    <w:rsid w:val="002F17DA"/>
    <w:rsid w:val="002F22C8"/>
    <w:rsid w:val="002F39B6"/>
    <w:rsid w:val="002F69AD"/>
    <w:rsid w:val="002F7871"/>
    <w:rsid w:val="00302273"/>
    <w:rsid w:val="00303238"/>
    <w:rsid w:val="00305531"/>
    <w:rsid w:val="00305760"/>
    <w:rsid w:val="003060E8"/>
    <w:rsid w:val="0031102E"/>
    <w:rsid w:val="00311133"/>
    <w:rsid w:val="00313EB0"/>
    <w:rsid w:val="0031436D"/>
    <w:rsid w:val="00320D9E"/>
    <w:rsid w:val="00323906"/>
    <w:rsid w:val="00325436"/>
    <w:rsid w:val="0032713E"/>
    <w:rsid w:val="00331E2D"/>
    <w:rsid w:val="003321C1"/>
    <w:rsid w:val="00334F73"/>
    <w:rsid w:val="00335C53"/>
    <w:rsid w:val="00337DE9"/>
    <w:rsid w:val="00346849"/>
    <w:rsid w:val="00353049"/>
    <w:rsid w:val="0035383C"/>
    <w:rsid w:val="003541A2"/>
    <w:rsid w:val="00354BC5"/>
    <w:rsid w:val="00354D22"/>
    <w:rsid w:val="00356E8C"/>
    <w:rsid w:val="003601C4"/>
    <w:rsid w:val="00365D06"/>
    <w:rsid w:val="00372806"/>
    <w:rsid w:val="0037328E"/>
    <w:rsid w:val="003825D6"/>
    <w:rsid w:val="003866C2"/>
    <w:rsid w:val="00386B41"/>
    <w:rsid w:val="00386D4E"/>
    <w:rsid w:val="00387226"/>
    <w:rsid w:val="0039047B"/>
    <w:rsid w:val="0039139F"/>
    <w:rsid w:val="0039145F"/>
    <w:rsid w:val="0039328A"/>
    <w:rsid w:val="0039329A"/>
    <w:rsid w:val="003940C1"/>
    <w:rsid w:val="00394CCF"/>
    <w:rsid w:val="00395ACB"/>
    <w:rsid w:val="003A0A9D"/>
    <w:rsid w:val="003A0D5A"/>
    <w:rsid w:val="003A4060"/>
    <w:rsid w:val="003A4B27"/>
    <w:rsid w:val="003A66E9"/>
    <w:rsid w:val="003A6BA3"/>
    <w:rsid w:val="003B0EEF"/>
    <w:rsid w:val="003B32A3"/>
    <w:rsid w:val="003B540E"/>
    <w:rsid w:val="003B719B"/>
    <w:rsid w:val="003C1ED9"/>
    <w:rsid w:val="003C2A60"/>
    <w:rsid w:val="003C4000"/>
    <w:rsid w:val="003C6B86"/>
    <w:rsid w:val="003D05D3"/>
    <w:rsid w:val="003D085A"/>
    <w:rsid w:val="003D1EC4"/>
    <w:rsid w:val="003D5C15"/>
    <w:rsid w:val="003D5EAE"/>
    <w:rsid w:val="003E139C"/>
    <w:rsid w:val="003E4E87"/>
    <w:rsid w:val="003E5F48"/>
    <w:rsid w:val="003E764A"/>
    <w:rsid w:val="003E7E1B"/>
    <w:rsid w:val="003F12E9"/>
    <w:rsid w:val="003F1662"/>
    <w:rsid w:val="003F231F"/>
    <w:rsid w:val="003F3ECA"/>
    <w:rsid w:val="003F467E"/>
    <w:rsid w:val="003F4699"/>
    <w:rsid w:val="003F4ACA"/>
    <w:rsid w:val="003F600F"/>
    <w:rsid w:val="003F78AC"/>
    <w:rsid w:val="003F7EC8"/>
    <w:rsid w:val="00400C0F"/>
    <w:rsid w:val="0040199E"/>
    <w:rsid w:val="00401A40"/>
    <w:rsid w:val="00401DE1"/>
    <w:rsid w:val="004043B8"/>
    <w:rsid w:val="00405167"/>
    <w:rsid w:val="004058A7"/>
    <w:rsid w:val="00405FD8"/>
    <w:rsid w:val="00406447"/>
    <w:rsid w:val="0041329D"/>
    <w:rsid w:val="0041463C"/>
    <w:rsid w:val="0041566F"/>
    <w:rsid w:val="00417435"/>
    <w:rsid w:val="00417937"/>
    <w:rsid w:val="00421F8A"/>
    <w:rsid w:val="00424BF0"/>
    <w:rsid w:val="00426FA3"/>
    <w:rsid w:val="00427E4A"/>
    <w:rsid w:val="0043023D"/>
    <w:rsid w:val="0043102E"/>
    <w:rsid w:val="004333D9"/>
    <w:rsid w:val="0043484A"/>
    <w:rsid w:val="00435342"/>
    <w:rsid w:val="00436E01"/>
    <w:rsid w:val="004375E6"/>
    <w:rsid w:val="00440CAE"/>
    <w:rsid w:val="00442932"/>
    <w:rsid w:val="004433DD"/>
    <w:rsid w:val="004440B1"/>
    <w:rsid w:val="0044486E"/>
    <w:rsid w:val="004452B8"/>
    <w:rsid w:val="0044738F"/>
    <w:rsid w:val="00452D47"/>
    <w:rsid w:val="00463175"/>
    <w:rsid w:val="004631C6"/>
    <w:rsid w:val="0046603E"/>
    <w:rsid w:val="00466751"/>
    <w:rsid w:val="00466FC2"/>
    <w:rsid w:val="00472C51"/>
    <w:rsid w:val="0047694B"/>
    <w:rsid w:val="004918D1"/>
    <w:rsid w:val="00492659"/>
    <w:rsid w:val="00492CF4"/>
    <w:rsid w:val="00497162"/>
    <w:rsid w:val="0049724D"/>
    <w:rsid w:val="004A110C"/>
    <w:rsid w:val="004A243C"/>
    <w:rsid w:val="004A3047"/>
    <w:rsid w:val="004A3EE6"/>
    <w:rsid w:val="004A594D"/>
    <w:rsid w:val="004A73D3"/>
    <w:rsid w:val="004A7A70"/>
    <w:rsid w:val="004B3B6C"/>
    <w:rsid w:val="004B685C"/>
    <w:rsid w:val="004B709A"/>
    <w:rsid w:val="004C1AE4"/>
    <w:rsid w:val="004C1C14"/>
    <w:rsid w:val="004C2A08"/>
    <w:rsid w:val="004C496D"/>
    <w:rsid w:val="004C4D58"/>
    <w:rsid w:val="004D19DE"/>
    <w:rsid w:val="004D1C36"/>
    <w:rsid w:val="004D29EE"/>
    <w:rsid w:val="004D3210"/>
    <w:rsid w:val="004D48D2"/>
    <w:rsid w:val="004D4B91"/>
    <w:rsid w:val="004D5225"/>
    <w:rsid w:val="004D7046"/>
    <w:rsid w:val="004D7F1B"/>
    <w:rsid w:val="004E1F68"/>
    <w:rsid w:val="004E3510"/>
    <w:rsid w:val="004E7E63"/>
    <w:rsid w:val="004F0B32"/>
    <w:rsid w:val="004F26F8"/>
    <w:rsid w:val="004F417F"/>
    <w:rsid w:val="004F74D2"/>
    <w:rsid w:val="00503672"/>
    <w:rsid w:val="00503707"/>
    <w:rsid w:val="00505CD3"/>
    <w:rsid w:val="00506088"/>
    <w:rsid w:val="00511BBB"/>
    <w:rsid w:val="00512103"/>
    <w:rsid w:val="0051269C"/>
    <w:rsid w:val="00512782"/>
    <w:rsid w:val="00516CE3"/>
    <w:rsid w:val="00525833"/>
    <w:rsid w:val="0052706E"/>
    <w:rsid w:val="005301F7"/>
    <w:rsid w:val="00534D0D"/>
    <w:rsid w:val="00541F08"/>
    <w:rsid w:val="00542957"/>
    <w:rsid w:val="00543689"/>
    <w:rsid w:val="005444C2"/>
    <w:rsid w:val="0054617F"/>
    <w:rsid w:val="00546EE7"/>
    <w:rsid w:val="005477C1"/>
    <w:rsid w:val="00547D73"/>
    <w:rsid w:val="00556C83"/>
    <w:rsid w:val="00556E7F"/>
    <w:rsid w:val="0055747D"/>
    <w:rsid w:val="00557DDE"/>
    <w:rsid w:val="00557EF1"/>
    <w:rsid w:val="00560892"/>
    <w:rsid w:val="00563854"/>
    <w:rsid w:val="00563D59"/>
    <w:rsid w:val="0057121B"/>
    <w:rsid w:val="0057159A"/>
    <w:rsid w:val="00580AD3"/>
    <w:rsid w:val="0058480C"/>
    <w:rsid w:val="00585115"/>
    <w:rsid w:val="005865F2"/>
    <w:rsid w:val="00586C3A"/>
    <w:rsid w:val="00592D9E"/>
    <w:rsid w:val="00592FF8"/>
    <w:rsid w:val="00593B57"/>
    <w:rsid w:val="0059615D"/>
    <w:rsid w:val="005A2E29"/>
    <w:rsid w:val="005B1488"/>
    <w:rsid w:val="005B173A"/>
    <w:rsid w:val="005B2A8C"/>
    <w:rsid w:val="005B2AA3"/>
    <w:rsid w:val="005B5679"/>
    <w:rsid w:val="005B59C7"/>
    <w:rsid w:val="005C2650"/>
    <w:rsid w:val="005C3795"/>
    <w:rsid w:val="005C5402"/>
    <w:rsid w:val="005C7AF0"/>
    <w:rsid w:val="005C7CD7"/>
    <w:rsid w:val="005D0785"/>
    <w:rsid w:val="005D2134"/>
    <w:rsid w:val="005D4954"/>
    <w:rsid w:val="005D5547"/>
    <w:rsid w:val="005D6E9A"/>
    <w:rsid w:val="005D6F30"/>
    <w:rsid w:val="005E0123"/>
    <w:rsid w:val="005E3B19"/>
    <w:rsid w:val="005E503E"/>
    <w:rsid w:val="005E5CCD"/>
    <w:rsid w:val="005E60E7"/>
    <w:rsid w:val="005E73D3"/>
    <w:rsid w:val="005E7593"/>
    <w:rsid w:val="005E7A23"/>
    <w:rsid w:val="005F1DEB"/>
    <w:rsid w:val="005F2828"/>
    <w:rsid w:val="005F2A35"/>
    <w:rsid w:val="005F564A"/>
    <w:rsid w:val="005F6BDA"/>
    <w:rsid w:val="005F7BF1"/>
    <w:rsid w:val="00600C73"/>
    <w:rsid w:val="00601C30"/>
    <w:rsid w:val="00602968"/>
    <w:rsid w:val="00602C5F"/>
    <w:rsid w:val="00602D4B"/>
    <w:rsid w:val="00603D3F"/>
    <w:rsid w:val="00604FF8"/>
    <w:rsid w:val="006074DB"/>
    <w:rsid w:val="0061050E"/>
    <w:rsid w:val="00611E7A"/>
    <w:rsid w:val="00612C80"/>
    <w:rsid w:val="0061385A"/>
    <w:rsid w:val="00615DC2"/>
    <w:rsid w:val="006166D4"/>
    <w:rsid w:val="006216D3"/>
    <w:rsid w:val="00622E79"/>
    <w:rsid w:val="00627758"/>
    <w:rsid w:val="00630C4B"/>
    <w:rsid w:val="00631A4E"/>
    <w:rsid w:val="00633AC6"/>
    <w:rsid w:val="0063527F"/>
    <w:rsid w:val="00636DB1"/>
    <w:rsid w:val="006418D8"/>
    <w:rsid w:val="0064335D"/>
    <w:rsid w:val="00647B17"/>
    <w:rsid w:val="00650BA9"/>
    <w:rsid w:val="006531E3"/>
    <w:rsid w:val="00657470"/>
    <w:rsid w:val="0066304E"/>
    <w:rsid w:val="00664EE7"/>
    <w:rsid w:val="006663C0"/>
    <w:rsid w:val="00667330"/>
    <w:rsid w:val="0066777D"/>
    <w:rsid w:val="006704FD"/>
    <w:rsid w:val="006758AC"/>
    <w:rsid w:val="00677446"/>
    <w:rsid w:val="006809AC"/>
    <w:rsid w:val="00682AC0"/>
    <w:rsid w:val="00682D21"/>
    <w:rsid w:val="006848C6"/>
    <w:rsid w:val="00684A18"/>
    <w:rsid w:val="006856C8"/>
    <w:rsid w:val="00692A76"/>
    <w:rsid w:val="00692D0A"/>
    <w:rsid w:val="00694137"/>
    <w:rsid w:val="006A0416"/>
    <w:rsid w:val="006A1772"/>
    <w:rsid w:val="006A28AC"/>
    <w:rsid w:val="006A3262"/>
    <w:rsid w:val="006B203E"/>
    <w:rsid w:val="006B3948"/>
    <w:rsid w:val="006B4C0B"/>
    <w:rsid w:val="006B53B6"/>
    <w:rsid w:val="006B53F6"/>
    <w:rsid w:val="006B590D"/>
    <w:rsid w:val="006B6D5F"/>
    <w:rsid w:val="006C73C8"/>
    <w:rsid w:val="006C7E04"/>
    <w:rsid w:val="006D0425"/>
    <w:rsid w:val="006D42A8"/>
    <w:rsid w:val="006D674F"/>
    <w:rsid w:val="006E1058"/>
    <w:rsid w:val="006E2602"/>
    <w:rsid w:val="006E32FE"/>
    <w:rsid w:val="006E3E18"/>
    <w:rsid w:val="006E45CD"/>
    <w:rsid w:val="006E61B8"/>
    <w:rsid w:val="006E6727"/>
    <w:rsid w:val="006E6FD2"/>
    <w:rsid w:val="006F005F"/>
    <w:rsid w:val="006F0C6C"/>
    <w:rsid w:val="006F18E5"/>
    <w:rsid w:val="006F25DB"/>
    <w:rsid w:val="006F2A20"/>
    <w:rsid w:val="00701C4D"/>
    <w:rsid w:val="00704BDE"/>
    <w:rsid w:val="00712A2C"/>
    <w:rsid w:val="007166CC"/>
    <w:rsid w:val="0071748F"/>
    <w:rsid w:val="0071750F"/>
    <w:rsid w:val="0071762C"/>
    <w:rsid w:val="0072060E"/>
    <w:rsid w:val="0072192F"/>
    <w:rsid w:val="00722CAF"/>
    <w:rsid w:val="00724EAC"/>
    <w:rsid w:val="00725EA3"/>
    <w:rsid w:val="007335B7"/>
    <w:rsid w:val="00734848"/>
    <w:rsid w:val="00734C32"/>
    <w:rsid w:val="00741859"/>
    <w:rsid w:val="00743C46"/>
    <w:rsid w:val="00744056"/>
    <w:rsid w:val="00745887"/>
    <w:rsid w:val="00747C23"/>
    <w:rsid w:val="00747DED"/>
    <w:rsid w:val="00755297"/>
    <w:rsid w:val="007558A7"/>
    <w:rsid w:val="00756E31"/>
    <w:rsid w:val="0075701A"/>
    <w:rsid w:val="007626D4"/>
    <w:rsid w:val="0077185B"/>
    <w:rsid w:val="00772E05"/>
    <w:rsid w:val="007750A2"/>
    <w:rsid w:val="00775DF8"/>
    <w:rsid w:val="0078058F"/>
    <w:rsid w:val="00781562"/>
    <w:rsid w:val="0078190E"/>
    <w:rsid w:val="007849D7"/>
    <w:rsid w:val="007909EF"/>
    <w:rsid w:val="00790D64"/>
    <w:rsid w:val="00790DEE"/>
    <w:rsid w:val="00792381"/>
    <w:rsid w:val="00792694"/>
    <w:rsid w:val="007930EB"/>
    <w:rsid w:val="0079564A"/>
    <w:rsid w:val="00795EFA"/>
    <w:rsid w:val="00797F2C"/>
    <w:rsid w:val="007A072E"/>
    <w:rsid w:val="007A0943"/>
    <w:rsid w:val="007A555D"/>
    <w:rsid w:val="007A7587"/>
    <w:rsid w:val="007B0EAD"/>
    <w:rsid w:val="007B3562"/>
    <w:rsid w:val="007B56C3"/>
    <w:rsid w:val="007B6098"/>
    <w:rsid w:val="007B7CD7"/>
    <w:rsid w:val="007C3425"/>
    <w:rsid w:val="007C514E"/>
    <w:rsid w:val="007C5CF7"/>
    <w:rsid w:val="007C762C"/>
    <w:rsid w:val="007C76B5"/>
    <w:rsid w:val="007D05B7"/>
    <w:rsid w:val="007D0A4F"/>
    <w:rsid w:val="007D364F"/>
    <w:rsid w:val="007E0264"/>
    <w:rsid w:val="007E2B81"/>
    <w:rsid w:val="007E31CA"/>
    <w:rsid w:val="007E3843"/>
    <w:rsid w:val="007E3893"/>
    <w:rsid w:val="007E52D9"/>
    <w:rsid w:val="007E5EC5"/>
    <w:rsid w:val="007E65F4"/>
    <w:rsid w:val="007F0B3F"/>
    <w:rsid w:val="007F0F4B"/>
    <w:rsid w:val="007F0F91"/>
    <w:rsid w:val="007F6A80"/>
    <w:rsid w:val="007F7B8B"/>
    <w:rsid w:val="007F7C83"/>
    <w:rsid w:val="00800F3E"/>
    <w:rsid w:val="0080170C"/>
    <w:rsid w:val="00802705"/>
    <w:rsid w:val="00802735"/>
    <w:rsid w:val="0080289D"/>
    <w:rsid w:val="008029CE"/>
    <w:rsid w:val="008042A1"/>
    <w:rsid w:val="00810450"/>
    <w:rsid w:val="008140CB"/>
    <w:rsid w:val="0081734F"/>
    <w:rsid w:val="0081769F"/>
    <w:rsid w:val="0082184D"/>
    <w:rsid w:val="00822CFE"/>
    <w:rsid w:val="00824053"/>
    <w:rsid w:val="00824AAB"/>
    <w:rsid w:val="008326FF"/>
    <w:rsid w:val="0083373E"/>
    <w:rsid w:val="00834EB3"/>
    <w:rsid w:val="00835026"/>
    <w:rsid w:val="0083557E"/>
    <w:rsid w:val="00837D6D"/>
    <w:rsid w:val="00840854"/>
    <w:rsid w:val="008416AB"/>
    <w:rsid w:val="00841B08"/>
    <w:rsid w:val="00842211"/>
    <w:rsid w:val="00842B05"/>
    <w:rsid w:val="00843250"/>
    <w:rsid w:val="00845224"/>
    <w:rsid w:val="008460F8"/>
    <w:rsid w:val="00846488"/>
    <w:rsid w:val="0085042D"/>
    <w:rsid w:val="00850E80"/>
    <w:rsid w:val="00853231"/>
    <w:rsid w:val="00854029"/>
    <w:rsid w:val="00856314"/>
    <w:rsid w:val="00856A15"/>
    <w:rsid w:val="00856A2D"/>
    <w:rsid w:val="00857ED6"/>
    <w:rsid w:val="00857FA4"/>
    <w:rsid w:val="0086015F"/>
    <w:rsid w:val="00860437"/>
    <w:rsid w:val="0086044A"/>
    <w:rsid w:val="00860BE8"/>
    <w:rsid w:val="00862CFB"/>
    <w:rsid w:val="0086310B"/>
    <w:rsid w:val="00864BCB"/>
    <w:rsid w:val="008665F1"/>
    <w:rsid w:val="00870ABE"/>
    <w:rsid w:val="00876B1E"/>
    <w:rsid w:val="00877A3F"/>
    <w:rsid w:val="00880E34"/>
    <w:rsid w:val="008811E2"/>
    <w:rsid w:val="00881585"/>
    <w:rsid w:val="00881822"/>
    <w:rsid w:val="008825AC"/>
    <w:rsid w:val="00883819"/>
    <w:rsid w:val="008853F7"/>
    <w:rsid w:val="0088705F"/>
    <w:rsid w:val="00887E70"/>
    <w:rsid w:val="00893024"/>
    <w:rsid w:val="00894093"/>
    <w:rsid w:val="0089423D"/>
    <w:rsid w:val="00896C78"/>
    <w:rsid w:val="008A011A"/>
    <w:rsid w:val="008A0434"/>
    <w:rsid w:val="008A18FE"/>
    <w:rsid w:val="008A4F3D"/>
    <w:rsid w:val="008A552B"/>
    <w:rsid w:val="008A6061"/>
    <w:rsid w:val="008A7042"/>
    <w:rsid w:val="008B10BC"/>
    <w:rsid w:val="008B4062"/>
    <w:rsid w:val="008B439C"/>
    <w:rsid w:val="008B4CCE"/>
    <w:rsid w:val="008B5053"/>
    <w:rsid w:val="008C12AC"/>
    <w:rsid w:val="008D28B8"/>
    <w:rsid w:val="008D44A6"/>
    <w:rsid w:val="008D46AB"/>
    <w:rsid w:val="008D53F4"/>
    <w:rsid w:val="008D6C96"/>
    <w:rsid w:val="008D7F4D"/>
    <w:rsid w:val="008E004B"/>
    <w:rsid w:val="008E0EFF"/>
    <w:rsid w:val="008E3527"/>
    <w:rsid w:val="008E6484"/>
    <w:rsid w:val="008E7453"/>
    <w:rsid w:val="008F0350"/>
    <w:rsid w:val="008F1DBB"/>
    <w:rsid w:val="008F36D8"/>
    <w:rsid w:val="008F4339"/>
    <w:rsid w:val="008F46F7"/>
    <w:rsid w:val="008F707A"/>
    <w:rsid w:val="009006B8"/>
    <w:rsid w:val="00901F45"/>
    <w:rsid w:val="0090341A"/>
    <w:rsid w:val="00905BFC"/>
    <w:rsid w:val="0091431B"/>
    <w:rsid w:val="009153B4"/>
    <w:rsid w:val="009165C7"/>
    <w:rsid w:val="009173A6"/>
    <w:rsid w:val="00920879"/>
    <w:rsid w:val="0092476F"/>
    <w:rsid w:val="009266F2"/>
    <w:rsid w:val="009359B9"/>
    <w:rsid w:val="0093660B"/>
    <w:rsid w:val="00941FA9"/>
    <w:rsid w:val="00942A5D"/>
    <w:rsid w:val="0094368E"/>
    <w:rsid w:val="00944EAC"/>
    <w:rsid w:val="00945E0A"/>
    <w:rsid w:val="009501F7"/>
    <w:rsid w:val="009512DD"/>
    <w:rsid w:val="00951E27"/>
    <w:rsid w:val="00951EAD"/>
    <w:rsid w:val="009540C2"/>
    <w:rsid w:val="00955FD4"/>
    <w:rsid w:val="00956624"/>
    <w:rsid w:val="00956B2D"/>
    <w:rsid w:val="009573FB"/>
    <w:rsid w:val="00961F1A"/>
    <w:rsid w:val="009627A9"/>
    <w:rsid w:val="0096288B"/>
    <w:rsid w:val="0096500C"/>
    <w:rsid w:val="0096602E"/>
    <w:rsid w:val="00967A39"/>
    <w:rsid w:val="009735F7"/>
    <w:rsid w:val="009742EC"/>
    <w:rsid w:val="009753BF"/>
    <w:rsid w:val="00976660"/>
    <w:rsid w:val="00977B66"/>
    <w:rsid w:val="00980AA6"/>
    <w:rsid w:val="00985B32"/>
    <w:rsid w:val="0099228D"/>
    <w:rsid w:val="009922BC"/>
    <w:rsid w:val="009956F3"/>
    <w:rsid w:val="00995F51"/>
    <w:rsid w:val="00996C2F"/>
    <w:rsid w:val="0099744A"/>
    <w:rsid w:val="009A642F"/>
    <w:rsid w:val="009A688B"/>
    <w:rsid w:val="009A69FD"/>
    <w:rsid w:val="009B2D88"/>
    <w:rsid w:val="009B34EF"/>
    <w:rsid w:val="009B372F"/>
    <w:rsid w:val="009B413A"/>
    <w:rsid w:val="009B4F6C"/>
    <w:rsid w:val="009B6442"/>
    <w:rsid w:val="009B75E6"/>
    <w:rsid w:val="009B7D03"/>
    <w:rsid w:val="009C0AD7"/>
    <w:rsid w:val="009C0DC4"/>
    <w:rsid w:val="009C26BC"/>
    <w:rsid w:val="009C4269"/>
    <w:rsid w:val="009C5DD2"/>
    <w:rsid w:val="009C7212"/>
    <w:rsid w:val="009D020C"/>
    <w:rsid w:val="009D1D7B"/>
    <w:rsid w:val="009D3723"/>
    <w:rsid w:val="009D3CED"/>
    <w:rsid w:val="009D3D58"/>
    <w:rsid w:val="009D7777"/>
    <w:rsid w:val="009E0A02"/>
    <w:rsid w:val="009E25A7"/>
    <w:rsid w:val="009E61B0"/>
    <w:rsid w:val="009F1A6F"/>
    <w:rsid w:val="009F2251"/>
    <w:rsid w:val="009F29FF"/>
    <w:rsid w:val="009F3A0A"/>
    <w:rsid w:val="009F3B18"/>
    <w:rsid w:val="00A059A9"/>
    <w:rsid w:val="00A06241"/>
    <w:rsid w:val="00A116C7"/>
    <w:rsid w:val="00A12A57"/>
    <w:rsid w:val="00A13BDD"/>
    <w:rsid w:val="00A14927"/>
    <w:rsid w:val="00A15FD0"/>
    <w:rsid w:val="00A161A5"/>
    <w:rsid w:val="00A16DB6"/>
    <w:rsid w:val="00A176F0"/>
    <w:rsid w:val="00A21660"/>
    <w:rsid w:val="00A25B8D"/>
    <w:rsid w:val="00A329ED"/>
    <w:rsid w:val="00A409D1"/>
    <w:rsid w:val="00A41FF6"/>
    <w:rsid w:val="00A42767"/>
    <w:rsid w:val="00A42CEA"/>
    <w:rsid w:val="00A454F9"/>
    <w:rsid w:val="00A47E29"/>
    <w:rsid w:val="00A50159"/>
    <w:rsid w:val="00A50AE6"/>
    <w:rsid w:val="00A51CB2"/>
    <w:rsid w:val="00A552D8"/>
    <w:rsid w:val="00A55E72"/>
    <w:rsid w:val="00A61DF1"/>
    <w:rsid w:val="00A62058"/>
    <w:rsid w:val="00A6207B"/>
    <w:rsid w:val="00A65A09"/>
    <w:rsid w:val="00A70545"/>
    <w:rsid w:val="00A71947"/>
    <w:rsid w:val="00A7241E"/>
    <w:rsid w:val="00A73FE9"/>
    <w:rsid w:val="00A749FE"/>
    <w:rsid w:val="00A77290"/>
    <w:rsid w:val="00A83C67"/>
    <w:rsid w:val="00A858A2"/>
    <w:rsid w:val="00A85A23"/>
    <w:rsid w:val="00A860FE"/>
    <w:rsid w:val="00A90932"/>
    <w:rsid w:val="00A911DB"/>
    <w:rsid w:val="00A9204E"/>
    <w:rsid w:val="00A92809"/>
    <w:rsid w:val="00A929AD"/>
    <w:rsid w:val="00A95502"/>
    <w:rsid w:val="00AA0CD3"/>
    <w:rsid w:val="00AA3C05"/>
    <w:rsid w:val="00AA4CBC"/>
    <w:rsid w:val="00AA6B61"/>
    <w:rsid w:val="00AA7249"/>
    <w:rsid w:val="00AB1D08"/>
    <w:rsid w:val="00AB2E4B"/>
    <w:rsid w:val="00AB53C8"/>
    <w:rsid w:val="00AC20F1"/>
    <w:rsid w:val="00AC3645"/>
    <w:rsid w:val="00AC3F07"/>
    <w:rsid w:val="00AC6AEF"/>
    <w:rsid w:val="00AC7F18"/>
    <w:rsid w:val="00AD0343"/>
    <w:rsid w:val="00AD098A"/>
    <w:rsid w:val="00AD09F6"/>
    <w:rsid w:val="00AD1C4F"/>
    <w:rsid w:val="00AD2000"/>
    <w:rsid w:val="00AD27BD"/>
    <w:rsid w:val="00AD42F0"/>
    <w:rsid w:val="00AD65E3"/>
    <w:rsid w:val="00AD6DBF"/>
    <w:rsid w:val="00AD77DB"/>
    <w:rsid w:val="00AE381B"/>
    <w:rsid w:val="00AE4E5B"/>
    <w:rsid w:val="00AF2BC8"/>
    <w:rsid w:val="00AF3A6A"/>
    <w:rsid w:val="00AF4216"/>
    <w:rsid w:val="00AF5843"/>
    <w:rsid w:val="00AF7286"/>
    <w:rsid w:val="00B000C8"/>
    <w:rsid w:val="00B0171C"/>
    <w:rsid w:val="00B02D1C"/>
    <w:rsid w:val="00B06070"/>
    <w:rsid w:val="00B069D7"/>
    <w:rsid w:val="00B06CB8"/>
    <w:rsid w:val="00B06D57"/>
    <w:rsid w:val="00B076BA"/>
    <w:rsid w:val="00B106E7"/>
    <w:rsid w:val="00B10F34"/>
    <w:rsid w:val="00B11A17"/>
    <w:rsid w:val="00B11ECA"/>
    <w:rsid w:val="00B1215F"/>
    <w:rsid w:val="00B16296"/>
    <w:rsid w:val="00B1664C"/>
    <w:rsid w:val="00B17FF2"/>
    <w:rsid w:val="00B20D8D"/>
    <w:rsid w:val="00B22298"/>
    <w:rsid w:val="00B24A89"/>
    <w:rsid w:val="00B25B2F"/>
    <w:rsid w:val="00B25C9E"/>
    <w:rsid w:val="00B26618"/>
    <w:rsid w:val="00B26925"/>
    <w:rsid w:val="00B30C7F"/>
    <w:rsid w:val="00B343EA"/>
    <w:rsid w:val="00B35C69"/>
    <w:rsid w:val="00B40C66"/>
    <w:rsid w:val="00B44C3D"/>
    <w:rsid w:val="00B46B65"/>
    <w:rsid w:val="00B52954"/>
    <w:rsid w:val="00B539BA"/>
    <w:rsid w:val="00B542DB"/>
    <w:rsid w:val="00B55065"/>
    <w:rsid w:val="00B57EF3"/>
    <w:rsid w:val="00B60841"/>
    <w:rsid w:val="00B609A3"/>
    <w:rsid w:val="00B6135E"/>
    <w:rsid w:val="00B64742"/>
    <w:rsid w:val="00B65494"/>
    <w:rsid w:val="00B67D97"/>
    <w:rsid w:val="00B71019"/>
    <w:rsid w:val="00B7183B"/>
    <w:rsid w:val="00B736C0"/>
    <w:rsid w:val="00B73E17"/>
    <w:rsid w:val="00B744AC"/>
    <w:rsid w:val="00B77280"/>
    <w:rsid w:val="00B775F3"/>
    <w:rsid w:val="00B81218"/>
    <w:rsid w:val="00B8184F"/>
    <w:rsid w:val="00B8299A"/>
    <w:rsid w:val="00B84642"/>
    <w:rsid w:val="00B93528"/>
    <w:rsid w:val="00B93938"/>
    <w:rsid w:val="00B93F03"/>
    <w:rsid w:val="00B941B8"/>
    <w:rsid w:val="00B94BAD"/>
    <w:rsid w:val="00B94FD3"/>
    <w:rsid w:val="00B96625"/>
    <w:rsid w:val="00B97A1F"/>
    <w:rsid w:val="00BA173A"/>
    <w:rsid w:val="00BA33A1"/>
    <w:rsid w:val="00BA512F"/>
    <w:rsid w:val="00BA7BF5"/>
    <w:rsid w:val="00BB051D"/>
    <w:rsid w:val="00BB3909"/>
    <w:rsid w:val="00BB4CCF"/>
    <w:rsid w:val="00BB4E3D"/>
    <w:rsid w:val="00BB7E30"/>
    <w:rsid w:val="00BC0280"/>
    <w:rsid w:val="00BC11D3"/>
    <w:rsid w:val="00BC135C"/>
    <w:rsid w:val="00BC20C0"/>
    <w:rsid w:val="00BC318C"/>
    <w:rsid w:val="00BD03F8"/>
    <w:rsid w:val="00BD132F"/>
    <w:rsid w:val="00BD165D"/>
    <w:rsid w:val="00BD1B38"/>
    <w:rsid w:val="00BD1DE5"/>
    <w:rsid w:val="00BD271E"/>
    <w:rsid w:val="00BD2DE7"/>
    <w:rsid w:val="00BD3EF4"/>
    <w:rsid w:val="00BD410F"/>
    <w:rsid w:val="00BD433E"/>
    <w:rsid w:val="00BD6ABD"/>
    <w:rsid w:val="00BE06AC"/>
    <w:rsid w:val="00BE2F31"/>
    <w:rsid w:val="00BE4D68"/>
    <w:rsid w:val="00BF0093"/>
    <w:rsid w:val="00BF0410"/>
    <w:rsid w:val="00BF0B90"/>
    <w:rsid w:val="00BF7549"/>
    <w:rsid w:val="00C0173B"/>
    <w:rsid w:val="00C01BF0"/>
    <w:rsid w:val="00C02580"/>
    <w:rsid w:val="00C0323F"/>
    <w:rsid w:val="00C050F7"/>
    <w:rsid w:val="00C051DB"/>
    <w:rsid w:val="00C1314D"/>
    <w:rsid w:val="00C13A74"/>
    <w:rsid w:val="00C1780E"/>
    <w:rsid w:val="00C21D85"/>
    <w:rsid w:val="00C25B40"/>
    <w:rsid w:val="00C26051"/>
    <w:rsid w:val="00C264EF"/>
    <w:rsid w:val="00C3159D"/>
    <w:rsid w:val="00C32167"/>
    <w:rsid w:val="00C32BEA"/>
    <w:rsid w:val="00C351AA"/>
    <w:rsid w:val="00C35338"/>
    <w:rsid w:val="00C35BC5"/>
    <w:rsid w:val="00C43D0F"/>
    <w:rsid w:val="00C44CB8"/>
    <w:rsid w:val="00C473D9"/>
    <w:rsid w:val="00C50508"/>
    <w:rsid w:val="00C50525"/>
    <w:rsid w:val="00C5114B"/>
    <w:rsid w:val="00C51E6D"/>
    <w:rsid w:val="00C52133"/>
    <w:rsid w:val="00C52E99"/>
    <w:rsid w:val="00C53153"/>
    <w:rsid w:val="00C54083"/>
    <w:rsid w:val="00C556D3"/>
    <w:rsid w:val="00C55DEA"/>
    <w:rsid w:val="00C55F75"/>
    <w:rsid w:val="00C6127E"/>
    <w:rsid w:val="00C625D3"/>
    <w:rsid w:val="00C64D85"/>
    <w:rsid w:val="00C655A7"/>
    <w:rsid w:val="00C66BD5"/>
    <w:rsid w:val="00C722F9"/>
    <w:rsid w:val="00C8121F"/>
    <w:rsid w:val="00C81B9E"/>
    <w:rsid w:val="00C835E8"/>
    <w:rsid w:val="00C91E5D"/>
    <w:rsid w:val="00C92BA2"/>
    <w:rsid w:val="00C93B8B"/>
    <w:rsid w:val="00C94737"/>
    <w:rsid w:val="00C951D5"/>
    <w:rsid w:val="00C9557C"/>
    <w:rsid w:val="00C95CE0"/>
    <w:rsid w:val="00CA33C4"/>
    <w:rsid w:val="00CA5724"/>
    <w:rsid w:val="00CA5FDF"/>
    <w:rsid w:val="00CA77DF"/>
    <w:rsid w:val="00CA7BE0"/>
    <w:rsid w:val="00CB001F"/>
    <w:rsid w:val="00CB07D1"/>
    <w:rsid w:val="00CB5986"/>
    <w:rsid w:val="00CC3700"/>
    <w:rsid w:val="00CC3B02"/>
    <w:rsid w:val="00CC4B80"/>
    <w:rsid w:val="00CC71D2"/>
    <w:rsid w:val="00CD3B1A"/>
    <w:rsid w:val="00CD5055"/>
    <w:rsid w:val="00CD53EA"/>
    <w:rsid w:val="00CD5C17"/>
    <w:rsid w:val="00CD6672"/>
    <w:rsid w:val="00CD71FD"/>
    <w:rsid w:val="00CE29B8"/>
    <w:rsid w:val="00CE373F"/>
    <w:rsid w:val="00CE4129"/>
    <w:rsid w:val="00CE57DF"/>
    <w:rsid w:val="00CE7FB0"/>
    <w:rsid w:val="00CF203E"/>
    <w:rsid w:val="00CF244E"/>
    <w:rsid w:val="00CF28CC"/>
    <w:rsid w:val="00CF58AE"/>
    <w:rsid w:val="00CF5E93"/>
    <w:rsid w:val="00CF6ACC"/>
    <w:rsid w:val="00D02BA6"/>
    <w:rsid w:val="00D06572"/>
    <w:rsid w:val="00D068B0"/>
    <w:rsid w:val="00D07762"/>
    <w:rsid w:val="00D11B06"/>
    <w:rsid w:val="00D12678"/>
    <w:rsid w:val="00D13032"/>
    <w:rsid w:val="00D1359E"/>
    <w:rsid w:val="00D13FF8"/>
    <w:rsid w:val="00D14EA6"/>
    <w:rsid w:val="00D16048"/>
    <w:rsid w:val="00D172F7"/>
    <w:rsid w:val="00D22DFE"/>
    <w:rsid w:val="00D275AA"/>
    <w:rsid w:val="00D301EC"/>
    <w:rsid w:val="00D31311"/>
    <w:rsid w:val="00D31AB3"/>
    <w:rsid w:val="00D35A1C"/>
    <w:rsid w:val="00D407C4"/>
    <w:rsid w:val="00D42A13"/>
    <w:rsid w:val="00D447C0"/>
    <w:rsid w:val="00D465CD"/>
    <w:rsid w:val="00D469BA"/>
    <w:rsid w:val="00D514ED"/>
    <w:rsid w:val="00D53D40"/>
    <w:rsid w:val="00D55C89"/>
    <w:rsid w:val="00D56BF2"/>
    <w:rsid w:val="00D6195F"/>
    <w:rsid w:val="00D625A6"/>
    <w:rsid w:val="00D648FF"/>
    <w:rsid w:val="00D66487"/>
    <w:rsid w:val="00D72188"/>
    <w:rsid w:val="00D725F2"/>
    <w:rsid w:val="00D72B8A"/>
    <w:rsid w:val="00D72BA3"/>
    <w:rsid w:val="00D7419E"/>
    <w:rsid w:val="00D74BA1"/>
    <w:rsid w:val="00D82149"/>
    <w:rsid w:val="00D8579C"/>
    <w:rsid w:val="00D90BA5"/>
    <w:rsid w:val="00D95064"/>
    <w:rsid w:val="00D96725"/>
    <w:rsid w:val="00DA1A80"/>
    <w:rsid w:val="00DA1AC1"/>
    <w:rsid w:val="00DB07FF"/>
    <w:rsid w:val="00DB2482"/>
    <w:rsid w:val="00DB3739"/>
    <w:rsid w:val="00DD230D"/>
    <w:rsid w:val="00DD3556"/>
    <w:rsid w:val="00DD386E"/>
    <w:rsid w:val="00DD4E98"/>
    <w:rsid w:val="00DD635F"/>
    <w:rsid w:val="00DD71ED"/>
    <w:rsid w:val="00DE316A"/>
    <w:rsid w:val="00DE39F3"/>
    <w:rsid w:val="00DE4C47"/>
    <w:rsid w:val="00DE4F8F"/>
    <w:rsid w:val="00DE5E3D"/>
    <w:rsid w:val="00DE69BF"/>
    <w:rsid w:val="00DE6CE2"/>
    <w:rsid w:val="00DF15EF"/>
    <w:rsid w:val="00DF1E23"/>
    <w:rsid w:val="00DF25A6"/>
    <w:rsid w:val="00DF2E6E"/>
    <w:rsid w:val="00DF6A45"/>
    <w:rsid w:val="00E017CC"/>
    <w:rsid w:val="00E04E03"/>
    <w:rsid w:val="00E05B78"/>
    <w:rsid w:val="00E108CE"/>
    <w:rsid w:val="00E111A4"/>
    <w:rsid w:val="00E14C3E"/>
    <w:rsid w:val="00E15046"/>
    <w:rsid w:val="00E16272"/>
    <w:rsid w:val="00E17B8D"/>
    <w:rsid w:val="00E22073"/>
    <w:rsid w:val="00E2425D"/>
    <w:rsid w:val="00E313C1"/>
    <w:rsid w:val="00E31AE5"/>
    <w:rsid w:val="00E32862"/>
    <w:rsid w:val="00E33245"/>
    <w:rsid w:val="00E33FC9"/>
    <w:rsid w:val="00E34307"/>
    <w:rsid w:val="00E349E7"/>
    <w:rsid w:val="00E35133"/>
    <w:rsid w:val="00E35E7E"/>
    <w:rsid w:val="00E4239C"/>
    <w:rsid w:val="00E425D7"/>
    <w:rsid w:val="00E465A8"/>
    <w:rsid w:val="00E51243"/>
    <w:rsid w:val="00E51379"/>
    <w:rsid w:val="00E51955"/>
    <w:rsid w:val="00E51BC4"/>
    <w:rsid w:val="00E52F5F"/>
    <w:rsid w:val="00E57B59"/>
    <w:rsid w:val="00E615FB"/>
    <w:rsid w:val="00E62348"/>
    <w:rsid w:val="00E63B6F"/>
    <w:rsid w:val="00E67406"/>
    <w:rsid w:val="00E6744E"/>
    <w:rsid w:val="00E700F8"/>
    <w:rsid w:val="00E71476"/>
    <w:rsid w:val="00E72073"/>
    <w:rsid w:val="00E72264"/>
    <w:rsid w:val="00E7261C"/>
    <w:rsid w:val="00E76D97"/>
    <w:rsid w:val="00E77EB6"/>
    <w:rsid w:val="00E8028D"/>
    <w:rsid w:val="00E80964"/>
    <w:rsid w:val="00E82523"/>
    <w:rsid w:val="00E830DB"/>
    <w:rsid w:val="00E846A4"/>
    <w:rsid w:val="00E84E22"/>
    <w:rsid w:val="00E873D2"/>
    <w:rsid w:val="00E929F9"/>
    <w:rsid w:val="00E9344F"/>
    <w:rsid w:val="00E934CF"/>
    <w:rsid w:val="00E94FBD"/>
    <w:rsid w:val="00E96FD7"/>
    <w:rsid w:val="00E97171"/>
    <w:rsid w:val="00EA0D7B"/>
    <w:rsid w:val="00EA0E8D"/>
    <w:rsid w:val="00EA1830"/>
    <w:rsid w:val="00EA27A5"/>
    <w:rsid w:val="00EA2B35"/>
    <w:rsid w:val="00EA58A7"/>
    <w:rsid w:val="00EA648E"/>
    <w:rsid w:val="00EB291C"/>
    <w:rsid w:val="00EB2C1B"/>
    <w:rsid w:val="00EB6B88"/>
    <w:rsid w:val="00EB7A6D"/>
    <w:rsid w:val="00EC0F8C"/>
    <w:rsid w:val="00EC5136"/>
    <w:rsid w:val="00EC55B3"/>
    <w:rsid w:val="00ED08CF"/>
    <w:rsid w:val="00ED1468"/>
    <w:rsid w:val="00ED1848"/>
    <w:rsid w:val="00ED4B55"/>
    <w:rsid w:val="00ED7E63"/>
    <w:rsid w:val="00EE020E"/>
    <w:rsid w:val="00EE0396"/>
    <w:rsid w:val="00EE1519"/>
    <w:rsid w:val="00EE24F1"/>
    <w:rsid w:val="00EE3438"/>
    <w:rsid w:val="00EE3957"/>
    <w:rsid w:val="00EE7158"/>
    <w:rsid w:val="00EF065D"/>
    <w:rsid w:val="00EF2449"/>
    <w:rsid w:val="00EF270B"/>
    <w:rsid w:val="00EF2A22"/>
    <w:rsid w:val="00EF35DC"/>
    <w:rsid w:val="00EF4013"/>
    <w:rsid w:val="00EF48DC"/>
    <w:rsid w:val="00EF4DEB"/>
    <w:rsid w:val="00EF6DEF"/>
    <w:rsid w:val="00F00081"/>
    <w:rsid w:val="00F0022F"/>
    <w:rsid w:val="00F00764"/>
    <w:rsid w:val="00F03F55"/>
    <w:rsid w:val="00F10253"/>
    <w:rsid w:val="00F20AF7"/>
    <w:rsid w:val="00F21B3C"/>
    <w:rsid w:val="00F23328"/>
    <w:rsid w:val="00F235FD"/>
    <w:rsid w:val="00F24573"/>
    <w:rsid w:val="00F259E7"/>
    <w:rsid w:val="00F27EF4"/>
    <w:rsid w:val="00F305C2"/>
    <w:rsid w:val="00F307E8"/>
    <w:rsid w:val="00F318CF"/>
    <w:rsid w:val="00F31CF8"/>
    <w:rsid w:val="00F31D98"/>
    <w:rsid w:val="00F343E2"/>
    <w:rsid w:val="00F43697"/>
    <w:rsid w:val="00F45853"/>
    <w:rsid w:val="00F4782B"/>
    <w:rsid w:val="00F52DCD"/>
    <w:rsid w:val="00F56C9D"/>
    <w:rsid w:val="00F573C0"/>
    <w:rsid w:val="00F60CC8"/>
    <w:rsid w:val="00F65EAF"/>
    <w:rsid w:val="00F66FB8"/>
    <w:rsid w:val="00F723EF"/>
    <w:rsid w:val="00F762D6"/>
    <w:rsid w:val="00F776F4"/>
    <w:rsid w:val="00F80358"/>
    <w:rsid w:val="00F8384E"/>
    <w:rsid w:val="00F85DBA"/>
    <w:rsid w:val="00F86D64"/>
    <w:rsid w:val="00F86ECC"/>
    <w:rsid w:val="00F87FF5"/>
    <w:rsid w:val="00F9063A"/>
    <w:rsid w:val="00F93979"/>
    <w:rsid w:val="00F947A1"/>
    <w:rsid w:val="00F96F60"/>
    <w:rsid w:val="00F977B4"/>
    <w:rsid w:val="00FA0D28"/>
    <w:rsid w:val="00FA46DF"/>
    <w:rsid w:val="00FA4FBF"/>
    <w:rsid w:val="00FA62D5"/>
    <w:rsid w:val="00FA7C3D"/>
    <w:rsid w:val="00FB2CE1"/>
    <w:rsid w:val="00FB3B8D"/>
    <w:rsid w:val="00FB4B27"/>
    <w:rsid w:val="00FB4BCB"/>
    <w:rsid w:val="00FB6E39"/>
    <w:rsid w:val="00FC0680"/>
    <w:rsid w:val="00FC105A"/>
    <w:rsid w:val="00FC219C"/>
    <w:rsid w:val="00FC2739"/>
    <w:rsid w:val="00FC2764"/>
    <w:rsid w:val="00FC3041"/>
    <w:rsid w:val="00FC7EC6"/>
    <w:rsid w:val="00FD3859"/>
    <w:rsid w:val="00FD507C"/>
    <w:rsid w:val="00FD5755"/>
    <w:rsid w:val="00FD6427"/>
    <w:rsid w:val="00FE0119"/>
    <w:rsid w:val="00FE014C"/>
    <w:rsid w:val="00FE1338"/>
    <w:rsid w:val="00FE40EA"/>
    <w:rsid w:val="00FF0154"/>
    <w:rsid w:val="00FF0742"/>
    <w:rsid w:val="00FF78D3"/>
    <w:rsid w:val="00FF7A3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76B2B"/>
  <w15:chartTrackingRefBased/>
  <w15:docId w15:val="{39C663DC-3933-A349-8401-7F9571F4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DD386E"/>
    <w:pPr>
      <w:keepNext/>
      <w:keepLines/>
      <w:spacing w:after="252" w:line="259" w:lineRule="auto"/>
      <w:ind w:left="10" w:right="902" w:hanging="10"/>
      <w:outlineLvl w:val="0"/>
    </w:pPr>
    <w:rPr>
      <w:rFonts w:ascii="Times New Roman" w:eastAsia="Times New Roman" w:hAnsi="Times New Roman" w:cs="Times New Roman"/>
      <w:color w:val="000000"/>
      <w:kern w:val="0"/>
      <w:sz w:val="26"/>
      <w:szCs w:val="22"/>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174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8174F"/>
    <w:rPr>
      <w:color w:val="0563C1" w:themeColor="hyperlink"/>
      <w:u w:val="single"/>
    </w:rPr>
  </w:style>
  <w:style w:type="character" w:styleId="UnresolvedMention">
    <w:name w:val="Unresolved Mention"/>
    <w:basedOn w:val="DefaultParagraphFont"/>
    <w:uiPriority w:val="99"/>
    <w:semiHidden/>
    <w:unhideWhenUsed/>
    <w:rsid w:val="0018174F"/>
    <w:rPr>
      <w:color w:val="605E5C"/>
      <w:shd w:val="clear" w:color="auto" w:fill="E1DFDD"/>
    </w:rPr>
  </w:style>
  <w:style w:type="character" w:styleId="FollowedHyperlink">
    <w:name w:val="FollowedHyperlink"/>
    <w:basedOn w:val="DefaultParagraphFont"/>
    <w:uiPriority w:val="99"/>
    <w:semiHidden/>
    <w:unhideWhenUsed/>
    <w:rsid w:val="00D648FF"/>
    <w:rPr>
      <w:color w:val="954F72" w:themeColor="followedHyperlink"/>
      <w:u w:val="single"/>
    </w:rPr>
  </w:style>
  <w:style w:type="paragraph" w:styleId="NoSpacing">
    <w:name w:val="No Spacing"/>
    <w:link w:val="NoSpacingChar"/>
    <w:uiPriority w:val="1"/>
    <w:qFormat/>
    <w:rsid w:val="00D648FF"/>
    <w:rPr>
      <w:kern w:val="0"/>
      <w:sz w:val="22"/>
      <w14:ligatures w14:val="none"/>
    </w:rPr>
  </w:style>
  <w:style w:type="paragraph" w:styleId="FootnoteText">
    <w:name w:val="footnote text"/>
    <w:basedOn w:val="Normal"/>
    <w:link w:val="FootnoteTextChar"/>
    <w:uiPriority w:val="99"/>
    <w:unhideWhenUsed/>
    <w:rsid w:val="008A4F3D"/>
    <w:rPr>
      <w:rFonts w:ascii="Times New Roman" w:hAnsi="Times New Roman"/>
      <w:kern w:val="0"/>
      <w14:ligatures w14:val="none"/>
    </w:rPr>
  </w:style>
  <w:style w:type="character" w:customStyle="1" w:styleId="FootnoteTextChar">
    <w:name w:val="Footnote Text Char"/>
    <w:basedOn w:val="DefaultParagraphFont"/>
    <w:link w:val="FootnoteText"/>
    <w:rsid w:val="008A4F3D"/>
    <w:rPr>
      <w:rFonts w:ascii="Times New Roman" w:hAnsi="Times New Roman"/>
      <w:kern w:val="0"/>
      <w14:ligatures w14:val="none"/>
    </w:rPr>
  </w:style>
  <w:style w:type="character" w:styleId="FootnoteReference">
    <w:name w:val="footnote reference"/>
    <w:basedOn w:val="DefaultParagraphFont"/>
    <w:uiPriority w:val="99"/>
    <w:unhideWhenUsed/>
    <w:rsid w:val="008A4F3D"/>
    <w:rPr>
      <w:vertAlign w:val="superscript"/>
    </w:rPr>
  </w:style>
  <w:style w:type="character" w:styleId="CommentReference">
    <w:name w:val="annotation reference"/>
    <w:basedOn w:val="DefaultParagraphFont"/>
    <w:uiPriority w:val="99"/>
    <w:semiHidden/>
    <w:unhideWhenUsed/>
    <w:rsid w:val="008A4F3D"/>
    <w:rPr>
      <w:sz w:val="16"/>
      <w:szCs w:val="16"/>
    </w:rPr>
  </w:style>
  <w:style w:type="paragraph" w:styleId="CommentText">
    <w:name w:val="annotation text"/>
    <w:basedOn w:val="Normal"/>
    <w:link w:val="CommentTextChar"/>
    <w:uiPriority w:val="99"/>
    <w:semiHidden/>
    <w:unhideWhenUsed/>
    <w:rsid w:val="008A4F3D"/>
    <w:rPr>
      <w:sz w:val="20"/>
      <w:szCs w:val="20"/>
    </w:rPr>
  </w:style>
  <w:style w:type="character" w:customStyle="1" w:styleId="CommentTextChar">
    <w:name w:val="Comment Text Char"/>
    <w:basedOn w:val="DefaultParagraphFont"/>
    <w:link w:val="CommentText"/>
    <w:uiPriority w:val="99"/>
    <w:semiHidden/>
    <w:rsid w:val="008A4F3D"/>
    <w:rPr>
      <w:sz w:val="20"/>
      <w:szCs w:val="20"/>
    </w:rPr>
  </w:style>
  <w:style w:type="paragraph" w:styleId="CommentSubject">
    <w:name w:val="annotation subject"/>
    <w:basedOn w:val="CommentText"/>
    <w:next w:val="CommentText"/>
    <w:link w:val="CommentSubjectChar"/>
    <w:uiPriority w:val="99"/>
    <w:semiHidden/>
    <w:unhideWhenUsed/>
    <w:rsid w:val="008A4F3D"/>
    <w:rPr>
      <w:b/>
      <w:bCs/>
    </w:rPr>
  </w:style>
  <w:style w:type="character" w:customStyle="1" w:styleId="CommentSubjectChar">
    <w:name w:val="Comment Subject Char"/>
    <w:basedOn w:val="CommentTextChar"/>
    <w:link w:val="CommentSubject"/>
    <w:uiPriority w:val="99"/>
    <w:semiHidden/>
    <w:rsid w:val="008A4F3D"/>
    <w:rPr>
      <w:b/>
      <w:bCs/>
      <w:sz w:val="20"/>
      <w:szCs w:val="20"/>
    </w:rPr>
  </w:style>
  <w:style w:type="paragraph" w:styleId="ListParagraph">
    <w:name w:val="List Paragraph"/>
    <w:basedOn w:val="Normal"/>
    <w:uiPriority w:val="34"/>
    <w:qFormat/>
    <w:rsid w:val="00846488"/>
    <w:pPr>
      <w:ind w:left="720"/>
      <w:contextualSpacing/>
    </w:pPr>
  </w:style>
  <w:style w:type="paragraph" w:styleId="Footer">
    <w:name w:val="footer"/>
    <w:basedOn w:val="Normal"/>
    <w:link w:val="FooterChar"/>
    <w:uiPriority w:val="99"/>
    <w:unhideWhenUsed/>
    <w:rsid w:val="00EF6DEF"/>
    <w:pPr>
      <w:tabs>
        <w:tab w:val="center" w:pos="4680"/>
        <w:tab w:val="right" w:pos="9360"/>
      </w:tabs>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EF6DEF"/>
    <w:rPr>
      <w:rFonts w:ascii="Times New Roman" w:eastAsia="Times New Roman" w:hAnsi="Times New Roman" w:cs="Times New Roman"/>
      <w:kern w:val="0"/>
      <w14:ligatures w14:val="none"/>
    </w:rPr>
  </w:style>
  <w:style w:type="character" w:customStyle="1" w:styleId="NoSpacingChar">
    <w:name w:val="No Spacing Char"/>
    <w:basedOn w:val="DefaultParagraphFont"/>
    <w:link w:val="NoSpacing"/>
    <w:uiPriority w:val="1"/>
    <w:rsid w:val="00563854"/>
    <w:rPr>
      <w:kern w:val="0"/>
      <w:sz w:val="22"/>
      <w14:ligatures w14:val="none"/>
    </w:rPr>
  </w:style>
  <w:style w:type="character" w:customStyle="1" w:styleId="apple-converted-space">
    <w:name w:val="apple-converted-space"/>
    <w:basedOn w:val="DefaultParagraphFont"/>
    <w:rsid w:val="00D068B0"/>
  </w:style>
  <w:style w:type="character" w:styleId="Emphasis">
    <w:name w:val="Emphasis"/>
    <w:basedOn w:val="DefaultParagraphFont"/>
    <w:uiPriority w:val="20"/>
    <w:qFormat/>
    <w:rsid w:val="00325436"/>
    <w:rPr>
      <w:i/>
      <w:iCs/>
    </w:rPr>
  </w:style>
  <w:style w:type="character" w:customStyle="1" w:styleId="ssit">
    <w:name w:val="ss_it"/>
    <w:basedOn w:val="DefaultParagraphFont"/>
    <w:rsid w:val="00A929AD"/>
  </w:style>
  <w:style w:type="paragraph" w:styleId="Revision">
    <w:name w:val="Revision"/>
    <w:hidden/>
    <w:uiPriority w:val="99"/>
    <w:semiHidden/>
    <w:rsid w:val="00EF35DC"/>
  </w:style>
  <w:style w:type="character" w:styleId="PageNumber">
    <w:name w:val="page number"/>
    <w:basedOn w:val="DefaultParagraphFont"/>
    <w:uiPriority w:val="99"/>
    <w:semiHidden/>
    <w:unhideWhenUsed/>
    <w:rsid w:val="005C2650"/>
  </w:style>
  <w:style w:type="paragraph" w:styleId="Header">
    <w:name w:val="header"/>
    <w:basedOn w:val="Normal"/>
    <w:link w:val="HeaderChar"/>
    <w:uiPriority w:val="99"/>
    <w:unhideWhenUsed/>
    <w:rsid w:val="006166D4"/>
    <w:pPr>
      <w:tabs>
        <w:tab w:val="center" w:pos="4680"/>
        <w:tab w:val="right" w:pos="9360"/>
      </w:tabs>
    </w:pPr>
  </w:style>
  <w:style w:type="character" w:customStyle="1" w:styleId="HeaderChar">
    <w:name w:val="Header Char"/>
    <w:basedOn w:val="DefaultParagraphFont"/>
    <w:link w:val="Header"/>
    <w:uiPriority w:val="99"/>
    <w:rsid w:val="006166D4"/>
  </w:style>
  <w:style w:type="character" w:customStyle="1" w:styleId="Heading1Char">
    <w:name w:val="Heading 1 Char"/>
    <w:basedOn w:val="DefaultParagraphFont"/>
    <w:link w:val="Heading1"/>
    <w:rsid w:val="00DD386E"/>
    <w:rPr>
      <w:rFonts w:ascii="Times New Roman" w:eastAsia="Times New Roman" w:hAnsi="Times New Roman" w:cs="Times New Roman"/>
      <w:color w:val="000000"/>
      <w:kern w:val="0"/>
      <w:sz w:val="26"/>
      <w:szCs w:val="22"/>
      <w:u w:val="single" w:color="000000"/>
      <w14:ligatures w14:val="none"/>
    </w:rPr>
  </w:style>
  <w:style w:type="paragraph" w:styleId="BodyText">
    <w:name w:val="Body Text"/>
    <w:basedOn w:val="Normal"/>
    <w:link w:val="BodyTextChar"/>
    <w:rsid w:val="00302273"/>
    <w:rPr>
      <w:rFonts w:ascii="Times New Roman" w:eastAsia="Times New Roman" w:hAnsi="Times New Roman" w:cs="Times New Roman"/>
      <w:kern w:val="0"/>
      <w:sz w:val="22"/>
      <w:szCs w:val="20"/>
      <w14:ligatures w14:val="none"/>
    </w:rPr>
  </w:style>
  <w:style w:type="character" w:customStyle="1" w:styleId="BodyTextChar">
    <w:name w:val="Body Text Char"/>
    <w:basedOn w:val="DefaultParagraphFont"/>
    <w:link w:val="BodyText"/>
    <w:rsid w:val="00302273"/>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6546">
      <w:bodyDiv w:val="1"/>
      <w:marLeft w:val="0"/>
      <w:marRight w:val="0"/>
      <w:marTop w:val="0"/>
      <w:marBottom w:val="0"/>
      <w:divBdr>
        <w:top w:val="none" w:sz="0" w:space="0" w:color="auto"/>
        <w:left w:val="none" w:sz="0" w:space="0" w:color="auto"/>
        <w:bottom w:val="none" w:sz="0" w:space="0" w:color="auto"/>
        <w:right w:val="none" w:sz="0" w:space="0" w:color="auto"/>
      </w:divBdr>
    </w:div>
    <w:div w:id="592470938">
      <w:bodyDiv w:val="1"/>
      <w:marLeft w:val="0"/>
      <w:marRight w:val="0"/>
      <w:marTop w:val="0"/>
      <w:marBottom w:val="0"/>
      <w:divBdr>
        <w:top w:val="none" w:sz="0" w:space="0" w:color="auto"/>
        <w:left w:val="none" w:sz="0" w:space="0" w:color="auto"/>
        <w:bottom w:val="none" w:sz="0" w:space="0" w:color="auto"/>
        <w:right w:val="none" w:sz="0" w:space="0" w:color="auto"/>
      </w:divBdr>
    </w:div>
    <w:div w:id="848327918">
      <w:bodyDiv w:val="1"/>
      <w:marLeft w:val="0"/>
      <w:marRight w:val="0"/>
      <w:marTop w:val="0"/>
      <w:marBottom w:val="0"/>
      <w:divBdr>
        <w:top w:val="none" w:sz="0" w:space="0" w:color="auto"/>
        <w:left w:val="none" w:sz="0" w:space="0" w:color="auto"/>
        <w:bottom w:val="none" w:sz="0" w:space="0" w:color="auto"/>
        <w:right w:val="none" w:sz="0" w:space="0" w:color="auto"/>
      </w:divBdr>
    </w:div>
    <w:div w:id="1011642060">
      <w:bodyDiv w:val="1"/>
      <w:marLeft w:val="0"/>
      <w:marRight w:val="0"/>
      <w:marTop w:val="0"/>
      <w:marBottom w:val="0"/>
      <w:divBdr>
        <w:top w:val="none" w:sz="0" w:space="0" w:color="auto"/>
        <w:left w:val="none" w:sz="0" w:space="0" w:color="auto"/>
        <w:bottom w:val="none" w:sz="0" w:space="0" w:color="auto"/>
        <w:right w:val="none" w:sz="0" w:space="0" w:color="auto"/>
      </w:divBdr>
    </w:div>
    <w:div w:id="1032271562">
      <w:bodyDiv w:val="1"/>
      <w:marLeft w:val="0"/>
      <w:marRight w:val="0"/>
      <w:marTop w:val="0"/>
      <w:marBottom w:val="0"/>
      <w:divBdr>
        <w:top w:val="none" w:sz="0" w:space="0" w:color="auto"/>
        <w:left w:val="none" w:sz="0" w:space="0" w:color="auto"/>
        <w:bottom w:val="none" w:sz="0" w:space="0" w:color="auto"/>
        <w:right w:val="none" w:sz="0" w:space="0" w:color="auto"/>
      </w:divBdr>
    </w:div>
    <w:div w:id="1079524982">
      <w:bodyDiv w:val="1"/>
      <w:marLeft w:val="0"/>
      <w:marRight w:val="0"/>
      <w:marTop w:val="0"/>
      <w:marBottom w:val="0"/>
      <w:divBdr>
        <w:top w:val="none" w:sz="0" w:space="0" w:color="auto"/>
        <w:left w:val="none" w:sz="0" w:space="0" w:color="auto"/>
        <w:bottom w:val="none" w:sz="0" w:space="0" w:color="auto"/>
        <w:right w:val="none" w:sz="0" w:space="0" w:color="auto"/>
      </w:divBdr>
    </w:div>
    <w:div w:id="1180969141">
      <w:bodyDiv w:val="1"/>
      <w:marLeft w:val="0"/>
      <w:marRight w:val="0"/>
      <w:marTop w:val="0"/>
      <w:marBottom w:val="0"/>
      <w:divBdr>
        <w:top w:val="none" w:sz="0" w:space="0" w:color="auto"/>
        <w:left w:val="none" w:sz="0" w:space="0" w:color="auto"/>
        <w:bottom w:val="none" w:sz="0" w:space="0" w:color="auto"/>
        <w:right w:val="none" w:sz="0" w:space="0" w:color="auto"/>
      </w:divBdr>
      <w:divsChild>
        <w:div w:id="735784168">
          <w:marLeft w:val="0"/>
          <w:marRight w:val="0"/>
          <w:marTop w:val="0"/>
          <w:marBottom w:val="0"/>
          <w:divBdr>
            <w:top w:val="none" w:sz="0" w:space="0" w:color="3D3D3D"/>
            <w:left w:val="none" w:sz="0" w:space="0" w:color="3D3D3D"/>
            <w:bottom w:val="none" w:sz="0" w:space="0" w:color="3D3D3D"/>
            <w:right w:val="none" w:sz="0" w:space="0" w:color="3D3D3D"/>
          </w:divBdr>
          <w:divsChild>
            <w:div w:id="3065209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57979274">
      <w:bodyDiv w:val="1"/>
      <w:marLeft w:val="0"/>
      <w:marRight w:val="0"/>
      <w:marTop w:val="0"/>
      <w:marBottom w:val="0"/>
      <w:divBdr>
        <w:top w:val="none" w:sz="0" w:space="0" w:color="auto"/>
        <w:left w:val="none" w:sz="0" w:space="0" w:color="auto"/>
        <w:bottom w:val="none" w:sz="0" w:space="0" w:color="auto"/>
        <w:right w:val="none" w:sz="0" w:space="0" w:color="auto"/>
      </w:divBdr>
      <w:divsChild>
        <w:div w:id="1714772747">
          <w:marLeft w:val="0"/>
          <w:marRight w:val="0"/>
          <w:marTop w:val="0"/>
          <w:marBottom w:val="0"/>
          <w:divBdr>
            <w:top w:val="none" w:sz="0" w:space="0" w:color="3D3D3D"/>
            <w:left w:val="none" w:sz="0" w:space="0" w:color="3D3D3D"/>
            <w:bottom w:val="none" w:sz="0" w:space="0" w:color="3D3D3D"/>
            <w:right w:val="none" w:sz="0" w:space="0" w:color="3D3D3D"/>
          </w:divBdr>
          <w:divsChild>
            <w:div w:id="14439156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2479410">
      <w:bodyDiv w:val="1"/>
      <w:marLeft w:val="0"/>
      <w:marRight w:val="0"/>
      <w:marTop w:val="0"/>
      <w:marBottom w:val="0"/>
      <w:divBdr>
        <w:top w:val="none" w:sz="0" w:space="0" w:color="auto"/>
        <w:left w:val="none" w:sz="0" w:space="0" w:color="auto"/>
        <w:bottom w:val="none" w:sz="0" w:space="0" w:color="auto"/>
        <w:right w:val="none" w:sz="0" w:space="0" w:color="auto"/>
      </w:divBdr>
    </w:div>
    <w:div w:id="1569920799">
      <w:bodyDiv w:val="1"/>
      <w:marLeft w:val="0"/>
      <w:marRight w:val="0"/>
      <w:marTop w:val="0"/>
      <w:marBottom w:val="0"/>
      <w:divBdr>
        <w:top w:val="none" w:sz="0" w:space="0" w:color="auto"/>
        <w:left w:val="none" w:sz="0" w:space="0" w:color="auto"/>
        <w:bottom w:val="none" w:sz="0" w:space="0" w:color="auto"/>
        <w:right w:val="none" w:sz="0" w:space="0" w:color="auto"/>
      </w:divBdr>
    </w:div>
    <w:div w:id="1888490133">
      <w:bodyDiv w:val="1"/>
      <w:marLeft w:val="0"/>
      <w:marRight w:val="0"/>
      <w:marTop w:val="0"/>
      <w:marBottom w:val="0"/>
      <w:divBdr>
        <w:top w:val="none" w:sz="0" w:space="0" w:color="auto"/>
        <w:left w:val="none" w:sz="0" w:space="0" w:color="auto"/>
        <w:bottom w:val="none" w:sz="0" w:space="0" w:color="auto"/>
        <w:right w:val="none" w:sz="0" w:space="0" w:color="auto"/>
      </w:divBdr>
      <w:divsChild>
        <w:div w:id="1206870666">
          <w:marLeft w:val="0"/>
          <w:marRight w:val="0"/>
          <w:marTop w:val="0"/>
          <w:marBottom w:val="0"/>
          <w:divBdr>
            <w:top w:val="none" w:sz="0" w:space="0" w:color="auto"/>
            <w:left w:val="none" w:sz="0" w:space="0" w:color="auto"/>
            <w:bottom w:val="none" w:sz="0" w:space="0" w:color="auto"/>
            <w:right w:val="none" w:sz="0" w:space="0" w:color="auto"/>
          </w:divBdr>
          <w:divsChild>
            <w:div w:id="442463085">
              <w:marLeft w:val="0"/>
              <w:marRight w:val="0"/>
              <w:marTop w:val="0"/>
              <w:marBottom w:val="0"/>
              <w:divBdr>
                <w:top w:val="none" w:sz="0" w:space="0" w:color="auto"/>
                <w:left w:val="none" w:sz="0" w:space="0" w:color="auto"/>
                <w:bottom w:val="none" w:sz="0" w:space="0" w:color="auto"/>
                <w:right w:val="none" w:sz="0" w:space="0" w:color="auto"/>
              </w:divBdr>
              <w:divsChild>
                <w:div w:id="800151555">
                  <w:marLeft w:val="0"/>
                  <w:marRight w:val="0"/>
                  <w:marTop w:val="0"/>
                  <w:marBottom w:val="0"/>
                  <w:divBdr>
                    <w:top w:val="none" w:sz="0" w:space="0" w:color="auto"/>
                    <w:left w:val="none" w:sz="0" w:space="0" w:color="auto"/>
                    <w:bottom w:val="none" w:sz="0" w:space="0" w:color="auto"/>
                    <w:right w:val="none" w:sz="0" w:space="0" w:color="auto"/>
                  </w:divBdr>
                  <w:divsChild>
                    <w:div w:id="639532556">
                      <w:marLeft w:val="0"/>
                      <w:marRight w:val="0"/>
                      <w:marTop w:val="0"/>
                      <w:marBottom w:val="0"/>
                      <w:divBdr>
                        <w:top w:val="none" w:sz="0" w:space="0" w:color="auto"/>
                        <w:left w:val="none" w:sz="0" w:space="0" w:color="auto"/>
                        <w:bottom w:val="none" w:sz="0" w:space="0" w:color="auto"/>
                        <w:right w:val="none" w:sz="0" w:space="0" w:color="auto"/>
                      </w:divBdr>
                      <w:divsChild>
                        <w:div w:id="1447650248">
                          <w:marLeft w:val="0"/>
                          <w:marRight w:val="0"/>
                          <w:marTop w:val="0"/>
                          <w:marBottom w:val="0"/>
                          <w:divBdr>
                            <w:top w:val="none" w:sz="0" w:space="0" w:color="auto"/>
                            <w:left w:val="none" w:sz="0" w:space="0" w:color="auto"/>
                            <w:bottom w:val="none" w:sz="0" w:space="0" w:color="auto"/>
                            <w:right w:val="none" w:sz="0" w:space="0" w:color="auto"/>
                          </w:divBdr>
                          <w:divsChild>
                            <w:div w:id="831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39FD5-D8DB-4A44-A1A6-A193F521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2982</Words>
  <Characters>17003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Reichbach</dc:creator>
  <cp:keywords>Motion to Dismiss</cp:keywords>
  <dc:description/>
  <cp:lastModifiedBy>Phongsa, Sitthikay (ALA)</cp:lastModifiedBy>
  <cp:revision>3</cp:revision>
  <cp:lastPrinted>2026-01-07T19:37:00Z</cp:lastPrinted>
  <dcterms:created xsi:type="dcterms:W3CDTF">2026-01-08T17:02:00Z</dcterms:created>
  <dcterms:modified xsi:type="dcterms:W3CDTF">2026-01-09T11:40:00Z</dcterms:modified>
</cp:coreProperties>
</file>