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7FA" w14:textId="77777777" w:rsidR="00E54083" w:rsidRPr="001B3770" w:rsidRDefault="00E54083" w:rsidP="00D6127B">
      <w:pPr>
        <w:jc w:val="center"/>
        <w:rPr>
          <w:rFonts w:ascii="Aptos" w:hAnsi="Aptos"/>
          <w:b/>
          <w:color w:val="000000" w:themeColor="text1"/>
        </w:rPr>
      </w:pPr>
    </w:p>
    <w:p w14:paraId="68C5C43D" w14:textId="1A63DA05" w:rsidR="00E54083" w:rsidRPr="00DA0B06" w:rsidRDefault="00DA0B06" w:rsidP="00D6127B">
      <w:pPr>
        <w:pStyle w:val="Heading1"/>
        <w:spacing w:before="0"/>
        <w:jc w:val="center"/>
        <w:rPr>
          <w:rFonts w:ascii="Aptos" w:hAnsi="Aptos"/>
          <w:b/>
          <w:bCs/>
          <w:color w:val="000000" w:themeColor="text1"/>
          <w:sz w:val="24"/>
          <w:szCs w:val="24"/>
        </w:rPr>
      </w:pPr>
      <w:r w:rsidRPr="00DA0B06">
        <w:rPr>
          <w:rFonts w:ascii="Aptos" w:hAnsi="Aptos"/>
          <w:b/>
          <w:bCs/>
          <w:color w:val="000000" w:themeColor="text1"/>
          <w:sz w:val="24"/>
          <w:szCs w:val="24"/>
        </w:rPr>
        <w:t>COMMONWEALTH OF MASSACHUSETTS</w:t>
      </w:r>
    </w:p>
    <w:p w14:paraId="060650E0" w14:textId="77777777" w:rsidR="00E54083" w:rsidRPr="001B3770" w:rsidRDefault="00E54083" w:rsidP="00D6127B">
      <w:pPr>
        <w:jc w:val="center"/>
        <w:rPr>
          <w:rFonts w:ascii="Aptos" w:hAnsi="Aptos"/>
          <w:b/>
          <w:color w:val="000000" w:themeColor="text1"/>
        </w:rPr>
      </w:pPr>
      <w:r w:rsidRPr="001B3770">
        <w:rPr>
          <w:rFonts w:ascii="Aptos" w:hAnsi="Aptos"/>
          <w:b/>
          <w:color w:val="000000" w:themeColor="text1"/>
        </w:rPr>
        <w:t>DIVISION OF ADMINISTRATIVE LAW APPEALS</w:t>
      </w:r>
    </w:p>
    <w:p w14:paraId="3B594664" w14:textId="77777777" w:rsidR="00E54083" w:rsidRPr="001B3770" w:rsidRDefault="00E54083" w:rsidP="00D6127B">
      <w:pPr>
        <w:jc w:val="center"/>
        <w:rPr>
          <w:rFonts w:ascii="Aptos" w:hAnsi="Aptos"/>
          <w:b/>
          <w:color w:val="000000" w:themeColor="text1"/>
        </w:rPr>
      </w:pPr>
      <w:r w:rsidRPr="001B3770">
        <w:rPr>
          <w:rFonts w:ascii="Aptos" w:hAnsi="Aptos"/>
          <w:b/>
          <w:color w:val="000000" w:themeColor="text1"/>
        </w:rPr>
        <w:t>BUREAU OF SPECIAL EDUCATION APPEALS</w:t>
      </w:r>
    </w:p>
    <w:p w14:paraId="6AEE39D3" w14:textId="77777777" w:rsidR="00E54083" w:rsidRPr="001B3770" w:rsidRDefault="00E54083" w:rsidP="00D6127B">
      <w:pPr>
        <w:rPr>
          <w:rFonts w:ascii="Aptos" w:hAnsi="Aptos"/>
          <w:b/>
          <w:color w:val="000000" w:themeColor="text1"/>
        </w:rPr>
      </w:pPr>
    </w:p>
    <w:p w14:paraId="502D4924" w14:textId="3905A323" w:rsidR="00E54083" w:rsidRPr="001B3770" w:rsidRDefault="00E54083" w:rsidP="00296BA5">
      <w:pPr>
        <w:rPr>
          <w:rFonts w:ascii="Aptos" w:hAnsi="Aptos"/>
          <w:b/>
          <w:bCs/>
          <w:color w:val="000000" w:themeColor="text1"/>
        </w:rPr>
      </w:pPr>
      <w:r w:rsidRPr="001B3770">
        <w:rPr>
          <w:rFonts w:ascii="Aptos" w:hAnsi="Aptos"/>
          <w:b/>
          <w:bCs/>
          <w:color w:val="000000" w:themeColor="text1"/>
        </w:rPr>
        <w:t xml:space="preserve">In Re: Student v. </w:t>
      </w:r>
      <w:r w:rsidR="00296BA5">
        <w:rPr>
          <w:rFonts w:ascii="Aptos" w:hAnsi="Aptos"/>
          <w:b/>
          <w:bCs/>
          <w:color w:val="000000" w:themeColor="text1"/>
        </w:rPr>
        <w:t>Peabody</w:t>
      </w:r>
      <w:r w:rsidR="00D54D4C" w:rsidRPr="001B3770">
        <w:rPr>
          <w:rFonts w:ascii="Aptos" w:hAnsi="Aptos"/>
          <w:b/>
          <w:bCs/>
          <w:color w:val="000000" w:themeColor="text1"/>
        </w:rPr>
        <w:t xml:space="preserve"> Public Schools</w:t>
      </w:r>
      <w:r w:rsidRPr="001B3770">
        <w:rPr>
          <w:rFonts w:ascii="Aptos" w:hAnsi="Aptos"/>
          <w:b/>
          <w:bCs/>
          <w:color w:val="000000" w:themeColor="text1"/>
        </w:rPr>
        <w:tab/>
      </w:r>
      <w:r w:rsidRPr="001B3770">
        <w:rPr>
          <w:rFonts w:ascii="Aptos" w:hAnsi="Aptos"/>
          <w:b/>
          <w:bCs/>
          <w:color w:val="000000" w:themeColor="text1"/>
        </w:rPr>
        <w:tab/>
      </w:r>
      <w:r w:rsidRPr="001B3770">
        <w:rPr>
          <w:rFonts w:ascii="Aptos" w:hAnsi="Aptos"/>
          <w:b/>
          <w:bCs/>
          <w:color w:val="000000" w:themeColor="text1"/>
        </w:rPr>
        <w:tab/>
      </w:r>
      <w:r w:rsidR="001546D6">
        <w:rPr>
          <w:rFonts w:ascii="Aptos" w:hAnsi="Aptos"/>
          <w:b/>
          <w:bCs/>
          <w:color w:val="000000" w:themeColor="text1"/>
        </w:rPr>
        <w:tab/>
      </w:r>
      <w:r w:rsidR="00D54D4C" w:rsidRPr="001B3770">
        <w:rPr>
          <w:rFonts w:ascii="Aptos" w:hAnsi="Aptos"/>
          <w:b/>
          <w:bCs/>
          <w:color w:val="000000" w:themeColor="text1"/>
        </w:rPr>
        <w:t xml:space="preserve">BSEA # </w:t>
      </w:r>
      <w:r w:rsidR="00296BA5" w:rsidRPr="00296BA5">
        <w:rPr>
          <w:rFonts w:ascii="Aptos" w:hAnsi="Aptos"/>
          <w:b/>
          <w:bCs/>
          <w:color w:val="000000" w:themeColor="text1"/>
        </w:rPr>
        <w:t xml:space="preserve"> 2607428</w:t>
      </w:r>
      <w:r w:rsidRPr="001B3770">
        <w:rPr>
          <w:rFonts w:ascii="Aptos" w:hAnsi="Aptos"/>
          <w:b/>
          <w:bCs/>
          <w:color w:val="000000" w:themeColor="text1"/>
        </w:rPr>
        <w:tab/>
      </w:r>
    </w:p>
    <w:p w14:paraId="745BBCB9" w14:textId="77777777" w:rsidR="00E54083" w:rsidRPr="001B3770" w:rsidRDefault="00E54083" w:rsidP="00D6127B">
      <w:pPr>
        <w:jc w:val="center"/>
        <w:rPr>
          <w:rFonts w:ascii="Aptos" w:hAnsi="Aptos"/>
          <w:b/>
          <w:bCs/>
          <w:color w:val="000000" w:themeColor="text1"/>
        </w:rPr>
      </w:pPr>
    </w:p>
    <w:p w14:paraId="7E63EC74" w14:textId="43159557" w:rsidR="00E54083" w:rsidRPr="001B3770" w:rsidRDefault="00AC7469" w:rsidP="00D6127B">
      <w:pPr>
        <w:jc w:val="center"/>
        <w:rPr>
          <w:rFonts w:ascii="Aptos" w:hAnsi="Aptos"/>
          <w:b/>
          <w:color w:val="000000" w:themeColor="text1"/>
          <w:u w:val="single"/>
        </w:rPr>
      </w:pPr>
      <w:r w:rsidRPr="001B3770">
        <w:rPr>
          <w:rFonts w:ascii="Aptos" w:hAnsi="Aptos"/>
          <w:b/>
          <w:bCs/>
          <w:color w:val="000000" w:themeColor="text1"/>
          <w:u w:val="single"/>
        </w:rPr>
        <w:t xml:space="preserve">RULING ON </w:t>
      </w:r>
      <w:r w:rsidR="00296BA5">
        <w:rPr>
          <w:rFonts w:ascii="Aptos" w:hAnsi="Aptos"/>
          <w:b/>
          <w:bCs/>
          <w:color w:val="000000" w:themeColor="text1"/>
          <w:u w:val="single"/>
        </w:rPr>
        <w:t>PEABODY</w:t>
      </w:r>
      <w:r w:rsidR="00D54D4C" w:rsidRPr="001B3770">
        <w:rPr>
          <w:rFonts w:ascii="Aptos" w:hAnsi="Aptos"/>
          <w:b/>
          <w:bCs/>
          <w:color w:val="000000" w:themeColor="text1"/>
          <w:u w:val="single"/>
        </w:rPr>
        <w:t xml:space="preserve"> PUBLIC SCHOOLS’ MOTION TO </w:t>
      </w:r>
      <w:r w:rsidR="00C4348E" w:rsidRPr="001B3770">
        <w:rPr>
          <w:rFonts w:ascii="Aptos" w:hAnsi="Aptos"/>
          <w:b/>
          <w:bCs/>
          <w:color w:val="000000" w:themeColor="text1"/>
          <w:u w:val="single"/>
        </w:rPr>
        <w:t>DISMISS</w:t>
      </w:r>
      <w:r w:rsidR="00296BA5">
        <w:rPr>
          <w:rFonts w:ascii="Aptos" w:hAnsi="Aptos"/>
          <w:b/>
          <w:bCs/>
          <w:color w:val="000000" w:themeColor="text1"/>
          <w:u w:val="single"/>
        </w:rPr>
        <w:t xml:space="preserve"> HEARING REQUEST</w:t>
      </w:r>
      <w:r w:rsidR="00552063" w:rsidRPr="001B3770">
        <w:rPr>
          <w:rFonts w:ascii="Aptos" w:hAnsi="Aptos"/>
          <w:b/>
          <w:bCs/>
          <w:color w:val="000000" w:themeColor="text1"/>
          <w:u w:val="single"/>
        </w:rPr>
        <w:t xml:space="preserve"> </w:t>
      </w:r>
      <w:r w:rsidR="001B6ABA" w:rsidRPr="001B3770">
        <w:rPr>
          <w:rFonts w:ascii="Aptos" w:hAnsi="Aptos"/>
          <w:b/>
          <w:bCs/>
          <w:color w:val="000000" w:themeColor="text1"/>
          <w:u w:val="single"/>
        </w:rPr>
        <w:t xml:space="preserve"> </w:t>
      </w:r>
    </w:p>
    <w:p w14:paraId="588D9D58" w14:textId="77777777" w:rsidR="00D54D4C" w:rsidRPr="001B3770" w:rsidRDefault="00D54D4C" w:rsidP="00D6127B">
      <w:pPr>
        <w:rPr>
          <w:rFonts w:ascii="Aptos" w:hAnsi="Aptos"/>
          <w:color w:val="000000" w:themeColor="text1"/>
        </w:rPr>
      </w:pPr>
    </w:p>
    <w:p w14:paraId="7F9C7307" w14:textId="285042E5" w:rsidR="00686B78" w:rsidRDefault="00D54D4C" w:rsidP="00922F96">
      <w:pPr>
        <w:rPr>
          <w:rFonts w:ascii="Aptos" w:hAnsi="Aptos"/>
          <w:color w:val="000000" w:themeColor="text1"/>
        </w:rPr>
      </w:pPr>
      <w:r w:rsidRPr="001B3770">
        <w:rPr>
          <w:rFonts w:ascii="Aptos" w:hAnsi="Aptos"/>
          <w:color w:val="000000" w:themeColor="text1"/>
        </w:rPr>
        <w:t xml:space="preserve">On </w:t>
      </w:r>
      <w:r w:rsidR="0011061B">
        <w:rPr>
          <w:rFonts w:ascii="Aptos" w:hAnsi="Aptos"/>
          <w:color w:val="000000" w:themeColor="text1"/>
        </w:rPr>
        <w:t>February</w:t>
      </w:r>
      <w:r w:rsidRPr="001B3770">
        <w:rPr>
          <w:rFonts w:ascii="Aptos" w:hAnsi="Aptos"/>
          <w:color w:val="000000" w:themeColor="text1"/>
        </w:rPr>
        <w:t xml:space="preserve"> 9, 202</w:t>
      </w:r>
      <w:r w:rsidR="0011061B">
        <w:rPr>
          <w:rFonts w:ascii="Aptos" w:hAnsi="Aptos"/>
          <w:color w:val="000000" w:themeColor="text1"/>
        </w:rPr>
        <w:t>6</w:t>
      </w:r>
      <w:r w:rsidRPr="001B3770">
        <w:rPr>
          <w:rFonts w:ascii="Aptos" w:hAnsi="Aptos"/>
          <w:color w:val="000000" w:themeColor="text1"/>
        </w:rPr>
        <w:t xml:space="preserve">, </w:t>
      </w:r>
      <w:r w:rsidR="0011061B">
        <w:rPr>
          <w:rFonts w:ascii="Aptos" w:hAnsi="Aptos"/>
          <w:color w:val="000000" w:themeColor="text1"/>
        </w:rPr>
        <w:t>Peabody Public Schools (Peabody or the District) filed</w:t>
      </w:r>
      <w:r w:rsidR="003B262F" w:rsidRPr="001B3770">
        <w:rPr>
          <w:rFonts w:ascii="Aptos" w:hAnsi="Aptos"/>
          <w:color w:val="000000" w:themeColor="text1"/>
        </w:rPr>
        <w:t xml:space="preserve"> </w:t>
      </w:r>
      <w:r w:rsidR="00721495">
        <w:rPr>
          <w:rFonts w:ascii="Aptos" w:hAnsi="Aptos"/>
          <w:color w:val="000000" w:themeColor="text1"/>
        </w:rPr>
        <w:t>Peabody Public Schools’ Motion to Dismiss Hearing Request (the Motion)</w:t>
      </w:r>
      <w:r w:rsidRPr="001B3770">
        <w:rPr>
          <w:rFonts w:ascii="Aptos" w:hAnsi="Aptos"/>
          <w:color w:val="000000" w:themeColor="text1"/>
        </w:rPr>
        <w:t xml:space="preserve"> </w:t>
      </w:r>
      <w:r w:rsidR="003B262F" w:rsidRPr="001B3770">
        <w:rPr>
          <w:rFonts w:ascii="Aptos" w:hAnsi="Aptos"/>
          <w:color w:val="000000" w:themeColor="text1"/>
        </w:rPr>
        <w:t>with the Bureau of Special Education Appeals (“BSEA”)</w:t>
      </w:r>
      <w:r w:rsidR="001546D6">
        <w:rPr>
          <w:rFonts w:ascii="Aptos" w:hAnsi="Aptos"/>
          <w:color w:val="000000" w:themeColor="text1"/>
        </w:rPr>
        <w:t>,</w:t>
      </w:r>
      <w:r w:rsidR="003B262F" w:rsidRPr="001B3770">
        <w:rPr>
          <w:rFonts w:ascii="Aptos" w:hAnsi="Aptos"/>
          <w:color w:val="000000" w:themeColor="text1"/>
        </w:rPr>
        <w:t xml:space="preserve"> </w:t>
      </w:r>
      <w:r w:rsidR="005367D0">
        <w:rPr>
          <w:rFonts w:ascii="Aptos" w:hAnsi="Aptos"/>
          <w:color w:val="000000" w:themeColor="text1"/>
        </w:rPr>
        <w:t>asserting</w:t>
      </w:r>
      <w:r w:rsidR="00B33EA8" w:rsidRPr="001B3770">
        <w:rPr>
          <w:rFonts w:ascii="Aptos" w:hAnsi="Aptos"/>
          <w:color w:val="000000" w:themeColor="text1"/>
        </w:rPr>
        <w:t xml:space="preserve"> </w:t>
      </w:r>
      <w:r w:rsidRPr="001B3770">
        <w:rPr>
          <w:rFonts w:ascii="Aptos" w:hAnsi="Aptos"/>
          <w:color w:val="000000" w:themeColor="text1"/>
        </w:rPr>
        <w:t xml:space="preserve">that </w:t>
      </w:r>
      <w:r w:rsidR="005367D0" w:rsidRPr="005367D0">
        <w:rPr>
          <w:rFonts w:ascii="Aptos" w:hAnsi="Aptos"/>
          <w:color w:val="000000" w:themeColor="text1"/>
        </w:rPr>
        <w:t xml:space="preserve">Parent’s Hearing Request be dismissed with prejudice in its entirety </w:t>
      </w:r>
      <w:r w:rsidR="00922F96">
        <w:rPr>
          <w:rFonts w:ascii="Aptos" w:hAnsi="Aptos"/>
          <w:color w:val="000000" w:themeColor="text1"/>
        </w:rPr>
        <w:t>“</w:t>
      </w:r>
      <w:r w:rsidR="005367D0" w:rsidRPr="005367D0">
        <w:rPr>
          <w:rFonts w:ascii="Aptos" w:hAnsi="Aptos"/>
          <w:color w:val="000000" w:themeColor="text1"/>
        </w:rPr>
        <w:t>because it was filed beyond the two-year statute of limitations.</w:t>
      </w:r>
      <w:r w:rsidR="00922F96">
        <w:rPr>
          <w:rFonts w:ascii="Aptos" w:hAnsi="Aptos"/>
          <w:color w:val="000000" w:themeColor="text1"/>
        </w:rPr>
        <w:t>”</w:t>
      </w:r>
      <w:r w:rsidR="00922F96">
        <w:rPr>
          <w:rStyle w:val="FootnoteReference"/>
          <w:rFonts w:ascii="Aptos" w:hAnsi="Aptos"/>
          <w:color w:val="000000" w:themeColor="text1"/>
        </w:rPr>
        <w:footnoteReference w:id="1"/>
      </w:r>
      <w:r w:rsidR="005367D0" w:rsidRPr="005367D0">
        <w:rPr>
          <w:rFonts w:ascii="Aptos" w:hAnsi="Aptos"/>
          <w:color w:val="000000" w:themeColor="text1"/>
        </w:rPr>
        <w:t xml:space="preserve"> </w:t>
      </w:r>
    </w:p>
    <w:p w14:paraId="5825E0DA" w14:textId="77777777" w:rsidR="00A339BE" w:rsidRDefault="00A339BE" w:rsidP="00922F96">
      <w:pPr>
        <w:rPr>
          <w:rFonts w:ascii="Aptos" w:hAnsi="Aptos"/>
          <w:color w:val="000000" w:themeColor="text1"/>
        </w:rPr>
      </w:pPr>
    </w:p>
    <w:p w14:paraId="08A059E0" w14:textId="5D4DA47E" w:rsidR="00A339BE" w:rsidRPr="001B3770" w:rsidRDefault="00A339BE" w:rsidP="00922F96">
      <w:pPr>
        <w:rPr>
          <w:rFonts w:ascii="Aptos" w:hAnsi="Aptos"/>
          <w:color w:val="000000" w:themeColor="text1"/>
        </w:rPr>
      </w:pPr>
      <w:r>
        <w:rPr>
          <w:rFonts w:ascii="Aptos" w:hAnsi="Aptos"/>
          <w:color w:val="000000" w:themeColor="text1"/>
        </w:rPr>
        <w:t xml:space="preserve">On February 10, 2026, Parent, </w:t>
      </w:r>
      <w:r w:rsidR="00A9761E">
        <w:rPr>
          <w:rFonts w:ascii="Aptos" w:hAnsi="Aptos"/>
          <w:color w:val="000000" w:themeColor="text1"/>
        </w:rPr>
        <w:t>appearing</w:t>
      </w:r>
      <w:r>
        <w:rPr>
          <w:rFonts w:ascii="Aptos" w:hAnsi="Aptos"/>
          <w:color w:val="000000" w:themeColor="text1"/>
        </w:rPr>
        <w:t xml:space="preserve"> </w:t>
      </w:r>
      <w:r w:rsidRPr="00781D61">
        <w:rPr>
          <w:rFonts w:ascii="Aptos" w:hAnsi="Aptos"/>
          <w:i/>
          <w:iCs/>
          <w:color w:val="000000" w:themeColor="text1"/>
        </w:rPr>
        <w:t>pro se</w:t>
      </w:r>
      <w:r>
        <w:rPr>
          <w:rFonts w:ascii="Aptos" w:hAnsi="Aptos"/>
          <w:color w:val="000000" w:themeColor="text1"/>
        </w:rPr>
        <w:t xml:space="preserve">, responded via email, opposing the Motion on the grounds that </w:t>
      </w:r>
      <w:r w:rsidR="00452605" w:rsidRPr="00452605">
        <w:rPr>
          <w:rFonts w:ascii="Aptos" w:hAnsi="Aptos"/>
          <w:color w:val="000000" w:themeColor="text1"/>
        </w:rPr>
        <w:t xml:space="preserve">her claims </w:t>
      </w:r>
      <w:r w:rsidR="00AF6061">
        <w:rPr>
          <w:rFonts w:ascii="Aptos" w:hAnsi="Aptos"/>
          <w:color w:val="000000" w:themeColor="text1"/>
        </w:rPr>
        <w:t>were</w:t>
      </w:r>
      <w:r w:rsidR="00452605" w:rsidRPr="00452605">
        <w:rPr>
          <w:rFonts w:ascii="Aptos" w:hAnsi="Aptos"/>
          <w:color w:val="000000" w:themeColor="text1"/>
        </w:rPr>
        <w:t xml:space="preserve"> timely under IDEA’s two-year statute of limitations because she </w:t>
      </w:r>
      <w:r w:rsidR="00AF6061">
        <w:rPr>
          <w:rFonts w:ascii="Aptos" w:hAnsi="Aptos"/>
          <w:color w:val="000000" w:themeColor="text1"/>
        </w:rPr>
        <w:t xml:space="preserve">had </w:t>
      </w:r>
      <w:r w:rsidR="00452605" w:rsidRPr="00452605">
        <w:rPr>
          <w:rFonts w:ascii="Aptos" w:hAnsi="Aptos"/>
          <w:color w:val="000000" w:themeColor="text1"/>
        </w:rPr>
        <w:t xml:space="preserve">filed on January 10, 2026 and </w:t>
      </w:r>
      <w:r w:rsidR="005342C9">
        <w:rPr>
          <w:rFonts w:ascii="Aptos" w:hAnsi="Aptos"/>
          <w:color w:val="000000" w:themeColor="text1"/>
        </w:rPr>
        <w:t xml:space="preserve">that </w:t>
      </w:r>
      <w:r w:rsidR="00452605" w:rsidRPr="00452605">
        <w:rPr>
          <w:rFonts w:ascii="Aptos" w:hAnsi="Aptos"/>
          <w:color w:val="000000" w:themeColor="text1"/>
        </w:rPr>
        <w:t xml:space="preserve">all alleged violations </w:t>
      </w:r>
      <w:r w:rsidR="00AF6061">
        <w:rPr>
          <w:rFonts w:ascii="Aptos" w:hAnsi="Aptos"/>
          <w:color w:val="000000" w:themeColor="text1"/>
        </w:rPr>
        <w:t xml:space="preserve">had </w:t>
      </w:r>
      <w:r w:rsidR="00452605" w:rsidRPr="00452605">
        <w:rPr>
          <w:rFonts w:ascii="Aptos" w:hAnsi="Aptos"/>
          <w:color w:val="000000" w:themeColor="text1"/>
        </w:rPr>
        <w:t>occurred between September 2024 and January 2026. She contend</w:t>
      </w:r>
      <w:r w:rsidR="00AF6061">
        <w:rPr>
          <w:rFonts w:ascii="Aptos" w:hAnsi="Aptos"/>
          <w:color w:val="000000" w:themeColor="text1"/>
        </w:rPr>
        <w:t>ed</w:t>
      </w:r>
      <w:r w:rsidR="00452605" w:rsidRPr="00452605">
        <w:rPr>
          <w:rFonts w:ascii="Aptos" w:hAnsi="Aptos"/>
          <w:color w:val="000000" w:themeColor="text1"/>
        </w:rPr>
        <w:t xml:space="preserve"> </w:t>
      </w:r>
      <w:r w:rsidR="004234A9">
        <w:rPr>
          <w:rFonts w:ascii="Aptos" w:hAnsi="Aptos"/>
          <w:color w:val="000000" w:themeColor="text1"/>
        </w:rPr>
        <w:t xml:space="preserve">that </w:t>
      </w:r>
      <w:r w:rsidR="00452605" w:rsidRPr="00452605">
        <w:rPr>
          <w:rFonts w:ascii="Aptos" w:hAnsi="Aptos"/>
          <w:color w:val="000000" w:themeColor="text1"/>
        </w:rPr>
        <w:t>the District mischaracterize</w:t>
      </w:r>
      <w:r w:rsidR="004234A9">
        <w:rPr>
          <w:rFonts w:ascii="Aptos" w:hAnsi="Aptos"/>
          <w:color w:val="000000" w:themeColor="text1"/>
        </w:rPr>
        <w:t>d</w:t>
      </w:r>
      <w:r w:rsidR="00452605" w:rsidRPr="00452605">
        <w:rPr>
          <w:rFonts w:ascii="Aptos" w:hAnsi="Aptos"/>
          <w:color w:val="000000" w:themeColor="text1"/>
        </w:rPr>
        <w:t xml:space="preserve"> her claims as relating to a 2023 </w:t>
      </w:r>
      <w:r w:rsidR="00452605">
        <w:rPr>
          <w:rFonts w:ascii="Aptos" w:hAnsi="Aptos"/>
          <w:color w:val="000000" w:themeColor="text1"/>
        </w:rPr>
        <w:t>Behavior Intervention Plan/ Student Support Plan (</w:t>
      </w:r>
      <w:r w:rsidR="00452605" w:rsidRPr="00452605">
        <w:rPr>
          <w:rFonts w:ascii="Aptos" w:hAnsi="Aptos"/>
          <w:color w:val="000000" w:themeColor="text1"/>
        </w:rPr>
        <w:t>BIP/SSP</w:t>
      </w:r>
      <w:r w:rsidR="00452605">
        <w:rPr>
          <w:rFonts w:ascii="Aptos" w:hAnsi="Aptos"/>
          <w:color w:val="000000" w:themeColor="text1"/>
        </w:rPr>
        <w:t>)</w:t>
      </w:r>
      <w:r w:rsidR="00452605" w:rsidRPr="00452605">
        <w:rPr>
          <w:rFonts w:ascii="Aptos" w:hAnsi="Aptos"/>
          <w:color w:val="000000" w:themeColor="text1"/>
        </w:rPr>
        <w:t>, when in fact her allegations concern</w:t>
      </w:r>
      <w:r w:rsidR="00BD5699">
        <w:rPr>
          <w:rFonts w:ascii="Aptos" w:hAnsi="Aptos"/>
          <w:color w:val="000000" w:themeColor="text1"/>
        </w:rPr>
        <w:t>ed</w:t>
      </w:r>
      <w:r w:rsidR="00452605" w:rsidRPr="00452605">
        <w:rPr>
          <w:rFonts w:ascii="Aptos" w:hAnsi="Aptos"/>
          <w:color w:val="000000" w:themeColor="text1"/>
        </w:rPr>
        <w:t xml:space="preserve"> unauthorized behavior-plan changes discovered in December 2024, failure to implement behavior supports in </w:t>
      </w:r>
      <w:r w:rsidR="00BD5699">
        <w:rPr>
          <w:rFonts w:ascii="Aptos" w:hAnsi="Aptos"/>
          <w:color w:val="000000" w:themeColor="text1"/>
        </w:rPr>
        <w:t>the f</w:t>
      </w:r>
      <w:r w:rsidR="00452605" w:rsidRPr="00452605">
        <w:rPr>
          <w:rFonts w:ascii="Aptos" w:hAnsi="Aptos"/>
          <w:color w:val="000000" w:themeColor="text1"/>
        </w:rPr>
        <w:t xml:space="preserve">all </w:t>
      </w:r>
      <w:r w:rsidR="00BD5699">
        <w:rPr>
          <w:rFonts w:ascii="Aptos" w:hAnsi="Aptos"/>
          <w:color w:val="000000" w:themeColor="text1"/>
        </w:rPr>
        <w:t xml:space="preserve">of </w:t>
      </w:r>
      <w:r w:rsidR="00452605" w:rsidRPr="00452605">
        <w:rPr>
          <w:rFonts w:ascii="Aptos" w:hAnsi="Aptos"/>
          <w:color w:val="000000" w:themeColor="text1"/>
        </w:rPr>
        <w:t>2024, and ongoing violations during the 2024–2025 school year. Parent assert</w:t>
      </w:r>
      <w:r w:rsidR="00BD5699">
        <w:rPr>
          <w:rFonts w:ascii="Aptos" w:hAnsi="Aptos"/>
          <w:color w:val="000000" w:themeColor="text1"/>
        </w:rPr>
        <w:t>ed that</w:t>
      </w:r>
      <w:r w:rsidR="00452605" w:rsidRPr="00452605">
        <w:rPr>
          <w:rFonts w:ascii="Aptos" w:hAnsi="Aptos"/>
          <w:color w:val="000000" w:themeColor="text1"/>
        </w:rPr>
        <w:t xml:space="preserve"> these </w:t>
      </w:r>
      <w:r w:rsidR="00BD5699">
        <w:rPr>
          <w:rFonts w:ascii="Aptos" w:hAnsi="Aptos"/>
          <w:color w:val="000000" w:themeColor="text1"/>
        </w:rPr>
        <w:t>were</w:t>
      </w:r>
      <w:r w:rsidR="00452605" w:rsidRPr="00452605">
        <w:rPr>
          <w:rFonts w:ascii="Aptos" w:hAnsi="Aptos"/>
          <w:color w:val="000000" w:themeColor="text1"/>
        </w:rPr>
        <w:t xml:space="preserve"> continuing violations, </w:t>
      </w:r>
      <w:r w:rsidR="00BD5699">
        <w:rPr>
          <w:rFonts w:ascii="Aptos" w:hAnsi="Aptos"/>
          <w:color w:val="000000" w:themeColor="text1"/>
        </w:rPr>
        <w:t xml:space="preserve">which were </w:t>
      </w:r>
      <w:r w:rsidR="00452605" w:rsidRPr="00452605">
        <w:rPr>
          <w:rFonts w:ascii="Aptos" w:hAnsi="Aptos"/>
          <w:color w:val="000000" w:themeColor="text1"/>
        </w:rPr>
        <w:t>not time-barred, and</w:t>
      </w:r>
      <w:r w:rsidR="00F26FE4">
        <w:rPr>
          <w:rFonts w:ascii="Aptos" w:hAnsi="Aptos"/>
          <w:color w:val="000000" w:themeColor="text1"/>
        </w:rPr>
        <w:t xml:space="preserve"> further</w:t>
      </w:r>
      <w:r w:rsidR="00452605" w:rsidRPr="00452605">
        <w:rPr>
          <w:rFonts w:ascii="Aptos" w:hAnsi="Aptos"/>
          <w:color w:val="000000" w:themeColor="text1"/>
        </w:rPr>
        <w:t xml:space="preserve"> that a motion to dismiss </w:t>
      </w:r>
      <w:r w:rsidR="00BD5699">
        <w:rPr>
          <w:rFonts w:ascii="Aptos" w:hAnsi="Aptos"/>
          <w:color w:val="000000" w:themeColor="text1"/>
        </w:rPr>
        <w:t>could not</w:t>
      </w:r>
      <w:r w:rsidR="00452605" w:rsidRPr="00452605">
        <w:rPr>
          <w:rFonts w:ascii="Aptos" w:hAnsi="Aptos"/>
          <w:color w:val="000000" w:themeColor="text1"/>
        </w:rPr>
        <w:t xml:space="preserve"> rely on disputed facts. She </w:t>
      </w:r>
      <w:r w:rsidR="00F82A0A">
        <w:rPr>
          <w:rFonts w:ascii="Aptos" w:hAnsi="Aptos"/>
          <w:color w:val="000000" w:themeColor="text1"/>
        </w:rPr>
        <w:t>also</w:t>
      </w:r>
      <w:r w:rsidR="00452605" w:rsidRPr="00452605">
        <w:rPr>
          <w:rFonts w:ascii="Aptos" w:hAnsi="Aptos"/>
          <w:color w:val="000000" w:themeColor="text1"/>
        </w:rPr>
        <w:t xml:space="preserve"> argue</w:t>
      </w:r>
      <w:r w:rsidR="00021853">
        <w:rPr>
          <w:rFonts w:ascii="Aptos" w:hAnsi="Aptos"/>
          <w:color w:val="000000" w:themeColor="text1"/>
        </w:rPr>
        <w:t>d</w:t>
      </w:r>
      <w:r w:rsidR="00452605" w:rsidRPr="00452605">
        <w:rPr>
          <w:rFonts w:ascii="Aptos" w:hAnsi="Aptos"/>
          <w:color w:val="000000" w:themeColor="text1"/>
        </w:rPr>
        <w:t xml:space="preserve"> that </w:t>
      </w:r>
      <w:r w:rsidR="00F82A0A">
        <w:rPr>
          <w:rFonts w:ascii="Aptos" w:hAnsi="Aptos"/>
          <w:color w:val="000000" w:themeColor="text1"/>
        </w:rPr>
        <w:t>a</w:t>
      </w:r>
      <w:r w:rsidR="00452605" w:rsidRPr="00452605">
        <w:rPr>
          <w:rFonts w:ascii="Aptos" w:hAnsi="Aptos"/>
          <w:color w:val="000000" w:themeColor="text1"/>
        </w:rPr>
        <w:t xml:space="preserve"> 2023 BSEA Order</w:t>
      </w:r>
      <w:r w:rsidR="00AA759B">
        <w:rPr>
          <w:rStyle w:val="FootnoteReference"/>
          <w:rFonts w:ascii="Aptos" w:hAnsi="Aptos"/>
          <w:color w:val="000000" w:themeColor="text1"/>
        </w:rPr>
        <w:footnoteReference w:id="2"/>
      </w:r>
      <w:r w:rsidR="00021853">
        <w:rPr>
          <w:rFonts w:ascii="Aptos" w:hAnsi="Aptos"/>
          <w:color w:val="000000" w:themeColor="text1"/>
        </w:rPr>
        <w:t xml:space="preserve"> wa</w:t>
      </w:r>
      <w:r w:rsidR="00452605" w:rsidRPr="00452605">
        <w:rPr>
          <w:rFonts w:ascii="Aptos" w:hAnsi="Aptos"/>
          <w:color w:val="000000" w:themeColor="text1"/>
        </w:rPr>
        <w:t xml:space="preserve">s irrelevant because she </w:t>
      </w:r>
      <w:r w:rsidR="00021853">
        <w:rPr>
          <w:rFonts w:ascii="Aptos" w:hAnsi="Aptos"/>
          <w:color w:val="000000" w:themeColor="text1"/>
        </w:rPr>
        <w:t>wa</w:t>
      </w:r>
      <w:r w:rsidR="00452605" w:rsidRPr="00452605">
        <w:rPr>
          <w:rFonts w:ascii="Aptos" w:hAnsi="Aptos"/>
          <w:color w:val="000000" w:themeColor="text1"/>
        </w:rPr>
        <w:t>s not seeking its enforcement, and that her Hearing Request properly allege</w:t>
      </w:r>
      <w:r w:rsidR="005342C9">
        <w:rPr>
          <w:rFonts w:ascii="Aptos" w:hAnsi="Aptos"/>
          <w:color w:val="000000" w:themeColor="text1"/>
        </w:rPr>
        <w:t>d</w:t>
      </w:r>
      <w:r w:rsidR="00452605" w:rsidRPr="00452605">
        <w:rPr>
          <w:rFonts w:ascii="Aptos" w:hAnsi="Aptos"/>
          <w:color w:val="000000" w:themeColor="text1"/>
        </w:rPr>
        <w:t xml:space="preserve"> IDEA violations including denial of </w:t>
      </w:r>
      <w:r w:rsidR="002B5910">
        <w:rPr>
          <w:rFonts w:ascii="Aptos" w:hAnsi="Aptos"/>
          <w:color w:val="000000" w:themeColor="text1"/>
        </w:rPr>
        <w:t>a free appropriate public education (</w:t>
      </w:r>
      <w:r w:rsidR="00452605" w:rsidRPr="00452605">
        <w:rPr>
          <w:rFonts w:ascii="Aptos" w:hAnsi="Aptos"/>
          <w:color w:val="000000" w:themeColor="text1"/>
        </w:rPr>
        <w:t>FAPE</w:t>
      </w:r>
      <w:r w:rsidR="002B5910">
        <w:rPr>
          <w:rFonts w:ascii="Aptos" w:hAnsi="Aptos"/>
          <w:color w:val="000000" w:themeColor="text1"/>
        </w:rPr>
        <w:t>)</w:t>
      </w:r>
      <w:r w:rsidR="00452605" w:rsidRPr="00452605">
        <w:rPr>
          <w:rFonts w:ascii="Aptos" w:hAnsi="Aptos"/>
          <w:color w:val="000000" w:themeColor="text1"/>
        </w:rPr>
        <w:t xml:space="preserve"> and procedural errors.</w:t>
      </w:r>
    </w:p>
    <w:p w14:paraId="460732DC" w14:textId="77777777" w:rsidR="00686B78" w:rsidRPr="001B3770" w:rsidRDefault="00686B78" w:rsidP="00D6127B">
      <w:pPr>
        <w:rPr>
          <w:rFonts w:ascii="Aptos" w:hAnsi="Aptos"/>
          <w:b/>
          <w:color w:val="000000" w:themeColor="text1"/>
        </w:rPr>
      </w:pPr>
    </w:p>
    <w:p w14:paraId="1833BBA6" w14:textId="58F318C0" w:rsidR="0070458D" w:rsidRDefault="00686B78" w:rsidP="00D6127B">
      <w:pPr>
        <w:pStyle w:val="NormalWeb"/>
        <w:spacing w:before="0" w:beforeAutospacing="0" w:after="0" w:afterAutospacing="0"/>
        <w:rPr>
          <w:rFonts w:ascii="Aptos" w:hAnsi="Aptos"/>
          <w:color w:val="000000" w:themeColor="text1"/>
        </w:rPr>
      </w:pPr>
      <w:r w:rsidRPr="001B3770">
        <w:rPr>
          <w:rFonts w:ascii="Aptos" w:hAnsi="Aptos"/>
          <w:color w:val="000000" w:themeColor="text1"/>
        </w:rPr>
        <w:t>B</w:t>
      </w:r>
      <w:r w:rsidR="009F290F" w:rsidRPr="001B3770">
        <w:rPr>
          <w:rFonts w:ascii="Aptos" w:hAnsi="Aptos"/>
          <w:color w:val="000000" w:themeColor="text1"/>
        </w:rPr>
        <w:t xml:space="preserve">ecause neither </w:t>
      </w:r>
      <w:r w:rsidR="001B6ABA" w:rsidRPr="001B3770">
        <w:rPr>
          <w:rFonts w:ascii="Aptos" w:hAnsi="Aptos"/>
          <w:color w:val="000000" w:themeColor="text1"/>
        </w:rPr>
        <w:t xml:space="preserve">party requested </w:t>
      </w:r>
      <w:r w:rsidR="00164D67" w:rsidRPr="001B3770">
        <w:rPr>
          <w:rFonts w:ascii="Aptos" w:hAnsi="Aptos"/>
          <w:color w:val="000000" w:themeColor="text1"/>
        </w:rPr>
        <w:t xml:space="preserve">a </w:t>
      </w:r>
      <w:r w:rsidR="00EF7301">
        <w:rPr>
          <w:rFonts w:ascii="Aptos" w:hAnsi="Aptos"/>
          <w:color w:val="000000" w:themeColor="text1"/>
        </w:rPr>
        <w:t xml:space="preserve">hearing on the </w:t>
      </w:r>
      <w:r w:rsidR="00EF7301">
        <w:rPr>
          <w:rFonts w:ascii="Aptos" w:hAnsi="Aptos"/>
          <w:i/>
          <w:iCs/>
          <w:color w:val="000000" w:themeColor="text1"/>
        </w:rPr>
        <w:t>Motion</w:t>
      </w:r>
      <w:r w:rsidR="00164D67" w:rsidRPr="001B3770">
        <w:rPr>
          <w:rFonts w:ascii="Aptos" w:hAnsi="Aptos"/>
          <w:color w:val="000000" w:themeColor="text1"/>
        </w:rPr>
        <w:t xml:space="preserve">, and neither </w:t>
      </w:r>
      <w:r w:rsidR="009F290F" w:rsidRPr="001B3770">
        <w:rPr>
          <w:rFonts w:ascii="Aptos" w:hAnsi="Aptos"/>
          <w:color w:val="000000" w:themeColor="text1"/>
        </w:rPr>
        <w:t>testimony nor oral argument would advance the Hearing Officer's understanding of the issues involved, this Ruling is issued without a hearing, pursuant to Bureau of Special Education Appeals Hearing Rule VI(D). </w:t>
      </w:r>
    </w:p>
    <w:p w14:paraId="6592EC79" w14:textId="77777777" w:rsidR="00811750" w:rsidRDefault="00811750" w:rsidP="00D6127B">
      <w:pPr>
        <w:pStyle w:val="NormalWeb"/>
        <w:spacing w:before="0" w:beforeAutospacing="0" w:after="0" w:afterAutospacing="0"/>
        <w:rPr>
          <w:rFonts w:ascii="Aptos" w:hAnsi="Aptos"/>
          <w:color w:val="000000" w:themeColor="text1"/>
        </w:rPr>
      </w:pPr>
    </w:p>
    <w:p w14:paraId="5BE6D78A" w14:textId="1154B7D4" w:rsidR="00811750" w:rsidRDefault="00811750" w:rsidP="00D6127B">
      <w:pPr>
        <w:pStyle w:val="NormalWeb"/>
        <w:spacing w:before="0" w:beforeAutospacing="0" w:after="0" w:afterAutospacing="0"/>
        <w:rPr>
          <w:rFonts w:ascii="Aptos" w:hAnsi="Aptos"/>
          <w:b/>
          <w:bCs/>
          <w:color w:val="000000" w:themeColor="text1"/>
        </w:rPr>
      </w:pPr>
      <w:r w:rsidRPr="00811750">
        <w:rPr>
          <w:rFonts w:ascii="Aptos" w:hAnsi="Aptos"/>
          <w:b/>
          <w:bCs/>
          <w:color w:val="000000" w:themeColor="text1"/>
        </w:rPr>
        <w:t>RELEVANT FACTS</w:t>
      </w:r>
      <w:r>
        <w:rPr>
          <w:rStyle w:val="FootnoteReference"/>
          <w:rFonts w:ascii="Aptos" w:hAnsi="Aptos"/>
          <w:b/>
          <w:bCs/>
          <w:color w:val="000000" w:themeColor="text1"/>
        </w:rPr>
        <w:footnoteReference w:id="3"/>
      </w:r>
      <w:r w:rsidRPr="00811750">
        <w:rPr>
          <w:rFonts w:ascii="Aptos" w:hAnsi="Aptos"/>
          <w:b/>
          <w:bCs/>
          <w:color w:val="000000" w:themeColor="text1"/>
        </w:rPr>
        <w:t xml:space="preserve"> AND PROCEDURAL HISTORY:</w:t>
      </w:r>
    </w:p>
    <w:p w14:paraId="69FCACDF" w14:textId="77777777" w:rsidR="00576D4E" w:rsidRPr="00811750" w:rsidRDefault="00576D4E" w:rsidP="00D6127B">
      <w:pPr>
        <w:pStyle w:val="NormalWeb"/>
        <w:spacing w:before="0" w:beforeAutospacing="0" w:after="0" w:afterAutospacing="0"/>
        <w:rPr>
          <w:rFonts w:ascii="Aptos" w:hAnsi="Aptos"/>
          <w:b/>
          <w:bCs/>
          <w:color w:val="000000"/>
        </w:rPr>
      </w:pPr>
    </w:p>
    <w:p w14:paraId="7ED73E2D" w14:textId="1BD324B5" w:rsidR="005520EC" w:rsidRDefault="00A007AB" w:rsidP="00941892">
      <w:pPr>
        <w:pStyle w:val="ListParagraph"/>
        <w:numPr>
          <w:ilvl w:val="0"/>
          <w:numId w:val="21"/>
        </w:numPr>
        <w:rPr>
          <w:rFonts w:ascii="Aptos" w:hAnsi="Aptos"/>
          <w:color w:val="000000" w:themeColor="text1"/>
        </w:rPr>
      </w:pPr>
      <w:r>
        <w:rPr>
          <w:rFonts w:ascii="Aptos" w:hAnsi="Aptos"/>
          <w:color w:val="000000" w:themeColor="text1"/>
        </w:rPr>
        <w:lastRenderedPageBreak/>
        <w:t>S</w:t>
      </w:r>
      <w:r w:rsidR="005520EC">
        <w:rPr>
          <w:rFonts w:ascii="Aptos" w:hAnsi="Aptos"/>
          <w:color w:val="000000" w:themeColor="text1"/>
        </w:rPr>
        <w:t xml:space="preserve">tudent </w:t>
      </w:r>
      <w:r w:rsidR="000377A2">
        <w:rPr>
          <w:rFonts w:ascii="Aptos" w:hAnsi="Aptos"/>
          <w:color w:val="000000" w:themeColor="text1"/>
        </w:rPr>
        <w:t>presents</w:t>
      </w:r>
      <w:r w:rsidR="005520EC">
        <w:rPr>
          <w:rFonts w:ascii="Aptos" w:hAnsi="Aptos"/>
          <w:color w:val="000000" w:themeColor="text1"/>
        </w:rPr>
        <w:t xml:space="preserve"> with</w:t>
      </w:r>
      <w:r w:rsidR="007B648C">
        <w:rPr>
          <w:rFonts w:ascii="Aptos" w:hAnsi="Aptos"/>
          <w:color w:val="000000" w:themeColor="text1"/>
        </w:rPr>
        <w:t xml:space="preserve"> </w:t>
      </w:r>
      <w:r w:rsidR="007B648C" w:rsidRPr="005520EC">
        <w:rPr>
          <w:rFonts w:ascii="Aptos" w:hAnsi="Aptos"/>
          <w:color w:val="000000" w:themeColor="text1"/>
        </w:rPr>
        <w:t xml:space="preserve">documented behavioral </w:t>
      </w:r>
      <w:r w:rsidR="00F97D05">
        <w:rPr>
          <w:rFonts w:ascii="Aptos" w:hAnsi="Aptos"/>
          <w:color w:val="000000" w:themeColor="text1"/>
        </w:rPr>
        <w:t>disabilities</w:t>
      </w:r>
      <w:r w:rsidR="007B648C" w:rsidRPr="005520EC">
        <w:rPr>
          <w:rFonts w:ascii="Aptos" w:hAnsi="Aptos"/>
          <w:color w:val="000000" w:themeColor="text1"/>
        </w:rPr>
        <w:t xml:space="preserve"> that interfere with his ab</w:t>
      </w:r>
      <w:r w:rsidR="007B648C">
        <w:rPr>
          <w:rFonts w:ascii="Aptos" w:hAnsi="Aptos"/>
          <w:color w:val="000000" w:themeColor="text1"/>
        </w:rPr>
        <w:t>i</w:t>
      </w:r>
      <w:r w:rsidR="007B648C" w:rsidRPr="005520EC">
        <w:rPr>
          <w:rFonts w:ascii="Aptos" w:hAnsi="Aptos"/>
          <w:color w:val="000000" w:themeColor="text1"/>
        </w:rPr>
        <w:t>lity to access education and require specialized supports</w:t>
      </w:r>
      <w:r w:rsidR="007B648C">
        <w:rPr>
          <w:rFonts w:ascii="Aptos" w:hAnsi="Aptos"/>
          <w:color w:val="000000" w:themeColor="text1"/>
        </w:rPr>
        <w:t xml:space="preserve">. </w:t>
      </w:r>
      <w:r w:rsidR="005520EC">
        <w:rPr>
          <w:rFonts w:ascii="Aptos" w:hAnsi="Aptos"/>
          <w:color w:val="000000" w:themeColor="text1"/>
        </w:rPr>
        <w:t xml:space="preserve"> </w:t>
      </w:r>
      <w:r w:rsidR="00F97D05">
        <w:rPr>
          <w:rFonts w:ascii="Aptos" w:hAnsi="Aptos"/>
          <w:color w:val="000000" w:themeColor="text1"/>
        </w:rPr>
        <w:t>Student</w:t>
      </w:r>
      <w:r w:rsidR="005520EC">
        <w:rPr>
          <w:rFonts w:ascii="Aptos" w:hAnsi="Aptos"/>
          <w:color w:val="000000" w:themeColor="text1"/>
        </w:rPr>
        <w:t xml:space="preserve"> is eligible for special education services and has an Individualized Education Program (IEP) through Peabody Public</w:t>
      </w:r>
      <w:r w:rsidR="005520EC" w:rsidRPr="005520EC">
        <w:rPr>
          <w:rFonts w:ascii="Aptos" w:hAnsi="Aptos"/>
          <w:color w:val="000000" w:themeColor="text1"/>
        </w:rPr>
        <w:t xml:space="preserve"> Schools.  </w:t>
      </w:r>
    </w:p>
    <w:p w14:paraId="7E1ED28D" w14:textId="0E713720" w:rsidR="000B6CD3" w:rsidRDefault="00A007AB" w:rsidP="00941892">
      <w:pPr>
        <w:pStyle w:val="ListParagraph"/>
        <w:numPr>
          <w:ilvl w:val="0"/>
          <w:numId w:val="21"/>
        </w:numPr>
        <w:rPr>
          <w:rFonts w:ascii="Aptos" w:hAnsi="Aptos"/>
          <w:color w:val="000000" w:themeColor="text1"/>
        </w:rPr>
      </w:pPr>
      <w:r>
        <w:rPr>
          <w:rFonts w:ascii="Aptos" w:hAnsi="Aptos"/>
          <w:color w:val="000000" w:themeColor="text1"/>
        </w:rPr>
        <w:t xml:space="preserve">On </w:t>
      </w:r>
      <w:r w:rsidR="006965B8">
        <w:rPr>
          <w:rFonts w:ascii="Aptos" w:hAnsi="Aptos"/>
          <w:color w:val="000000" w:themeColor="text1"/>
        </w:rPr>
        <w:t>January 4, 2023</w:t>
      </w:r>
      <w:r w:rsidR="00C376D7">
        <w:rPr>
          <w:rFonts w:ascii="Aptos" w:hAnsi="Aptos"/>
          <w:color w:val="000000" w:themeColor="text1"/>
        </w:rPr>
        <w:t xml:space="preserve">, in a Decision issued by Hearing Officer Sara Berman in BSEA Matter No. </w:t>
      </w:r>
      <w:r w:rsidR="00C376D7" w:rsidRPr="00C376D7">
        <w:rPr>
          <w:rFonts w:ascii="Aptos" w:hAnsi="Aptos"/>
          <w:color w:val="000000" w:themeColor="text1"/>
        </w:rPr>
        <w:t>23-04801</w:t>
      </w:r>
      <w:r w:rsidR="00C376D7">
        <w:rPr>
          <w:rFonts w:ascii="Aptos" w:hAnsi="Aptos"/>
          <w:color w:val="000000" w:themeColor="text1"/>
        </w:rPr>
        <w:t xml:space="preserve"> </w:t>
      </w:r>
      <w:r w:rsidR="00A22019">
        <w:rPr>
          <w:rFonts w:ascii="Aptos" w:hAnsi="Aptos"/>
          <w:color w:val="000000" w:themeColor="text1"/>
        </w:rPr>
        <w:t xml:space="preserve">(involving </w:t>
      </w:r>
      <w:r w:rsidR="00C376D7">
        <w:rPr>
          <w:rFonts w:ascii="Aptos" w:hAnsi="Aptos"/>
          <w:color w:val="000000" w:themeColor="text1"/>
        </w:rPr>
        <w:t xml:space="preserve"> the parties</w:t>
      </w:r>
      <w:r w:rsidR="00A22019">
        <w:rPr>
          <w:rFonts w:ascii="Aptos" w:hAnsi="Aptos"/>
          <w:color w:val="000000" w:themeColor="text1"/>
        </w:rPr>
        <w:t xml:space="preserve"> herein),</w:t>
      </w:r>
      <w:r w:rsidR="00C376D7">
        <w:rPr>
          <w:rFonts w:ascii="Aptos" w:hAnsi="Aptos"/>
          <w:color w:val="000000" w:themeColor="text1"/>
        </w:rPr>
        <w:t xml:space="preserve"> </w:t>
      </w:r>
      <w:r w:rsidR="00B804D9">
        <w:rPr>
          <w:rFonts w:ascii="Aptos" w:hAnsi="Aptos"/>
          <w:color w:val="000000" w:themeColor="text1"/>
        </w:rPr>
        <w:t xml:space="preserve">Peabody </w:t>
      </w:r>
      <w:r w:rsidR="00CE1C7A">
        <w:rPr>
          <w:rFonts w:ascii="Aptos" w:hAnsi="Aptos"/>
          <w:color w:val="000000" w:themeColor="text1"/>
        </w:rPr>
        <w:t xml:space="preserve">was ordered </w:t>
      </w:r>
      <w:r w:rsidR="00E94A7F" w:rsidRPr="00E94A7F">
        <w:rPr>
          <w:rFonts w:ascii="Aptos" w:hAnsi="Aptos"/>
          <w:color w:val="000000" w:themeColor="text1"/>
        </w:rPr>
        <w:t xml:space="preserve">to conduct a functional behavioral assessment (FBA) of Student </w:t>
      </w:r>
      <w:r w:rsidR="00A22019">
        <w:rPr>
          <w:rFonts w:ascii="Aptos" w:hAnsi="Aptos"/>
          <w:color w:val="000000" w:themeColor="text1"/>
        </w:rPr>
        <w:t>including</w:t>
      </w:r>
      <w:r w:rsidR="00E94A7F" w:rsidRPr="00E94A7F">
        <w:rPr>
          <w:rFonts w:ascii="Aptos" w:hAnsi="Aptos"/>
          <w:color w:val="000000" w:themeColor="text1"/>
        </w:rPr>
        <w:t xml:space="preserve"> input from Parent regarding Student’s presentation at home, to conduct such assessment upon receipt of </w:t>
      </w:r>
      <w:r w:rsidR="0053785D">
        <w:rPr>
          <w:rFonts w:ascii="Aptos" w:hAnsi="Aptos"/>
          <w:color w:val="000000" w:themeColor="text1"/>
        </w:rPr>
        <w:t>p</w:t>
      </w:r>
      <w:r w:rsidR="00E94A7F" w:rsidRPr="00E94A7F">
        <w:rPr>
          <w:rFonts w:ascii="Aptos" w:hAnsi="Aptos"/>
          <w:color w:val="000000" w:themeColor="text1"/>
        </w:rPr>
        <w:t>arental consent, to convene a Team meeting to consider the results of the assessment, and, if appropriate, to offer a new or amended IEP that incorporates the results of the FBA.</w:t>
      </w:r>
    </w:p>
    <w:p w14:paraId="296C1D04" w14:textId="36B81C2F" w:rsidR="00BE7D0E" w:rsidRDefault="009C1C85" w:rsidP="00BE7D0E">
      <w:pPr>
        <w:pStyle w:val="ListParagraph"/>
        <w:numPr>
          <w:ilvl w:val="0"/>
          <w:numId w:val="21"/>
        </w:numPr>
        <w:rPr>
          <w:rFonts w:ascii="Aptos" w:hAnsi="Aptos"/>
          <w:color w:val="000000" w:themeColor="text1"/>
        </w:rPr>
      </w:pPr>
      <w:r w:rsidRPr="00BE7D0E">
        <w:rPr>
          <w:rFonts w:ascii="Aptos" w:hAnsi="Aptos"/>
          <w:color w:val="000000" w:themeColor="text1"/>
        </w:rPr>
        <w:t>Laura Bowma</w:t>
      </w:r>
      <w:r>
        <w:rPr>
          <w:rFonts w:ascii="Aptos" w:hAnsi="Aptos"/>
          <w:color w:val="000000" w:themeColor="text1"/>
        </w:rPr>
        <w:t>n</w:t>
      </w:r>
      <w:r w:rsidRPr="00BE7D0E">
        <w:rPr>
          <w:rFonts w:ascii="Aptos" w:hAnsi="Aptos"/>
          <w:color w:val="000000" w:themeColor="text1"/>
        </w:rPr>
        <w:t xml:space="preserve"> </w:t>
      </w:r>
      <w:r>
        <w:rPr>
          <w:rFonts w:ascii="Aptos" w:hAnsi="Aptos"/>
          <w:color w:val="000000" w:themeColor="text1"/>
        </w:rPr>
        <w:t>completed a</w:t>
      </w:r>
      <w:r w:rsidR="00BE7D0E">
        <w:rPr>
          <w:rFonts w:ascii="Aptos" w:hAnsi="Aptos"/>
          <w:color w:val="000000" w:themeColor="text1"/>
        </w:rPr>
        <w:t>n</w:t>
      </w:r>
      <w:r w:rsidR="00E94A7F">
        <w:rPr>
          <w:rFonts w:ascii="Aptos" w:hAnsi="Aptos"/>
          <w:color w:val="000000" w:themeColor="text1"/>
        </w:rPr>
        <w:t xml:space="preserve"> FBA</w:t>
      </w:r>
      <w:r w:rsidR="00BE7D0E">
        <w:rPr>
          <w:rFonts w:ascii="Aptos" w:hAnsi="Aptos"/>
          <w:color w:val="000000" w:themeColor="text1"/>
        </w:rPr>
        <w:t xml:space="preserve"> </w:t>
      </w:r>
      <w:r>
        <w:rPr>
          <w:rFonts w:ascii="Aptos" w:hAnsi="Aptos"/>
          <w:color w:val="000000" w:themeColor="text1"/>
        </w:rPr>
        <w:t>in</w:t>
      </w:r>
      <w:r w:rsidR="00BE7D0E" w:rsidRPr="00BE7D0E">
        <w:rPr>
          <w:rFonts w:ascii="Aptos" w:hAnsi="Aptos"/>
          <w:color w:val="000000" w:themeColor="text1"/>
        </w:rPr>
        <w:t xml:space="preserve"> January </w:t>
      </w:r>
      <w:r w:rsidR="00BE7D0E">
        <w:rPr>
          <w:rFonts w:ascii="Aptos" w:hAnsi="Aptos"/>
          <w:color w:val="000000" w:themeColor="text1"/>
        </w:rPr>
        <w:t>and</w:t>
      </w:r>
      <w:r w:rsidR="00BE7D0E" w:rsidRPr="00BE7D0E">
        <w:rPr>
          <w:rFonts w:ascii="Aptos" w:hAnsi="Aptos"/>
          <w:color w:val="000000" w:themeColor="text1"/>
        </w:rPr>
        <w:t xml:space="preserve"> February 2023</w:t>
      </w:r>
      <w:r>
        <w:rPr>
          <w:rFonts w:ascii="Aptos" w:hAnsi="Aptos"/>
          <w:color w:val="000000" w:themeColor="text1"/>
        </w:rPr>
        <w:t xml:space="preserve">. The Team convened to review the FBA </w:t>
      </w:r>
      <w:r w:rsidR="00E31CB3">
        <w:rPr>
          <w:rFonts w:ascii="Aptos" w:hAnsi="Aptos"/>
          <w:color w:val="000000" w:themeColor="text1"/>
        </w:rPr>
        <w:t>on March 9, 2023</w:t>
      </w:r>
      <w:r>
        <w:rPr>
          <w:rFonts w:ascii="Aptos" w:hAnsi="Aptos"/>
          <w:color w:val="000000" w:themeColor="text1"/>
        </w:rPr>
        <w:t xml:space="preserve">, and an IEP was proposed for the period 3/9/2023 to </w:t>
      </w:r>
      <w:r w:rsidR="00A3303C">
        <w:rPr>
          <w:rFonts w:ascii="Aptos" w:hAnsi="Aptos"/>
          <w:color w:val="000000" w:themeColor="text1"/>
        </w:rPr>
        <w:t>6/14/2023.</w:t>
      </w:r>
      <w:r w:rsidR="00BE7D0E" w:rsidRPr="00BE7D0E">
        <w:rPr>
          <w:rFonts w:ascii="Aptos" w:hAnsi="Aptos"/>
          <w:color w:val="000000" w:themeColor="text1"/>
        </w:rPr>
        <w:t xml:space="preserve"> </w:t>
      </w:r>
      <w:r w:rsidR="001131AC" w:rsidRPr="001131AC">
        <w:rPr>
          <w:rFonts w:ascii="Aptos" w:hAnsi="Aptos"/>
          <w:color w:val="000000" w:themeColor="text1"/>
        </w:rPr>
        <w:t>Parent fully accepted th</w:t>
      </w:r>
      <w:r w:rsidR="00B01E2B">
        <w:rPr>
          <w:rFonts w:ascii="Aptos" w:hAnsi="Aptos"/>
          <w:color w:val="000000" w:themeColor="text1"/>
        </w:rPr>
        <w:t>e</w:t>
      </w:r>
      <w:r w:rsidR="001131AC" w:rsidRPr="001131AC">
        <w:rPr>
          <w:rFonts w:ascii="Aptos" w:hAnsi="Aptos"/>
          <w:color w:val="000000" w:themeColor="text1"/>
        </w:rPr>
        <w:t xml:space="preserve"> IEP on March 20, 2023</w:t>
      </w:r>
      <w:r w:rsidR="00E31F3B">
        <w:rPr>
          <w:rFonts w:ascii="Aptos" w:hAnsi="Aptos"/>
          <w:color w:val="000000" w:themeColor="text1"/>
        </w:rPr>
        <w:t xml:space="preserve">. </w:t>
      </w:r>
    </w:p>
    <w:p w14:paraId="5966F19F" w14:textId="644FEC51" w:rsidR="00A324F6" w:rsidRPr="00840E93" w:rsidRDefault="00BE7D0E" w:rsidP="00BE7D0E">
      <w:pPr>
        <w:pStyle w:val="ListParagraph"/>
        <w:numPr>
          <w:ilvl w:val="0"/>
          <w:numId w:val="21"/>
        </w:numPr>
        <w:rPr>
          <w:rFonts w:ascii="Aptos" w:hAnsi="Aptos"/>
          <w:color w:val="000000" w:themeColor="text1"/>
        </w:rPr>
      </w:pPr>
      <w:r>
        <w:rPr>
          <w:rFonts w:ascii="Aptos" w:hAnsi="Aptos"/>
          <w:color w:val="000000" w:themeColor="text1"/>
        </w:rPr>
        <w:t>A</w:t>
      </w:r>
      <w:r w:rsidR="00A324F6">
        <w:rPr>
          <w:rFonts w:ascii="Aptos" w:hAnsi="Aptos"/>
          <w:color w:val="000000" w:themeColor="text1"/>
        </w:rPr>
        <w:t xml:space="preserve"> B</w:t>
      </w:r>
      <w:r w:rsidR="0053785D">
        <w:rPr>
          <w:rFonts w:ascii="Aptos" w:hAnsi="Aptos"/>
          <w:color w:val="000000" w:themeColor="text1"/>
        </w:rPr>
        <w:t xml:space="preserve">ehavior </w:t>
      </w:r>
      <w:r w:rsidR="00A324F6">
        <w:rPr>
          <w:rFonts w:ascii="Aptos" w:hAnsi="Aptos"/>
          <w:color w:val="000000" w:themeColor="text1"/>
        </w:rPr>
        <w:t>I</w:t>
      </w:r>
      <w:r w:rsidR="0053785D">
        <w:rPr>
          <w:rFonts w:ascii="Aptos" w:hAnsi="Aptos"/>
          <w:color w:val="000000" w:themeColor="text1"/>
        </w:rPr>
        <w:t xml:space="preserve">ntervention </w:t>
      </w:r>
      <w:r w:rsidR="00A324F6">
        <w:rPr>
          <w:rFonts w:ascii="Aptos" w:hAnsi="Aptos"/>
          <w:color w:val="000000" w:themeColor="text1"/>
        </w:rPr>
        <w:t>P</w:t>
      </w:r>
      <w:r w:rsidR="0053785D">
        <w:rPr>
          <w:rFonts w:ascii="Aptos" w:hAnsi="Aptos"/>
          <w:color w:val="000000" w:themeColor="text1"/>
        </w:rPr>
        <w:t>lan (BIP)</w:t>
      </w:r>
      <w:r w:rsidR="00A324F6" w:rsidRPr="00A324F6">
        <w:rPr>
          <w:rFonts w:ascii="Aptos" w:hAnsi="Aptos"/>
          <w:color w:val="000000" w:themeColor="text1"/>
        </w:rPr>
        <w:t xml:space="preserve"> was developed </w:t>
      </w:r>
      <w:r w:rsidR="001230F0">
        <w:rPr>
          <w:rFonts w:ascii="Aptos" w:hAnsi="Aptos"/>
          <w:color w:val="000000" w:themeColor="text1"/>
        </w:rPr>
        <w:t>in</w:t>
      </w:r>
      <w:r w:rsidR="00A324F6" w:rsidRPr="00A324F6">
        <w:rPr>
          <w:rFonts w:ascii="Aptos" w:hAnsi="Aptos"/>
          <w:color w:val="000000" w:themeColor="text1"/>
        </w:rPr>
        <w:t xml:space="preserve"> March 2023</w:t>
      </w:r>
      <w:r w:rsidR="001230F0">
        <w:rPr>
          <w:rFonts w:ascii="Aptos" w:hAnsi="Aptos"/>
          <w:color w:val="000000" w:themeColor="text1"/>
        </w:rPr>
        <w:t>.</w:t>
      </w:r>
      <w:r w:rsidR="00840E93">
        <w:rPr>
          <w:rFonts w:ascii="Aptos" w:hAnsi="Aptos"/>
          <w:color w:val="000000" w:themeColor="text1"/>
        </w:rPr>
        <w:t xml:space="preserve"> </w:t>
      </w:r>
    </w:p>
    <w:p w14:paraId="60D5FE48" w14:textId="7C4532D2" w:rsidR="008D556E" w:rsidRPr="00840E93" w:rsidRDefault="008D556E" w:rsidP="00840E93">
      <w:pPr>
        <w:pStyle w:val="ListParagraph"/>
        <w:numPr>
          <w:ilvl w:val="0"/>
          <w:numId w:val="21"/>
        </w:numPr>
        <w:rPr>
          <w:rFonts w:ascii="Aptos" w:hAnsi="Aptos"/>
          <w:color w:val="000000" w:themeColor="text1"/>
        </w:rPr>
      </w:pPr>
      <w:r>
        <w:rPr>
          <w:rFonts w:ascii="Aptos" w:hAnsi="Aptos"/>
          <w:color w:val="000000" w:themeColor="text1"/>
        </w:rPr>
        <w:t xml:space="preserve">In September 2023, </w:t>
      </w:r>
      <w:r w:rsidRPr="008D556E">
        <w:rPr>
          <w:rFonts w:ascii="Aptos" w:hAnsi="Aptos"/>
          <w:color w:val="000000" w:themeColor="text1"/>
        </w:rPr>
        <w:t>Student began</w:t>
      </w:r>
      <w:r>
        <w:rPr>
          <w:rFonts w:ascii="Aptos" w:hAnsi="Aptos"/>
          <w:color w:val="000000" w:themeColor="text1"/>
        </w:rPr>
        <w:t xml:space="preserve"> attending</w:t>
      </w:r>
      <w:r w:rsidRPr="008D556E">
        <w:rPr>
          <w:rFonts w:ascii="Aptos" w:hAnsi="Aptos"/>
          <w:color w:val="000000" w:themeColor="text1"/>
        </w:rPr>
        <w:t xml:space="preserve"> 9th grade at Peabody Veterans Memorial High School (PVMHS) with an active IEP, FBA, and BIP. </w:t>
      </w:r>
      <w:r w:rsidR="00840E93">
        <w:rPr>
          <w:rFonts w:ascii="Aptos" w:hAnsi="Aptos"/>
          <w:color w:val="000000" w:themeColor="text1"/>
        </w:rPr>
        <w:t xml:space="preserve"> </w:t>
      </w:r>
    </w:p>
    <w:p w14:paraId="7506726D" w14:textId="0B69811C" w:rsidR="00840E93" w:rsidRPr="0010321F" w:rsidRDefault="00840E93" w:rsidP="0010321F">
      <w:pPr>
        <w:pStyle w:val="ListParagraph"/>
        <w:numPr>
          <w:ilvl w:val="0"/>
          <w:numId w:val="21"/>
        </w:numPr>
        <w:rPr>
          <w:rFonts w:ascii="Aptos" w:hAnsi="Aptos"/>
          <w:color w:val="000000" w:themeColor="text1"/>
        </w:rPr>
      </w:pPr>
      <w:r>
        <w:rPr>
          <w:rFonts w:ascii="Aptos" w:hAnsi="Aptos"/>
          <w:color w:val="000000" w:themeColor="text1"/>
        </w:rPr>
        <w:t xml:space="preserve">According to Parent, </w:t>
      </w:r>
      <w:r w:rsidR="008D556E" w:rsidRPr="008D556E">
        <w:rPr>
          <w:rFonts w:ascii="Aptos" w:hAnsi="Aptos"/>
          <w:color w:val="000000" w:themeColor="text1"/>
        </w:rPr>
        <w:t xml:space="preserve">the BIP was not being implemented, and Student accumulated multiple behavior-related </w:t>
      </w:r>
      <w:r w:rsidR="001F086E">
        <w:rPr>
          <w:rFonts w:ascii="Aptos" w:hAnsi="Aptos"/>
          <w:color w:val="000000" w:themeColor="text1"/>
        </w:rPr>
        <w:t>discipl</w:t>
      </w:r>
      <w:r w:rsidR="008D556E" w:rsidRPr="008D556E">
        <w:rPr>
          <w:rFonts w:ascii="Aptos" w:hAnsi="Aptos"/>
          <w:color w:val="000000" w:themeColor="text1"/>
        </w:rPr>
        <w:t>inary infractions.</w:t>
      </w:r>
      <w:r w:rsidR="0010321F">
        <w:rPr>
          <w:rFonts w:ascii="Aptos" w:hAnsi="Aptos"/>
          <w:color w:val="000000" w:themeColor="text1"/>
        </w:rPr>
        <w:t xml:space="preserve"> On </w:t>
      </w:r>
      <w:r w:rsidRPr="00840E93">
        <w:rPr>
          <w:rFonts w:ascii="Aptos" w:hAnsi="Aptos"/>
          <w:color w:val="000000" w:themeColor="text1"/>
        </w:rPr>
        <w:t>October 26, 2023</w:t>
      </w:r>
      <w:r w:rsidR="0010321F">
        <w:rPr>
          <w:rFonts w:ascii="Aptos" w:hAnsi="Aptos"/>
          <w:color w:val="000000" w:themeColor="text1"/>
        </w:rPr>
        <w:t xml:space="preserve">, </w:t>
      </w:r>
      <w:r w:rsidRPr="00840E93">
        <w:rPr>
          <w:rFonts w:ascii="Aptos" w:hAnsi="Aptos"/>
          <w:color w:val="000000" w:themeColor="text1"/>
        </w:rPr>
        <w:t xml:space="preserve">Parent contacted </w:t>
      </w:r>
      <w:r w:rsidR="0010321F">
        <w:rPr>
          <w:rFonts w:ascii="Aptos" w:hAnsi="Aptos"/>
          <w:color w:val="000000" w:themeColor="text1"/>
        </w:rPr>
        <w:t xml:space="preserve">the </w:t>
      </w:r>
      <w:r w:rsidRPr="00840E93">
        <w:rPr>
          <w:rFonts w:ascii="Aptos" w:hAnsi="Aptos"/>
          <w:color w:val="000000" w:themeColor="text1"/>
        </w:rPr>
        <w:t xml:space="preserve">Special Education Chair and Director </w:t>
      </w:r>
      <w:r w:rsidR="0010321F">
        <w:rPr>
          <w:rFonts w:ascii="Aptos" w:hAnsi="Aptos"/>
          <w:color w:val="000000" w:themeColor="text1"/>
        </w:rPr>
        <w:t>of Special Services and</w:t>
      </w:r>
      <w:r w:rsidRPr="00840E93">
        <w:rPr>
          <w:rFonts w:ascii="Aptos" w:hAnsi="Aptos"/>
          <w:color w:val="000000" w:themeColor="text1"/>
        </w:rPr>
        <w:t xml:space="preserve"> request</w:t>
      </w:r>
      <w:r w:rsidR="0010321F">
        <w:rPr>
          <w:rFonts w:ascii="Aptos" w:hAnsi="Aptos"/>
          <w:color w:val="000000" w:themeColor="text1"/>
        </w:rPr>
        <w:t>ed</w:t>
      </w:r>
      <w:r w:rsidRPr="00840E93">
        <w:rPr>
          <w:rFonts w:ascii="Aptos" w:hAnsi="Aptos"/>
          <w:color w:val="000000" w:themeColor="text1"/>
        </w:rPr>
        <w:t xml:space="preserve"> the BIP.</w:t>
      </w:r>
      <w:r w:rsidR="0010321F" w:rsidRPr="0010321F">
        <w:rPr>
          <w:rFonts w:ascii="Aptos" w:hAnsi="Aptos"/>
          <w:color w:val="000000" w:themeColor="text1"/>
        </w:rPr>
        <w:t xml:space="preserve"> </w:t>
      </w:r>
    </w:p>
    <w:p w14:paraId="6DED186E" w14:textId="368D1489" w:rsidR="00840E93" w:rsidRDefault="0010321F" w:rsidP="00840E93">
      <w:pPr>
        <w:pStyle w:val="ListParagraph"/>
        <w:numPr>
          <w:ilvl w:val="0"/>
          <w:numId w:val="21"/>
        </w:numPr>
        <w:rPr>
          <w:rFonts w:ascii="Aptos" w:hAnsi="Aptos"/>
          <w:color w:val="000000" w:themeColor="text1"/>
        </w:rPr>
      </w:pPr>
      <w:r>
        <w:rPr>
          <w:rFonts w:ascii="Aptos" w:hAnsi="Aptos"/>
          <w:color w:val="000000" w:themeColor="text1"/>
        </w:rPr>
        <w:t xml:space="preserve">On </w:t>
      </w:r>
      <w:r w:rsidR="00840E93" w:rsidRPr="00840E93">
        <w:rPr>
          <w:rFonts w:ascii="Aptos" w:hAnsi="Aptos"/>
          <w:color w:val="000000" w:themeColor="text1"/>
        </w:rPr>
        <w:t>October 27, 2023</w:t>
      </w:r>
      <w:r w:rsidR="00A65EC2">
        <w:rPr>
          <w:rFonts w:ascii="Aptos" w:hAnsi="Aptos"/>
          <w:color w:val="000000" w:themeColor="text1"/>
        </w:rPr>
        <w:t xml:space="preserve">, the District </w:t>
      </w:r>
      <w:r w:rsidR="003D78BD">
        <w:rPr>
          <w:rFonts w:ascii="Aptos" w:hAnsi="Aptos"/>
          <w:color w:val="000000" w:themeColor="text1"/>
        </w:rPr>
        <w:t>responded</w:t>
      </w:r>
      <w:r w:rsidR="00960B38">
        <w:rPr>
          <w:rFonts w:ascii="Aptos" w:hAnsi="Aptos"/>
          <w:color w:val="000000" w:themeColor="text1"/>
        </w:rPr>
        <w:t xml:space="preserve"> </w:t>
      </w:r>
      <w:r w:rsidR="005079C4">
        <w:rPr>
          <w:rFonts w:ascii="Aptos" w:hAnsi="Aptos"/>
          <w:color w:val="000000" w:themeColor="text1"/>
        </w:rPr>
        <w:t>(</w:t>
      </w:r>
      <w:r w:rsidR="00960B38">
        <w:rPr>
          <w:rFonts w:ascii="Aptos" w:hAnsi="Aptos"/>
          <w:color w:val="000000" w:themeColor="text1"/>
        </w:rPr>
        <w:t>via email</w:t>
      </w:r>
      <w:r w:rsidR="005079C4">
        <w:rPr>
          <w:rFonts w:ascii="Aptos" w:hAnsi="Aptos"/>
          <w:color w:val="000000" w:themeColor="text1"/>
        </w:rPr>
        <w:t>)</w:t>
      </w:r>
      <w:r w:rsidR="003D78BD">
        <w:rPr>
          <w:rFonts w:ascii="Aptos" w:hAnsi="Aptos"/>
          <w:color w:val="000000" w:themeColor="text1"/>
        </w:rPr>
        <w:t xml:space="preserve"> that</w:t>
      </w:r>
      <w:r w:rsidR="00840E93" w:rsidRPr="00840E93">
        <w:rPr>
          <w:rFonts w:ascii="Aptos" w:hAnsi="Aptos"/>
          <w:color w:val="000000" w:themeColor="text1"/>
        </w:rPr>
        <w:t xml:space="preserve"> </w:t>
      </w:r>
      <w:r w:rsidR="00A65EC2">
        <w:rPr>
          <w:rFonts w:ascii="Aptos" w:hAnsi="Aptos"/>
          <w:color w:val="000000" w:themeColor="text1"/>
        </w:rPr>
        <w:t>the</w:t>
      </w:r>
      <w:r w:rsidR="00840E93" w:rsidRPr="00840E93">
        <w:rPr>
          <w:rFonts w:ascii="Aptos" w:hAnsi="Aptos"/>
          <w:color w:val="000000" w:themeColor="text1"/>
        </w:rPr>
        <w:t xml:space="preserve"> BIP was not necessary but </w:t>
      </w:r>
      <w:r w:rsidR="000223FD">
        <w:rPr>
          <w:rFonts w:ascii="Aptos" w:hAnsi="Aptos"/>
          <w:color w:val="000000" w:themeColor="text1"/>
        </w:rPr>
        <w:t>provided to Parent</w:t>
      </w:r>
      <w:r w:rsidR="000223FD" w:rsidRPr="00840E93">
        <w:rPr>
          <w:rFonts w:ascii="Aptos" w:hAnsi="Aptos"/>
          <w:color w:val="000000" w:themeColor="text1"/>
        </w:rPr>
        <w:t xml:space="preserve"> </w:t>
      </w:r>
      <w:r w:rsidR="00840E93" w:rsidRPr="00840E93">
        <w:rPr>
          <w:rFonts w:ascii="Aptos" w:hAnsi="Aptos"/>
          <w:color w:val="000000" w:themeColor="text1"/>
        </w:rPr>
        <w:t>the March 2023</w:t>
      </w:r>
      <w:r w:rsidR="00A65EC2">
        <w:rPr>
          <w:rFonts w:ascii="Aptos" w:hAnsi="Aptos"/>
          <w:color w:val="000000" w:themeColor="text1"/>
        </w:rPr>
        <w:t xml:space="preserve"> BIP </w:t>
      </w:r>
      <w:r w:rsidR="00947DCD" w:rsidRPr="00947DCD">
        <w:rPr>
          <w:rFonts w:ascii="Aptos" w:hAnsi="Aptos"/>
          <w:color w:val="000000" w:themeColor="text1"/>
        </w:rPr>
        <w:t>(revised 4/12/23</w:t>
      </w:r>
      <w:r w:rsidR="00947DCD">
        <w:rPr>
          <w:rFonts w:ascii="Aptos" w:hAnsi="Aptos"/>
          <w:color w:val="000000" w:themeColor="text1"/>
        </w:rPr>
        <w:t xml:space="preserve">). </w:t>
      </w:r>
    </w:p>
    <w:p w14:paraId="3B878E3B" w14:textId="4A3E5DC4" w:rsidR="000120FD" w:rsidRDefault="000120FD" w:rsidP="00840E93">
      <w:pPr>
        <w:pStyle w:val="ListParagraph"/>
        <w:numPr>
          <w:ilvl w:val="0"/>
          <w:numId w:val="21"/>
        </w:numPr>
        <w:rPr>
          <w:rFonts w:ascii="Aptos" w:hAnsi="Aptos"/>
          <w:color w:val="000000" w:themeColor="text1"/>
        </w:rPr>
      </w:pPr>
      <w:r>
        <w:rPr>
          <w:rFonts w:ascii="Aptos" w:hAnsi="Aptos"/>
          <w:color w:val="000000" w:themeColor="text1"/>
        </w:rPr>
        <w:t xml:space="preserve">On </w:t>
      </w:r>
      <w:r w:rsidRPr="000120FD">
        <w:rPr>
          <w:rFonts w:ascii="Aptos" w:hAnsi="Aptos"/>
          <w:color w:val="000000" w:themeColor="text1"/>
        </w:rPr>
        <w:t>December 12, 2023</w:t>
      </w:r>
      <w:r>
        <w:rPr>
          <w:rFonts w:ascii="Aptos" w:hAnsi="Aptos"/>
          <w:color w:val="000000" w:themeColor="text1"/>
        </w:rPr>
        <w:t>, d</w:t>
      </w:r>
      <w:r w:rsidRPr="000120FD">
        <w:rPr>
          <w:rFonts w:ascii="Aptos" w:hAnsi="Aptos"/>
          <w:color w:val="000000" w:themeColor="text1"/>
        </w:rPr>
        <w:t xml:space="preserve">uring an IEP Progress Meeting, the Parent </w:t>
      </w:r>
      <w:r>
        <w:rPr>
          <w:rFonts w:ascii="Aptos" w:hAnsi="Aptos"/>
          <w:color w:val="000000" w:themeColor="text1"/>
        </w:rPr>
        <w:t xml:space="preserve">noted that </w:t>
      </w:r>
      <w:r w:rsidR="00062D64">
        <w:rPr>
          <w:rFonts w:ascii="Aptos" w:hAnsi="Aptos"/>
          <w:color w:val="000000" w:themeColor="text1"/>
        </w:rPr>
        <w:t>“</w:t>
      </w:r>
      <w:r w:rsidRPr="000120FD">
        <w:rPr>
          <w:rFonts w:ascii="Aptos" w:hAnsi="Aptos"/>
          <w:color w:val="000000" w:themeColor="text1"/>
        </w:rPr>
        <w:t>the BIP was not</w:t>
      </w:r>
      <w:r w:rsidR="00062D64">
        <w:rPr>
          <w:rFonts w:ascii="Aptos" w:hAnsi="Aptos"/>
          <w:color w:val="000000" w:themeColor="text1"/>
        </w:rPr>
        <w:t xml:space="preserve"> </w:t>
      </w:r>
      <w:r w:rsidR="00062D64" w:rsidRPr="00062D64">
        <w:rPr>
          <w:rFonts w:ascii="Aptos" w:hAnsi="Aptos"/>
          <w:color w:val="000000" w:themeColor="text1"/>
        </w:rPr>
        <w:t>attached to the IEP. Teachers indicated they had no knowledge of the BIP.</w:t>
      </w:r>
      <w:r w:rsidR="009A6248">
        <w:rPr>
          <w:rFonts w:ascii="Aptos" w:hAnsi="Aptos"/>
          <w:color w:val="000000" w:themeColor="text1"/>
        </w:rPr>
        <w:t xml:space="preserve">” A </w:t>
      </w:r>
      <w:r w:rsidR="00062D64" w:rsidRPr="00062D64">
        <w:rPr>
          <w:rFonts w:ascii="Aptos" w:hAnsi="Aptos"/>
          <w:color w:val="000000" w:themeColor="text1"/>
        </w:rPr>
        <w:t>а new BIP dated 12/12/23, which Parent had not seen or consented to</w:t>
      </w:r>
      <w:r w:rsidR="009A6248">
        <w:rPr>
          <w:rFonts w:ascii="Aptos" w:hAnsi="Aptos"/>
          <w:color w:val="000000" w:themeColor="text1"/>
        </w:rPr>
        <w:t>, was distributed at the IEP meeting</w:t>
      </w:r>
      <w:r w:rsidR="00062D64" w:rsidRPr="00062D64">
        <w:rPr>
          <w:rFonts w:ascii="Aptos" w:hAnsi="Aptos"/>
          <w:color w:val="000000" w:themeColor="text1"/>
        </w:rPr>
        <w:t xml:space="preserve">. </w:t>
      </w:r>
      <w:r w:rsidR="00E339A7">
        <w:rPr>
          <w:rFonts w:ascii="Aptos" w:hAnsi="Aptos"/>
          <w:color w:val="000000" w:themeColor="text1"/>
        </w:rPr>
        <w:t xml:space="preserve">According to Parent, she was told that the BIP </w:t>
      </w:r>
      <w:r w:rsidR="00062D64" w:rsidRPr="00062D64">
        <w:rPr>
          <w:rFonts w:ascii="Aptos" w:hAnsi="Aptos"/>
          <w:color w:val="000000" w:themeColor="text1"/>
        </w:rPr>
        <w:t>was not part of the IEP and did not require parental consent.</w:t>
      </w:r>
    </w:p>
    <w:p w14:paraId="6E1E85F4" w14:textId="0FD63013" w:rsidR="00D6127B" w:rsidRPr="00207F0E" w:rsidRDefault="00941892" w:rsidP="00207F0E">
      <w:pPr>
        <w:pStyle w:val="ListParagraph"/>
        <w:numPr>
          <w:ilvl w:val="0"/>
          <w:numId w:val="21"/>
        </w:numPr>
        <w:rPr>
          <w:rFonts w:ascii="Aptos" w:hAnsi="Aptos"/>
          <w:color w:val="000000" w:themeColor="text1"/>
        </w:rPr>
      </w:pPr>
      <w:r>
        <w:rPr>
          <w:rFonts w:ascii="Aptos" w:hAnsi="Aptos"/>
          <w:color w:val="000000" w:themeColor="text1"/>
        </w:rPr>
        <w:t>Parent filed a Hearing Request on January 12, 2026</w:t>
      </w:r>
      <w:r w:rsidR="00DE5247">
        <w:rPr>
          <w:rStyle w:val="FootnoteReference"/>
          <w:rFonts w:ascii="Aptos" w:hAnsi="Aptos"/>
          <w:color w:val="000000" w:themeColor="text1"/>
        </w:rPr>
        <w:footnoteReference w:id="4"/>
      </w:r>
      <w:r>
        <w:rPr>
          <w:rFonts w:ascii="Aptos" w:hAnsi="Aptos"/>
          <w:color w:val="000000" w:themeColor="text1"/>
        </w:rPr>
        <w:t xml:space="preserve"> alleging that </w:t>
      </w:r>
      <w:r w:rsidR="007E6086" w:rsidRPr="007E6086">
        <w:rPr>
          <w:rFonts w:ascii="Aptos" w:hAnsi="Aptos"/>
          <w:color w:val="000000" w:themeColor="text1"/>
        </w:rPr>
        <w:t xml:space="preserve">the District violated IDEA </w:t>
      </w:r>
      <w:r w:rsidR="000B7DD9">
        <w:rPr>
          <w:rFonts w:ascii="Aptos" w:hAnsi="Aptos"/>
          <w:color w:val="000000" w:themeColor="text1"/>
        </w:rPr>
        <w:t>by “</w:t>
      </w:r>
      <w:r w:rsidR="007E6086" w:rsidRPr="007E6086">
        <w:rPr>
          <w:rFonts w:ascii="Aptos" w:hAnsi="Aptos"/>
          <w:color w:val="000000" w:themeColor="text1"/>
        </w:rPr>
        <w:t>creating and implementing а new BIP without parenta</w:t>
      </w:r>
      <w:r w:rsidR="007E6086">
        <w:rPr>
          <w:rFonts w:ascii="Aptos" w:hAnsi="Aptos"/>
          <w:color w:val="000000" w:themeColor="text1"/>
        </w:rPr>
        <w:t>l participation and consent</w:t>
      </w:r>
      <w:r w:rsidR="000B7DD9">
        <w:rPr>
          <w:rFonts w:ascii="Aptos" w:hAnsi="Aptos"/>
          <w:color w:val="000000" w:themeColor="text1"/>
        </w:rPr>
        <w:t>”</w:t>
      </w:r>
      <w:r w:rsidR="007E6086">
        <w:rPr>
          <w:rFonts w:ascii="Aptos" w:hAnsi="Aptos"/>
          <w:color w:val="000000" w:themeColor="text1"/>
        </w:rPr>
        <w:t xml:space="preserve">; </w:t>
      </w:r>
      <w:r w:rsidR="00F62D98">
        <w:rPr>
          <w:rFonts w:ascii="Aptos" w:hAnsi="Aptos"/>
          <w:color w:val="000000" w:themeColor="text1"/>
        </w:rPr>
        <w:t>that</w:t>
      </w:r>
      <w:r w:rsidR="007E6086" w:rsidRPr="007E6086">
        <w:rPr>
          <w:rFonts w:ascii="Aptos" w:hAnsi="Aptos"/>
          <w:color w:val="000000" w:themeColor="text1"/>
        </w:rPr>
        <w:t xml:space="preserve"> the District denied Student а FAPE </w:t>
      </w:r>
      <w:r w:rsidR="000B7DD9">
        <w:rPr>
          <w:rFonts w:ascii="Aptos" w:hAnsi="Aptos"/>
          <w:color w:val="000000" w:themeColor="text1"/>
        </w:rPr>
        <w:t>b</w:t>
      </w:r>
      <w:r w:rsidR="000B7DD9" w:rsidRPr="007E6086">
        <w:rPr>
          <w:rFonts w:ascii="Aptos" w:hAnsi="Aptos"/>
          <w:color w:val="000000" w:themeColor="text1"/>
        </w:rPr>
        <w:t>y</w:t>
      </w:r>
      <w:r w:rsidR="007E6086" w:rsidRPr="007E6086">
        <w:rPr>
          <w:rFonts w:ascii="Aptos" w:hAnsi="Aptos"/>
          <w:color w:val="000000" w:themeColor="text1"/>
        </w:rPr>
        <w:t xml:space="preserve"> failing to provide appropriate behavioral supports</w:t>
      </w:r>
      <w:r w:rsidR="00F62D98">
        <w:rPr>
          <w:rFonts w:ascii="Aptos" w:hAnsi="Aptos"/>
          <w:color w:val="000000" w:themeColor="text1"/>
        </w:rPr>
        <w:t xml:space="preserve">; and that the </w:t>
      </w:r>
      <w:r w:rsidR="00F62D98" w:rsidRPr="00F62D98">
        <w:rPr>
          <w:rFonts w:ascii="Aptos" w:hAnsi="Aptos"/>
          <w:color w:val="000000" w:themeColor="text1"/>
        </w:rPr>
        <w:t xml:space="preserve">District failed to comply with the January 4, 2023 BSEA Order </w:t>
      </w:r>
      <w:r w:rsidR="00F62D98">
        <w:rPr>
          <w:rFonts w:ascii="Aptos" w:hAnsi="Aptos"/>
          <w:color w:val="000000" w:themeColor="text1"/>
        </w:rPr>
        <w:t>“</w:t>
      </w:r>
      <w:r w:rsidR="00F62D98" w:rsidRPr="00F62D98">
        <w:rPr>
          <w:rFonts w:ascii="Aptos" w:hAnsi="Aptos"/>
          <w:color w:val="000000" w:themeColor="text1"/>
        </w:rPr>
        <w:t>requiring IEP and</w:t>
      </w:r>
      <w:r w:rsidR="00F62D98">
        <w:rPr>
          <w:rFonts w:ascii="Aptos" w:hAnsi="Aptos"/>
          <w:color w:val="000000" w:themeColor="text1"/>
        </w:rPr>
        <w:t xml:space="preserve"> </w:t>
      </w:r>
      <w:r w:rsidR="00F62D98" w:rsidRPr="00F62D98">
        <w:rPr>
          <w:rFonts w:ascii="Aptos" w:hAnsi="Aptos"/>
          <w:color w:val="000000" w:themeColor="text1"/>
        </w:rPr>
        <w:t>behavioral intervention implementation.</w:t>
      </w:r>
      <w:r w:rsidR="00F62D98">
        <w:rPr>
          <w:rFonts w:ascii="Aptos" w:hAnsi="Aptos"/>
          <w:color w:val="000000" w:themeColor="text1"/>
        </w:rPr>
        <w:t>”</w:t>
      </w:r>
      <w:r w:rsidR="00521A98">
        <w:rPr>
          <w:rFonts w:ascii="Aptos" w:hAnsi="Aptos"/>
          <w:color w:val="000000" w:themeColor="text1"/>
        </w:rPr>
        <w:t xml:space="preserve"> She requested that the BSEA o</w:t>
      </w:r>
      <w:r w:rsidR="00521A98" w:rsidRPr="00521A98">
        <w:rPr>
          <w:rFonts w:ascii="Aptos" w:hAnsi="Aptos"/>
          <w:color w:val="000000" w:themeColor="text1"/>
        </w:rPr>
        <w:t>rder the District to implement the March 9, 2023 BIP across all settings at PVMHS</w:t>
      </w:r>
      <w:r w:rsidR="00521A98">
        <w:rPr>
          <w:rFonts w:ascii="Aptos" w:hAnsi="Aptos"/>
          <w:color w:val="000000" w:themeColor="text1"/>
        </w:rPr>
        <w:t>;</w:t>
      </w:r>
      <w:r w:rsidR="00EB7E9B">
        <w:rPr>
          <w:rFonts w:ascii="Aptos" w:hAnsi="Aptos"/>
          <w:color w:val="000000" w:themeColor="text1"/>
        </w:rPr>
        <w:t xml:space="preserve"> find that December 12</w:t>
      </w:r>
      <w:r w:rsidR="00766593">
        <w:rPr>
          <w:rFonts w:ascii="Aptos" w:hAnsi="Aptos"/>
          <w:color w:val="000000" w:themeColor="text1"/>
        </w:rPr>
        <w:t>,</w:t>
      </w:r>
      <w:r w:rsidR="00EB7E9B">
        <w:rPr>
          <w:rFonts w:ascii="Aptos" w:hAnsi="Aptos"/>
          <w:color w:val="000000" w:themeColor="text1"/>
        </w:rPr>
        <w:t xml:space="preserve"> 2023 BIP</w:t>
      </w:r>
      <w:r w:rsidR="00EB7E9B" w:rsidRPr="00EB7E9B">
        <w:rPr>
          <w:rFonts w:ascii="Aptos" w:hAnsi="Aptos"/>
          <w:color w:val="000000" w:themeColor="text1"/>
        </w:rPr>
        <w:t xml:space="preserve"> was developed without parental participation or consent, in violation of IDEA procedural safeguards, and order that it </w:t>
      </w:r>
      <w:r w:rsidR="00EB7E9B">
        <w:rPr>
          <w:rFonts w:ascii="Aptos" w:hAnsi="Aptos"/>
          <w:color w:val="000000" w:themeColor="text1"/>
        </w:rPr>
        <w:t>be</w:t>
      </w:r>
      <w:r w:rsidR="00EB7E9B" w:rsidRPr="00EB7E9B">
        <w:rPr>
          <w:rFonts w:ascii="Aptos" w:hAnsi="Aptos"/>
          <w:color w:val="000000" w:themeColor="text1"/>
        </w:rPr>
        <w:t xml:space="preserve"> rescinded</w:t>
      </w:r>
      <w:r w:rsidR="00EB7E9B">
        <w:rPr>
          <w:rFonts w:ascii="Aptos" w:hAnsi="Aptos"/>
          <w:color w:val="000000" w:themeColor="text1"/>
        </w:rPr>
        <w:t xml:space="preserve">; order </w:t>
      </w:r>
      <w:r w:rsidR="0048652D">
        <w:rPr>
          <w:rFonts w:ascii="Aptos" w:hAnsi="Aptos"/>
          <w:color w:val="000000" w:themeColor="text1"/>
        </w:rPr>
        <w:t>“</w:t>
      </w:r>
      <w:r w:rsidR="00EB7E9B">
        <w:rPr>
          <w:rFonts w:ascii="Aptos" w:hAnsi="Aptos"/>
          <w:color w:val="000000" w:themeColor="text1"/>
        </w:rPr>
        <w:t>staff training</w:t>
      </w:r>
      <w:r w:rsidR="0048652D">
        <w:rPr>
          <w:rFonts w:ascii="Aptos" w:hAnsi="Aptos"/>
          <w:color w:val="000000" w:themeColor="text1"/>
        </w:rPr>
        <w:t xml:space="preserve"> and implementation monitoring”; o</w:t>
      </w:r>
      <w:r w:rsidR="0048652D" w:rsidRPr="0048652D">
        <w:rPr>
          <w:rFonts w:ascii="Aptos" w:hAnsi="Aptos"/>
          <w:color w:val="000000" w:themeColor="text1"/>
        </w:rPr>
        <w:t xml:space="preserve">rder the District </w:t>
      </w:r>
      <w:r w:rsidR="0048652D">
        <w:rPr>
          <w:rFonts w:ascii="Aptos" w:hAnsi="Aptos"/>
          <w:color w:val="000000" w:themeColor="text1"/>
        </w:rPr>
        <w:t>“</w:t>
      </w:r>
      <w:r w:rsidR="0048652D" w:rsidRPr="0048652D">
        <w:rPr>
          <w:rFonts w:ascii="Aptos" w:hAnsi="Aptos"/>
          <w:color w:val="000000" w:themeColor="text1"/>
        </w:rPr>
        <w:t>to review and amend or expunge disciplinary records related to behaviors that should have been addressed via the BIP</w:t>
      </w:r>
      <w:r w:rsidR="0048652D">
        <w:rPr>
          <w:rFonts w:ascii="Aptos" w:hAnsi="Aptos"/>
          <w:color w:val="000000" w:themeColor="text1"/>
        </w:rPr>
        <w:t xml:space="preserve">”; </w:t>
      </w:r>
      <w:r w:rsidR="00207F0E">
        <w:rPr>
          <w:rFonts w:ascii="Aptos" w:hAnsi="Aptos"/>
          <w:color w:val="000000" w:themeColor="text1"/>
        </w:rPr>
        <w:t>and r</w:t>
      </w:r>
      <w:r w:rsidR="00207F0E" w:rsidRPr="00207F0E">
        <w:rPr>
          <w:rFonts w:ascii="Aptos" w:hAnsi="Aptos"/>
          <w:color w:val="000000" w:themeColor="text1"/>
        </w:rPr>
        <w:t>equire the District to ensure future compliance with IDEA, including</w:t>
      </w:r>
      <w:r w:rsidR="00207F0E">
        <w:rPr>
          <w:rFonts w:ascii="Aptos" w:hAnsi="Aptos"/>
          <w:color w:val="000000" w:themeColor="text1"/>
        </w:rPr>
        <w:t xml:space="preserve"> </w:t>
      </w:r>
      <w:r w:rsidR="00430482">
        <w:rPr>
          <w:rFonts w:ascii="Aptos" w:hAnsi="Aptos"/>
          <w:color w:val="000000" w:themeColor="text1"/>
        </w:rPr>
        <w:t>“</w:t>
      </w:r>
      <w:r w:rsidR="00207F0E">
        <w:rPr>
          <w:rFonts w:ascii="Aptos" w:hAnsi="Aptos"/>
          <w:color w:val="000000" w:themeColor="text1"/>
        </w:rPr>
        <w:t>m</w:t>
      </w:r>
      <w:r w:rsidR="00207F0E" w:rsidRPr="00207F0E">
        <w:rPr>
          <w:rFonts w:ascii="Aptos" w:hAnsi="Aptos"/>
          <w:color w:val="000000" w:themeColor="text1"/>
        </w:rPr>
        <w:t>aintaining the BIP as part of the IEP</w:t>
      </w:r>
      <w:r w:rsidR="00207F0E">
        <w:rPr>
          <w:rFonts w:ascii="Aptos" w:hAnsi="Aptos"/>
          <w:color w:val="000000" w:themeColor="text1"/>
        </w:rPr>
        <w:t>, e</w:t>
      </w:r>
      <w:r w:rsidR="00207F0E" w:rsidRPr="00207F0E">
        <w:rPr>
          <w:rFonts w:ascii="Aptos" w:hAnsi="Aptos"/>
          <w:color w:val="000000" w:themeColor="text1"/>
        </w:rPr>
        <w:t xml:space="preserve">nsuring parent participation </w:t>
      </w:r>
      <w:r w:rsidR="00207F0E">
        <w:rPr>
          <w:rFonts w:ascii="Aptos" w:hAnsi="Aptos"/>
          <w:color w:val="000000" w:themeColor="text1"/>
        </w:rPr>
        <w:t>in b</w:t>
      </w:r>
      <w:r w:rsidR="00207F0E" w:rsidRPr="00207F0E">
        <w:rPr>
          <w:rFonts w:ascii="Aptos" w:hAnsi="Aptos"/>
          <w:color w:val="000000" w:themeColor="text1"/>
        </w:rPr>
        <w:t xml:space="preserve">ehavioral </w:t>
      </w:r>
      <w:r w:rsidR="00207F0E" w:rsidRPr="00207F0E">
        <w:rPr>
          <w:rFonts w:ascii="Aptos" w:hAnsi="Aptos"/>
          <w:color w:val="000000" w:themeColor="text1"/>
        </w:rPr>
        <w:lastRenderedPageBreak/>
        <w:t>planning</w:t>
      </w:r>
      <w:r w:rsidR="00207F0E">
        <w:rPr>
          <w:rFonts w:ascii="Aptos" w:hAnsi="Aptos"/>
          <w:color w:val="000000" w:themeColor="text1"/>
        </w:rPr>
        <w:t>, and r</w:t>
      </w:r>
      <w:r w:rsidR="00207F0E" w:rsidRPr="00207F0E">
        <w:rPr>
          <w:rFonts w:ascii="Aptos" w:hAnsi="Aptos"/>
          <w:color w:val="000000" w:themeColor="text1"/>
        </w:rPr>
        <w:t>efraining from disciplinary removals without implementing behavioral supports</w:t>
      </w:r>
      <w:r w:rsidR="00430482">
        <w:rPr>
          <w:rFonts w:ascii="Aptos" w:hAnsi="Aptos"/>
          <w:color w:val="000000" w:themeColor="text1"/>
        </w:rPr>
        <w:t>”</w:t>
      </w:r>
      <w:r w:rsidR="00207F0E">
        <w:rPr>
          <w:rFonts w:ascii="Aptos" w:hAnsi="Aptos"/>
          <w:color w:val="000000" w:themeColor="text1"/>
        </w:rPr>
        <w:t>.</w:t>
      </w:r>
    </w:p>
    <w:p w14:paraId="15D26E1C" w14:textId="77777777" w:rsidR="006530F9" w:rsidRDefault="006530F9" w:rsidP="00D6127B">
      <w:pPr>
        <w:rPr>
          <w:rFonts w:ascii="Aptos" w:hAnsi="Aptos"/>
          <w:b/>
          <w:bCs/>
          <w:color w:val="000000" w:themeColor="text1"/>
        </w:rPr>
      </w:pPr>
    </w:p>
    <w:p w14:paraId="303C751B" w14:textId="269AA5AC" w:rsidR="0070458D" w:rsidRPr="001B3770" w:rsidRDefault="0070458D" w:rsidP="00D6127B">
      <w:pPr>
        <w:rPr>
          <w:rFonts w:ascii="Aptos" w:hAnsi="Aptos"/>
          <w:b/>
          <w:bCs/>
          <w:color w:val="000000" w:themeColor="text1"/>
        </w:rPr>
      </w:pPr>
      <w:r w:rsidRPr="001B3770">
        <w:rPr>
          <w:rFonts w:ascii="Aptos" w:hAnsi="Aptos"/>
          <w:b/>
          <w:bCs/>
          <w:color w:val="000000" w:themeColor="text1"/>
        </w:rPr>
        <w:t xml:space="preserve">LEGAL </w:t>
      </w:r>
      <w:r w:rsidR="000D376B" w:rsidRPr="001B3770">
        <w:rPr>
          <w:rFonts w:ascii="Aptos" w:hAnsi="Aptos"/>
          <w:b/>
          <w:bCs/>
          <w:color w:val="000000" w:themeColor="text1"/>
        </w:rPr>
        <w:t>STANDARDS</w:t>
      </w:r>
      <w:r w:rsidR="00686B78" w:rsidRPr="001B3770">
        <w:rPr>
          <w:rFonts w:ascii="Aptos" w:hAnsi="Aptos"/>
          <w:b/>
          <w:bCs/>
          <w:color w:val="000000" w:themeColor="text1"/>
        </w:rPr>
        <w:t xml:space="preserve"> AND APPLICATION OF LEGAL STANDARDS</w:t>
      </w:r>
      <w:r w:rsidRPr="001B3770">
        <w:rPr>
          <w:rFonts w:ascii="Aptos" w:hAnsi="Aptos"/>
          <w:b/>
          <w:bCs/>
          <w:color w:val="000000" w:themeColor="text1"/>
        </w:rPr>
        <w:t>:</w:t>
      </w:r>
    </w:p>
    <w:p w14:paraId="738E6454" w14:textId="77777777" w:rsidR="00E90201" w:rsidRPr="001B3770" w:rsidRDefault="00E90201" w:rsidP="00D6127B">
      <w:pPr>
        <w:rPr>
          <w:rFonts w:ascii="Aptos" w:hAnsi="Aptos"/>
          <w:b/>
          <w:bCs/>
          <w:color w:val="000000" w:themeColor="text1"/>
        </w:rPr>
      </w:pPr>
    </w:p>
    <w:p w14:paraId="6A440881" w14:textId="1F0EDB5D" w:rsidR="00D357B5" w:rsidRPr="001B3770" w:rsidRDefault="00D357B5" w:rsidP="00D6127B">
      <w:pPr>
        <w:rPr>
          <w:rFonts w:ascii="Aptos" w:hAnsi="Aptos"/>
          <w:color w:val="000000" w:themeColor="text1"/>
        </w:rPr>
      </w:pPr>
      <w:r w:rsidRPr="001B3770">
        <w:rPr>
          <w:rFonts w:ascii="Aptos" w:hAnsi="Aptos"/>
          <w:color w:val="000000" w:themeColor="text1"/>
        </w:rPr>
        <w:t xml:space="preserve">In applying the legal standards set out </w:t>
      </w:r>
      <w:r w:rsidR="006353F3" w:rsidRPr="00781D61">
        <w:rPr>
          <w:rFonts w:ascii="Aptos" w:hAnsi="Aptos"/>
          <w:i/>
          <w:iCs/>
          <w:color w:val="000000" w:themeColor="text1"/>
        </w:rPr>
        <w:t>infra</w:t>
      </w:r>
      <w:r w:rsidRPr="001B3770">
        <w:rPr>
          <w:rFonts w:ascii="Aptos" w:hAnsi="Aptos"/>
          <w:color w:val="000000" w:themeColor="text1"/>
        </w:rPr>
        <w:t xml:space="preserve"> to </w:t>
      </w:r>
      <w:r w:rsidR="006353F3" w:rsidRPr="001B3770">
        <w:rPr>
          <w:rFonts w:ascii="Aptos" w:hAnsi="Aptos"/>
          <w:color w:val="000000" w:themeColor="text1"/>
        </w:rPr>
        <w:t xml:space="preserve">the </w:t>
      </w:r>
      <w:r w:rsidRPr="001B3770">
        <w:rPr>
          <w:rFonts w:ascii="Aptos" w:hAnsi="Aptos"/>
          <w:color w:val="000000" w:themeColor="text1"/>
        </w:rPr>
        <w:t xml:space="preserve">instant matter, I bear in mind that complaints filed by </w:t>
      </w:r>
      <w:r w:rsidRPr="00781D61">
        <w:rPr>
          <w:rFonts w:ascii="Aptos" w:hAnsi="Aptos"/>
          <w:i/>
          <w:iCs/>
          <w:color w:val="000000" w:themeColor="text1"/>
        </w:rPr>
        <w:t>pro se</w:t>
      </w:r>
      <w:r w:rsidRPr="001B3770">
        <w:rPr>
          <w:rFonts w:ascii="Aptos" w:hAnsi="Aptos"/>
          <w:color w:val="000000" w:themeColor="text1"/>
        </w:rPr>
        <w:t xml:space="preserve"> parties, as in the instant matter, are to be construed liberally.</w:t>
      </w:r>
      <w:r w:rsidRPr="001B3770">
        <w:rPr>
          <w:rStyle w:val="FootnoteReference"/>
          <w:rFonts w:ascii="Aptos" w:hAnsi="Aptos"/>
          <w:color w:val="000000" w:themeColor="text1"/>
        </w:rPr>
        <w:footnoteReference w:id="5"/>
      </w:r>
      <w:r w:rsidRPr="001B3770">
        <w:rPr>
          <w:rFonts w:ascii="Aptos" w:hAnsi="Aptos"/>
          <w:color w:val="000000" w:themeColor="text1"/>
        </w:rPr>
        <w:t xml:space="preserve"> As explained by the First Circuit Court of Appeals, “[t]he policy behind affording pro se plaintiffs liberal interpretation is that if they present sufficient facts [to state a claim], the Court may intuit the correct cause of action, even if it was imperfectly pled.”</w:t>
      </w:r>
      <w:r w:rsidR="00313A19" w:rsidRPr="001B3770">
        <w:rPr>
          <w:rStyle w:val="FootnoteReference"/>
          <w:rFonts w:ascii="Aptos" w:hAnsi="Aptos"/>
          <w:color w:val="000000" w:themeColor="text1"/>
        </w:rPr>
        <w:footnoteReference w:id="6"/>
      </w:r>
      <w:r w:rsidR="00313A19" w:rsidRPr="001B3770">
        <w:rPr>
          <w:rFonts w:ascii="Aptos" w:hAnsi="Aptos"/>
          <w:color w:val="000000" w:themeColor="text1"/>
        </w:rPr>
        <w:t xml:space="preserve"> </w:t>
      </w:r>
      <w:r w:rsidRPr="001B3770">
        <w:rPr>
          <w:rFonts w:ascii="Aptos" w:hAnsi="Aptos"/>
          <w:color w:val="000000" w:themeColor="text1"/>
        </w:rPr>
        <w:t>This principle aligns with “[o]ur judicial system [, which] zealously guards the attempts of pro se litigants on their own behalf” while not ignoring the need for compliance with procedural and substantive law.</w:t>
      </w:r>
      <w:r w:rsidR="00313A19" w:rsidRPr="001B3770">
        <w:rPr>
          <w:rStyle w:val="FootnoteReference"/>
          <w:rFonts w:ascii="Aptos" w:hAnsi="Aptos"/>
          <w:color w:val="000000" w:themeColor="text1"/>
        </w:rPr>
        <w:footnoteReference w:id="7"/>
      </w:r>
    </w:p>
    <w:p w14:paraId="05640A60" w14:textId="77777777" w:rsidR="00313A19" w:rsidRPr="001B3770" w:rsidRDefault="00313A19" w:rsidP="00D6127B">
      <w:pPr>
        <w:rPr>
          <w:rFonts w:ascii="Aptos" w:hAnsi="Aptos"/>
          <w:color w:val="000000" w:themeColor="text1"/>
        </w:rPr>
      </w:pPr>
    </w:p>
    <w:p w14:paraId="2653189C" w14:textId="77777777" w:rsidR="00E90201" w:rsidRPr="001B3770" w:rsidRDefault="00E90201" w:rsidP="00D6127B">
      <w:pPr>
        <w:pStyle w:val="ListParagraph"/>
        <w:numPr>
          <w:ilvl w:val="1"/>
          <w:numId w:val="14"/>
        </w:numPr>
        <w:tabs>
          <w:tab w:val="left" w:pos="2792"/>
        </w:tabs>
        <w:rPr>
          <w:rFonts w:ascii="Aptos" w:hAnsi="Aptos" w:cs="Apple Chancery"/>
          <w:i/>
          <w:iCs/>
          <w:color w:val="000000" w:themeColor="text1"/>
        </w:rPr>
      </w:pPr>
      <w:r w:rsidRPr="001B3770">
        <w:rPr>
          <w:rFonts w:ascii="Aptos" w:hAnsi="Aptos" w:cs="Apple Chancery"/>
          <w:i/>
          <w:iCs/>
          <w:color w:val="000000" w:themeColor="text1"/>
        </w:rPr>
        <w:t>Legal Standards:</w:t>
      </w:r>
    </w:p>
    <w:p w14:paraId="5CE3D5BD" w14:textId="77777777" w:rsidR="00E90201" w:rsidRPr="001B3770" w:rsidRDefault="00E90201" w:rsidP="00D6127B">
      <w:pPr>
        <w:pStyle w:val="ListParagraph"/>
        <w:tabs>
          <w:tab w:val="left" w:pos="2792"/>
        </w:tabs>
        <w:ind w:left="1440"/>
        <w:rPr>
          <w:rFonts w:ascii="Aptos" w:hAnsi="Aptos" w:cs="Apple Chancery"/>
          <w:i/>
          <w:iCs/>
          <w:color w:val="000000" w:themeColor="text1"/>
        </w:rPr>
      </w:pPr>
    </w:p>
    <w:p w14:paraId="2B8B8EED" w14:textId="77777777" w:rsidR="00E90201" w:rsidRPr="001B3770" w:rsidRDefault="00E90201" w:rsidP="00D6127B">
      <w:pPr>
        <w:pStyle w:val="ListParagraph"/>
        <w:numPr>
          <w:ilvl w:val="2"/>
          <w:numId w:val="14"/>
        </w:numPr>
        <w:tabs>
          <w:tab w:val="left" w:pos="2792"/>
        </w:tabs>
        <w:rPr>
          <w:rFonts w:ascii="Aptos" w:hAnsi="Aptos" w:cs="Apple Chancery"/>
          <w:i/>
          <w:iCs/>
          <w:color w:val="000000" w:themeColor="text1"/>
        </w:rPr>
      </w:pPr>
      <w:r w:rsidRPr="001B3770">
        <w:rPr>
          <w:rFonts w:ascii="Aptos" w:hAnsi="Aptos" w:cs="Apple Chancery"/>
          <w:i/>
          <w:iCs/>
          <w:color w:val="000000" w:themeColor="text1"/>
        </w:rPr>
        <w:t>Motion to Dismiss</w:t>
      </w:r>
    </w:p>
    <w:p w14:paraId="23F6D6B7" w14:textId="77777777" w:rsidR="00E90201" w:rsidRPr="001B3770" w:rsidRDefault="00E90201" w:rsidP="00D6127B">
      <w:pPr>
        <w:tabs>
          <w:tab w:val="left" w:pos="2792"/>
        </w:tabs>
        <w:ind w:left="1080"/>
        <w:rPr>
          <w:rFonts w:ascii="Aptos" w:hAnsi="Aptos" w:cs="Apple Chancery"/>
          <w:color w:val="000000" w:themeColor="text1"/>
        </w:rPr>
      </w:pPr>
    </w:p>
    <w:p w14:paraId="159CF2F5" w14:textId="2F9C9405" w:rsidR="00E90201" w:rsidRDefault="00E90201" w:rsidP="00D6127B">
      <w:pPr>
        <w:tabs>
          <w:tab w:val="left" w:pos="2792"/>
        </w:tabs>
        <w:rPr>
          <w:rFonts w:ascii="Aptos" w:hAnsi="Aptos" w:cs="Apple Chancery"/>
          <w:color w:val="000000" w:themeColor="text1"/>
        </w:rPr>
      </w:pPr>
      <w:r w:rsidRPr="001B3770">
        <w:rPr>
          <w:rFonts w:ascii="Aptos" w:hAnsi="Aptos" w:cs="Apple Chancery"/>
          <w:color w:val="000000" w:themeColor="text1"/>
        </w:rPr>
        <w:t xml:space="preserve">Pursuant to </w:t>
      </w:r>
      <w:r w:rsidRPr="001B3770">
        <w:rPr>
          <w:rFonts w:ascii="Aptos" w:hAnsi="Aptos" w:cs="Apple Chancery"/>
          <w:i/>
          <w:iCs/>
          <w:color w:val="000000" w:themeColor="text1"/>
        </w:rPr>
        <w:t>Hearing Rule XVI</w:t>
      </w:r>
      <w:r w:rsidR="008F6DB1">
        <w:rPr>
          <w:rFonts w:ascii="Aptos" w:hAnsi="Aptos" w:cs="Apple Chancery"/>
          <w:i/>
          <w:iCs/>
          <w:color w:val="000000" w:themeColor="text1"/>
        </w:rPr>
        <w:t>(</w:t>
      </w:r>
      <w:r w:rsidRPr="001B3770">
        <w:rPr>
          <w:rFonts w:ascii="Aptos" w:hAnsi="Aptos" w:cs="Apple Chancery"/>
          <w:i/>
          <w:iCs/>
          <w:color w:val="000000" w:themeColor="text1"/>
        </w:rPr>
        <w:t>A</w:t>
      </w:r>
      <w:r w:rsidR="008F6DB1">
        <w:rPr>
          <w:rFonts w:ascii="Aptos" w:hAnsi="Aptos" w:cs="Apple Chancery"/>
          <w:i/>
          <w:iCs/>
          <w:color w:val="000000" w:themeColor="text1"/>
        </w:rPr>
        <w:t>)</w:t>
      </w:r>
      <w:r w:rsidRPr="001B3770">
        <w:rPr>
          <w:rFonts w:ascii="Aptos" w:hAnsi="Aptos" w:cs="Apple Chancery"/>
          <w:i/>
          <w:iCs/>
          <w:color w:val="000000" w:themeColor="text1"/>
        </w:rPr>
        <w:t xml:space="preserve"> and </w:t>
      </w:r>
      <w:r w:rsidR="008F6DB1">
        <w:rPr>
          <w:rFonts w:ascii="Aptos" w:hAnsi="Aptos" w:cs="Apple Chancery"/>
          <w:i/>
          <w:iCs/>
          <w:color w:val="000000" w:themeColor="text1"/>
        </w:rPr>
        <w:t>(</w:t>
      </w:r>
      <w:r w:rsidRPr="001B3770">
        <w:rPr>
          <w:rFonts w:ascii="Aptos" w:hAnsi="Aptos" w:cs="Apple Chancery"/>
          <w:i/>
          <w:iCs/>
          <w:color w:val="000000" w:themeColor="text1"/>
        </w:rPr>
        <w:t>B</w:t>
      </w:r>
      <w:r w:rsidR="008F6DB1">
        <w:rPr>
          <w:rFonts w:ascii="Aptos" w:hAnsi="Aptos" w:cs="Apple Chancery"/>
          <w:i/>
          <w:iCs/>
          <w:color w:val="000000" w:themeColor="text1"/>
        </w:rPr>
        <w:t>)</w:t>
      </w:r>
      <w:r w:rsidRPr="001B3770">
        <w:rPr>
          <w:rFonts w:ascii="Aptos" w:hAnsi="Aptos" w:cs="Apple Chancery"/>
          <w:color w:val="000000" w:themeColor="text1"/>
        </w:rPr>
        <w:t xml:space="preserve"> and 801 CMR 1.01(7)(g)(3)</w:t>
      </w:r>
      <w:r w:rsidRPr="001B3770">
        <w:rPr>
          <w:rStyle w:val="FootnoteReference"/>
          <w:rFonts w:ascii="Aptos" w:hAnsi="Aptos" w:cs="Apple Chancery"/>
          <w:color w:val="000000" w:themeColor="text1"/>
        </w:rPr>
        <w:footnoteReference w:id="8"/>
      </w:r>
      <w:r w:rsidRPr="001B3770">
        <w:rPr>
          <w:rFonts w:ascii="Aptos" w:hAnsi="Aptos" w:cs="Apple Chancery"/>
          <w:color w:val="000000" w:themeColor="text1"/>
        </w:rPr>
        <w:t xml:space="preserve">, a hearing officer may allow a motion to dismiss if the party requesting the hearing fails to state a claim upon which relief can be granted. These rules are analogous to Rule 12(b)(6) of the </w:t>
      </w:r>
      <w:r w:rsidRPr="001B3770">
        <w:rPr>
          <w:rFonts w:ascii="Aptos" w:hAnsi="Aptos" w:cs="Apple Chancery"/>
          <w:i/>
          <w:iCs/>
          <w:color w:val="000000" w:themeColor="text1"/>
        </w:rPr>
        <w:t>Federal Rules of Civil Procedure</w:t>
      </w:r>
      <w:r w:rsidRPr="001B3770">
        <w:rPr>
          <w:rFonts w:ascii="Aptos" w:hAnsi="Aptos" w:cs="Apple Chancery"/>
          <w:color w:val="000000" w:themeColor="text1"/>
        </w:rPr>
        <w:t>.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1B3770">
        <w:rPr>
          <w:rStyle w:val="FootnoteReference"/>
          <w:rFonts w:ascii="Aptos" w:hAnsi="Aptos" w:cs="Apple Chancery"/>
          <w:color w:val="000000" w:themeColor="text1"/>
        </w:rPr>
        <w:footnoteReference w:id="9"/>
      </w:r>
      <w:r w:rsidRPr="001B3770">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1B3770">
        <w:rPr>
          <w:rStyle w:val="FootnoteReference"/>
          <w:rFonts w:ascii="Aptos" w:hAnsi="Aptos" w:cs="Apple Chancery"/>
          <w:color w:val="000000" w:themeColor="text1"/>
        </w:rPr>
        <w:footnoteReference w:id="10"/>
      </w:r>
      <w:r w:rsidRPr="001B3770">
        <w:rPr>
          <w:rFonts w:ascii="Aptos" w:hAnsi="Aptos" w:cs="Apple Chancery"/>
          <w:color w:val="000000" w:themeColor="text1"/>
        </w:rPr>
        <w:t xml:space="preserve"> These “[f]actual allegations must be enough to raise a right to relief above the speculative level.”</w:t>
      </w:r>
      <w:r w:rsidRPr="001B3770">
        <w:rPr>
          <w:rStyle w:val="FootnoteReference"/>
          <w:rFonts w:ascii="Aptos" w:hAnsi="Aptos" w:cs="Apple Chancery"/>
          <w:color w:val="000000" w:themeColor="text1"/>
        </w:rPr>
        <w:footnoteReference w:id="11"/>
      </w:r>
    </w:p>
    <w:p w14:paraId="5B068771" w14:textId="77777777" w:rsidR="00983BC2" w:rsidRPr="001B3770" w:rsidRDefault="00983BC2" w:rsidP="00D6127B">
      <w:pPr>
        <w:tabs>
          <w:tab w:val="left" w:pos="2792"/>
        </w:tabs>
        <w:rPr>
          <w:rFonts w:ascii="Aptos" w:hAnsi="Aptos" w:cs="Apple Chancery"/>
          <w:color w:val="000000" w:themeColor="text1"/>
        </w:rPr>
      </w:pPr>
    </w:p>
    <w:p w14:paraId="41215036" w14:textId="77777777" w:rsidR="00E90201" w:rsidRPr="001B3770" w:rsidRDefault="00E90201" w:rsidP="00D6127B">
      <w:pPr>
        <w:pStyle w:val="ListParagraph"/>
        <w:numPr>
          <w:ilvl w:val="2"/>
          <w:numId w:val="14"/>
        </w:numPr>
        <w:tabs>
          <w:tab w:val="left" w:pos="2792"/>
        </w:tabs>
        <w:rPr>
          <w:rFonts w:ascii="Aptos" w:eastAsiaTheme="minorHAnsi" w:hAnsi="Aptos"/>
          <w:i/>
          <w:iCs/>
          <w:color w:val="000000" w:themeColor="text1"/>
        </w:rPr>
      </w:pPr>
      <w:r w:rsidRPr="001B3770">
        <w:rPr>
          <w:rFonts w:ascii="Aptos" w:eastAsiaTheme="minorHAnsi" w:hAnsi="Aptos"/>
          <w:i/>
          <w:iCs/>
          <w:color w:val="000000" w:themeColor="text1"/>
        </w:rPr>
        <w:t>Jurisdiction of the BSEA</w:t>
      </w:r>
    </w:p>
    <w:p w14:paraId="360EEBBA" w14:textId="77777777" w:rsidR="00E90201" w:rsidRPr="001B3770" w:rsidRDefault="00E90201" w:rsidP="00D6127B">
      <w:pPr>
        <w:tabs>
          <w:tab w:val="left" w:pos="2792"/>
        </w:tabs>
        <w:rPr>
          <w:rFonts w:ascii="Aptos" w:hAnsi="Aptos"/>
          <w:color w:val="000000" w:themeColor="text1"/>
        </w:rPr>
      </w:pPr>
    </w:p>
    <w:p w14:paraId="75761CAD" w14:textId="77777777" w:rsidR="00E90201" w:rsidRPr="001B3770" w:rsidRDefault="00E90201" w:rsidP="00D6127B">
      <w:pPr>
        <w:tabs>
          <w:tab w:val="left" w:pos="2792"/>
        </w:tabs>
        <w:rPr>
          <w:rFonts w:ascii="Aptos" w:hAnsi="Aptos"/>
          <w:color w:val="000000" w:themeColor="text1"/>
        </w:rPr>
      </w:pPr>
      <w:r w:rsidRPr="001B3770">
        <w:rPr>
          <w:rFonts w:ascii="Aptos" w:hAnsi="Aptos"/>
          <w:color w:val="000000" w:themeColor="text1"/>
        </w:rPr>
        <w:t xml:space="preserve">20 U.S.C. § 1415(b)(6) grants the BSEA jurisdiction over timely complaints filed by a parent/guardian or a school district "with respect to any matter relating to the identification, evaluation, or educational placement of the child, or the provision of a free </w:t>
      </w:r>
      <w:r w:rsidRPr="001B3770">
        <w:rPr>
          <w:rFonts w:ascii="Aptos" w:hAnsi="Aptos"/>
          <w:color w:val="000000" w:themeColor="text1"/>
        </w:rPr>
        <w:lastRenderedPageBreak/>
        <w:t>appropriate public education to such child."</w:t>
      </w:r>
      <w:r w:rsidRPr="001B3770">
        <w:rPr>
          <w:rStyle w:val="FootnoteReference"/>
          <w:rFonts w:ascii="Aptos" w:hAnsi="Aptos"/>
          <w:color w:val="000000" w:themeColor="text1"/>
        </w:rPr>
        <w:footnoteReference w:id="12"/>
      </w:r>
      <w:r w:rsidRPr="001B3770">
        <w:rPr>
          <w:rFonts w:ascii="Aptos" w:hAnsi="Aptos"/>
          <w:color w:val="000000" w:themeColor="text1"/>
        </w:rPr>
        <w:t xml:space="preserve">  In Massachusetts, a parent or a school district, "may request mediation and/or a hearing at any time on any matter</w:t>
      </w:r>
      <w:r w:rsidRPr="001B3770">
        <w:rPr>
          <w:rStyle w:val="FootnoteReference"/>
          <w:rFonts w:ascii="Aptos" w:hAnsi="Aptos"/>
          <w:color w:val="000000" w:themeColor="text1"/>
        </w:rPr>
        <w:footnoteReference w:id="13"/>
      </w:r>
      <w:r w:rsidRPr="001B3770">
        <w:rPr>
          <w:rFonts w:ascii="Aptos" w:hAnsi="Aptos"/>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1B3770">
        <w:rPr>
          <w:rStyle w:val="FootnoteReference"/>
          <w:rFonts w:ascii="Aptos" w:hAnsi="Aptos"/>
          <w:color w:val="000000" w:themeColor="text1"/>
        </w:rPr>
        <w:footnoteReference w:id="14"/>
      </w:r>
      <w:r w:rsidRPr="001B3770">
        <w:rPr>
          <w:rFonts w:ascii="Aptos" w:hAnsi="Aptos"/>
          <w:color w:val="000000" w:themeColor="text1"/>
        </w:rPr>
        <w:t xml:space="preserve"> Nevertheless, it is well established that matters that come before the BSEA must involve a live or current dispute between the Parties.</w:t>
      </w:r>
      <w:r w:rsidRPr="001B3770">
        <w:rPr>
          <w:rStyle w:val="FootnoteReference"/>
          <w:rFonts w:ascii="Aptos" w:hAnsi="Aptos"/>
          <w:color w:val="000000" w:themeColor="text1"/>
        </w:rPr>
        <w:footnoteReference w:id="15"/>
      </w:r>
      <w:r w:rsidRPr="001B3770">
        <w:rPr>
          <w:rFonts w:ascii="Aptos" w:hAnsi="Aptos"/>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1B3770">
        <w:rPr>
          <w:rStyle w:val="FootnoteReference"/>
          <w:rFonts w:ascii="Aptos" w:hAnsi="Aptos"/>
          <w:color w:val="000000" w:themeColor="text1"/>
        </w:rPr>
        <w:footnoteReference w:id="16"/>
      </w:r>
      <w:r w:rsidRPr="001B3770">
        <w:rPr>
          <w:rFonts w:ascii="Aptos" w:hAnsi="Aptos"/>
          <w:color w:val="000000" w:themeColor="text1"/>
        </w:rPr>
        <w:t xml:space="preserve"> </w:t>
      </w:r>
    </w:p>
    <w:p w14:paraId="6AF79CAA" w14:textId="77777777" w:rsidR="00E90201" w:rsidRPr="001B3770" w:rsidRDefault="00E90201" w:rsidP="00D6127B">
      <w:pPr>
        <w:tabs>
          <w:tab w:val="left" w:pos="2792"/>
        </w:tabs>
        <w:rPr>
          <w:rFonts w:ascii="Aptos" w:hAnsi="Aptos"/>
          <w:color w:val="000000" w:themeColor="text1"/>
        </w:rPr>
      </w:pPr>
    </w:p>
    <w:p w14:paraId="4AD442F6" w14:textId="1E1E5CC8" w:rsidR="00352D66" w:rsidRDefault="00107F04" w:rsidP="00D6127B">
      <w:pPr>
        <w:pStyle w:val="Default"/>
        <w:numPr>
          <w:ilvl w:val="1"/>
          <w:numId w:val="14"/>
        </w:numPr>
        <w:rPr>
          <w:rFonts w:ascii="Aptos" w:hAnsi="Aptos" w:cs="Times New Roman"/>
          <w:bCs/>
          <w:i/>
          <w:iCs/>
          <w:color w:val="000000" w:themeColor="text1"/>
        </w:rPr>
      </w:pPr>
      <w:r>
        <w:rPr>
          <w:rFonts w:ascii="Aptos" w:hAnsi="Aptos" w:cs="Times New Roman"/>
          <w:bCs/>
          <w:i/>
          <w:iCs/>
          <w:color w:val="000000" w:themeColor="text1"/>
        </w:rPr>
        <w:t>Statute of Limitations</w:t>
      </w:r>
      <w:r w:rsidR="000E1DD8">
        <w:rPr>
          <w:rFonts w:ascii="Aptos" w:hAnsi="Aptos" w:cs="Times New Roman"/>
          <w:bCs/>
          <w:i/>
          <w:iCs/>
          <w:color w:val="000000" w:themeColor="text1"/>
        </w:rPr>
        <w:t>:</w:t>
      </w:r>
    </w:p>
    <w:p w14:paraId="0720F0E2" w14:textId="77777777" w:rsidR="000E1DD8" w:rsidRDefault="000E1DD8" w:rsidP="000E1DD8">
      <w:pPr>
        <w:pStyle w:val="Default"/>
        <w:rPr>
          <w:rFonts w:ascii="Aptos" w:hAnsi="Aptos" w:cs="Times New Roman"/>
          <w:bCs/>
          <w:color w:val="000000" w:themeColor="text1"/>
        </w:rPr>
      </w:pPr>
    </w:p>
    <w:p w14:paraId="00C5989F" w14:textId="5D599BDE" w:rsidR="000E1DD8" w:rsidRPr="000E1DD8" w:rsidRDefault="000E1DD8" w:rsidP="000E1DD8">
      <w:pPr>
        <w:pStyle w:val="Default"/>
        <w:rPr>
          <w:rFonts w:ascii="Aptos" w:hAnsi="Aptos" w:cs="Times New Roman"/>
          <w:bCs/>
          <w:color w:val="000000" w:themeColor="text1"/>
        </w:rPr>
      </w:pPr>
      <w:r w:rsidRPr="000E1DD8">
        <w:rPr>
          <w:rFonts w:ascii="Aptos" w:hAnsi="Aptos" w:cs="Times New Roman"/>
          <w:bCs/>
          <w:color w:val="000000" w:themeColor="text1"/>
        </w:rPr>
        <w:t>The IDEA’s statute of limitations states</w:t>
      </w:r>
      <w:r w:rsidR="00622C9A">
        <w:rPr>
          <w:rFonts w:ascii="Aptos" w:hAnsi="Aptos" w:cs="Times New Roman"/>
          <w:bCs/>
          <w:color w:val="000000" w:themeColor="text1"/>
        </w:rPr>
        <w:t>,</w:t>
      </w:r>
    </w:p>
    <w:p w14:paraId="377CB233" w14:textId="77777777" w:rsidR="000E1DD8" w:rsidRPr="000E1DD8" w:rsidRDefault="000E1DD8" w:rsidP="000E1DD8">
      <w:pPr>
        <w:pStyle w:val="Default"/>
        <w:rPr>
          <w:rFonts w:ascii="Aptos" w:hAnsi="Aptos" w:cs="Times New Roman"/>
          <w:bCs/>
          <w:color w:val="000000" w:themeColor="text1"/>
        </w:rPr>
      </w:pPr>
    </w:p>
    <w:p w14:paraId="45CD2F56" w14:textId="77777777" w:rsidR="000E1DD8" w:rsidRPr="000E1DD8" w:rsidRDefault="000E1DD8" w:rsidP="00F02166">
      <w:pPr>
        <w:pStyle w:val="Default"/>
        <w:ind w:left="720" w:firstLine="720"/>
        <w:rPr>
          <w:rFonts w:ascii="Aptos" w:hAnsi="Aptos" w:cs="Times New Roman"/>
          <w:bCs/>
          <w:color w:val="000000" w:themeColor="text1"/>
        </w:rPr>
      </w:pPr>
      <w:r w:rsidRPr="000E1DD8">
        <w:rPr>
          <w:rFonts w:ascii="Aptos" w:hAnsi="Aptos" w:cs="Times New Roman"/>
          <w:bCs/>
          <w:color w:val="000000" w:themeColor="text1"/>
        </w:rPr>
        <w:t xml:space="preserve">“(C) Timeline for requesting hearing </w:t>
      </w:r>
    </w:p>
    <w:p w14:paraId="6B9DCF41" w14:textId="77777777" w:rsidR="000E1DD8" w:rsidRPr="000E1DD8" w:rsidRDefault="000E1DD8" w:rsidP="000E1DD8">
      <w:pPr>
        <w:pStyle w:val="Default"/>
        <w:rPr>
          <w:rFonts w:ascii="Aptos" w:hAnsi="Aptos" w:cs="Times New Roman"/>
          <w:bCs/>
          <w:color w:val="000000" w:themeColor="text1"/>
        </w:rPr>
      </w:pPr>
    </w:p>
    <w:p w14:paraId="2024E8BA" w14:textId="77777777" w:rsidR="000E1DD8" w:rsidRPr="000E1DD8" w:rsidRDefault="000E1DD8" w:rsidP="00F02166">
      <w:pPr>
        <w:pStyle w:val="Default"/>
        <w:ind w:left="1440"/>
        <w:rPr>
          <w:rFonts w:ascii="Aptos" w:hAnsi="Aptos" w:cs="Times New Roman"/>
          <w:bCs/>
          <w:color w:val="000000" w:themeColor="text1"/>
        </w:rPr>
      </w:pPr>
      <w:r w:rsidRPr="000E1DD8">
        <w:rPr>
          <w:rFonts w:ascii="Aptos" w:hAnsi="Aptos" w:cs="Times New Roman"/>
          <w:bCs/>
          <w:color w:val="000000" w:themeColor="text1"/>
        </w:rPr>
        <w:t xml:space="preserve">A parent or agency shall request an impartial due process hearing within 2 years of the date the parent or agency knew or should have known about the alleged action that forms the basis of the complaint, or, if the State has an explicit time limitation for requesting such a hearing under this subchapter, in such time as the State law allows. </w:t>
      </w:r>
    </w:p>
    <w:p w14:paraId="4300E1A4" w14:textId="77777777" w:rsidR="000E1DD8" w:rsidRPr="000E1DD8" w:rsidRDefault="000E1DD8" w:rsidP="000E1DD8">
      <w:pPr>
        <w:pStyle w:val="Default"/>
        <w:rPr>
          <w:rFonts w:ascii="Aptos" w:hAnsi="Aptos" w:cs="Times New Roman"/>
          <w:bCs/>
          <w:color w:val="000000" w:themeColor="text1"/>
        </w:rPr>
      </w:pPr>
    </w:p>
    <w:p w14:paraId="13DD21A7" w14:textId="77777777" w:rsidR="000E1DD8" w:rsidRPr="000E1DD8" w:rsidRDefault="000E1DD8" w:rsidP="00F02166">
      <w:pPr>
        <w:pStyle w:val="Default"/>
        <w:ind w:left="720" w:firstLine="720"/>
        <w:rPr>
          <w:rFonts w:ascii="Aptos" w:hAnsi="Aptos" w:cs="Times New Roman"/>
          <w:bCs/>
          <w:color w:val="000000" w:themeColor="text1"/>
        </w:rPr>
      </w:pPr>
      <w:r w:rsidRPr="000E1DD8">
        <w:rPr>
          <w:rFonts w:ascii="Aptos" w:hAnsi="Aptos" w:cs="Times New Roman"/>
          <w:bCs/>
          <w:color w:val="000000" w:themeColor="text1"/>
        </w:rPr>
        <w:t xml:space="preserve">(D) Exceptions to the timeline </w:t>
      </w:r>
    </w:p>
    <w:p w14:paraId="2560CBAD" w14:textId="77777777" w:rsidR="000E1DD8" w:rsidRPr="000E1DD8" w:rsidRDefault="000E1DD8" w:rsidP="000E1DD8">
      <w:pPr>
        <w:pStyle w:val="Default"/>
        <w:rPr>
          <w:rFonts w:ascii="Aptos" w:hAnsi="Aptos" w:cs="Times New Roman"/>
          <w:bCs/>
          <w:color w:val="000000" w:themeColor="text1"/>
        </w:rPr>
      </w:pPr>
    </w:p>
    <w:p w14:paraId="0D7274AE" w14:textId="77777777" w:rsidR="000E1DD8" w:rsidRPr="000E1DD8" w:rsidRDefault="000E1DD8" w:rsidP="00F02166">
      <w:pPr>
        <w:pStyle w:val="Default"/>
        <w:ind w:left="1440"/>
        <w:rPr>
          <w:rFonts w:ascii="Aptos" w:hAnsi="Aptos" w:cs="Times New Roman"/>
          <w:bCs/>
          <w:color w:val="000000" w:themeColor="text1"/>
        </w:rPr>
      </w:pPr>
      <w:r w:rsidRPr="000E1DD8">
        <w:rPr>
          <w:rFonts w:ascii="Aptos" w:hAnsi="Aptos" w:cs="Times New Roman"/>
          <w:bCs/>
          <w:color w:val="000000" w:themeColor="text1"/>
        </w:rPr>
        <w:t xml:space="preserve">The timeline described in subparagraph (C) shall not apply to a parent if the parent was prevented from requesting the hearing due to– </w:t>
      </w:r>
    </w:p>
    <w:p w14:paraId="7AF2FFF7" w14:textId="77777777" w:rsidR="000E1DD8" w:rsidRPr="000E1DD8" w:rsidRDefault="000E1DD8" w:rsidP="000E1DD8">
      <w:pPr>
        <w:pStyle w:val="Default"/>
        <w:rPr>
          <w:rFonts w:ascii="Aptos" w:hAnsi="Aptos" w:cs="Times New Roman"/>
          <w:bCs/>
          <w:color w:val="000000" w:themeColor="text1"/>
        </w:rPr>
      </w:pPr>
    </w:p>
    <w:p w14:paraId="57528EE1" w14:textId="77777777" w:rsidR="000E1DD8" w:rsidRPr="000E1DD8" w:rsidRDefault="000E1DD8" w:rsidP="00F02166">
      <w:pPr>
        <w:pStyle w:val="Default"/>
        <w:ind w:left="1440"/>
        <w:rPr>
          <w:rFonts w:ascii="Aptos" w:hAnsi="Aptos" w:cs="Times New Roman"/>
          <w:bCs/>
          <w:color w:val="000000" w:themeColor="text1"/>
        </w:rPr>
      </w:pPr>
      <w:r w:rsidRPr="000E1DD8">
        <w:rPr>
          <w:rFonts w:ascii="Aptos" w:hAnsi="Aptos" w:cs="Times New Roman"/>
          <w:bCs/>
          <w:color w:val="000000" w:themeColor="text1"/>
        </w:rPr>
        <w:t xml:space="preserve">(i) specific misrepresentations by the local educational agency that it had resolved the problem forming the basis of the complaint; or </w:t>
      </w:r>
    </w:p>
    <w:p w14:paraId="15403A03" w14:textId="77777777" w:rsidR="000E1DD8" w:rsidRPr="000E1DD8" w:rsidRDefault="000E1DD8" w:rsidP="000E1DD8">
      <w:pPr>
        <w:pStyle w:val="Default"/>
        <w:rPr>
          <w:rFonts w:ascii="Aptos" w:hAnsi="Aptos" w:cs="Times New Roman"/>
          <w:bCs/>
          <w:color w:val="000000" w:themeColor="text1"/>
        </w:rPr>
      </w:pPr>
    </w:p>
    <w:p w14:paraId="5BFE4A9F" w14:textId="6D0B70FC" w:rsidR="000E1DD8" w:rsidRPr="000E1DD8" w:rsidRDefault="000E1DD8" w:rsidP="00F02166">
      <w:pPr>
        <w:pStyle w:val="Default"/>
        <w:ind w:left="1440"/>
        <w:rPr>
          <w:rFonts w:ascii="Aptos" w:hAnsi="Aptos" w:cs="Times New Roman"/>
          <w:bCs/>
          <w:color w:val="000000" w:themeColor="text1"/>
        </w:rPr>
      </w:pPr>
      <w:r w:rsidRPr="000E1DD8">
        <w:rPr>
          <w:rFonts w:ascii="Aptos" w:hAnsi="Aptos" w:cs="Times New Roman"/>
          <w:bCs/>
          <w:color w:val="000000" w:themeColor="text1"/>
        </w:rPr>
        <w:t>(ii) the local educational agency’s withholding of information from the parent that was required under this subchapter to be provided to the parent.”</w:t>
      </w:r>
      <w:r w:rsidR="000932C0">
        <w:rPr>
          <w:rStyle w:val="FootnoteReference"/>
          <w:rFonts w:ascii="Aptos" w:hAnsi="Aptos" w:cs="Times New Roman"/>
          <w:bCs/>
          <w:color w:val="000000" w:themeColor="text1"/>
        </w:rPr>
        <w:footnoteReference w:id="17"/>
      </w:r>
    </w:p>
    <w:p w14:paraId="4581A52E" w14:textId="77777777" w:rsidR="000E1DD8" w:rsidRPr="000E1DD8" w:rsidRDefault="000E1DD8" w:rsidP="000E1DD8">
      <w:pPr>
        <w:pStyle w:val="Default"/>
        <w:rPr>
          <w:rFonts w:ascii="Aptos" w:hAnsi="Aptos" w:cs="Times New Roman"/>
          <w:bCs/>
          <w:color w:val="000000" w:themeColor="text1"/>
        </w:rPr>
      </w:pPr>
    </w:p>
    <w:p w14:paraId="718404E4" w14:textId="44C4255A" w:rsidR="000E1DD8" w:rsidRPr="000E1DD8" w:rsidRDefault="000E1DD8" w:rsidP="000E1DD8">
      <w:pPr>
        <w:pStyle w:val="Default"/>
        <w:rPr>
          <w:rFonts w:ascii="Aptos" w:hAnsi="Aptos" w:cs="Times New Roman"/>
          <w:bCs/>
          <w:color w:val="000000" w:themeColor="text1"/>
        </w:rPr>
      </w:pPr>
      <w:r w:rsidRPr="000E1DD8">
        <w:rPr>
          <w:rFonts w:ascii="Aptos" w:hAnsi="Aptos" w:cs="Times New Roman"/>
          <w:bCs/>
          <w:color w:val="000000" w:themeColor="text1"/>
        </w:rPr>
        <w:t>With regard to the second exception to the two-year statute of limitations</w:t>
      </w:r>
      <w:r w:rsidR="00A01B6A">
        <w:rPr>
          <w:rFonts w:ascii="Aptos" w:hAnsi="Aptos" w:cs="Times New Roman"/>
          <w:bCs/>
          <w:color w:val="000000" w:themeColor="text1"/>
        </w:rPr>
        <w:t>, above,</w:t>
      </w:r>
      <w:r w:rsidRPr="000E1DD8">
        <w:rPr>
          <w:rFonts w:ascii="Aptos" w:hAnsi="Aptos" w:cs="Times New Roman"/>
          <w:bCs/>
          <w:color w:val="000000" w:themeColor="text1"/>
        </w:rPr>
        <w:t xml:space="preserve"> the “required” information includes a notice of procedural safeguards that the school district must provide to parents at least once each year pursuant to 20 USC § 1415(d), as well as upon initial referral or parental request for evaluation, upon receipt of the first state </w:t>
      </w:r>
      <w:r w:rsidRPr="000E1DD8">
        <w:rPr>
          <w:rFonts w:ascii="Aptos" w:hAnsi="Aptos" w:cs="Times New Roman"/>
          <w:bCs/>
          <w:color w:val="000000" w:themeColor="text1"/>
        </w:rPr>
        <w:lastRenderedPageBreak/>
        <w:t>complaint in the school year, upon receipt of the first due process complaint in the school year, in accordance with disciplinary procedures, and upon parental request.</w:t>
      </w:r>
      <w:r w:rsidR="002E6073">
        <w:rPr>
          <w:rStyle w:val="FootnoteReference"/>
          <w:rFonts w:ascii="Aptos" w:hAnsi="Aptos" w:cs="Times New Roman"/>
          <w:bCs/>
          <w:color w:val="000000" w:themeColor="text1"/>
        </w:rPr>
        <w:footnoteReference w:id="18"/>
      </w:r>
      <w:r w:rsidRPr="000E1DD8">
        <w:rPr>
          <w:rFonts w:ascii="Aptos" w:hAnsi="Aptos" w:cs="Times New Roman"/>
          <w:bCs/>
          <w:color w:val="000000" w:themeColor="text1"/>
        </w:rPr>
        <w:t xml:space="preserve">  The procedural safeguards notice must include a full explanation of IDEA procedural safeguards, including, but not limited to, the opportunity to present and resolve complaints through the due process complaint and state complaint procedures.</w:t>
      </w:r>
      <w:r w:rsidR="0059393D">
        <w:rPr>
          <w:rStyle w:val="FootnoteReference"/>
          <w:rFonts w:ascii="Aptos" w:hAnsi="Aptos" w:cs="Times New Roman"/>
          <w:bCs/>
          <w:color w:val="000000" w:themeColor="text1"/>
        </w:rPr>
        <w:footnoteReference w:id="19"/>
      </w:r>
      <w:r w:rsidRPr="000E1DD8">
        <w:rPr>
          <w:rFonts w:ascii="Aptos" w:hAnsi="Aptos" w:cs="Times New Roman"/>
          <w:bCs/>
          <w:color w:val="000000" w:themeColor="text1"/>
        </w:rPr>
        <w:t xml:space="preserve"> With regard to the statute of limitations, </w:t>
      </w:r>
    </w:p>
    <w:p w14:paraId="70BC8A0C" w14:textId="77777777" w:rsidR="000E1DD8" w:rsidRPr="000E1DD8" w:rsidRDefault="000E1DD8" w:rsidP="000E1DD8">
      <w:pPr>
        <w:pStyle w:val="Default"/>
        <w:rPr>
          <w:rFonts w:ascii="Aptos" w:hAnsi="Aptos" w:cs="Times New Roman"/>
          <w:bCs/>
          <w:color w:val="000000" w:themeColor="text1"/>
        </w:rPr>
      </w:pPr>
    </w:p>
    <w:p w14:paraId="0C08EBDE" w14:textId="42E5BA2B" w:rsidR="000E1DD8" w:rsidRPr="000E1DD8" w:rsidRDefault="000E1DD8" w:rsidP="00725C01">
      <w:pPr>
        <w:pStyle w:val="Default"/>
        <w:ind w:left="1440"/>
        <w:rPr>
          <w:rFonts w:ascii="Aptos" w:hAnsi="Aptos" w:cs="Times New Roman"/>
          <w:bCs/>
          <w:color w:val="000000" w:themeColor="text1"/>
        </w:rPr>
      </w:pPr>
      <w:r w:rsidRPr="000E1DD8">
        <w:rPr>
          <w:rFonts w:ascii="Aptos" w:hAnsi="Aptos" w:cs="Times New Roman"/>
          <w:bCs/>
          <w:color w:val="000000" w:themeColor="text1"/>
        </w:rPr>
        <w:t xml:space="preserve">“when a local educational agency delivers a copy of IDEA procedural safeguards to parents, the statute of limitations for IDEA violations </w:t>
      </w:r>
      <w:proofErr w:type="gramStart"/>
      <w:r w:rsidRPr="000E1DD8">
        <w:rPr>
          <w:rFonts w:ascii="Aptos" w:hAnsi="Aptos" w:cs="Times New Roman"/>
          <w:bCs/>
          <w:color w:val="000000" w:themeColor="text1"/>
        </w:rPr>
        <w:t>commence</w:t>
      </w:r>
      <w:proofErr w:type="gramEnd"/>
      <w:r w:rsidRPr="000E1DD8">
        <w:rPr>
          <w:rFonts w:ascii="Aptos" w:hAnsi="Aptos" w:cs="Times New Roman"/>
          <w:bCs/>
          <w:color w:val="000000" w:themeColor="text1"/>
        </w:rPr>
        <w:t xml:space="preserve"> without disturbance. Regardless of whether parents later examine the text of these safeguards to acquire actual knowledge, that simple act suffices to impute upon them constructive knowledge of their various rights under the IDEA. Conversely, in the absence of some other source of IDEA information, a local educational agency’s withholding of procedural safeguards would act to prevent parents from requesting a due process hearing to administratively contest IDEA violations until such time as an intervening source apprised them of their rights.”</w:t>
      </w:r>
      <w:r w:rsidR="0059393D">
        <w:rPr>
          <w:rStyle w:val="FootnoteReference"/>
          <w:rFonts w:ascii="Aptos" w:hAnsi="Aptos" w:cs="Times New Roman"/>
          <w:bCs/>
          <w:color w:val="000000" w:themeColor="text1"/>
        </w:rPr>
        <w:footnoteReference w:id="20"/>
      </w:r>
    </w:p>
    <w:p w14:paraId="5231B312" w14:textId="77777777" w:rsidR="000E1DD8" w:rsidRPr="000E1DD8" w:rsidRDefault="000E1DD8" w:rsidP="000E1DD8">
      <w:pPr>
        <w:pStyle w:val="Default"/>
        <w:rPr>
          <w:rFonts w:ascii="Aptos" w:hAnsi="Aptos" w:cs="Times New Roman"/>
          <w:bCs/>
          <w:color w:val="000000" w:themeColor="text1"/>
        </w:rPr>
      </w:pPr>
    </w:p>
    <w:p w14:paraId="70BBEC5C" w14:textId="0F4E7FD6" w:rsidR="003B262F" w:rsidRPr="001B3770" w:rsidRDefault="008B1AC9" w:rsidP="00D6127B">
      <w:pPr>
        <w:pStyle w:val="Default"/>
        <w:numPr>
          <w:ilvl w:val="1"/>
          <w:numId w:val="14"/>
        </w:numPr>
        <w:rPr>
          <w:rFonts w:ascii="Aptos" w:hAnsi="Aptos" w:cs="Times New Roman"/>
          <w:bCs/>
          <w:i/>
          <w:iCs/>
          <w:color w:val="000000" w:themeColor="text1"/>
        </w:rPr>
      </w:pPr>
      <w:r w:rsidRPr="001B3770">
        <w:rPr>
          <w:rFonts w:ascii="Aptos" w:hAnsi="Aptos" w:cs="Times New Roman"/>
          <w:bCs/>
          <w:i/>
          <w:iCs/>
          <w:color w:val="000000" w:themeColor="text1"/>
        </w:rPr>
        <w:t xml:space="preserve">Application of Legal Standards  </w:t>
      </w:r>
    </w:p>
    <w:p w14:paraId="1951D3C2" w14:textId="4F12F98A" w:rsidR="00FC3945" w:rsidRDefault="00FC3945" w:rsidP="00D6127B">
      <w:pPr>
        <w:shd w:val="clear" w:color="auto" w:fill="FFFFFF"/>
        <w:rPr>
          <w:rFonts w:ascii="Aptos" w:hAnsi="Aptos"/>
          <w:color w:val="000000" w:themeColor="text1"/>
        </w:rPr>
      </w:pPr>
    </w:p>
    <w:p w14:paraId="643F7F80" w14:textId="51518F59" w:rsidR="00546D27" w:rsidRPr="00546D27" w:rsidRDefault="00546D27" w:rsidP="00546D27">
      <w:pPr>
        <w:shd w:val="clear" w:color="auto" w:fill="FFFFFF"/>
        <w:rPr>
          <w:rFonts w:ascii="Aptos" w:hAnsi="Aptos"/>
          <w:color w:val="000000" w:themeColor="text1"/>
        </w:rPr>
      </w:pPr>
      <w:r w:rsidRPr="00546D27">
        <w:rPr>
          <w:rFonts w:ascii="Aptos" w:hAnsi="Aptos"/>
          <w:color w:val="000000" w:themeColor="text1"/>
        </w:rPr>
        <w:t>In applying the IDEA</w:t>
      </w:r>
      <w:r w:rsidR="00983BC2">
        <w:rPr>
          <w:rFonts w:ascii="Aptos" w:hAnsi="Aptos"/>
          <w:color w:val="000000" w:themeColor="text1"/>
        </w:rPr>
        <w:t>’s</w:t>
      </w:r>
      <w:r w:rsidRPr="00546D27">
        <w:rPr>
          <w:rFonts w:ascii="Aptos" w:hAnsi="Aptos"/>
          <w:color w:val="000000" w:themeColor="text1"/>
        </w:rPr>
        <w:t xml:space="preserve"> statute of limitations to the claims asserted in Parent’s Hearing Request</w:t>
      </w:r>
      <w:r w:rsidR="008B08F7">
        <w:rPr>
          <w:rFonts w:ascii="Aptos" w:hAnsi="Aptos"/>
          <w:color w:val="000000" w:themeColor="text1"/>
        </w:rPr>
        <w:t>, I must</w:t>
      </w:r>
      <w:r w:rsidRPr="00546D27">
        <w:rPr>
          <w:rFonts w:ascii="Aptos" w:hAnsi="Aptos"/>
          <w:color w:val="000000" w:themeColor="text1"/>
        </w:rPr>
        <w:t xml:space="preserve"> determine when Parent knew or should have known of the alleged actions forming the basis of each claim and whether any statutory exception applies.</w:t>
      </w:r>
      <w:r w:rsidR="008F3F6E">
        <w:rPr>
          <w:rStyle w:val="FootnoteReference"/>
          <w:rFonts w:ascii="Aptos" w:hAnsi="Aptos"/>
          <w:color w:val="000000" w:themeColor="text1"/>
        </w:rPr>
        <w:footnoteReference w:id="21"/>
      </w:r>
      <w:r w:rsidRPr="00546D27">
        <w:rPr>
          <w:rFonts w:ascii="Aptos" w:hAnsi="Aptos"/>
          <w:color w:val="000000" w:themeColor="text1"/>
        </w:rPr>
        <w:t xml:space="preserve"> </w:t>
      </w:r>
    </w:p>
    <w:p w14:paraId="246285E0" w14:textId="77777777" w:rsidR="009E288F" w:rsidRDefault="009E288F" w:rsidP="00546D27">
      <w:pPr>
        <w:shd w:val="clear" w:color="auto" w:fill="FFFFFF"/>
        <w:rPr>
          <w:rFonts w:ascii="Aptos" w:hAnsi="Aptos"/>
          <w:color w:val="000000" w:themeColor="text1"/>
        </w:rPr>
      </w:pPr>
    </w:p>
    <w:p w14:paraId="730B3321" w14:textId="6F7DCD67" w:rsidR="00546D27" w:rsidRPr="00546D27" w:rsidRDefault="009E288F" w:rsidP="00546D27">
      <w:pPr>
        <w:shd w:val="clear" w:color="auto" w:fill="FFFFFF"/>
        <w:rPr>
          <w:rFonts w:ascii="Aptos" w:hAnsi="Aptos"/>
          <w:color w:val="000000" w:themeColor="text1"/>
        </w:rPr>
      </w:pPr>
      <w:r>
        <w:rPr>
          <w:rFonts w:ascii="Aptos" w:hAnsi="Aptos"/>
          <w:color w:val="000000" w:themeColor="text1"/>
        </w:rPr>
        <w:t xml:space="preserve">Parent’s </w:t>
      </w:r>
      <w:r w:rsidR="00546D27" w:rsidRPr="00546D27">
        <w:rPr>
          <w:rFonts w:ascii="Aptos" w:hAnsi="Aptos"/>
          <w:color w:val="000000" w:themeColor="text1"/>
        </w:rPr>
        <w:t>Hearing Request was filed on January 12, 2026. Accordingly, absent a statutory exception, only claims based on alleged actions occurring on or after January 12, 2024</w:t>
      </w:r>
      <w:r w:rsidR="006F3D4B">
        <w:rPr>
          <w:rFonts w:ascii="Aptos" w:hAnsi="Aptos"/>
          <w:color w:val="000000" w:themeColor="text1"/>
        </w:rPr>
        <w:t xml:space="preserve">, </w:t>
      </w:r>
      <w:r w:rsidR="00546D27" w:rsidRPr="00546D27">
        <w:rPr>
          <w:rFonts w:ascii="Aptos" w:hAnsi="Aptos"/>
          <w:color w:val="000000" w:themeColor="text1"/>
        </w:rPr>
        <w:t>or actions for which Parent first knew or should have known on or after that date</w:t>
      </w:r>
      <w:r w:rsidR="006F3D4B">
        <w:rPr>
          <w:rFonts w:ascii="Aptos" w:hAnsi="Aptos"/>
          <w:color w:val="000000" w:themeColor="text1"/>
        </w:rPr>
        <w:t xml:space="preserve">, </w:t>
      </w:r>
      <w:r w:rsidR="00546D27" w:rsidRPr="00546D27">
        <w:rPr>
          <w:rFonts w:ascii="Aptos" w:hAnsi="Aptos"/>
          <w:color w:val="000000" w:themeColor="text1"/>
        </w:rPr>
        <w:t>are timely.</w:t>
      </w:r>
      <w:r w:rsidR="006F3D4B">
        <w:rPr>
          <w:rFonts w:ascii="Aptos" w:hAnsi="Aptos"/>
          <w:color w:val="000000" w:themeColor="text1"/>
        </w:rPr>
        <w:t xml:space="preserve"> </w:t>
      </w:r>
      <w:r w:rsidR="00546D27" w:rsidRPr="00546D27">
        <w:rPr>
          <w:rFonts w:ascii="Aptos" w:hAnsi="Aptos"/>
          <w:color w:val="000000" w:themeColor="text1"/>
        </w:rPr>
        <w:t>Any claims based on earlier conduct are time-barred and cannot be adjudicated.</w:t>
      </w:r>
    </w:p>
    <w:p w14:paraId="392D8E10" w14:textId="77777777" w:rsidR="006F3D4B" w:rsidRDefault="006F3D4B" w:rsidP="00546D27">
      <w:pPr>
        <w:shd w:val="clear" w:color="auto" w:fill="FFFFFF"/>
        <w:rPr>
          <w:rFonts w:ascii="Aptos" w:hAnsi="Aptos"/>
          <w:color w:val="000000" w:themeColor="text1"/>
        </w:rPr>
      </w:pPr>
    </w:p>
    <w:p w14:paraId="0FB56CD5" w14:textId="1285FC52" w:rsidR="00546D27" w:rsidRPr="00546D27" w:rsidRDefault="00546D27" w:rsidP="00546D27">
      <w:pPr>
        <w:shd w:val="clear" w:color="auto" w:fill="FFFFFF"/>
        <w:rPr>
          <w:rFonts w:ascii="Aptos" w:hAnsi="Aptos"/>
          <w:color w:val="000000" w:themeColor="text1"/>
        </w:rPr>
      </w:pPr>
      <w:r w:rsidRPr="00546D27">
        <w:rPr>
          <w:rFonts w:ascii="Aptos" w:hAnsi="Aptos"/>
          <w:color w:val="000000" w:themeColor="text1"/>
        </w:rPr>
        <w:t>Parent has not alleged facts sufficient to invoke either statutory exception to the IDEA limitations period. Specifically, Parent does not allege that the District made specific misrepresentations that it had resolved the problem forming the basis of the complaint, nor does Parent allege that the District withheld information that it was required to provide under the IDEA in a manner that prevented her from timely requesting a hearing. Absent such allegations, the statutory exceptions do not apply.</w:t>
      </w:r>
    </w:p>
    <w:p w14:paraId="28430045" w14:textId="77777777" w:rsidR="006F3D4B" w:rsidRDefault="006F3D4B" w:rsidP="00546D27">
      <w:pPr>
        <w:shd w:val="clear" w:color="auto" w:fill="FFFFFF"/>
        <w:rPr>
          <w:rFonts w:ascii="Aptos" w:hAnsi="Aptos"/>
          <w:color w:val="000000" w:themeColor="text1"/>
        </w:rPr>
      </w:pPr>
    </w:p>
    <w:p w14:paraId="3E1CD3D0" w14:textId="39266565" w:rsidR="00546D27" w:rsidRDefault="00546D27" w:rsidP="00546D27">
      <w:pPr>
        <w:shd w:val="clear" w:color="auto" w:fill="FFFFFF"/>
        <w:rPr>
          <w:rFonts w:ascii="Aptos" w:hAnsi="Aptos"/>
          <w:color w:val="000000" w:themeColor="text1"/>
        </w:rPr>
      </w:pPr>
      <w:r w:rsidRPr="00546D27">
        <w:rPr>
          <w:rFonts w:ascii="Aptos" w:hAnsi="Aptos"/>
          <w:color w:val="000000" w:themeColor="text1"/>
        </w:rPr>
        <w:lastRenderedPageBreak/>
        <w:t>To the extent that Parent challenges actions relating to the development, revision, or implementation of behavioral plans in 2023</w:t>
      </w:r>
      <w:r w:rsidR="000D78B6">
        <w:rPr>
          <w:rFonts w:ascii="Aptos" w:hAnsi="Aptos"/>
          <w:color w:val="000000" w:themeColor="text1"/>
        </w:rPr>
        <w:t xml:space="preserve">, </w:t>
      </w:r>
      <w:r w:rsidRPr="00546D27">
        <w:rPr>
          <w:rFonts w:ascii="Aptos" w:hAnsi="Aptos"/>
          <w:color w:val="000000" w:themeColor="text1"/>
        </w:rPr>
        <w:t>including the March 2023 BIP, any alleged failure to implement that plan during the 2023 school year, or the December 12, 2023 BIP</w:t>
      </w:r>
      <w:r w:rsidR="005A102F">
        <w:rPr>
          <w:rFonts w:ascii="Aptos" w:hAnsi="Aptos"/>
          <w:color w:val="000000" w:themeColor="text1"/>
        </w:rPr>
        <w:t xml:space="preserve">, </w:t>
      </w:r>
      <w:r w:rsidRPr="00546D27">
        <w:rPr>
          <w:rFonts w:ascii="Aptos" w:hAnsi="Aptos"/>
          <w:color w:val="000000" w:themeColor="text1"/>
        </w:rPr>
        <w:t>those matters were known, or reasonably should have been known, to Parent at the time they occurred. As such, any claims arising from those actions accrued no later than 2023 and fall outside the two-year limitations period. These claims are therefore time-barred and must be dismissed.</w:t>
      </w:r>
    </w:p>
    <w:p w14:paraId="2F168452" w14:textId="77777777" w:rsidR="005A102F" w:rsidRPr="00546D27" w:rsidRDefault="005A102F" w:rsidP="00546D27">
      <w:pPr>
        <w:shd w:val="clear" w:color="auto" w:fill="FFFFFF"/>
        <w:rPr>
          <w:rFonts w:ascii="Aptos" w:hAnsi="Aptos"/>
          <w:color w:val="000000" w:themeColor="text1"/>
        </w:rPr>
      </w:pPr>
    </w:p>
    <w:p w14:paraId="72F6A162" w14:textId="547ECD29" w:rsidR="00546D27" w:rsidRDefault="00546D27" w:rsidP="00546D27">
      <w:pPr>
        <w:shd w:val="clear" w:color="auto" w:fill="FFFFFF"/>
        <w:rPr>
          <w:rFonts w:ascii="Aptos" w:hAnsi="Aptos"/>
          <w:color w:val="000000" w:themeColor="text1"/>
        </w:rPr>
      </w:pPr>
      <w:r w:rsidRPr="00546D27">
        <w:rPr>
          <w:rFonts w:ascii="Aptos" w:hAnsi="Aptos"/>
          <w:color w:val="000000" w:themeColor="text1"/>
        </w:rPr>
        <w:t>Parent argues that certain violations were “continuing.” However, the IDEA</w:t>
      </w:r>
      <w:r w:rsidR="00495DC0">
        <w:rPr>
          <w:rFonts w:ascii="Aptos" w:hAnsi="Aptos"/>
          <w:color w:val="000000" w:themeColor="text1"/>
        </w:rPr>
        <w:t>’s</w:t>
      </w:r>
      <w:r w:rsidRPr="00546D27">
        <w:rPr>
          <w:rFonts w:ascii="Aptos" w:hAnsi="Aptos"/>
          <w:color w:val="000000" w:themeColor="text1"/>
        </w:rPr>
        <w:t xml:space="preserve"> statute of limitations is triggered when </w:t>
      </w:r>
      <w:r w:rsidR="00765648">
        <w:rPr>
          <w:rFonts w:ascii="Aptos" w:hAnsi="Aptos"/>
          <w:color w:val="000000" w:themeColor="text1"/>
        </w:rPr>
        <w:t>P</w:t>
      </w:r>
      <w:r w:rsidRPr="00546D27">
        <w:rPr>
          <w:rFonts w:ascii="Aptos" w:hAnsi="Aptos"/>
          <w:color w:val="000000" w:themeColor="text1"/>
        </w:rPr>
        <w:t xml:space="preserve">arent knew or should have known of the alleged action, even if </w:t>
      </w:r>
      <w:r w:rsidR="00765648">
        <w:rPr>
          <w:rFonts w:ascii="Aptos" w:hAnsi="Aptos"/>
          <w:color w:val="000000" w:themeColor="text1"/>
        </w:rPr>
        <w:t xml:space="preserve">the </w:t>
      </w:r>
      <w:r w:rsidRPr="00546D27">
        <w:rPr>
          <w:rFonts w:ascii="Aptos" w:hAnsi="Aptos"/>
          <w:color w:val="000000" w:themeColor="text1"/>
        </w:rPr>
        <w:t>effects of that action persist</w:t>
      </w:r>
      <w:r w:rsidR="00765648">
        <w:rPr>
          <w:rFonts w:ascii="Aptos" w:hAnsi="Aptos"/>
          <w:color w:val="000000" w:themeColor="text1"/>
        </w:rPr>
        <w:t>ed</w:t>
      </w:r>
      <w:r w:rsidR="00C47668">
        <w:rPr>
          <w:rFonts w:ascii="Aptos" w:hAnsi="Aptos"/>
          <w:color w:val="000000" w:themeColor="text1"/>
        </w:rPr>
        <w:t xml:space="preserve"> thereafter</w:t>
      </w:r>
      <w:r w:rsidRPr="00546D27">
        <w:rPr>
          <w:rFonts w:ascii="Aptos" w:hAnsi="Aptos"/>
          <w:color w:val="000000" w:themeColor="text1"/>
        </w:rPr>
        <w:t>. Accordingly, allegations concerning the ongoing consequences of decisions or actions that occurred, and were known, prior to January 12, 2024 do not render those earlier claims timely.</w:t>
      </w:r>
    </w:p>
    <w:p w14:paraId="05895C46" w14:textId="77777777" w:rsidR="00765648" w:rsidRPr="00546D27" w:rsidRDefault="00765648" w:rsidP="00546D27">
      <w:pPr>
        <w:shd w:val="clear" w:color="auto" w:fill="FFFFFF"/>
        <w:rPr>
          <w:rFonts w:ascii="Aptos" w:hAnsi="Aptos"/>
          <w:color w:val="000000" w:themeColor="text1"/>
        </w:rPr>
      </w:pPr>
    </w:p>
    <w:p w14:paraId="7A9A3019" w14:textId="0223DED0" w:rsidR="00546D27" w:rsidRDefault="00546D27" w:rsidP="00546D27">
      <w:pPr>
        <w:shd w:val="clear" w:color="auto" w:fill="FFFFFF"/>
        <w:rPr>
          <w:rFonts w:ascii="Aptos" w:hAnsi="Aptos"/>
          <w:color w:val="000000" w:themeColor="text1"/>
        </w:rPr>
      </w:pPr>
      <w:r w:rsidRPr="00546D27">
        <w:rPr>
          <w:rFonts w:ascii="Aptos" w:hAnsi="Aptos"/>
          <w:color w:val="000000" w:themeColor="text1"/>
        </w:rPr>
        <w:t>All claims based on conduct occurring, or known to Parent, prior to January 12, 2024 are dismissed with prejudice as barred by the statute of limitations.</w:t>
      </w:r>
    </w:p>
    <w:p w14:paraId="4A1C7AF8" w14:textId="77777777" w:rsidR="00765648" w:rsidRPr="00546D27" w:rsidRDefault="00765648" w:rsidP="00546D27">
      <w:pPr>
        <w:shd w:val="clear" w:color="auto" w:fill="FFFFFF"/>
        <w:rPr>
          <w:rFonts w:ascii="Aptos" w:hAnsi="Aptos"/>
          <w:color w:val="000000" w:themeColor="text1"/>
        </w:rPr>
      </w:pPr>
    </w:p>
    <w:p w14:paraId="083426E5" w14:textId="09BF47C3" w:rsidR="00546D27" w:rsidRDefault="00546D27" w:rsidP="00546D27">
      <w:pPr>
        <w:shd w:val="clear" w:color="auto" w:fill="FFFFFF"/>
        <w:rPr>
          <w:rFonts w:ascii="Aptos" w:hAnsi="Aptos"/>
          <w:color w:val="000000" w:themeColor="text1"/>
        </w:rPr>
      </w:pPr>
      <w:r w:rsidRPr="00546D27">
        <w:rPr>
          <w:rFonts w:ascii="Aptos" w:hAnsi="Aptos"/>
          <w:color w:val="000000" w:themeColor="text1"/>
        </w:rPr>
        <w:t>To the extent that Parent alleges distinct violations occurring within the 2024–2025 school year or thereafter</w:t>
      </w:r>
      <w:r w:rsidR="00430DCA">
        <w:rPr>
          <w:rFonts w:ascii="Aptos" w:hAnsi="Aptos"/>
          <w:color w:val="000000" w:themeColor="text1"/>
        </w:rPr>
        <w:t xml:space="preserve"> (i.e.,</w:t>
      </w:r>
      <w:r w:rsidRPr="00546D27">
        <w:rPr>
          <w:rFonts w:ascii="Aptos" w:hAnsi="Aptos"/>
          <w:color w:val="000000" w:themeColor="text1"/>
        </w:rPr>
        <w:t xml:space="preserve"> alleged failures to implement behavioral supports or other actions first occurring or discovered within the limitations period</w:t>
      </w:r>
      <w:r w:rsidR="00430DCA">
        <w:rPr>
          <w:rFonts w:ascii="Aptos" w:hAnsi="Aptos"/>
          <w:color w:val="000000" w:themeColor="text1"/>
        </w:rPr>
        <w:t>)</w:t>
      </w:r>
      <w:r w:rsidR="00355BBF">
        <w:rPr>
          <w:rFonts w:ascii="Aptos" w:hAnsi="Aptos"/>
          <w:color w:val="000000" w:themeColor="text1"/>
        </w:rPr>
        <w:t>,</w:t>
      </w:r>
      <w:r w:rsidR="00430DCA">
        <w:rPr>
          <w:rFonts w:ascii="Aptos" w:hAnsi="Aptos"/>
          <w:color w:val="000000" w:themeColor="text1"/>
        </w:rPr>
        <w:t xml:space="preserve"> </w:t>
      </w:r>
      <w:r w:rsidRPr="00546D27">
        <w:rPr>
          <w:rFonts w:ascii="Aptos" w:hAnsi="Aptos"/>
          <w:color w:val="000000" w:themeColor="text1"/>
        </w:rPr>
        <w:t>those claims are not dismissed on statute-of-limitations grounds and may proceed.</w:t>
      </w:r>
    </w:p>
    <w:p w14:paraId="01E81A8D" w14:textId="77777777" w:rsidR="00546D27" w:rsidRPr="00F5037D" w:rsidRDefault="00546D27" w:rsidP="00D6127B">
      <w:pPr>
        <w:shd w:val="clear" w:color="auto" w:fill="FFFFFF"/>
        <w:rPr>
          <w:rFonts w:ascii="Aptos" w:hAnsi="Aptos"/>
          <w:color w:val="000000" w:themeColor="text1"/>
        </w:rPr>
      </w:pPr>
    </w:p>
    <w:p w14:paraId="7587FA24" w14:textId="6952674D" w:rsidR="004E5432" w:rsidRPr="001B3770" w:rsidRDefault="004E5432" w:rsidP="00D6127B">
      <w:pPr>
        <w:shd w:val="clear" w:color="auto" w:fill="FFFFFF"/>
        <w:rPr>
          <w:rFonts w:ascii="Aptos" w:hAnsi="Aptos"/>
          <w:color w:val="000000" w:themeColor="text1"/>
        </w:rPr>
      </w:pPr>
      <w:r w:rsidRPr="001B3770">
        <w:rPr>
          <w:rFonts w:ascii="Aptos" w:hAnsi="Aptos"/>
          <w:b/>
          <w:bCs/>
          <w:color w:val="000000" w:themeColor="text1"/>
        </w:rPr>
        <w:t>ORDER:</w:t>
      </w:r>
    </w:p>
    <w:p w14:paraId="7C9430FC" w14:textId="77777777" w:rsidR="004E5432" w:rsidRDefault="004E5432" w:rsidP="00D6127B">
      <w:pPr>
        <w:shd w:val="clear" w:color="auto" w:fill="FFFFFF"/>
        <w:rPr>
          <w:rFonts w:ascii="Aptos" w:hAnsi="Aptos"/>
          <w:color w:val="000000" w:themeColor="text1"/>
        </w:rPr>
      </w:pPr>
    </w:p>
    <w:p w14:paraId="4EE22C13" w14:textId="22122BF6" w:rsidR="000B05B3" w:rsidRPr="00546D27" w:rsidRDefault="000B05B3" w:rsidP="000B05B3">
      <w:pPr>
        <w:shd w:val="clear" w:color="auto" w:fill="FFFFFF"/>
        <w:rPr>
          <w:rFonts w:ascii="Aptos" w:hAnsi="Aptos"/>
          <w:color w:val="000000" w:themeColor="text1"/>
        </w:rPr>
      </w:pPr>
      <w:r>
        <w:rPr>
          <w:rFonts w:ascii="Aptos" w:hAnsi="Aptos"/>
          <w:color w:val="000000" w:themeColor="text1"/>
        </w:rPr>
        <w:t>The District’s</w:t>
      </w:r>
      <w:r w:rsidRPr="00546D27">
        <w:rPr>
          <w:rFonts w:ascii="Aptos" w:hAnsi="Aptos"/>
          <w:color w:val="000000" w:themeColor="text1"/>
        </w:rPr>
        <w:t xml:space="preserve"> </w:t>
      </w:r>
      <w:r w:rsidRPr="00546D27">
        <w:rPr>
          <w:rFonts w:ascii="Aptos" w:hAnsi="Aptos"/>
          <w:i/>
          <w:iCs/>
          <w:color w:val="000000" w:themeColor="text1"/>
        </w:rPr>
        <w:t>Motion to Dismiss</w:t>
      </w:r>
      <w:r w:rsidRPr="00546D27">
        <w:rPr>
          <w:rFonts w:ascii="Aptos" w:hAnsi="Aptos"/>
          <w:color w:val="000000" w:themeColor="text1"/>
        </w:rPr>
        <w:t xml:space="preserve"> is ALLOWED</w:t>
      </w:r>
      <w:r>
        <w:rPr>
          <w:rFonts w:ascii="Aptos" w:hAnsi="Aptos"/>
          <w:color w:val="000000" w:themeColor="text1"/>
        </w:rPr>
        <w:t>,</w:t>
      </w:r>
      <w:r w:rsidRPr="00546D27">
        <w:rPr>
          <w:rFonts w:ascii="Aptos" w:hAnsi="Aptos"/>
          <w:color w:val="000000" w:themeColor="text1"/>
        </w:rPr>
        <w:t xml:space="preserve"> IN PART</w:t>
      </w:r>
      <w:r>
        <w:rPr>
          <w:rFonts w:ascii="Aptos" w:hAnsi="Aptos"/>
          <w:color w:val="000000" w:themeColor="text1"/>
        </w:rPr>
        <w:t>,</w:t>
      </w:r>
      <w:r w:rsidRPr="00546D27">
        <w:rPr>
          <w:rFonts w:ascii="Aptos" w:hAnsi="Aptos"/>
          <w:color w:val="000000" w:themeColor="text1"/>
        </w:rPr>
        <w:t> to the extent that all claims arising from alleged conduct occurring, or known to Parent, prior to January 12, 2024</w:t>
      </w:r>
      <w:r w:rsidR="00B24E83">
        <w:rPr>
          <w:rFonts w:ascii="Aptos" w:hAnsi="Aptos"/>
          <w:color w:val="000000" w:themeColor="text1"/>
        </w:rPr>
        <w:t>,</w:t>
      </w:r>
      <w:r w:rsidRPr="00546D27">
        <w:rPr>
          <w:rFonts w:ascii="Aptos" w:hAnsi="Aptos"/>
          <w:color w:val="000000" w:themeColor="text1"/>
        </w:rPr>
        <w:t xml:space="preserve"> are </w:t>
      </w:r>
      <w:r w:rsidRPr="00546D27">
        <w:rPr>
          <w:rFonts w:ascii="Aptos" w:hAnsi="Aptos"/>
          <w:color w:val="000000" w:themeColor="text1"/>
          <w:u w:val="single"/>
        </w:rPr>
        <w:t xml:space="preserve">dismissed </w:t>
      </w:r>
      <w:r w:rsidRPr="00B24E83">
        <w:rPr>
          <w:rFonts w:ascii="Aptos" w:hAnsi="Aptos"/>
          <w:color w:val="000000" w:themeColor="text1"/>
          <w:u w:val="single"/>
        </w:rPr>
        <w:t>with prejudice</w:t>
      </w:r>
      <w:r>
        <w:rPr>
          <w:rFonts w:ascii="Aptos" w:hAnsi="Aptos"/>
          <w:color w:val="000000" w:themeColor="text1"/>
        </w:rPr>
        <w:t xml:space="preserve"> </w:t>
      </w:r>
      <w:r w:rsidRPr="00546D27">
        <w:rPr>
          <w:rFonts w:ascii="Aptos" w:hAnsi="Aptos"/>
          <w:color w:val="000000" w:themeColor="text1"/>
        </w:rPr>
        <w:t>as untimely. Only those claims based on alleged actions within the applicable statute of limitations remain for further consideration.</w:t>
      </w:r>
      <w:r w:rsidR="0055657B">
        <w:rPr>
          <w:rFonts w:ascii="Aptos" w:hAnsi="Aptos"/>
          <w:color w:val="000000" w:themeColor="text1"/>
        </w:rPr>
        <w:t xml:space="preserve"> That is, the only remaining issue for hearing </w:t>
      </w:r>
      <w:r w:rsidR="00F97E44">
        <w:rPr>
          <w:rFonts w:ascii="Aptos" w:hAnsi="Aptos"/>
          <w:color w:val="000000" w:themeColor="text1"/>
        </w:rPr>
        <w:t>is w</w:t>
      </w:r>
      <w:r w:rsidR="0055657B">
        <w:rPr>
          <w:rFonts w:ascii="Aptos" w:hAnsi="Aptos"/>
          <w:color w:val="000000" w:themeColor="text1"/>
        </w:rPr>
        <w:t xml:space="preserve">hether </w:t>
      </w:r>
      <w:r w:rsidR="0055657B" w:rsidRPr="007E6086">
        <w:rPr>
          <w:rFonts w:ascii="Aptos" w:hAnsi="Aptos"/>
          <w:color w:val="000000" w:themeColor="text1"/>
        </w:rPr>
        <w:t xml:space="preserve">the District denied Student а FAPE </w:t>
      </w:r>
      <w:r w:rsidR="0055657B">
        <w:rPr>
          <w:rFonts w:ascii="Aptos" w:hAnsi="Aptos"/>
          <w:color w:val="000000" w:themeColor="text1"/>
        </w:rPr>
        <w:t>b</w:t>
      </w:r>
      <w:r w:rsidR="0055657B" w:rsidRPr="007E6086">
        <w:rPr>
          <w:rFonts w:ascii="Aptos" w:hAnsi="Aptos"/>
          <w:color w:val="000000" w:themeColor="text1"/>
        </w:rPr>
        <w:t>y failing to provide appropriate behavioral supports</w:t>
      </w:r>
      <w:r w:rsidR="0046706B">
        <w:rPr>
          <w:rFonts w:ascii="Aptos" w:hAnsi="Aptos"/>
          <w:color w:val="000000" w:themeColor="text1"/>
        </w:rPr>
        <w:t xml:space="preserve"> since </w:t>
      </w:r>
      <w:r w:rsidR="00F97E44">
        <w:rPr>
          <w:rFonts w:ascii="Aptos" w:hAnsi="Aptos"/>
          <w:color w:val="000000" w:themeColor="text1"/>
        </w:rPr>
        <w:t>January 12, 2024.</w:t>
      </w:r>
    </w:p>
    <w:p w14:paraId="0CC664F7" w14:textId="76FF4A17" w:rsidR="004E5432" w:rsidRPr="001B3770" w:rsidRDefault="004E5432" w:rsidP="00D6127B">
      <w:pPr>
        <w:pStyle w:val="Default"/>
        <w:rPr>
          <w:rFonts w:ascii="Aptos" w:hAnsi="Aptos"/>
          <w:bCs/>
          <w:color w:val="000000" w:themeColor="text1"/>
        </w:rPr>
      </w:pPr>
    </w:p>
    <w:p w14:paraId="321C1FF6" w14:textId="77777777" w:rsidR="004E5432" w:rsidRPr="001B3770" w:rsidRDefault="004E5432" w:rsidP="00D6127B">
      <w:pPr>
        <w:shd w:val="clear" w:color="auto" w:fill="FFFFFF"/>
        <w:rPr>
          <w:rFonts w:ascii="Aptos" w:hAnsi="Aptos"/>
          <w:color w:val="000000" w:themeColor="text1"/>
        </w:rPr>
      </w:pPr>
      <w:r w:rsidRPr="001B3770">
        <w:rPr>
          <w:rFonts w:ascii="Aptos" w:hAnsi="Aptos"/>
          <w:color w:val="000000" w:themeColor="text1"/>
        </w:rPr>
        <w:t>By the Hearing Officer:</w:t>
      </w:r>
    </w:p>
    <w:p w14:paraId="7C02FE19" w14:textId="77777777" w:rsidR="004E5432" w:rsidRPr="001B3770" w:rsidRDefault="004E5432" w:rsidP="00D6127B">
      <w:pPr>
        <w:shd w:val="clear" w:color="auto" w:fill="FFFFFF"/>
        <w:rPr>
          <w:rFonts w:ascii="Aptos" w:hAnsi="Aptos"/>
          <w:color w:val="000000" w:themeColor="text1"/>
        </w:rPr>
      </w:pPr>
    </w:p>
    <w:p w14:paraId="19DB0E34" w14:textId="77777777" w:rsidR="004E5432" w:rsidRPr="001B3770" w:rsidRDefault="004E5432" w:rsidP="00D6127B">
      <w:pPr>
        <w:shd w:val="clear" w:color="auto" w:fill="FFFFFF"/>
        <w:rPr>
          <w:rFonts w:ascii="Aptos" w:hAnsi="Aptos"/>
          <w:color w:val="000000" w:themeColor="text1"/>
          <w:u w:val="single"/>
        </w:rPr>
      </w:pPr>
      <w:r w:rsidRPr="001B3770">
        <w:rPr>
          <w:rFonts w:ascii="Aptos" w:hAnsi="Aptos"/>
          <w:color w:val="000000" w:themeColor="text1"/>
          <w:u w:val="single"/>
        </w:rPr>
        <w:t xml:space="preserve">/s/ </w:t>
      </w:r>
      <w:r w:rsidRPr="00781D61">
        <w:rPr>
          <w:rFonts w:ascii="Baguet Script" w:hAnsi="Baguet Script"/>
          <w:color w:val="000000" w:themeColor="text1"/>
          <w:u w:val="single"/>
        </w:rPr>
        <w:t>Alina Kantor Nir</w:t>
      </w:r>
      <w:r w:rsidRPr="001B3770">
        <w:rPr>
          <w:rFonts w:ascii="Aptos" w:hAnsi="Aptos"/>
          <w:color w:val="000000" w:themeColor="text1"/>
          <w:u w:val="single"/>
        </w:rPr>
        <w:t> </w:t>
      </w:r>
    </w:p>
    <w:p w14:paraId="005FC7FE" w14:textId="3CFCB490" w:rsidR="004E5432" w:rsidRPr="001B3770" w:rsidRDefault="004E5432" w:rsidP="00D6127B">
      <w:pPr>
        <w:shd w:val="clear" w:color="auto" w:fill="FFFFFF"/>
        <w:rPr>
          <w:rFonts w:ascii="Aptos" w:hAnsi="Aptos"/>
          <w:color w:val="000000" w:themeColor="text1"/>
        </w:rPr>
      </w:pPr>
      <w:r w:rsidRPr="001B3770">
        <w:rPr>
          <w:rFonts w:ascii="Aptos" w:hAnsi="Aptos"/>
          <w:color w:val="000000" w:themeColor="text1"/>
        </w:rPr>
        <w:t>Alina Kantor Nir</w:t>
      </w:r>
      <w:r w:rsidRPr="001B3770">
        <w:rPr>
          <w:rFonts w:ascii="Aptos" w:hAnsi="Aptos"/>
          <w:color w:val="000000" w:themeColor="text1"/>
        </w:rPr>
        <w:br/>
        <w:t xml:space="preserve">Dated: </w:t>
      </w:r>
      <w:r w:rsidR="00372323" w:rsidRPr="001B3770">
        <w:rPr>
          <w:rFonts w:ascii="Aptos" w:hAnsi="Aptos"/>
          <w:color w:val="000000" w:themeColor="text1"/>
        </w:rPr>
        <w:t xml:space="preserve"> </w:t>
      </w:r>
      <w:r w:rsidR="00AA602F" w:rsidRPr="001B3770">
        <w:rPr>
          <w:rFonts w:ascii="Aptos" w:hAnsi="Aptos"/>
          <w:color w:val="000000" w:themeColor="text1"/>
        </w:rPr>
        <w:t xml:space="preserve">February </w:t>
      </w:r>
      <w:r w:rsidR="00355BBF">
        <w:rPr>
          <w:rFonts w:ascii="Aptos" w:hAnsi="Aptos"/>
          <w:color w:val="000000" w:themeColor="text1"/>
        </w:rPr>
        <w:t>18</w:t>
      </w:r>
      <w:r w:rsidR="009922AD" w:rsidRPr="001B3770">
        <w:rPr>
          <w:rFonts w:ascii="Aptos" w:hAnsi="Aptos"/>
          <w:color w:val="000000" w:themeColor="text1"/>
        </w:rPr>
        <w:t>, 2026</w:t>
      </w:r>
    </w:p>
    <w:p w14:paraId="6034F190" w14:textId="6A241034" w:rsidR="009F40AC" w:rsidRPr="001B3770" w:rsidRDefault="009F40AC" w:rsidP="00D6127B">
      <w:pPr>
        <w:rPr>
          <w:rFonts w:ascii="Aptos" w:hAnsi="Aptos"/>
          <w:color w:val="000000" w:themeColor="text1"/>
        </w:rPr>
      </w:pPr>
      <w:r w:rsidRPr="001B3770">
        <w:rPr>
          <w:rFonts w:ascii="Aptos" w:hAnsi="Aptos"/>
          <w:color w:val="000000" w:themeColor="text1"/>
        </w:rPr>
        <w:br w:type="page"/>
      </w:r>
    </w:p>
    <w:p w14:paraId="286ABF0A" w14:textId="77777777" w:rsidR="009F40AC" w:rsidRPr="001B3770" w:rsidRDefault="009F40AC" w:rsidP="00D6127B">
      <w:pPr>
        <w:shd w:val="clear" w:color="auto" w:fill="FFFFFF"/>
        <w:jc w:val="center"/>
        <w:rPr>
          <w:rFonts w:ascii="Aptos" w:hAnsi="Aptos"/>
          <w:b/>
          <w:bCs/>
          <w:color w:val="000000" w:themeColor="text1"/>
        </w:rPr>
      </w:pPr>
      <w:r w:rsidRPr="001B3770">
        <w:rPr>
          <w:rFonts w:ascii="Aptos" w:hAnsi="Aptos"/>
          <w:b/>
          <w:bCs/>
          <w:color w:val="000000" w:themeColor="text1"/>
        </w:rPr>
        <w:lastRenderedPageBreak/>
        <w:t>COMMONWEALTH OF MASSACHUSETTS</w:t>
      </w:r>
    </w:p>
    <w:p w14:paraId="222FA552" w14:textId="77777777" w:rsidR="009F40AC" w:rsidRPr="001B3770" w:rsidRDefault="009F40AC" w:rsidP="00D6127B">
      <w:pPr>
        <w:shd w:val="clear" w:color="auto" w:fill="FFFFFF"/>
        <w:jc w:val="center"/>
        <w:rPr>
          <w:rFonts w:ascii="Aptos" w:hAnsi="Aptos"/>
          <w:b/>
          <w:bCs/>
          <w:color w:val="000000" w:themeColor="text1"/>
        </w:rPr>
      </w:pPr>
      <w:r w:rsidRPr="001B3770">
        <w:rPr>
          <w:rFonts w:ascii="Aptos" w:hAnsi="Aptos"/>
          <w:b/>
          <w:bCs/>
          <w:color w:val="000000" w:themeColor="text1"/>
        </w:rPr>
        <w:t>BUREAU OF SPECIAL EDUCATION APPEALS</w:t>
      </w:r>
    </w:p>
    <w:p w14:paraId="18E60798" w14:textId="77777777" w:rsidR="009F40AC" w:rsidRPr="001B3770" w:rsidRDefault="009F40AC" w:rsidP="00D6127B">
      <w:pPr>
        <w:shd w:val="clear" w:color="auto" w:fill="FFFFFF"/>
        <w:jc w:val="center"/>
        <w:rPr>
          <w:rFonts w:ascii="Aptos" w:hAnsi="Aptos"/>
          <w:b/>
          <w:bCs/>
          <w:color w:val="000000" w:themeColor="text1"/>
          <w:u w:val="single"/>
        </w:rPr>
      </w:pPr>
      <w:r w:rsidRPr="001B3770">
        <w:rPr>
          <w:rFonts w:ascii="Aptos" w:hAnsi="Aptos"/>
          <w:b/>
          <w:bCs/>
          <w:color w:val="000000" w:themeColor="text1"/>
          <w:u w:val="single"/>
        </w:rPr>
        <w:t>EFFECT OF FINAL BSEA ACTIONS AND RIGHTS OF APPEAL</w:t>
      </w:r>
    </w:p>
    <w:p w14:paraId="4BBE0CAA" w14:textId="77777777" w:rsidR="009F40AC" w:rsidRPr="001B3770" w:rsidRDefault="009F40AC" w:rsidP="00D6127B">
      <w:pPr>
        <w:shd w:val="clear" w:color="auto" w:fill="FFFFFF"/>
        <w:rPr>
          <w:rFonts w:ascii="Aptos" w:hAnsi="Aptos"/>
          <w:b/>
          <w:bCs/>
          <w:color w:val="000000" w:themeColor="text1"/>
        </w:rPr>
      </w:pPr>
    </w:p>
    <w:p w14:paraId="54F8A34F"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Effect of BSEA Decision, Dismissal with Prejudice and Allowance of Motion for Summary Judgment</w:t>
      </w:r>
    </w:p>
    <w:p w14:paraId="619DE776"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758B25B" w14:textId="77777777" w:rsidR="0062077C" w:rsidRDefault="0062077C" w:rsidP="00D6127B">
      <w:pPr>
        <w:shd w:val="clear" w:color="auto" w:fill="FFFFFF"/>
        <w:rPr>
          <w:rFonts w:ascii="Aptos" w:hAnsi="Aptos"/>
          <w:color w:val="000000" w:themeColor="text1"/>
        </w:rPr>
      </w:pPr>
    </w:p>
    <w:p w14:paraId="01C58AF0" w14:textId="2C648540"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3AB05FCD" w14:textId="77777777" w:rsidR="0062077C" w:rsidRDefault="0062077C" w:rsidP="00D6127B">
      <w:pPr>
        <w:shd w:val="clear" w:color="auto" w:fill="FFFFFF"/>
        <w:rPr>
          <w:rFonts w:ascii="Aptos" w:hAnsi="Aptos"/>
          <w:color w:val="000000" w:themeColor="text1"/>
        </w:rPr>
      </w:pPr>
    </w:p>
    <w:p w14:paraId="126FD056" w14:textId="446D9315"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2149ACA" w14:textId="77777777" w:rsidR="0062077C" w:rsidRDefault="0062077C" w:rsidP="00D6127B">
      <w:pPr>
        <w:shd w:val="clear" w:color="auto" w:fill="FFFFFF"/>
        <w:rPr>
          <w:rFonts w:ascii="Aptos" w:hAnsi="Aptos"/>
          <w:color w:val="000000" w:themeColor="text1"/>
        </w:rPr>
      </w:pPr>
    </w:p>
    <w:p w14:paraId="66984118" w14:textId="1F71213B"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8FF87AA" w14:textId="77777777" w:rsidR="0062077C" w:rsidRDefault="0062077C" w:rsidP="00D6127B">
      <w:pPr>
        <w:shd w:val="clear" w:color="auto" w:fill="FFFFFF"/>
        <w:rPr>
          <w:rFonts w:ascii="Aptos" w:hAnsi="Aptos"/>
          <w:color w:val="000000" w:themeColor="text1"/>
        </w:rPr>
      </w:pPr>
    </w:p>
    <w:p w14:paraId="7A061BFE" w14:textId="0141810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1B3770">
        <w:rPr>
          <w:rFonts w:ascii="Aptos" w:hAnsi="Aptos"/>
          <w:i/>
          <w:iCs/>
          <w:color w:val="000000" w:themeColor="text1"/>
        </w:rPr>
        <w:t>School Committee of Burlington v. Massachusetts Department of Education</w:t>
      </w:r>
      <w:r w:rsidRPr="001B3770">
        <w:rPr>
          <w:rFonts w:ascii="Aptos" w:hAnsi="Apto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1B3770">
        <w:rPr>
          <w:rFonts w:ascii="Aptos" w:hAnsi="Aptos"/>
          <w:i/>
          <w:iCs/>
          <w:color w:val="000000" w:themeColor="text1"/>
        </w:rPr>
        <w:t>Honig v. Doe</w:t>
      </w:r>
      <w:r w:rsidRPr="001B3770">
        <w:rPr>
          <w:rFonts w:ascii="Aptos" w:hAnsi="Aptos"/>
          <w:color w:val="000000" w:themeColor="text1"/>
        </w:rPr>
        <w:t xml:space="preserve">, 484 U.S. 305 (1988); </w:t>
      </w:r>
      <w:r w:rsidRPr="001B3770">
        <w:rPr>
          <w:rFonts w:ascii="Aptos" w:hAnsi="Aptos"/>
          <w:i/>
          <w:iCs/>
          <w:color w:val="000000" w:themeColor="text1"/>
        </w:rPr>
        <w:t>Doe v. Brookline</w:t>
      </w:r>
      <w:r w:rsidRPr="001B3770">
        <w:rPr>
          <w:rFonts w:ascii="Aptos" w:hAnsi="Aptos"/>
          <w:color w:val="000000" w:themeColor="text1"/>
        </w:rPr>
        <w:t>, 722 F.2d 910 (1</w:t>
      </w:r>
      <w:r w:rsidRPr="001B3770">
        <w:rPr>
          <w:rFonts w:ascii="Aptos" w:hAnsi="Aptos"/>
          <w:color w:val="000000" w:themeColor="text1"/>
          <w:vertAlign w:val="superscript"/>
        </w:rPr>
        <w:t>st</w:t>
      </w:r>
      <w:r w:rsidRPr="001B3770">
        <w:rPr>
          <w:rFonts w:ascii="Aptos" w:hAnsi="Aptos"/>
          <w:color w:val="000000" w:themeColor="text1"/>
        </w:rPr>
        <w:t xml:space="preserve"> Cir. 1983).</w:t>
      </w:r>
    </w:p>
    <w:p w14:paraId="576CDD27" w14:textId="77777777" w:rsidR="009F40AC" w:rsidRPr="001B3770" w:rsidRDefault="009F40AC" w:rsidP="00D6127B">
      <w:pPr>
        <w:shd w:val="clear" w:color="auto" w:fill="FFFFFF"/>
        <w:rPr>
          <w:rFonts w:ascii="Aptos" w:hAnsi="Aptos"/>
          <w:color w:val="000000" w:themeColor="text1"/>
        </w:rPr>
      </w:pPr>
    </w:p>
    <w:p w14:paraId="066D0101"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Compliance</w:t>
      </w:r>
    </w:p>
    <w:p w14:paraId="1ECC430E"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A party contending that a Bureau of Special Education Appeals decision is not being implemented may file a motion with the Bureau of Special Education Appeals contending </w:t>
      </w:r>
      <w:r w:rsidRPr="001B3770">
        <w:rPr>
          <w:rFonts w:ascii="Aptos" w:hAnsi="Aptos"/>
          <w:color w:val="000000" w:themeColor="text1"/>
        </w:rPr>
        <w:lastRenderedPageBreak/>
        <w:t>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1D3532B3" w14:textId="77777777" w:rsidR="009F40AC" w:rsidRPr="001B3770" w:rsidRDefault="009F40AC" w:rsidP="00D6127B">
      <w:pPr>
        <w:shd w:val="clear" w:color="auto" w:fill="FFFFFF"/>
        <w:rPr>
          <w:rFonts w:ascii="Aptos" w:hAnsi="Aptos"/>
          <w:color w:val="000000" w:themeColor="text1"/>
        </w:rPr>
      </w:pPr>
    </w:p>
    <w:p w14:paraId="1CE6C2DD"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Rights of Appeal</w:t>
      </w:r>
    </w:p>
    <w:p w14:paraId="5BCE56D9"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15E6B660"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An appeal of a Bureau decision to state superior court or to federal district court must be filed within ninety (90) days from the date of the decision. 20 U.S.C. s. 1415(i)(2)(B).</w:t>
      </w:r>
    </w:p>
    <w:p w14:paraId="4EEF37CC" w14:textId="77777777" w:rsidR="009F40AC" w:rsidRPr="001B3770" w:rsidRDefault="009F40AC" w:rsidP="00D6127B">
      <w:pPr>
        <w:shd w:val="clear" w:color="auto" w:fill="FFFFFF"/>
        <w:rPr>
          <w:rFonts w:ascii="Aptos" w:hAnsi="Aptos"/>
          <w:color w:val="000000" w:themeColor="text1"/>
        </w:rPr>
      </w:pPr>
    </w:p>
    <w:p w14:paraId="4A3C6C6B"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Confidentiality</w:t>
      </w:r>
    </w:p>
    <w:p w14:paraId="0B182083"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B3770">
        <w:rPr>
          <w:rFonts w:ascii="Aptos" w:hAnsi="Aptos"/>
          <w:i/>
          <w:iCs/>
          <w:color w:val="000000" w:themeColor="text1"/>
        </w:rPr>
        <w:t>Webster Grove School District v. Pulitzer Publishing Company</w:t>
      </w:r>
      <w:r w:rsidRPr="001B3770">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37A3FAB0" w14:textId="77777777" w:rsidR="009F40AC" w:rsidRPr="001B3770" w:rsidRDefault="009F40AC" w:rsidP="00D6127B">
      <w:pPr>
        <w:shd w:val="clear" w:color="auto" w:fill="FFFFFF"/>
        <w:rPr>
          <w:rFonts w:ascii="Aptos" w:hAnsi="Aptos"/>
          <w:color w:val="000000" w:themeColor="text1"/>
        </w:rPr>
      </w:pPr>
    </w:p>
    <w:p w14:paraId="28D4F526"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Record of the Hearing</w:t>
      </w:r>
    </w:p>
    <w:p w14:paraId="0CCD8A06"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4434CC24" w14:textId="77777777" w:rsidR="009F40AC" w:rsidRPr="001B3770" w:rsidRDefault="009F40AC" w:rsidP="00D6127B">
      <w:pPr>
        <w:shd w:val="clear" w:color="auto" w:fill="FFFFFF"/>
        <w:rPr>
          <w:rFonts w:ascii="Aptos" w:hAnsi="Aptos"/>
          <w:color w:val="000000" w:themeColor="text1"/>
        </w:rPr>
      </w:pPr>
    </w:p>
    <w:p w14:paraId="048E9481" w14:textId="77777777" w:rsidR="009F40AC" w:rsidRPr="001B3770" w:rsidRDefault="009F40AC" w:rsidP="00D6127B">
      <w:pPr>
        <w:shd w:val="clear" w:color="auto" w:fill="FFFFFF"/>
        <w:rPr>
          <w:rFonts w:ascii="Aptos" w:hAnsi="Aptos"/>
          <w:color w:val="000000" w:themeColor="text1"/>
        </w:rPr>
      </w:pPr>
    </w:p>
    <w:sectPr w:rsidR="009F40AC" w:rsidRPr="001B377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633D" w14:textId="77777777" w:rsidR="00072E68" w:rsidRDefault="00072E68" w:rsidP="00E54083">
      <w:r>
        <w:separator/>
      </w:r>
    </w:p>
  </w:endnote>
  <w:endnote w:type="continuationSeparator" w:id="0">
    <w:p w14:paraId="3F0B08A4" w14:textId="77777777" w:rsidR="00072E68" w:rsidRDefault="00072E68"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ple Chancery">
    <w:altName w:val="APPLE CHANCERY"/>
    <w:charset w:val="B1"/>
    <w:family w:val="script"/>
    <w:pitch w:val="variable"/>
    <w:sig w:usb0="80000867" w:usb1="00000003" w:usb2="00000000" w:usb3="00000000" w:csb0="000001F3"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E64A" w14:textId="77777777" w:rsidR="00072E68" w:rsidRDefault="00072E68" w:rsidP="00E54083">
      <w:r>
        <w:separator/>
      </w:r>
    </w:p>
  </w:footnote>
  <w:footnote w:type="continuationSeparator" w:id="0">
    <w:p w14:paraId="41134BA6" w14:textId="77777777" w:rsidR="00072E68" w:rsidRDefault="00072E68" w:rsidP="00E54083">
      <w:r>
        <w:continuationSeparator/>
      </w:r>
    </w:p>
  </w:footnote>
  <w:footnote w:id="1">
    <w:p w14:paraId="7E2BACBE" w14:textId="6662A6BA" w:rsidR="00922F96" w:rsidRPr="00AE210A" w:rsidRDefault="00922F96" w:rsidP="00922F96">
      <w:pPr>
        <w:pStyle w:val="FootnoteText"/>
        <w:rPr>
          <w:rFonts w:ascii="Aptos" w:hAnsi="Aptos"/>
        </w:rPr>
      </w:pPr>
      <w:r w:rsidRPr="00AE210A">
        <w:rPr>
          <w:rStyle w:val="FootnoteReference"/>
          <w:rFonts w:ascii="Aptos" w:hAnsi="Aptos"/>
        </w:rPr>
        <w:footnoteRef/>
      </w:r>
      <w:r w:rsidRPr="00AE210A">
        <w:rPr>
          <w:rFonts w:ascii="Aptos" w:hAnsi="Aptos"/>
        </w:rPr>
        <w:t xml:space="preserve"> In support of its Motion, the District filed 4 exhibits: Exhibit A – N1 for Team meeting on 3/9/23; Exhibit B – IEP dated 3/9/23 to 6/14/23; Exhibit C – Student Support Plan developed on 3/9/23; and Exhibit D – Decision by Hearing Officer Sara Berman on BSEA No. 23-04801.</w:t>
      </w:r>
      <w:r w:rsidR="00F96EF8" w:rsidRPr="00AE210A">
        <w:rPr>
          <w:rFonts w:ascii="Aptos" w:hAnsi="Aptos"/>
        </w:rPr>
        <w:t xml:space="preserve"> However, I did not rely on said exhibits in my ruling</w:t>
      </w:r>
      <w:r w:rsidR="00CC17DB" w:rsidRPr="00AE210A">
        <w:rPr>
          <w:rFonts w:ascii="Aptos" w:hAnsi="Aptos"/>
        </w:rPr>
        <w:t>.</w:t>
      </w:r>
    </w:p>
  </w:footnote>
  <w:footnote w:id="2">
    <w:p w14:paraId="726C34C9" w14:textId="25705F88" w:rsidR="00AA759B" w:rsidRPr="00AE210A" w:rsidRDefault="00AA759B">
      <w:pPr>
        <w:pStyle w:val="FootnoteText"/>
        <w:rPr>
          <w:rFonts w:ascii="Aptos" w:hAnsi="Aptos"/>
        </w:rPr>
      </w:pPr>
      <w:r w:rsidRPr="00AE210A">
        <w:rPr>
          <w:rStyle w:val="FootnoteReference"/>
          <w:rFonts w:ascii="Aptos" w:hAnsi="Aptos"/>
        </w:rPr>
        <w:footnoteRef/>
      </w:r>
      <w:r w:rsidRPr="00AE210A">
        <w:rPr>
          <w:rFonts w:ascii="Aptos" w:hAnsi="Aptos"/>
        </w:rPr>
        <w:t xml:space="preserve"> </w:t>
      </w:r>
      <w:r w:rsidR="002D5C04" w:rsidRPr="00AE210A">
        <w:rPr>
          <w:rFonts w:ascii="Aptos" w:hAnsi="Aptos"/>
        </w:rPr>
        <w:t xml:space="preserve">Reference is to </w:t>
      </w:r>
      <w:r w:rsidR="002D5C04" w:rsidRPr="00AE210A">
        <w:rPr>
          <w:rFonts w:ascii="Aptos" w:hAnsi="Aptos"/>
          <w:color w:val="000000" w:themeColor="text1"/>
        </w:rPr>
        <w:t>BSEA Decision</w:t>
      </w:r>
      <w:r w:rsidR="00995496" w:rsidRPr="00AE210A">
        <w:rPr>
          <w:rFonts w:ascii="Aptos" w:hAnsi="Aptos"/>
          <w:color w:val="000000" w:themeColor="text1"/>
        </w:rPr>
        <w:t xml:space="preserve"> in </w:t>
      </w:r>
      <w:r w:rsidR="00AE210A">
        <w:rPr>
          <w:rFonts w:ascii="Aptos" w:hAnsi="Aptos"/>
          <w:color w:val="000000" w:themeColor="text1"/>
        </w:rPr>
        <w:t>BSEA</w:t>
      </w:r>
      <w:r w:rsidR="00995496" w:rsidRPr="00AE210A">
        <w:rPr>
          <w:rFonts w:ascii="Aptos" w:hAnsi="Aptos"/>
          <w:color w:val="000000" w:themeColor="text1"/>
        </w:rPr>
        <w:t xml:space="preserve"> #</w:t>
      </w:r>
      <w:r w:rsidR="002D5C04" w:rsidRPr="00AE210A">
        <w:rPr>
          <w:rFonts w:ascii="Aptos" w:hAnsi="Aptos"/>
          <w:color w:val="000000" w:themeColor="text1"/>
        </w:rPr>
        <w:t xml:space="preserve"> 23-04801.</w:t>
      </w:r>
    </w:p>
  </w:footnote>
  <w:footnote w:id="3">
    <w:p w14:paraId="7A1D047F" w14:textId="62E8EA26" w:rsidR="00811750" w:rsidRPr="00AE210A" w:rsidRDefault="00811750">
      <w:pPr>
        <w:pStyle w:val="FootnoteText"/>
        <w:rPr>
          <w:rFonts w:ascii="Aptos" w:hAnsi="Aptos"/>
        </w:rPr>
      </w:pPr>
      <w:r w:rsidRPr="00AE210A">
        <w:rPr>
          <w:rStyle w:val="FootnoteReference"/>
          <w:rFonts w:ascii="Aptos" w:hAnsi="Aptos"/>
        </w:rPr>
        <w:footnoteRef/>
      </w:r>
      <w:r w:rsidRPr="00AE210A">
        <w:rPr>
          <w:rFonts w:ascii="Aptos" w:hAnsi="Aptos"/>
        </w:rPr>
        <w:t xml:space="preserve"> </w:t>
      </w:r>
      <w:r w:rsidR="000808C6" w:rsidRPr="00AE210A">
        <w:rPr>
          <w:rFonts w:ascii="Aptos" w:hAnsi="Aptos"/>
        </w:rPr>
        <w:t xml:space="preserve">The following facts are derived from the pleadings </w:t>
      </w:r>
      <w:r w:rsidR="001A04A3" w:rsidRPr="00AE210A">
        <w:rPr>
          <w:rFonts w:ascii="Aptos" w:hAnsi="Aptos"/>
        </w:rPr>
        <w:t>and are subject to change in subsequent rulings or decision</w:t>
      </w:r>
      <w:r w:rsidR="000808C6" w:rsidRPr="00AE210A">
        <w:rPr>
          <w:rFonts w:ascii="Aptos" w:hAnsi="Aptos"/>
        </w:rPr>
        <w:t xml:space="preserve">. I take those </w:t>
      </w:r>
      <w:r w:rsidR="00CC17DB" w:rsidRPr="00AE210A">
        <w:rPr>
          <w:rFonts w:ascii="Aptos" w:hAnsi="Aptos"/>
        </w:rPr>
        <w:t xml:space="preserve">facts </w:t>
      </w:r>
      <w:r w:rsidR="000808C6" w:rsidRPr="00AE210A">
        <w:rPr>
          <w:rFonts w:ascii="Aptos" w:hAnsi="Aptos"/>
        </w:rPr>
        <w:t xml:space="preserve">pled by </w:t>
      </w:r>
      <w:r w:rsidR="001A04A3" w:rsidRPr="00AE210A">
        <w:rPr>
          <w:rFonts w:ascii="Aptos" w:hAnsi="Aptos"/>
        </w:rPr>
        <w:t>Parent</w:t>
      </w:r>
      <w:r w:rsidR="00CC17DB" w:rsidRPr="00AE210A">
        <w:rPr>
          <w:rFonts w:ascii="Aptos" w:hAnsi="Aptos"/>
        </w:rPr>
        <w:t>s</w:t>
      </w:r>
      <w:r w:rsidR="000808C6" w:rsidRPr="00AE210A">
        <w:rPr>
          <w:rFonts w:ascii="Aptos" w:hAnsi="Aptos"/>
        </w:rPr>
        <w:t xml:space="preserve"> as true for purposes of </w:t>
      </w:r>
      <w:r w:rsidR="001A04A3" w:rsidRPr="00AE210A">
        <w:rPr>
          <w:rFonts w:ascii="Aptos" w:hAnsi="Aptos"/>
        </w:rPr>
        <w:t>Peabody’s</w:t>
      </w:r>
      <w:r w:rsidR="000808C6" w:rsidRPr="00AE210A">
        <w:rPr>
          <w:rFonts w:ascii="Aptos" w:hAnsi="Aptos"/>
        </w:rPr>
        <w:t> </w:t>
      </w:r>
      <w:r w:rsidR="000808C6" w:rsidRPr="00AE210A">
        <w:rPr>
          <w:rFonts w:ascii="Aptos" w:hAnsi="Aptos"/>
          <w:i/>
          <w:iCs/>
        </w:rPr>
        <w:t>Motion to Dismiss</w:t>
      </w:r>
      <w:r w:rsidR="000808C6" w:rsidRPr="00AE210A">
        <w:rPr>
          <w:rFonts w:ascii="Aptos" w:hAnsi="Aptos"/>
        </w:rPr>
        <w:t>, as well as any inferences that may be drawn therefrom</w:t>
      </w:r>
      <w:r w:rsidR="00576D4E" w:rsidRPr="00AE210A">
        <w:rPr>
          <w:rFonts w:ascii="Aptos" w:hAnsi="Aptos"/>
        </w:rPr>
        <w:t xml:space="preserve">. </w:t>
      </w:r>
      <w:r w:rsidR="00AA7BD4" w:rsidRPr="00AE210A">
        <w:rPr>
          <w:rFonts w:ascii="Aptos" w:hAnsi="Aptos"/>
        </w:rPr>
        <w:t>See </w:t>
      </w:r>
      <w:r w:rsidR="00AA7BD4" w:rsidRPr="00AE210A">
        <w:rPr>
          <w:rFonts w:ascii="Aptos" w:hAnsi="Aptos"/>
          <w:i/>
          <w:iCs/>
        </w:rPr>
        <w:t>Blank v. Chelmsford Ob/Gyn, P.C.</w:t>
      </w:r>
      <w:r w:rsidR="00AA7BD4" w:rsidRPr="00AE210A">
        <w:rPr>
          <w:rFonts w:ascii="Aptos" w:hAnsi="Aptos"/>
        </w:rPr>
        <w:t>, 420 Mass. 404, 407 (1995)</w:t>
      </w:r>
      <w:r w:rsidR="00CC17DB" w:rsidRPr="00AE210A">
        <w:rPr>
          <w:rFonts w:ascii="Aptos" w:hAnsi="Aptos"/>
        </w:rPr>
        <w:t>.</w:t>
      </w:r>
    </w:p>
  </w:footnote>
  <w:footnote w:id="4">
    <w:p w14:paraId="0AC79A71" w14:textId="35278736" w:rsidR="00DE5247" w:rsidRPr="00AE210A" w:rsidRDefault="00DE5247">
      <w:pPr>
        <w:pStyle w:val="FootnoteText"/>
        <w:rPr>
          <w:rFonts w:ascii="Aptos" w:hAnsi="Aptos"/>
        </w:rPr>
      </w:pPr>
      <w:r w:rsidRPr="00AE210A">
        <w:rPr>
          <w:rStyle w:val="FootnoteReference"/>
          <w:rFonts w:ascii="Aptos" w:hAnsi="Aptos"/>
        </w:rPr>
        <w:footnoteRef/>
      </w:r>
      <w:r w:rsidRPr="00AE210A">
        <w:rPr>
          <w:rFonts w:ascii="Aptos" w:hAnsi="Aptos"/>
        </w:rPr>
        <w:t xml:space="preserve"> </w:t>
      </w:r>
      <w:r w:rsidR="006530F9" w:rsidRPr="00AE210A">
        <w:rPr>
          <w:rFonts w:ascii="Aptos" w:hAnsi="Aptos"/>
        </w:rPr>
        <w:t>The BSEA</w:t>
      </w:r>
      <w:r w:rsidR="00B47EA9" w:rsidRPr="00AE210A">
        <w:rPr>
          <w:rFonts w:ascii="Aptos" w:hAnsi="Aptos"/>
        </w:rPr>
        <w:t>’s</w:t>
      </w:r>
      <w:r w:rsidR="006530F9" w:rsidRPr="00AE210A">
        <w:rPr>
          <w:rFonts w:ascii="Aptos" w:hAnsi="Aptos"/>
        </w:rPr>
        <w:t xml:space="preserve"> time stamp incorrectly mark</w:t>
      </w:r>
      <w:r w:rsidR="00960B38" w:rsidRPr="00AE210A">
        <w:rPr>
          <w:rFonts w:ascii="Aptos" w:hAnsi="Aptos"/>
        </w:rPr>
        <w:t>ed</w:t>
      </w:r>
      <w:r w:rsidR="006530F9" w:rsidRPr="00AE210A">
        <w:rPr>
          <w:rFonts w:ascii="Aptos" w:hAnsi="Aptos"/>
        </w:rPr>
        <w:t xml:space="preserve"> the date as January 12, 2025, not 2026.</w:t>
      </w:r>
    </w:p>
  </w:footnote>
  <w:footnote w:id="5">
    <w:p w14:paraId="61CDC885" w14:textId="21E0C829" w:rsidR="00D357B5" w:rsidRPr="00AE210A" w:rsidRDefault="00D357B5">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w:t>
      </w:r>
      <w:r w:rsidR="00313A19" w:rsidRPr="00AE210A">
        <w:rPr>
          <w:rFonts w:ascii="Aptos" w:hAnsi="Aptos"/>
          <w:color w:val="000000" w:themeColor="text1"/>
        </w:rPr>
        <w:t xml:space="preserve">See </w:t>
      </w:r>
      <w:r w:rsidR="00313A19" w:rsidRPr="00AE210A">
        <w:rPr>
          <w:rFonts w:ascii="Aptos" w:hAnsi="Aptos"/>
          <w:i/>
          <w:iCs/>
          <w:color w:val="000000" w:themeColor="text1"/>
        </w:rPr>
        <w:t>Ahmed v. Rosenblatt</w:t>
      </w:r>
      <w:r w:rsidR="00313A19" w:rsidRPr="00AE210A">
        <w:rPr>
          <w:rFonts w:ascii="Aptos" w:hAnsi="Aptos"/>
          <w:color w:val="000000" w:themeColor="text1"/>
        </w:rPr>
        <w:t>, 118 F.3d 886, 890 (1st Cir. 1997).</w:t>
      </w:r>
    </w:p>
  </w:footnote>
  <w:footnote w:id="6">
    <w:p w14:paraId="54F2592B" w14:textId="0541476A" w:rsidR="00313A19" w:rsidRPr="00AE210A" w:rsidRDefault="00313A19">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w:t>
      </w:r>
      <w:r w:rsidRPr="00AE210A">
        <w:rPr>
          <w:rFonts w:ascii="Aptos" w:hAnsi="Aptos"/>
          <w:i/>
          <w:iCs/>
          <w:color w:val="000000" w:themeColor="text1"/>
        </w:rPr>
        <w:t>Id.</w:t>
      </w:r>
    </w:p>
  </w:footnote>
  <w:footnote w:id="7">
    <w:p w14:paraId="13DBD28B" w14:textId="534CC296" w:rsidR="00313A19" w:rsidRPr="00AE210A" w:rsidRDefault="00313A19">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w:t>
      </w:r>
      <w:r w:rsidRPr="00AE210A">
        <w:rPr>
          <w:rFonts w:ascii="Aptos" w:hAnsi="Aptos"/>
          <w:i/>
          <w:iCs/>
          <w:color w:val="000000" w:themeColor="text1"/>
        </w:rPr>
        <w:t>Id</w:t>
      </w:r>
      <w:r w:rsidRPr="00AE210A">
        <w:rPr>
          <w:rFonts w:ascii="Aptos" w:hAnsi="Aptos"/>
          <w:color w:val="000000" w:themeColor="text1"/>
        </w:rPr>
        <w:t>.</w:t>
      </w:r>
    </w:p>
  </w:footnote>
  <w:footnote w:id="8">
    <w:p w14:paraId="1097D029" w14:textId="77777777" w:rsidR="00E90201" w:rsidRPr="00AE210A" w:rsidRDefault="00E90201" w:rsidP="00E90201">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Hearing Officers are bound by the BSEA </w:t>
      </w:r>
      <w:r w:rsidRPr="00AE210A">
        <w:rPr>
          <w:rFonts w:ascii="Aptos" w:hAnsi="Aptos"/>
          <w:i/>
          <w:iCs/>
          <w:color w:val="000000" w:themeColor="text1"/>
        </w:rPr>
        <w:t>Hearing Rules</w:t>
      </w:r>
      <w:r w:rsidRPr="00AE210A">
        <w:rPr>
          <w:rFonts w:ascii="Aptos" w:hAnsi="Aptos"/>
          <w:color w:val="000000" w:themeColor="text1"/>
        </w:rPr>
        <w:t xml:space="preserve"> and the </w:t>
      </w:r>
      <w:r w:rsidRPr="00AE210A">
        <w:rPr>
          <w:rFonts w:ascii="Aptos" w:hAnsi="Aptos"/>
          <w:i/>
          <w:iCs/>
          <w:color w:val="000000" w:themeColor="text1"/>
        </w:rPr>
        <w:t>Standard Rules of Adjudicatory Practice and Procedure</w:t>
      </w:r>
      <w:r w:rsidRPr="00AE210A">
        <w:rPr>
          <w:rFonts w:ascii="Aptos" w:hAnsi="Aptos"/>
          <w:color w:val="000000" w:themeColor="text1"/>
        </w:rPr>
        <w:t>, 801 Code Mass Regs 1.01.</w:t>
      </w:r>
    </w:p>
  </w:footnote>
  <w:footnote w:id="9">
    <w:p w14:paraId="2B197915" w14:textId="77777777" w:rsidR="00E90201" w:rsidRPr="00AE210A" w:rsidRDefault="00E90201" w:rsidP="00E90201">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w:t>
      </w:r>
      <w:r w:rsidRPr="00AE210A">
        <w:rPr>
          <w:rFonts w:ascii="Aptos" w:hAnsi="Aptos"/>
          <w:i/>
          <w:iCs/>
          <w:color w:val="000000" w:themeColor="text1"/>
        </w:rPr>
        <w:t>Iannocchino v. Ford Motor Co.,</w:t>
      </w:r>
      <w:r w:rsidRPr="00AE210A">
        <w:rPr>
          <w:rFonts w:ascii="Aptos" w:hAnsi="Aptos"/>
          <w:color w:val="000000" w:themeColor="text1"/>
        </w:rPr>
        <w:t xml:space="preserve"> 451 Mass. 623, 636 (2008) (quoting </w:t>
      </w:r>
      <w:r w:rsidRPr="00AE210A">
        <w:rPr>
          <w:rFonts w:ascii="Aptos" w:hAnsi="Aptos"/>
          <w:i/>
          <w:iCs/>
          <w:color w:val="000000" w:themeColor="text1"/>
        </w:rPr>
        <w:t>Bell Atl. Corp. v. Twombly</w:t>
      </w:r>
      <w:r w:rsidRPr="00AE210A">
        <w:rPr>
          <w:rFonts w:ascii="Aptos" w:hAnsi="Aptos"/>
          <w:color w:val="000000" w:themeColor="text1"/>
        </w:rPr>
        <w:t>, 550 U.S. 544, 557 (2007)).</w:t>
      </w:r>
    </w:p>
  </w:footnote>
  <w:footnote w:id="10">
    <w:p w14:paraId="0B46D959" w14:textId="7A2177A5" w:rsidR="00E90201" w:rsidRPr="00AE210A" w:rsidRDefault="00E90201" w:rsidP="00E90201">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w:t>
      </w:r>
      <w:r w:rsidR="002E61E1" w:rsidRPr="00AE210A">
        <w:rPr>
          <w:rFonts w:ascii="Aptos" w:hAnsi="Aptos"/>
          <w:i/>
          <w:iCs/>
          <w:color w:val="000000" w:themeColor="text1"/>
        </w:rPr>
        <w:t> Blank v. Chelmsford Ob/Gyn, P.C</w:t>
      </w:r>
      <w:r w:rsidR="002E61E1" w:rsidRPr="00AE210A">
        <w:rPr>
          <w:rFonts w:ascii="Aptos" w:hAnsi="Aptos"/>
          <w:color w:val="000000" w:themeColor="text1"/>
        </w:rPr>
        <w:t>., 420 Mass. 404, 407 (1995).</w:t>
      </w:r>
    </w:p>
  </w:footnote>
  <w:footnote w:id="11">
    <w:p w14:paraId="380CE015" w14:textId="77777777" w:rsidR="00E90201" w:rsidRPr="00AE210A" w:rsidRDefault="00E90201" w:rsidP="00E90201">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w:t>
      </w:r>
      <w:r w:rsidRPr="00AE210A">
        <w:rPr>
          <w:rFonts w:ascii="Aptos" w:hAnsi="Aptos"/>
          <w:i/>
          <w:iCs/>
          <w:color w:val="000000" w:themeColor="text1"/>
        </w:rPr>
        <w:t>Golchin v. Liberty Mut. Ins. Co.</w:t>
      </w:r>
      <w:r w:rsidRPr="00AE210A">
        <w:rPr>
          <w:rFonts w:ascii="Aptos" w:hAnsi="Aptos"/>
          <w:color w:val="000000" w:themeColor="text1"/>
        </w:rPr>
        <w:t>, 460 Mass. 222, 223 (2011) (internal quotation marks and citations omitted).</w:t>
      </w:r>
    </w:p>
  </w:footnote>
  <w:footnote w:id="12">
    <w:p w14:paraId="60FD5AAC" w14:textId="77777777" w:rsidR="00E90201" w:rsidRPr="00AE210A" w:rsidRDefault="00E90201" w:rsidP="00E90201">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See 34 C.F.R. §300.507(a)(1).</w:t>
      </w:r>
    </w:p>
  </w:footnote>
  <w:footnote w:id="13">
    <w:p w14:paraId="728C588A" w14:textId="77777777" w:rsidR="00E90201" w:rsidRPr="00AE210A" w:rsidRDefault="00E90201" w:rsidP="00E90201">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Limited exceptions exist that are not here applicable.</w:t>
      </w:r>
    </w:p>
  </w:footnote>
  <w:footnote w:id="14">
    <w:p w14:paraId="0D2DA118" w14:textId="77777777" w:rsidR="00E90201" w:rsidRPr="00AE210A" w:rsidRDefault="00E90201" w:rsidP="00E90201">
      <w:pPr>
        <w:pStyle w:val="FootnoteText"/>
        <w:rPr>
          <w:rFonts w:ascii="Aptos" w:hAnsi="Aptos"/>
          <w:color w:val="000000" w:themeColor="text1"/>
        </w:rPr>
      </w:pPr>
      <w:r w:rsidRPr="00AE210A">
        <w:rPr>
          <w:rStyle w:val="FootnoteReference"/>
          <w:rFonts w:ascii="Aptos" w:hAnsi="Aptos"/>
          <w:color w:val="000000" w:themeColor="text1"/>
        </w:rPr>
        <w:footnoteRef/>
      </w:r>
      <w:r w:rsidRPr="00AE210A">
        <w:rPr>
          <w:rFonts w:ascii="Aptos" w:hAnsi="Aptos"/>
          <w:color w:val="000000" w:themeColor="text1"/>
        </w:rPr>
        <w:t xml:space="preserve"> 603 CMR 28.08(3)(a).</w:t>
      </w:r>
    </w:p>
  </w:footnote>
  <w:footnote w:id="15">
    <w:p w14:paraId="2A89CC0B" w14:textId="2EDDF807" w:rsidR="00E90201" w:rsidRPr="00AE210A" w:rsidRDefault="00E90201" w:rsidP="00E90201">
      <w:pPr>
        <w:tabs>
          <w:tab w:val="left" w:pos="2792"/>
        </w:tabs>
        <w:rPr>
          <w:rFonts w:ascii="Aptos" w:hAnsi="Aptos"/>
          <w:color w:val="000000" w:themeColor="text1"/>
          <w:sz w:val="20"/>
          <w:szCs w:val="20"/>
        </w:rPr>
      </w:pPr>
      <w:r w:rsidRPr="00AE210A">
        <w:rPr>
          <w:rStyle w:val="FootnoteReference"/>
          <w:rFonts w:ascii="Aptos" w:hAnsi="Aptos"/>
          <w:color w:val="000000" w:themeColor="text1"/>
          <w:sz w:val="20"/>
          <w:szCs w:val="20"/>
        </w:rPr>
        <w:footnoteRef/>
      </w:r>
      <w:r w:rsidRPr="00AE210A">
        <w:rPr>
          <w:rFonts w:ascii="Aptos" w:hAnsi="Aptos"/>
          <w:color w:val="000000" w:themeColor="text1"/>
          <w:sz w:val="20"/>
          <w:szCs w:val="20"/>
        </w:rPr>
        <w:t xml:space="preserve"> See </w:t>
      </w:r>
      <w:r w:rsidRPr="00AE210A">
        <w:rPr>
          <w:rFonts w:ascii="Aptos" w:hAnsi="Aptos"/>
          <w:i/>
          <w:iCs/>
          <w:color w:val="000000" w:themeColor="text1"/>
          <w:sz w:val="20"/>
          <w:szCs w:val="20"/>
        </w:rPr>
        <w:t>In Re: Student v. Bay Path Reg'l Vocational Tech. High Sch.</w:t>
      </w:r>
      <w:r w:rsidRPr="00AE210A">
        <w:rPr>
          <w:rFonts w:ascii="Aptos" w:hAnsi="Aptos"/>
          <w:color w:val="000000" w:themeColor="text1"/>
          <w:sz w:val="20"/>
          <w:szCs w:val="20"/>
        </w:rPr>
        <w:t>, BSEA #</w:t>
      </w:r>
      <w:r w:rsidR="008F6DB1" w:rsidRPr="00AE210A">
        <w:rPr>
          <w:rFonts w:ascii="Aptos" w:hAnsi="Aptos"/>
          <w:color w:val="000000" w:themeColor="text1"/>
          <w:sz w:val="20"/>
          <w:szCs w:val="20"/>
        </w:rPr>
        <w:t>1805746</w:t>
      </w:r>
      <w:r w:rsidRPr="00AE210A">
        <w:rPr>
          <w:rFonts w:ascii="Aptos" w:hAnsi="Aptos"/>
          <w:color w:val="000000" w:themeColor="text1"/>
          <w:sz w:val="20"/>
          <w:szCs w:val="20"/>
        </w:rPr>
        <w:t xml:space="preserve"> (Figueroa, 2018).</w:t>
      </w:r>
    </w:p>
  </w:footnote>
  <w:footnote w:id="16">
    <w:p w14:paraId="03658FED" w14:textId="3EA6C2DA" w:rsidR="00E90201" w:rsidRPr="00AE210A" w:rsidRDefault="00E90201" w:rsidP="00E90201">
      <w:pPr>
        <w:tabs>
          <w:tab w:val="left" w:pos="2792"/>
        </w:tabs>
        <w:rPr>
          <w:rFonts w:ascii="Aptos" w:hAnsi="Aptos"/>
          <w:color w:val="000000" w:themeColor="text1"/>
          <w:sz w:val="20"/>
          <w:szCs w:val="20"/>
        </w:rPr>
      </w:pPr>
      <w:r w:rsidRPr="00AE210A">
        <w:rPr>
          <w:rStyle w:val="FootnoteReference"/>
          <w:rFonts w:ascii="Aptos" w:hAnsi="Aptos"/>
          <w:color w:val="000000" w:themeColor="text1"/>
          <w:sz w:val="20"/>
          <w:szCs w:val="20"/>
        </w:rPr>
        <w:footnoteRef/>
      </w:r>
      <w:r w:rsidRPr="00AE210A">
        <w:rPr>
          <w:rFonts w:ascii="Aptos" w:hAnsi="Aptos"/>
          <w:color w:val="000000" w:themeColor="text1"/>
          <w:sz w:val="20"/>
          <w:szCs w:val="20"/>
        </w:rPr>
        <w:t xml:space="preserve"> </w:t>
      </w:r>
      <w:r w:rsidRPr="00AE210A">
        <w:rPr>
          <w:rFonts w:ascii="Aptos" w:hAnsi="Aptos"/>
          <w:i/>
          <w:iCs/>
          <w:color w:val="000000" w:themeColor="text1"/>
          <w:sz w:val="20"/>
          <w:szCs w:val="20"/>
        </w:rPr>
        <w:t>In Re: Georgetown Pub. Sch</w:t>
      </w:r>
      <w:r w:rsidRPr="00AE210A">
        <w:rPr>
          <w:rFonts w:ascii="Aptos" w:hAnsi="Aptos"/>
          <w:color w:val="000000" w:themeColor="text1"/>
          <w:sz w:val="20"/>
          <w:szCs w:val="20"/>
        </w:rPr>
        <w:t>., BSEA #</w:t>
      </w:r>
      <w:r w:rsidR="006426FC" w:rsidRPr="00AE210A">
        <w:rPr>
          <w:rFonts w:ascii="Aptos" w:hAnsi="Aptos"/>
          <w:color w:val="000000" w:themeColor="text1"/>
          <w:sz w:val="20"/>
          <w:szCs w:val="20"/>
        </w:rPr>
        <w:t xml:space="preserve"> </w:t>
      </w:r>
      <w:r w:rsidRPr="00AE210A">
        <w:rPr>
          <w:rFonts w:ascii="Aptos" w:hAnsi="Aptos"/>
          <w:color w:val="000000" w:themeColor="text1"/>
          <w:sz w:val="20"/>
          <w:szCs w:val="20"/>
        </w:rPr>
        <w:t>1405352 (Berman, 2014).</w:t>
      </w:r>
    </w:p>
  </w:footnote>
  <w:footnote w:id="17">
    <w:p w14:paraId="6AFA5254" w14:textId="78EA13FB" w:rsidR="000932C0" w:rsidRPr="00AE210A" w:rsidRDefault="000932C0">
      <w:pPr>
        <w:pStyle w:val="FootnoteText"/>
        <w:rPr>
          <w:rFonts w:ascii="Aptos" w:hAnsi="Aptos"/>
        </w:rPr>
      </w:pPr>
      <w:r w:rsidRPr="00AE210A">
        <w:rPr>
          <w:rStyle w:val="FootnoteReference"/>
          <w:rFonts w:ascii="Aptos" w:hAnsi="Aptos"/>
        </w:rPr>
        <w:footnoteRef/>
      </w:r>
      <w:r w:rsidRPr="00AE210A">
        <w:rPr>
          <w:rFonts w:ascii="Aptos" w:hAnsi="Aptos"/>
        </w:rPr>
        <w:t xml:space="preserve"> 20 USC § 1415(f)(3) (emphasis added).</w:t>
      </w:r>
    </w:p>
  </w:footnote>
  <w:footnote w:id="18">
    <w:p w14:paraId="687D8EFC" w14:textId="0020470D" w:rsidR="002E6073" w:rsidRPr="00AE210A" w:rsidRDefault="002E6073">
      <w:pPr>
        <w:pStyle w:val="FootnoteText"/>
        <w:rPr>
          <w:rFonts w:ascii="Aptos" w:hAnsi="Aptos"/>
        </w:rPr>
      </w:pPr>
      <w:r w:rsidRPr="00AE210A">
        <w:rPr>
          <w:rStyle w:val="FootnoteReference"/>
          <w:rFonts w:ascii="Aptos" w:hAnsi="Aptos"/>
        </w:rPr>
        <w:footnoteRef/>
      </w:r>
      <w:r w:rsidRPr="00AE210A">
        <w:rPr>
          <w:rFonts w:ascii="Aptos" w:hAnsi="Aptos"/>
        </w:rPr>
        <w:t xml:space="preserve"> </w:t>
      </w:r>
      <w:r w:rsidRPr="00AE210A">
        <w:rPr>
          <w:rFonts w:ascii="Aptos" w:hAnsi="Aptos"/>
          <w:bCs/>
          <w:color w:val="000000" w:themeColor="text1"/>
        </w:rPr>
        <w:t xml:space="preserve">See 34 CFR 300.504(a); see also </w:t>
      </w:r>
      <w:r w:rsidRPr="00AE210A">
        <w:rPr>
          <w:rFonts w:ascii="Aptos" w:hAnsi="Aptos"/>
          <w:bCs/>
          <w:i/>
          <w:iCs/>
          <w:color w:val="000000" w:themeColor="text1"/>
        </w:rPr>
        <w:t xml:space="preserve">Administrative Advisory SPED 2001-4: Finding of No Eligibility for Special Education </w:t>
      </w:r>
      <w:r w:rsidRPr="00AE210A">
        <w:rPr>
          <w:rFonts w:ascii="Aptos" w:hAnsi="Aptos"/>
          <w:bCs/>
          <w:color w:val="000000" w:themeColor="text1"/>
        </w:rPr>
        <w:t>which may be found at https://www.doe.mass.edu/sped/advisories/01_4.html.</w:t>
      </w:r>
    </w:p>
  </w:footnote>
  <w:footnote w:id="19">
    <w:p w14:paraId="2F501A01" w14:textId="672C0362" w:rsidR="0059393D" w:rsidRPr="00AE210A" w:rsidRDefault="0059393D">
      <w:pPr>
        <w:pStyle w:val="FootnoteText"/>
        <w:rPr>
          <w:rFonts w:ascii="Aptos" w:hAnsi="Aptos"/>
        </w:rPr>
      </w:pPr>
      <w:r w:rsidRPr="00AE210A">
        <w:rPr>
          <w:rStyle w:val="FootnoteReference"/>
          <w:rFonts w:ascii="Aptos" w:hAnsi="Aptos"/>
        </w:rPr>
        <w:footnoteRef/>
      </w:r>
      <w:r w:rsidRPr="00AE210A">
        <w:rPr>
          <w:rFonts w:ascii="Aptos" w:hAnsi="Aptos"/>
        </w:rPr>
        <w:t xml:space="preserve"> </w:t>
      </w:r>
      <w:r w:rsidRPr="00AE210A">
        <w:rPr>
          <w:rFonts w:ascii="Aptos" w:hAnsi="Aptos"/>
          <w:bCs/>
          <w:color w:val="000000" w:themeColor="text1"/>
        </w:rPr>
        <w:t>See 34 CFR 300.504(c); see also</w:t>
      </w:r>
      <w:r w:rsidRPr="00AE210A">
        <w:rPr>
          <w:rFonts w:ascii="Aptos" w:hAnsi="Aptos"/>
          <w:bCs/>
          <w:i/>
          <w:iCs/>
          <w:color w:val="000000" w:themeColor="text1"/>
        </w:rPr>
        <w:t xml:space="preserve"> Administrative Advisory SPED 2001-4</w:t>
      </w:r>
      <w:r w:rsidRPr="00AE210A">
        <w:rPr>
          <w:rFonts w:ascii="Aptos" w:hAnsi="Aptos"/>
          <w:bCs/>
          <w:color w:val="000000" w:themeColor="text1"/>
        </w:rPr>
        <w:t xml:space="preserve"> (“Forms N 1 and N 2 must be mailed with a Parents’ Rights Brochure to meet federal requirements. The Parents’ Rights Brochure contains contact information for both the BSEA and the PRS”).</w:t>
      </w:r>
    </w:p>
  </w:footnote>
  <w:footnote w:id="20">
    <w:p w14:paraId="4AA29E72" w14:textId="78785E06" w:rsidR="0059393D" w:rsidRPr="00AE210A" w:rsidRDefault="0059393D">
      <w:pPr>
        <w:pStyle w:val="FootnoteText"/>
        <w:rPr>
          <w:rFonts w:ascii="Aptos" w:hAnsi="Aptos"/>
        </w:rPr>
      </w:pPr>
      <w:r w:rsidRPr="00AE210A">
        <w:rPr>
          <w:rStyle w:val="FootnoteReference"/>
          <w:rFonts w:ascii="Aptos" w:hAnsi="Aptos"/>
        </w:rPr>
        <w:footnoteRef/>
      </w:r>
      <w:r w:rsidRPr="00AE210A">
        <w:rPr>
          <w:rFonts w:ascii="Aptos" w:hAnsi="Aptos"/>
        </w:rPr>
        <w:t xml:space="preserve"> </w:t>
      </w:r>
      <w:r w:rsidRPr="00AE210A">
        <w:rPr>
          <w:rFonts w:ascii="Aptos" w:hAnsi="Aptos"/>
          <w:bCs/>
          <w:i/>
          <w:iCs/>
          <w:color w:val="000000" w:themeColor="text1"/>
        </w:rPr>
        <w:t>El Paso Indep. Sch. Dist. v. Richard R.,</w:t>
      </w:r>
      <w:r w:rsidRPr="00AE210A">
        <w:rPr>
          <w:rFonts w:ascii="Aptos" w:hAnsi="Aptos"/>
          <w:bCs/>
          <w:color w:val="000000" w:themeColor="text1"/>
        </w:rPr>
        <w:t xml:space="preserve"> 567 F. Supp. 2d 918, 945 (W.D. Tex. 2008).</w:t>
      </w:r>
    </w:p>
  </w:footnote>
  <w:footnote w:id="21">
    <w:p w14:paraId="37CC7E92" w14:textId="3F46D721" w:rsidR="008F3F6E" w:rsidRPr="00AE210A" w:rsidRDefault="008F3F6E">
      <w:pPr>
        <w:pStyle w:val="FootnoteText"/>
        <w:rPr>
          <w:rFonts w:ascii="Aptos" w:hAnsi="Aptos"/>
        </w:rPr>
      </w:pPr>
      <w:r w:rsidRPr="00AE210A">
        <w:rPr>
          <w:rStyle w:val="FootnoteReference"/>
          <w:rFonts w:ascii="Aptos" w:hAnsi="Aptos"/>
        </w:rPr>
        <w:footnoteRef/>
      </w:r>
      <w:r w:rsidRPr="00AE210A">
        <w:rPr>
          <w:rFonts w:ascii="Aptos" w:hAnsi="Aptos"/>
        </w:rPr>
        <w:t xml:space="preserve"> </w:t>
      </w:r>
      <w:r w:rsidRPr="00AE210A">
        <w:rPr>
          <w:rFonts w:ascii="Aptos" w:hAnsi="Aptos"/>
          <w:color w:val="000000" w:themeColor="text1"/>
        </w:rPr>
        <w:t>See 20 U.S.C. § 1415(f)(3)(C)–(D).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6678F"/>
    <w:multiLevelType w:val="hybridMultilevel"/>
    <w:tmpl w:val="580C1520"/>
    <w:lvl w:ilvl="0" w:tplc="4B00D6BA">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975039A"/>
    <w:multiLevelType w:val="hybridMultilevel"/>
    <w:tmpl w:val="ABB4B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654D1"/>
    <w:multiLevelType w:val="hybridMultilevel"/>
    <w:tmpl w:val="C4A6C2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A21E6"/>
    <w:multiLevelType w:val="multilevel"/>
    <w:tmpl w:val="4B1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A21DC7"/>
    <w:multiLevelType w:val="hybridMultilevel"/>
    <w:tmpl w:val="4C8C2C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A36882"/>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B7026DF"/>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5E03646B"/>
    <w:multiLevelType w:val="hybridMultilevel"/>
    <w:tmpl w:val="F0F462E6"/>
    <w:lvl w:ilvl="0" w:tplc="821A7D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A0EE4"/>
    <w:multiLevelType w:val="hybridMultilevel"/>
    <w:tmpl w:val="30BE4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E6250"/>
    <w:multiLevelType w:val="hybridMultilevel"/>
    <w:tmpl w:val="279AC152"/>
    <w:lvl w:ilvl="0" w:tplc="242ACE76">
      <w:start w:val="1"/>
      <w:numFmt w:val="upperRoman"/>
      <w:lvlText w:val="%1."/>
      <w:lvlJc w:val="left"/>
      <w:pPr>
        <w:ind w:left="1080" w:hanging="720"/>
      </w:pPr>
      <w:rPr>
        <w:rFonts w:hint="default"/>
        <w:i w:val="0"/>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17B0F"/>
    <w:multiLevelType w:val="hybridMultilevel"/>
    <w:tmpl w:val="848433F2"/>
    <w:lvl w:ilvl="0" w:tplc="3530D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51090"/>
    <w:multiLevelType w:val="hybridMultilevel"/>
    <w:tmpl w:val="6854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2127">
    <w:abstractNumId w:val="3"/>
  </w:num>
  <w:num w:numId="2" w16cid:durableId="981539828">
    <w:abstractNumId w:val="14"/>
  </w:num>
  <w:num w:numId="3" w16cid:durableId="950011309">
    <w:abstractNumId w:val="0"/>
  </w:num>
  <w:num w:numId="4" w16cid:durableId="232744372">
    <w:abstractNumId w:val="5"/>
  </w:num>
  <w:num w:numId="5" w16cid:durableId="343629977">
    <w:abstractNumId w:val="9"/>
  </w:num>
  <w:num w:numId="6" w16cid:durableId="474032604">
    <w:abstractNumId w:val="16"/>
  </w:num>
  <w:num w:numId="7" w16cid:durableId="337925527">
    <w:abstractNumId w:val="8"/>
  </w:num>
  <w:num w:numId="8" w16cid:durableId="1999453163">
    <w:abstractNumId w:val="2"/>
  </w:num>
  <w:num w:numId="9" w16cid:durableId="1066296128">
    <w:abstractNumId w:val="6"/>
  </w:num>
  <w:num w:numId="10" w16cid:durableId="1330869314">
    <w:abstractNumId w:val="15"/>
  </w:num>
  <w:num w:numId="11" w16cid:durableId="584414947">
    <w:abstractNumId w:val="10"/>
  </w:num>
  <w:num w:numId="12" w16cid:durableId="1389063315">
    <w:abstractNumId w:val="4"/>
  </w:num>
  <w:num w:numId="13" w16cid:durableId="502355931">
    <w:abstractNumId w:val="1"/>
  </w:num>
  <w:num w:numId="14" w16cid:durableId="1788500808">
    <w:abstractNumId w:val="18"/>
  </w:num>
  <w:num w:numId="15" w16cid:durableId="2106881025">
    <w:abstractNumId w:val="19"/>
  </w:num>
  <w:num w:numId="16" w16cid:durableId="739330411">
    <w:abstractNumId w:val="13"/>
  </w:num>
  <w:num w:numId="17" w16cid:durableId="1082064914">
    <w:abstractNumId w:val="7"/>
  </w:num>
  <w:num w:numId="18" w16cid:durableId="380861040">
    <w:abstractNumId w:val="11"/>
  </w:num>
  <w:num w:numId="19" w16cid:durableId="2032487266">
    <w:abstractNumId w:val="12"/>
  </w:num>
  <w:num w:numId="20" w16cid:durableId="383019502">
    <w:abstractNumId w:val="17"/>
  </w:num>
  <w:num w:numId="21" w16cid:durableId="11674026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035AE"/>
    <w:rsid w:val="000120FD"/>
    <w:rsid w:val="00012D3D"/>
    <w:rsid w:val="00012FE5"/>
    <w:rsid w:val="00016FFD"/>
    <w:rsid w:val="00020D5B"/>
    <w:rsid w:val="00021853"/>
    <w:rsid w:val="000218C7"/>
    <w:rsid w:val="000223FD"/>
    <w:rsid w:val="000377A2"/>
    <w:rsid w:val="000439ED"/>
    <w:rsid w:val="00043DE3"/>
    <w:rsid w:val="00050D21"/>
    <w:rsid w:val="00052BC0"/>
    <w:rsid w:val="00053762"/>
    <w:rsid w:val="0005397F"/>
    <w:rsid w:val="000571BA"/>
    <w:rsid w:val="00060BAC"/>
    <w:rsid w:val="00060EB6"/>
    <w:rsid w:val="00062D64"/>
    <w:rsid w:val="000663F9"/>
    <w:rsid w:val="00072E68"/>
    <w:rsid w:val="000808C6"/>
    <w:rsid w:val="00082587"/>
    <w:rsid w:val="0008397F"/>
    <w:rsid w:val="00086615"/>
    <w:rsid w:val="000932C0"/>
    <w:rsid w:val="00097D5B"/>
    <w:rsid w:val="000A341B"/>
    <w:rsid w:val="000A399E"/>
    <w:rsid w:val="000B05B3"/>
    <w:rsid w:val="000B2072"/>
    <w:rsid w:val="000B53D7"/>
    <w:rsid w:val="000B5ADE"/>
    <w:rsid w:val="000B617A"/>
    <w:rsid w:val="000B66B9"/>
    <w:rsid w:val="000B6850"/>
    <w:rsid w:val="000B6CD3"/>
    <w:rsid w:val="000B7DD9"/>
    <w:rsid w:val="000B7EA7"/>
    <w:rsid w:val="000C1DD9"/>
    <w:rsid w:val="000C268A"/>
    <w:rsid w:val="000C2F53"/>
    <w:rsid w:val="000D2101"/>
    <w:rsid w:val="000D376B"/>
    <w:rsid w:val="000D3E63"/>
    <w:rsid w:val="000D78B6"/>
    <w:rsid w:val="000E1DD8"/>
    <w:rsid w:val="000E3C55"/>
    <w:rsid w:val="000F013B"/>
    <w:rsid w:val="000F0F8B"/>
    <w:rsid w:val="000F4181"/>
    <w:rsid w:val="0010321F"/>
    <w:rsid w:val="00107F04"/>
    <w:rsid w:val="0011061B"/>
    <w:rsid w:val="00112A6E"/>
    <w:rsid w:val="001131AC"/>
    <w:rsid w:val="001230F0"/>
    <w:rsid w:val="00125E1D"/>
    <w:rsid w:val="00133EB3"/>
    <w:rsid w:val="00133FAD"/>
    <w:rsid w:val="00144CAD"/>
    <w:rsid w:val="00145DC7"/>
    <w:rsid w:val="00151F0F"/>
    <w:rsid w:val="001533F1"/>
    <w:rsid w:val="00153B7C"/>
    <w:rsid w:val="001546D6"/>
    <w:rsid w:val="001572F0"/>
    <w:rsid w:val="00163268"/>
    <w:rsid w:val="00164D67"/>
    <w:rsid w:val="00165536"/>
    <w:rsid w:val="00166585"/>
    <w:rsid w:val="00167E83"/>
    <w:rsid w:val="00172B70"/>
    <w:rsid w:val="00176548"/>
    <w:rsid w:val="00180264"/>
    <w:rsid w:val="00180F64"/>
    <w:rsid w:val="00184EBB"/>
    <w:rsid w:val="00195A7D"/>
    <w:rsid w:val="00196947"/>
    <w:rsid w:val="001A04A3"/>
    <w:rsid w:val="001A55ED"/>
    <w:rsid w:val="001A627F"/>
    <w:rsid w:val="001A6F9E"/>
    <w:rsid w:val="001B0236"/>
    <w:rsid w:val="001B3770"/>
    <w:rsid w:val="001B6ABA"/>
    <w:rsid w:val="001B7B98"/>
    <w:rsid w:val="001C0AC9"/>
    <w:rsid w:val="001D492E"/>
    <w:rsid w:val="001E441F"/>
    <w:rsid w:val="001E6CE7"/>
    <w:rsid w:val="001F086E"/>
    <w:rsid w:val="0020025D"/>
    <w:rsid w:val="00201758"/>
    <w:rsid w:val="00207F0E"/>
    <w:rsid w:val="00211893"/>
    <w:rsid w:val="00216F90"/>
    <w:rsid w:val="002238D1"/>
    <w:rsid w:val="0022700E"/>
    <w:rsid w:val="00230761"/>
    <w:rsid w:val="00234A85"/>
    <w:rsid w:val="002413E7"/>
    <w:rsid w:val="002456B3"/>
    <w:rsid w:val="0025134E"/>
    <w:rsid w:val="00265422"/>
    <w:rsid w:val="00274F9A"/>
    <w:rsid w:val="0028773B"/>
    <w:rsid w:val="00287F5D"/>
    <w:rsid w:val="0029226A"/>
    <w:rsid w:val="00296BA5"/>
    <w:rsid w:val="002A5137"/>
    <w:rsid w:val="002B5910"/>
    <w:rsid w:val="002B7815"/>
    <w:rsid w:val="002C4E5E"/>
    <w:rsid w:val="002C6124"/>
    <w:rsid w:val="002C7053"/>
    <w:rsid w:val="002D5C04"/>
    <w:rsid w:val="002E04A8"/>
    <w:rsid w:val="002E23BD"/>
    <w:rsid w:val="002E3764"/>
    <w:rsid w:val="002E5D28"/>
    <w:rsid w:val="002E6073"/>
    <w:rsid w:val="002E61E1"/>
    <w:rsid w:val="002E6AAD"/>
    <w:rsid w:val="002F340F"/>
    <w:rsid w:val="003038E2"/>
    <w:rsid w:val="003056BF"/>
    <w:rsid w:val="00307FE1"/>
    <w:rsid w:val="003107C9"/>
    <w:rsid w:val="00313A19"/>
    <w:rsid w:val="003143D7"/>
    <w:rsid w:val="00314795"/>
    <w:rsid w:val="00317914"/>
    <w:rsid w:val="00331768"/>
    <w:rsid w:val="003441F2"/>
    <w:rsid w:val="00350479"/>
    <w:rsid w:val="00352299"/>
    <w:rsid w:val="00352D66"/>
    <w:rsid w:val="00355BBF"/>
    <w:rsid w:val="00365A54"/>
    <w:rsid w:val="0036738B"/>
    <w:rsid w:val="00372323"/>
    <w:rsid w:val="003766A8"/>
    <w:rsid w:val="003770BB"/>
    <w:rsid w:val="00387EC1"/>
    <w:rsid w:val="003936E9"/>
    <w:rsid w:val="00393900"/>
    <w:rsid w:val="003948B4"/>
    <w:rsid w:val="003A7673"/>
    <w:rsid w:val="003B1417"/>
    <w:rsid w:val="003B262F"/>
    <w:rsid w:val="003C4EB4"/>
    <w:rsid w:val="003C54A4"/>
    <w:rsid w:val="003D78BD"/>
    <w:rsid w:val="003F1DEB"/>
    <w:rsid w:val="003F34A2"/>
    <w:rsid w:val="00407FD7"/>
    <w:rsid w:val="00410E1A"/>
    <w:rsid w:val="00413E14"/>
    <w:rsid w:val="004154DF"/>
    <w:rsid w:val="00415F0B"/>
    <w:rsid w:val="004234A9"/>
    <w:rsid w:val="00425FC7"/>
    <w:rsid w:val="00427300"/>
    <w:rsid w:val="00430482"/>
    <w:rsid w:val="00430DCA"/>
    <w:rsid w:val="00430EE8"/>
    <w:rsid w:val="00436902"/>
    <w:rsid w:val="00442303"/>
    <w:rsid w:val="0044441A"/>
    <w:rsid w:val="00452605"/>
    <w:rsid w:val="00453791"/>
    <w:rsid w:val="00454E37"/>
    <w:rsid w:val="00461524"/>
    <w:rsid w:val="0046706B"/>
    <w:rsid w:val="00473B5B"/>
    <w:rsid w:val="00473D34"/>
    <w:rsid w:val="004760D9"/>
    <w:rsid w:val="00477DFD"/>
    <w:rsid w:val="004838A0"/>
    <w:rsid w:val="0048652D"/>
    <w:rsid w:val="00495DC0"/>
    <w:rsid w:val="004A21AF"/>
    <w:rsid w:val="004A258F"/>
    <w:rsid w:val="004A4791"/>
    <w:rsid w:val="004A56A2"/>
    <w:rsid w:val="004A657B"/>
    <w:rsid w:val="004A680B"/>
    <w:rsid w:val="004B0993"/>
    <w:rsid w:val="004B484E"/>
    <w:rsid w:val="004C600A"/>
    <w:rsid w:val="004D4109"/>
    <w:rsid w:val="004E49F8"/>
    <w:rsid w:val="004E5432"/>
    <w:rsid w:val="004F39AF"/>
    <w:rsid w:val="004F5B0F"/>
    <w:rsid w:val="004F68FE"/>
    <w:rsid w:val="00501D6C"/>
    <w:rsid w:val="005020D7"/>
    <w:rsid w:val="00507497"/>
    <w:rsid w:val="005079C4"/>
    <w:rsid w:val="005126FD"/>
    <w:rsid w:val="00520121"/>
    <w:rsid w:val="00521A98"/>
    <w:rsid w:val="00521BB4"/>
    <w:rsid w:val="00522B74"/>
    <w:rsid w:val="005253F2"/>
    <w:rsid w:val="00526FE4"/>
    <w:rsid w:val="005328C5"/>
    <w:rsid w:val="00534087"/>
    <w:rsid w:val="005342C9"/>
    <w:rsid w:val="005363CC"/>
    <w:rsid w:val="005367D0"/>
    <w:rsid w:val="0053785D"/>
    <w:rsid w:val="00540599"/>
    <w:rsid w:val="00544AE3"/>
    <w:rsid w:val="00546D27"/>
    <w:rsid w:val="00552063"/>
    <w:rsid w:val="005520EC"/>
    <w:rsid w:val="00555157"/>
    <w:rsid w:val="0055657B"/>
    <w:rsid w:val="0056211B"/>
    <w:rsid w:val="00563BC8"/>
    <w:rsid w:val="00566BA2"/>
    <w:rsid w:val="00567D73"/>
    <w:rsid w:val="00571C72"/>
    <w:rsid w:val="00572C77"/>
    <w:rsid w:val="00576D4E"/>
    <w:rsid w:val="00582894"/>
    <w:rsid w:val="00584E84"/>
    <w:rsid w:val="0059393D"/>
    <w:rsid w:val="00595C95"/>
    <w:rsid w:val="00597390"/>
    <w:rsid w:val="005A102F"/>
    <w:rsid w:val="005D273E"/>
    <w:rsid w:val="005E2705"/>
    <w:rsid w:val="005E4A04"/>
    <w:rsid w:val="005E4D94"/>
    <w:rsid w:val="005E66BF"/>
    <w:rsid w:val="005E66EC"/>
    <w:rsid w:val="005F2CB0"/>
    <w:rsid w:val="00610FBA"/>
    <w:rsid w:val="00620246"/>
    <w:rsid w:val="0062077C"/>
    <w:rsid w:val="00622C9A"/>
    <w:rsid w:val="00632853"/>
    <w:rsid w:val="006353F3"/>
    <w:rsid w:val="00636273"/>
    <w:rsid w:val="00637F73"/>
    <w:rsid w:val="00640657"/>
    <w:rsid w:val="006426DC"/>
    <w:rsid w:val="006426FC"/>
    <w:rsid w:val="006440E7"/>
    <w:rsid w:val="00646460"/>
    <w:rsid w:val="006530F9"/>
    <w:rsid w:val="00663C54"/>
    <w:rsid w:val="00672ED8"/>
    <w:rsid w:val="006824FC"/>
    <w:rsid w:val="00686B78"/>
    <w:rsid w:val="00690BBA"/>
    <w:rsid w:val="0069151A"/>
    <w:rsid w:val="006958A0"/>
    <w:rsid w:val="006965B8"/>
    <w:rsid w:val="006A61F9"/>
    <w:rsid w:val="006A7B0F"/>
    <w:rsid w:val="006B3624"/>
    <w:rsid w:val="006B7A52"/>
    <w:rsid w:val="006C0C68"/>
    <w:rsid w:val="006C72C0"/>
    <w:rsid w:val="006F087E"/>
    <w:rsid w:val="006F3D4B"/>
    <w:rsid w:val="0070458D"/>
    <w:rsid w:val="00721495"/>
    <w:rsid w:val="00721A34"/>
    <w:rsid w:val="00724451"/>
    <w:rsid w:val="00725C01"/>
    <w:rsid w:val="00725C08"/>
    <w:rsid w:val="00727433"/>
    <w:rsid w:val="00727519"/>
    <w:rsid w:val="00727D0C"/>
    <w:rsid w:val="00736138"/>
    <w:rsid w:val="00737412"/>
    <w:rsid w:val="00746EA4"/>
    <w:rsid w:val="00750F21"/>
    <w:rsid w:val="007513D4"/>
    <w:rsid w:val="00757AD9"/>
    <w:rsid w:val="00765648"/>
    <w:rsid w:val="00765D76"/>
    <w:rsid w:val="00766593"/>
    <w:rsid w:val="00766AAF"/>
    <w:rsid w:val="007679B8"/>
    <w:rsid w:val="00771C9E"/>
    <w:rsid w:val="007816AC"/>
    <w:rsid w:val="00781D61"/>
    <w:rsid w:val="00782AE8"/>
    <w:rsid w:val="00782CFB"/>
    <w:rsid w:val="00796AEF"/>
    <w:rsid w:val="007A35EF"/>
    <w:rsid w:val="007B240E"/>
    <w:rsid w:val="007B648C"/>
    <w:rsid w:val="007C4E9B"/>
    <w:rsid w:val="007E39FB"/>
    <w:rsid w:val="007E41E5"/>
    <w:rsid w:val="007E6086"/>
    <w:rsid w:val="007E75A8"/>
    <w:rsid w:val="008006E5"/>
    <w:rsid w:val="00802D23"/>
    <w:rsid w:val="00804731"/>
    <w:rsid w:val="008050A8"/>
    <w:rsid w:val="00811750"/>
    <w:rsid w:val="00813998"/>
    <w:rsid w:val="00816A6F"/>
    <w:rsid w:val="00821810"/>
    <w:rsid w:val="0082688B"/>
    <w:rsid w:val="008325DF"/>
    <w:rsid w:val="00833161"/>
    <w:rsid w:val="00840E93"/>
    <w:rsid w:val="00844C54"/>
    <w:rsid w:val="008535F8"/>
    <w:rsid w:val="00861097"/>
    <w:rsid w:val="0086168A"/>
    <w:rsid w:val="00874FEA"/>
    <w:rsid w:val="00882132"/>
    <w:rsid w:val="00897A50"/>
    <w:rsid w:val="008A2809"/>
    <w:rsid w:val="008B08F7"/>
    <w:rsid w:val="008B1AC9"/>
    <w:rsid w:val="008B2C5A"/>
    <w:rsid w:val="008B46DC"/>
    <w:rsid w:val="008B491F"/>
    <w:rsid w:val="008C70C7"/>
    <w:rsid w:val="008D000C"/>
    <w:rsid w:val="008D08B9"/>
    <w:rsid w:val="008D25EB"/>
    <w:rsid w:val="008D556E"/>
    <w:rsid w:val="008E567F"/>
    <w:rsid w:val="008E6C93"/>
    <w:rsid w:val="008F177B"/>
    <w:rsid w:val="008F3F6E"/>
    <w:rsid w:val="008F49E4"/>
    <w:rsid w:val="008F6DB1"/>
    <w:rsid w:val="00901979"/>
    <w:rsid w:val="009033A7"/>
    <w:rsid w:val="00905434"/>
    <w:rsid w:val="00912706"/>
    <w:rsid w:val="0091379E"/>
    <w:rsid w:val="00922F96"/>
    <w:rsid w:val="00926241"/>
    <w:rsid w:val="00926C8E"/>
    <w:rsid w:val="0092730A"/>
    <w:rsid w:val="0093442D"/>
    <w:rsid w:val="00937F14"/>
    <w:rsid w:val="0094016D"/>
    <w:rsid w:val="0094184B"/>
    <w:rsid w:val="00941892"/>
    <w:rsid w:val="00947DCD"/>
    <w:rsid w:val="00953434"/>
    <w:rsid w:val="00960818"/>
    <w:rsid w:val="00960B38"/>
    <w:rsid w:val="009653CD"/>
    <w:rsid w:val="00983BC2"/>
    <w:rsid w:val="00984F70"/>
    <w:rsid w:val="0099141A"/>
    <w:rsid w:val="009919DD"/>
    <w:rsid w:val="009922AD"/>
    <w:rsid w:val="00993F13"/>
    <w:rsid w:val="00995496"/>
    <w:rsid w:val="00997902"/>
    <w:rsid w:val="009A6248"/>
    <w:rsid w:val="009B0B50"/>
    <w:rsid w:val="009B1154"/>
    <w:rsid w:val="009C1C85"/>
    <w:rsid w:val="009C3D64"/>
    <w:rsid w:val="009C6BF9"/>
    <w:rsid w:val="009E288F"/>
    <w:rsid w:val="009E2CDA"/>
    <w:rsid w:val="009E5351"/>
    <w:rsid w:val="009E61D0"/>
    <w:rsid w:val="009F28EE"/>
    <w:rsid w:val="009F290F"/>
    <w:rsid w:val="009F40AC"/>
    <w:rsid w:val="009F660F"/>
    <w:rsid w:val="009F6688"/>
    <w:rsid w:val="00A007AB"/>
    <w:rsid w:val="00A01B6A"/>
    <w:rsid w:val="00A0292E"/>
    <w:rsid w:val="00A11611"/>
    <w:rsid w:val="00A12AB3"/>
    <w:rsid w:val="00A14067"/>
    <w:rsid w:val="00A22019"/>
    <w:rsid w:val="00A237B2"/>
    <w:rsid w:val="00A27679"/>
    <w:rsid w:val="00A324F6"/>
    <w:rsid w:val="00A3303C"/>
    <w:rsid w:val="00A339BE"/>
    <w:rsid w:val="00A36811"/>
    <w:rsid w:val="00A42137"/>
    <w:rsid w:val="00A4507D"/>
    <w:rsid w:val="00A450D3"/>
    <w:rsid w:val="00A54FEB"/>
    <w:rsid w:val="00A55A51"/>
    <w:rsid w:val="00A6225F"/>
    <w:rsid w:val="00A625E1"/>
    <w:rsid w:val="00A65EC2"/>
    <w:rsid w:val="00A72741"/>
    <w:rsid w:val="00A72FE3"/>
    <w:rsid w:val="00A75C41"/>
    <w:rsid w:val="00A77A27"/>
    <w:rsid w:val="00A80B51"/>
    <w:rsid w:val="00A8493B"/>
    <w:rsid w:val="00A858CB"/>
    <w:rsid w:val="00A86F43"/>
    <w:rsid w:val="00A926B5"/>
    <w:rsid w:val="00A963C5"/>
    <w:rsid w:val="00A9761E"/>
    <w:rsid w:val="00AA602F"/>
    <w:rsid w:val="00AA73C8"/>
    <w:rsid w:val="00AA759B"/>
    <w:rsid w:val="00AA7BD4"/>
    <w:rsid w:val="00AA7CAF"/>
    <w:rsid w:val="00AB0640"/>
    <w:rsid w:val="00AB3E7E"/>
    <w:rsid w:val="00AB4CDB"/>
    <w:rsid w:val="00AC2299"/>
    <w:rsid w:val="00AC59F4"/>
    <w:rsid w:val="00AC7469"/>
    <w:rsid w:val="00AD2B94"/>
    <w:rsid w:val="00AD2DE7"/>
    <w:rsid w:val="00AE0DD3"/>
    <w:rsid w:val="00AE1E01"/>
    <w:rsid w:val="00AE210A"/>
    <w:rsid w:val="00AE3D40"/>
    <w:rsid w:val="00AE4BD7"/>
    <w:rsid w:val="00AF21FB"/>
    <w:rsid w:val="00AF2524"/>
    <w:rsid w:val="00AF3779"/>
    <w:rsid w:val="00AF6061"/>
    <w:rsid w:val="00B01E2B"/>
    <w:rsid w:val="00B04444"/>
    <w:rsid w:val="00B05ADC"/>
    <w:rsid w:val="00B109D5"/>
    <w:rsid w:val="00B14676"/>
    <w:rsid w:val="00B20D6C"/>
    <w:rsid w:val="00B23AD9"/>
    <w:rsid w:val="00B2421C"/>
    <w:rsid w:val="00B24CE6"/>
    <w:rsid w:val="00B24E83"/>
    <w:rsid w:val="00B32A47"/>
    <w:rsid w:val="00B33EA8"/>
    <w:rsid w:val="00B3612B"/>
    <w:rsid w:val="00B4054B"/>
    <w:rsid w:val="00B41F9F"/>
    <w:rsid w:val="00B43FAF"/>
    <w:rsid w:val="00B46FA0"/>
    <w:rsid w:val="00B47EA9"/>
    <w:rsid w:val="00B5044E"/>
    <w:rsid w:val="00B57498"/>
    <w:rsid w:val="00B71A5D"/>
    <w:rsid w:val="00B71C08"/>
    <w:rsid w:val="00B77D6F"/>
    <w:rsid w:val="00B804D9"/>
    <w:rsid w:val="00B83792"/>
    <w:rsid w:val="00B91484"/>
    <w:rsid w:val="00B93207"/>
    <w:rsid w:val="00B977CC"/>
    <w:rsid w:val="00BC22AA"/>
    <w:rsid w:val="00BD2A07"/>
    <w:rsid w:val="00BD4435"/>
    <w:rsid w:val="00BD5637"/>
    <w:rsid w:val="00BD5699"/>
    <w:rsid w:val="00BD641E"/>
    <w:rsid w:val="00BE1FD2"/>
    <w:rsid w:val="00BE6676"/>
    <w:rsid w:val="00BE7D0E"/>
    <w:rsid w:val="00BF5F47"/>
    <w:rsid w:val="00BF6204"/>
    <w:rsid w:val="00C13366"/>
    <w:rsid w:val="00C14D7D"/>
    <w:rsid w:val="00C20041"/>
    <w:rsid w:val="00C20D4E"/>
    <w:rsid w:val="00C32D32"/>
    <w:rsid w:val="00C36163"/>
    <w:rsid w:val="00C376D7"/>
    <w:rsid w:val="00C40C8A"/>
    <w:rsid w:val="00C4348E"/>
    <w:rsid w:val="00C47668"/>
    <w:rsid w:val="00C526F7"/>
    <w:rsid w:val="00C542D7"/>
    <w:rsid w:val="00C57A73"/>
    <w:rsid w:val="00C632B0"/>
    <w:rsid w:val="00C6653E"/>
    <w:rsid w:val="00C677DA"/>
    <w:rsid w:val="00C70FC5"/>
    <w:rsid w:val="00C73873"/>
    <w:rsid w:val="00C81604"/>
    <w:rsid w:val="00C8452D"/>
    <w:rsid w:val="00C86113"/>
    <w:rsid w:val="00C8623C"/>
    <w:rsid w:val="00C901D1"/>
    <w:rsid w:val="00C91873"/>
    <w:rsid w:val="00C93E1C"/>
    <w:rsid w:val="00C97B52"/>
    <w:rsid w:val="00CA4581"/>
    <w:rsid w:val="00CA571C"/>
    <w:rsid w:val="00CB3960"/>
    <w:rsid w:val="00CC17DB"/>
    <w:rsid w:val="00CC5E5D"/>
    <w:rsid w:val="00CC5F32"/>
    <w:rsid w:val="00CD190E"/>
    <w:rsid w:val="00CD36FF"/>
    <w:rsid w:val="00CE1C7A"/>
    <w:rsid w:val="00CE2984"/>
    <w:rsid w:val="00CE3C68"/>
    <w:rsid w:val="00CE5B8F"/>
    <w:rsid w:val="00CF20FE"/>
    <w:rsid w:val="00D061C0"/>
    <w:rsid w:val="00D074B3"/>
    <w:rsid w:val="00D2662B"/>
    <w:rsid w:val="00D27426"/>
    <w:rsid w:val="00D340B1"/>
    <w:rsid w:val="00D354E1"/>
    <w:rsid w:val="00D357B5"/>
    <w:rsid w:val="00D3678B"/>
    <w:rsid w:val="00D40C2D"/>
    <w:rsid w:val="00D45584"/>
    <w:rsid w:val="00D54D4C"/>
    <w:rsid w:val="00D5691E"/>
    <w:rsid w:val="00D57DAC"/>
    <w:rsid w:val="00D6127B"/>
    <w:rsid w:val="00D7459F"/>
    <w:rsid w:val="00D82431"/>
    <w:rsid w:val="00D846D3"/>
    <w:rsid w:val="00D920FF"/>
    <w:rsid w:val="00D940F3"/>
    <w:rsid w:val="00D94780"/>
    <w:rsid w:val="00D961D8"/>
    <w:rsid w:val="00DA0B06"/>
    <w:rsid w:val="00DA4F0D"/>
    <w:rsid w:val="00DA7C1F"/>
    <w:rsid w:val="00DA7E19"/>
    <w:rsid w:val="00DB4CD9"/>
    <w:rsid w:val="00DB577F"/>
    <w:rsid w:val="00DB6736"/>
    <w:rsid w:val="00DC0551"/>
    <w:rsid w:val="00DC17F0"/>
    <w:rsid w:val="00DD00F5"/>
    <w:rsid w:val="00DD1536"/>
    <w:rsid w:val="00DD6440"/>
    <w:rsid w:val="00DD74FB"/>
    <w:rsid w:val="00DE162E"/>
    <w:rsid w:val="00DE5247"/>
    <w:rsid w:val="00DE662C"/>
    <w:rsid w:val="00DF6884"/>
    <w:rsid w:val="00E10BD2"/>
    <w:rsid w:val="00E205EC"/>
    <w:rsid w:val="00E21988"/>
    <w:rsid w:val="00E23DE2"/>
    <w:rsid w:val="00E31CB3"/>
    <w:rsid w:val="00E31F3B"/>
    <w:rsid w:val="00E339A7"/>
    <w:rsid w:val="00E3564F"/>
    <w:rsid w:val="00E457AC"/>
    <w:rsid w:val="00E47F27"/>
    <w:rsid w:val="00E51985"/>
    <w:rsid w:val="00E520AB"/>
    <w:rsid w:val="00E52A11"/>
    <w:rsid w:val="00E53924"/>
    <w:rsid w:val="00E54083"/>
    <w:rsid w:val="00E550FB"/>
    <w:rsid w:val="00E564D8"/>
    <w:rsid w:val="00E57929"/>
    <w:rsid w:val="00E67568"/>
    <w:rsid w:val="00E70DE2"/>
    <w:rsid w:val="00E721F0"/>
    <w:rsid w:val="00E72B8B"/>
    <w:rsid w:val="00E837F0"/>
    <w:rsid w:val="00E841F1"/>
    <w:rsid w:val="00E8747A"/>
    <w:rsid w:val="00E90201"/>
    <w:rsid w:val="00E9209D"/>
    <w:rsid w:val="00E94A7F"/>
    <w:rsid w:val="00E97271"/>
    <w:rsid w:val="00E97678"/>
    <w:rsid w:val="00EA341B"/>
    <w:rsid w:val="00EA6941"/>
    <w:rsid w:val="00EB11CC"/>
    <w:rsid w:val="00EB70C5"/>
    <w:rsid w:val="00EB7E9B"/>
    <w:rsid w:val="00EC04B4"/>
    <w:rsid w:val="00EC33A7"/>
    <w:rsid w:val="00EC5281"/>
    <w:rsid w:val="00EC739B"/>
    <w:rsid w:val="00EF54F0"/>
    <w:rsid w:val="00EF5D70"/>
    <w:rsid w:val="00EF7289"/>
    <w:rsid w:val="00EF7301"/>
    <w:rsid w:val="00F02166"/>
    <w:rsid w:val="00F1025A"/>
    <w:rsid w:val="00F10CDC"/>
    <w:rsid w:val="00F13701"/>
    <w:rsid w:val="00F13A64"/>
    <w:rsid w:val="00F22A89"/>
    <w:rsid w:val="00F2620F"/>
    <w:rsid w:val="00F26FE4"/>
    <w:rsid w:val="00F30C06"/>
    <w:rsid w:val="00F33C61"/>
    <w:rsid w:val="00F34588"/>
    <w:rsid w:val="00F5037D"/>
    <w:rsid w:val="00F5098D"/>
    <w:rsid w:val="00F54A2A"/>
    <w:rsid w:val="00F56EE5"/>
    <w:rsid w:val="00F61675"/>
    <w:rsid w:val="00F62514"/>
    <w:rsid w:val="00F62D98"/>
    <w:rsid w:val="00F63BC5"/>
    <w:rsid w:val="00F64646"/>
    <w:rsid w:val="00F722FD"/>
    <w:rsid w:val="00F73F77"/>
    <w:rsid w:val="00F741E7"/>
    <w:rsid w:val="00F80AA2"/>
    <w:rsid w:val="00F81EDD"/>
    <w:rsid w:val="00F82A0A"/>
    <w:rsid w:val="00F84AA8"/>
    <w:rsid w:val="00F91A30"/>
    <w:rsid w:val="00F94375"/>
    <w:rsid w:val="00F96EF8"/>
    <w:rsid w:val="00F97D05"/>
    <w:rsid w:val="00F97E44"/>
    <w:rsid w:val="00FA5D33"/>
    <w:rsid w:val="00FB14A3"/>
    <w:rsid w:val="00FC009D"/>
    <w:rsid w:val="00FC30A4"/>
    <w:rsid w:val="00FC3945"/>
    <w:rsid w:val="00FC40C4"/>
    <w:rsid w:val="00FC5492"/>
    <w:rsid w:val="00FC65F0"/>
    <w:rsid w:val="00FD0EB4"/>
    <w:rsid w:val="00FD306A"/>
    <w:rsid w:val="00FD3F5C"/>
    <w:rsid w:val="00FE0859"/>
    <w:rsid w:val="00FE224A"/>
    <w:rsid w:val="00FF2F60"/>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25B0"/>
  <w15:chartTrackingRefBased/>
  <w15:docId w15:val="{A90F2D54-CB93-514D-A66B-E85F927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83"/>
    <w:rPr>
      <w:rFonts w:ascii="Times New Roman" w:eastAsia="Times New Roman" w:hAnsi="Times New Roman" w:cs="Times New Roman"/>
    </w:rPr>
  </w:style>
  <w:style w:type="paragraph" w:styleId="Heading1">
    <w:name w:val="heading 1"/>
    <w:basedOn w:val="Normal"/>
    <w:next w:val="Normal"/>
    <w:link w:val="Heading1Char"/>
    <w:uiPriority w:val="9"/>
    <w:qFormat/>
    <w:rsid w:val="001B37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B3770"/>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paragraph" w:customStyle="1" w:styleId="p1">
    <w:name w:val="p1"/>
    <w:basedOn w:val="Normal"/>
    <w:rsid w:val="002238D1"/>
    <w:rPr>
      <w:rFonts w:ascii="Helvetica" w:hAnsi="Helvetica"/>
      <w:color w:val="000000"/>
      <w:sz w:val="18"/>
      <w:szCs w:val="18"/>
    </w:rPr>
  </w:style>
  <w:style w:type="character" w:styleId="CommentReference">
    <w:name w:val="annotation reference"/>
    <w:basedOn w:val="DefaultParagraphFont"/>
    <w:uiPriority w:val="99"/>
    <w:semiHidden/>
    <w:unhideWhenUsed/>
    <w:rsid w:val="00874FEA"/>
    <w:rPr>
      <w:sz w:val="16"/>
      <w:szCs w:val="16"/>
    </w:rPr>
  </w:style>
  <w:style w:type="paragraph" w:styleId="CommentText">
    <w:name w:val="annotation text"/>
    <w:basedOn w:val="Normal"/>
    <w:link w:val="CommentTextChar"/>
    <w:uiPriority w:val="99"/>
    <w:unhideWhenUsed/>
    <w:rsid w:val="00874FEA"/>
    <w:rPr>
      <w:sz w:val="20"/>
      <w:szCs w:val="20"/>
    </w:rPr>
  </w:style>
  <w:style w:type="character" w:customStyle="1" w:styleId="CommentTextChar">
    <w:name w:val="Comment Text Char"/>
    <w:basedOn w:val="DefaultParagraphFont"/>
    <w:link w:val="CommentText"/>
    <w:uiPriority w:val="99"/>
    <w:rsid w:val="00874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EA"/>
    <w:rPr>
      <w:b/>
      <w:bCs/>
    </w:rPr>
  </w:style>
  <w:style w:type="character" w:customStyle="1" w:styleId="CommentSubjectChar">
    <w:name w:val="Comment Subject Char"/>
    <w:basedOn w:val="CommentTextChar"/>
    <w:link w:val="CommentSubject"/>
    <w:uiPriority w:val="99"/>
    <w:semiHidden/>
    <w:rsid w:val="00874FE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4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2749</Words>
  <Characters>15674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2026-02-18T19:31:00Z</cp:lastPrinted>
  <dcterms:created xsi:type="dcterms:W3CDTF">2026-02-18T19:57:00Z</dcterms:created>
  <dcterms:modified xsi:type="dcterms:W3CDTF">2026-02-18T19:57:00Z</dcterms:modified>
</cp:coreProperties>
</file>