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9BA28" w14:textId="77777777" w:rsidR="00ED4F9D" w:rsidRPr="00F47331" w:rsidRDefault="00ED4F9D" w:rsidP="00ED4F9D">
      <w:pPr>
        <w:rPr>
          <w:rFonts w:ascii="Aptos" w:hAnsi="Aptos"/>
          <w:b/>
          <w:bCs/>
          <w:color w:val="000000" w:themeColor="text1"/>
          <w:sz w:val="25"/>
          <w:szCs w:val="25"/>
        </w:rPr>
      </w:pPr>
    </w:p>
    <w:p w14:paraId="48B74B20" w14:textId="77777777" w:rsidR="00ED4F9D" w:rsidRPr="00F47331" w:rsidRDefault="00ED4F9D" w:rsidP="00ED4F9D">
      <w:pPr>
        <w:pStyle w:val="NoSpacing"/>
        <w:jc w:val="center"/>
        <w:rPr>
          <w:rFonts w:ascii="Aptos" w:hAnsi="Aptos" w:cs="Times New Roman"/>
          <w:b/>
          <w:bCs/>
          <w:color w:val="000000" w:themeColor="text1"/>
          <w:sz w:val="25"/>
          <w:szCs w:val="25"/>
        </w:rPr>
      </w:pPr>
      <w:r w:rsidRPr="00DC1C44">
        <w:rPr>
          <w:rStyle w:val="Heading1Char"/>
        </w:rPr>
        <w:t>COMMONWEALTH</w:t>
      </w:r>
      <w:r w:rsidRPr="00F47331">
        <w:rPr>
          <w:rFonts w:ascii="Aptos" w:hAnsi="Aptos" w:cs="Times New Roman"/>
          <w:b/>
          <w:bCs/>
          <w:color w:val="000000" w:themeColor="text1"/>
          <w:sz w:val="25"/>
          <w:szCs w:val="25"/>
        </w:rPr>
        <w:t xml:space="preserve"> OF MASSACHUSETTS</w:t>
      </w:r>
    </w:p>
    <w:p w14:paraId="3AC9E61D" w14:textId="77777777" w:rsidR="00ED4F9D" w:rsidRPr="00F47331" w:rsidRDefault="00ED4F9D" w:rsidP="00ED4F9D">
      <w:pPr>
        <w:pStyle w:val="NoSpacing"/>
        <w:jc w:val="center"/>
        <w:rPr>
          <w:rFonts w:ascii="Aptos" w:hAnsi="Aptos" w:cs="Times New Roman"/>
          <w:b/>
          <w:bCs/>
          <w:color w:val="000000" w:themeColor="text1"/>
          <w:sz w:val="25"/>
          <w:szCs w:val="25"/>
        </w:rPr>
      </w:pPr>
      <w:r w:rsidRPr="00F47331">
        <w:rPr>
          <w:rFonts w:ascii="Aptos" w:hAnsi="Aptos" w:cs="Times New Roman"/>
          <w:b/>
          <w:bCs/>
          <w:color w:val="000000" w:themeColor="text1"/>
          <w:sz w:val="25"/>
          <w:szCs w:val="25"/>
        </w:rPr>
        <w:t>DIVISION OF ADMINISTRATIVE LAW APPEALS</w:t>
      </w:r>
    </w:p>
    <w:p w14:paraId="6E8DB80E" w14:textId="77777777" w:rsidR="00ED4F9D" w:rsidRPr="00F47331" w:rsidRDefault="00ED4F9D" w:rsidP="00ED4F9D">
      <w:pPr>
        <w:pStyle w:val="NoSpacing"/>
        <w:jc w:val="center"/>
        <w:rPr>
          <w:rFonts w:ascii="Aptos" w:hAnsi="Aptos" w:cs="Times New Roman"/>
          <w:b/>
          <w:bCs/>
          <w:color w:val="000000" w:themeColor="text1"/>
          <w:sz w:val="25"/>
          <w:szCs w:val="25"/>
        </w:rPr>
      </w:pPr>
      <w:r w:rsidRPr="00F47331">
        <w:rPr>
          <w:rFonts w:ascii="Aptos" w:hAnsi="Aptos" w:cs="Times New Roman"/>
          <w:b/>
          <w:bCs/>
          <w:color w:val="000000" w:themeColor="text1"/>
          <w:sz w:val="25"/>
          <w:szCs w:val="25"/>
        </w:rPr>
        <w:t>BUREAU OF SPECIAL EDUCATION APPEALS</w:t>
      </w:r>
    </w:p>
    <w:p w14:paraId="4DDAE2E7" w14:textId="77777777" w:rsidR="00ED4F9D" w:rsidRPr="00F47331" w:rsidRDefault="00ED4F9D" w:rsidP="00ED4F9D">
      <w:pPr>
        <w:pStyle w:val="NoSpacing"/>
        <w:tabs>
          <w:tab w:val="left" w:pos="5446"/>
        </w:tabs>
        <w:rPr>
          <w:rFonts w:ascii="Aptos" w:hAnsi="Aptos" w:cs="Times New Roman"/>
          <w:b/>
          <w:bCs/>
          <w:color w:val="000000" w:themeColor="text1"/>
          <w:sz w:val="25"/>
          <w:szCs w:val="25"/>
        </w:rPr>
      </w:pPr>
      <w:r w:rsidRPr="00F47331">
        <w:rPr>
          <w:rFonts w:ascii="Aptos" w:hAnsi="Aptos" w:cs="Times New Roman"/>
          <w:b/>
          <w:bCs/>
          <w:color w:val="000000" w:themeColor="text1"/>
          <w:sz w:val="25"/>
          <w:szCs w:val="25"/>
        </w:rPr>
        <w:tab/>
      </w:r>
    </w:p>
    <w:p w14:paraId="613F8E75" w14:textId="77777777" w:rsidR="00ED4F9D" w:rsidRPr="00F47331" w:rsidRDefault="00ED4F9D" w:rsidP="00ED4F9D">
      <w:pPr>
        <w:pStyle w:val="NoSpacing"/>
        <w:rPr>
          <w:rFonts w:ascii="Aptos" w:hAnsi="Aptos" w:cs="Times New Roman"/>
          <w:b/>
          <w:bCs/>
          <w:color w:val="000000" w:themeColor="text1"/>
          <w:sz w:val="25"/>
          <w:szCs w:val="25"/>
        </w:rPr>
      </w:pPr>
    </w:p>
    <w:p w14:paraId="6B029B12" w14:textId="54D9E35C" w:rsidR="00CC4DCE" w:rsidRDefault="00ED4F9D" w:rsidP="00ED4F9D">
      <w:pPr>
        <w:pStyle w:val="NoSpacing"/>
        <w:rPr>
          <w:rFonts w:ascii="Aptos" w:hAnsi="Aptos" w:cs="Times New Roman"/>
          <w:sz w:val="25"/>
          <w:szCs w:val="25"/>
        </w:rPr>
      </w:pPr>
      <w:r w:rsidRPr="00F47331">
        <w:rPr>
          <w:rFonts w:ascii="Aptos" w:hAnsi="Aptos" w:cs="Times New Roman"/>
          <w:color w:val="000000" w:themeColor="text1"/>
          <w:sz w:val="25"/>
          <w:szCs w:val="25"/>
        </w:rPr>
        <w:t xml:space="preserve">In Re: </w:t>
      </w:r>
      <w:r w:rsidR="007A1B0B" w:rsidRPr="00F47331">
        <w:rPr>
          <w:rFonts w:ascii="Aptos" w:hAnsi="Aptos" w:cs="Times New Roman"/>
          <w:color w:val="000000" w:themeColor="text1"/>
          <w:sz w:val="25"/>
          <w:szCs w:val="25"/>
        </w:rPr>
        <w:t xml:space="preserve"> </w:t>
      </w:r>
      <w:r w:rsidR="00CC4DCE">
        <w:rPr>
          <w:rFonts w:ascii="Aptos" w:hAnsi="Aptos" w:cs="Times New Roman"/>
          <w:color w:val="000000" w:themeColor="text1"/>
          <w:sz w:val="25"/>
          <w:szCs w:val="25"/>
        </w:rPr>
        <w:t>Worcester Public Schools</w:t>
      </w:r>
      <w:r w:rsidR="00074480">
        <w:rPr>
          <w:rFonts w:ascii="Aptos" w:hAnsi="Aptos" w:cs="Times New Roman"/>
          <w:color w:val="000000" w:themeColor="text1"/>
          <w:sz w:val="25"/>
          <w:szCs w:val="25"/>
        </w:rPr>
        <w:t xml:space="preserve"> v.</w:t>
      </w:r>
      <w:r w:rsidRPr="00F47331">
        <w:rPr>
          <w:rFonts w:ascii="Aptos" w:hAnsi="Aptos" w:cs="Times New Roman"/>
          <w:color w:val="000000" w:themeColor="text1"/>
          <w:sz w:val="25"/>
          <w:szCs w:val="25"/>
        </w:rPr>
        <w:tab/>
      </w:r>
      <w:r w:rsidRPr="00F47331">
        <w:rPr>
          <w:rFonts w:ascii="Aptos" w:hAnsi="Aptos" w:cs="Times New Roman"/>
          <w:color w:val="000000" w:themeColor="text1"/>
          <w:sz w:val="25"/>
          <w:szCs w:val="25"/>
        </w:rPr>
        <w:tab/>
      </w:r>
      <w:r w:rsidR="00CC4DCE">
        <w:rPr>
          <w:rFonts w:ascii="Aptos" w:hAnsi="Aptos" w:cs="Times New Roman"/>
          <w:color w:val="000000" w:themeColor="text1"/>
          <w:sz w:val="25"/>
          <w:szCs w:val="25"/>
        </w:rPr>
        <w:tab/>
      </w:r>
      <w:r w:rsidR="00CC4DCE">
        <w:rPr>
          <w:rFonts w:ascii="Aptos" w:hAnsi="Aptos" w:cs="Times New Roman"/>
          <w:color w:val="000000" w:themeColor="text1"/>
          <w:sz w:val="25"/>
          <w:szCs w:val="25"/>
        </w:rPr>
        <w:tab/>
      </w:r>
      <w:r w:rsidR="00CC4DCE">
        <w:rPr>
          <w:rFonts w:ascii="Aptos" w:hAnsi="Aptos" w:cs="Times New Roman"/>
          <w:color w:val="000000" w:themeColor="text1"/>
          <w:sz w:val="25"/>
          <w:szCs w:val="25"/>
        </w:rPr>
        <w:tab/>
      </w:r>
      <w:r w:rsidRPr="00F47331">
        <w:rPr>
          <w:rFonts w:ascii="Aptos" w:hAnsi="Aptos" w:cs="Times New Roman"/>
          <w:color w:val="000000" w:themeColor="text1"/>
          <w:sz w:val="25"/>
          <w:szCs w:val="25"/>
        </w:rPr>
        <w:t xml:space="preserve">BSEA # </w:t>
      </w:r>
      <w:bookmarkStart w:id="0" w:name="_Hlk219450623"/>
      <w:r w:rsidR="00F42D67" w:rsidRPr="006520A8">
        <w:rPr>
          <w:rFonts w:ascii="Aptos" w:hAnsi="Aptos" w:cs="Times New Roman"/>
          <w:b/>
          <w:sz w:val="25"/>
          <w:szCs w:val="25"/>
        </w:rPr>
        <w:t>#</w:t>
      </w:r>
      <w:r w:rsidR="00F42D67">
        <w:rPr>
          <w:rFonts w:ascii="Aptos" w:hAnsi="Aptos" w:cs="Times New Roman"/>
          <w:sz w:val="25"/>
          <w:szCs w:val="25"/>
        </w:rPr>
        <w:t>26</w:t>
      </w:r>
      <w:bookmarkEnd w:id="0"/>
      <w:r w:rsidR="00B20C24">
        <w:rPr>
          <w:rFonts w:ascii="Aptos" w:hAnsi="Aptos" w:cs="Times New Roman"/>
          <w:sz w:val="25"/>
          <w:szCs w:val="25"/>
        </w:rPr>
        <w:t>07483</w:t>
      </w:r>
      <w:r w:rsidR="00074480">
        <w:rPr>
          <w:rFonts w:ascii="Aptos" w:hAnsi="Aptos" w:cs="Times New Roman"/>
          <w:sz w:val="25"/>
          <w:szCs w:val="25"/>
        </w:rPr>
        <w:tab/>
      </w:r>
      <w:r w:rsidR="00CC4DCE">
        <w:rPr>
          <w:rFonts w:ascii="Aptos" w:hAnsi="Aptos" w:cs="Times New Roman"/>
          <w:color w:val="000000" w:themeColor="text1"/>
          <w:sz w:val="25"/>
          <w:szCs w:val="25"/>
        </w:rPr>
        <w:t xml:space="preserve">Massachusetts Department of </w:t>
      </w:r>
      <w:r w:rsidR="00074480">
        <w:rPr>
          <w:rFonts w:ascii="Aptos" w:hAnsi="Aptos" w:cs="Times New Roman"/>
          <w:sz w:val="25"/>
          <w:szCs w:val="25"/>
        </w:rPr>
        <w:t xml:space="preserve">Elementary </w:t>
      </w:r>
      <w:r w:rsidR="00CC4DCE">
        <w:rPr>
          <w:rFonts w:ascii="Aptos" w:hAnsi="Aptos" w:cs="Times New Roman"/>
          <w:sz w:val="25"/>
          <w:szCs w:val="25"/>
        </w:rPr>
        <w:t>and</w:t>
      </w:r>
    </w:p>
    <w:p w14:paraId="04B9512D" w14:textId="27CA264D" w:rsidR="00074480" w:rsidRDefault="00074480" w:rsidP="00CC4DCE">
      <w:pPr>
        <w:pStyle w:val="NoSpacing"/>
        <w:ind w:firstLine="720"/>
        <w:rPr>
          <w:rFonts w:ascii="Aptos" w:hAnsi="Aptos" w:cs="Times New Roman"/>
          <w:sz w:val="25"/>
          <w:szCs w:val="25"/>
        </w:rPr>
      </w:pPr>
      <w:r>
        <w:rPr>
          <w:rFonts w:ascii="Aptos" w:hAnsi="Aptos" w:cs="Times New Roman"/>
          <w:sz w:val="25"/>
          <w:szCs w:val="25"/>
        </w:rPr>
        <w:t xml:space="preserve">Secondary Education, Quabbin Regional School District, </w:t>
      </w:r>
    </w:p>
    <w:p w14:paraId="7049F3D8" w14:textId="6D4437C7" w:rsidR="00074480" w:rsidRPr="00F47331" w:rsidRDefault="00074480" w:rsidP="00ED4F9D">
      <w:pPr>
        <w:pStyle w:val="NoSpacing"/>
        <w:rPr>
          <w:rFonts w:ascii="Aptos" w:hAnsi="Aptos" w:cs="Times New Roman"/>
          <w:color w:val="000000" w:themeColor="text1"/>
          <w:sz w:val="25"/>
          <w:szCs w:val="25"/>
        </w:rPr>
      </w:pPr>
      <w:r>
        <w:rPr>
          <w:rFonts w:ascii="Aptos" w:hAnsi="Aptos" w:cs="Times New Roman"/>
          <w:sz w:val="25"/>
          <w:szCs w:val="25"/>
        </w:rPr>
        <w:tab/>
        <w:t>Framingham Public Schools &amp; Lowell Public Schools</w:t>
      </w:r>
    </w:p>
    <w:p w14:paraId="13C30B60" w14:textId="77777777" w:rsidR="00ED4EE3" w:rsidRPr="00F47331" w:rsidRDefault="00ED4EE3" w:rsidP="00ED4EE3">
      <w:pPr>
        <w:rPr>
          <w:rFonts w:ascii="Aptos" w:hAnsi="Aptos"/>
          <w:b/>
          <w:bCs/>
          <w:color w:val="000000" w:themeColor="text1"/>
          <w:sz w:val="25"/>
          <w:szCs w:val="25"/>
          <w:u w:val="single"/>
        </w:rPr>
      </w:pPr>
    </w:p>
    <w:p w14:paraId="2D8F027F" w14:textId="77777777" w:rsidR="004C2F54" w:rsidRDefault="00ED7EEF" w:rsidP="00ED7EEF">
      <w:pPr>
        <w:pStyle w:val="NoSpacing"/>
        <w:jc w:val="center"/>
        <w:rPr>
          <w:rFonts w:ascii="Aptos" w:hAnsi="Aptos" w:cs="Times New Roman"/>
          <w:b/>
          <w:sz w:val="25"/>
          <w:szCs w:val="25"/>
          <w:u w:val="single"/>
        </w:rPr>
      </w:pPr>
      <w:bookmarkStart w:id="1" w:name="_Hlk219450642"/>
      <w:r w:rsidRPr="006520A8">
        <w:rPr>
          <w:rFonts w:ascii="Aptos" w:hAnsi="Aptos" w:cs="Times New Roman"/>
          <w:b/>
          <w:sz w:val="25"/>
          <w:szCs w:val="25"/>
          <w:u w:val="single"/>
        </w:rPr>
        <w:t>RULING O</w:t>
      </w:r>
      <w:r w:rsidR="00B20C24">
        <w:rPr>
          <w:rFonts w:ascii="Aptos" w:hAnsi="Aptos" w:cs="Times New Roman"/>
          <w:b/>
          <w:sz w:val="25"/>
          <w:szCs w:val="25"/>
          <w:u w:val="single"/>
        </w:rPr>
        <w:t>N</w:t>
      </w:r>
      <w:r>
        <w:rPr>
          <w:rFonts w:ascii="Aptos" w:hAnsi="Aptos" w:cs="Times New Roman"/>
          <w:b/>
          <w:sz w:val="25"/>
          <w:szCs w:val="25"/>
          <w:u w:val="single"/>
        </w:rPr>
        <w:t xml:space="preserve"> </w:t>
      </w:r>
      <w:r w:rsidRPr="006520A8">
        <w:rPr>
          <w:rFonts w:ascii="Aptos" w:hAnsi="Aptos" w:cs="Times New Roman"/>
          <w:b/>
          <w:sz w:val="25"/>
          <w:szCs w:val="25"/>
          <w:u w:val="single"/>
        </w:rPr>
        <w:t>MOTION</w:t>
      </w:r>
      <w:r w:rsidR="004C2F54">
        <w:rPr>
          <w:rFonts w:ascii="Aptos" w:hAnsi="Aptos" w:cs="Times New Roman"/>
          <w:b/>
          <w:sz w:val="25"/>
          <w:szCs w:val="25"/>
          <w:u w:val="single"/>
        </w:rPr>
        <w:t>S</w:t>
      </w:r>
      <w:r w:rsidRPr="006520A8">
        <w:rPr>
          <w:rFonts w:ascii="Aptos" w:hAnsi="Aptos" w:cs="Times New Roman"/>
          <w:b/>
          <w:sz w:val="25"/>
          <w:szCs w:val="25"/>
          <w:u w:val="single"/>
        </w:rPr>
        <w:t xml:space="preserve"> TO DISMISS</w:t>
      </w:r>
      <w:r w:rsidR="004C2F54">
        <w:rPr>
          <w:rFonts w:ascii="Aptos" w:hAnsi="Aptos" w:cs="Times New Roman"/>
          <w:b/>
          <w:sz w:val="25"/>
          <w:szCs w:val="25"/>
          <w:u w:val="single"/>
        </w:rPr>
        <w:t xml:space="preserve"> FILED BY </w:t>
      </w:r>
    </w:p>
    <w:p w14:paraId="11D2561F" w14:textId="6D1CB704" w:rsidR="00ED7EEF" w:rsidRPr="006520A8" w:rsidRDefault="004C2F54" w:rsidP="00ED7EEF">
      <w:pPr>
        <w:pStyle w:val="NoSpacing"/>
        <w:jc w:val="center"/>
        <w:rPr>
          <w:rFonts w:ascii="Aptos" w:hAnsi="Aptos" w:cs="Times New Roman"/>
          <w:b/>
          <w:sz w:val="25"/>
          <w:szCs w:val="25"/>
          <w:u w:val="single"/>
        </w:rPr>
      </w:pPr>
      <w:r>
        <w:rPr>
          <w:rFonts w:ascii="Aptos" w:hAnsi="Aptos" w:cs="Times New Roman"/>
          <w:b/>
          <w:sz w:val="25"/>
          <w:szCs w:val="25"/>
          <w:u w:val="single"/>
        </w:rPr>
        <w:t xml:space="preserve">THE MASSACHUSETTS DEPARTMENT OF ELEMENTARY AND SECONDARY EDUCATION </w:t>
      </w:r>
      <w:r w:rsidR="00074480">
        <w:rPr>
          <w:rFonts w:ascii="Aptos" w:hAnsi="Aptos" w:cs="Times New Roman"/>
          <w:b/>
          <w:sz w:val="25"/>
          <w:szCs w:val="25"/>
          <w:u w:val="single"/>
        </w:rPr>
        <w:t>AND</w:t>
      </w:r>
      <w:r>
        <w:rPr>
          <w:rFonts w:ascii="Aptos" w:hAnsi="Aptos" w:cs="Times New Roman"/>
          <w:b/>
          <w:sz w:val="25"/>
          <w:szCs w:val="25"/>
          <w:u w:val="single"/>
        </w:rPr>
        <w:t xml:space="preserve"> FRAMINGHAM PUBLIC SCHOOLS</w:t>
      </w:r>
      <w:r w:rsidR="00ED7EEF" w:rsidRPr="006520A8">
        <w:rPr>
          <w:rFonts w:ascii="Aptos" w:hAnsi="Aptos" w:cs="Times New Roman"/>
          <w:b/>
          <w:sz w:val="25"/>
          <w:szCs w:val="25"/>
          <w:u w:val="single"/>
        </w:rPr>
        <w:t xml:space="preserve"> </w:t>
      </w:r>
    </w:p>
    <w:bookmarkEnd w:id="1"/>
    <w:p w14:paraId="3E7A57D8" w14:textId="77777777" w:rsidR="00ED4F9D" w:rsidRPr="00F47331" w:rsidRDefault="00ED4F9D" w:rsidP="00ED4F9D">
      <w:pPr>
        <w:jc w:val="center"/>
        <w:rPr>
          <w:rFonts w:ascii="Aptos" w:hAnsi="Aptos"/>
          <w:color w:val="000000" w:themeColor="text1"/>
          <w:sz w:val="25"/>
          <w:szCs w:val="25"/>
        </w:rPr>
      </w:pPr>
    </w:p>
    <w:p w14:paraId="015D6ED1" w14:textId="1C7B7A05" w:rsidR="00ED7EEF" w:rsidRPr="00074480" w:rsidRDefault="00ED7EEF" w:rsidP="00ED7EEF">
      <w:pPr>
        <w:pStyle w:val="NoSpacing"/>
        <w:ind w:firstLine="720"/>
        <w:rPr>
          <w:rFonts w:ascii="Aptos" w:hAnsi="Aptos" w:cs="Times New Roman"/>
          <w:sz w:val="25"/>
          <w:szCs w:val="25"/>
        </w:rPr>
      </w:pPr>
      <w:bookmarkStart w:id="2" w:name="_Hlk219450686"/>
      <w:r w:rsidRPr="006520A8">
        <w:rPr>
          <w:rFonts w:ascii="Aptos" w:hAnsi="Aptos" w:cs="Times New Roman"/>
          <w:sz w:val="25"/>
          <w:szCs w:val="25"/>
        </w:rPr>
        <w:t>This matter comes before the Hearing Officer on</w:t>
      </w:r>
      <w:r w:rsidRPr="006E51A2">
        <w:rPr>
          <w:rFonts w:ascii="Aptos" w:hAnsi="Aptos" w:cs="Times New Roman"/>
          <w:i/>
          <w:iCs/>
          <w:sz w:val="25"/>
          <w:szCs w:val="25"/>
        </w:rPr>
        <w:t xml:space="preserve"> Motion</w:t>
      </w:r>
      <w:r w:rsidR="00B20C24">
        <w:rPr>
          <w:rFonts w:ascii="Aptos" w:hAnsi="Aptos" w:cs="Times New Roman"/>
          <w:i/>
          <w:iCs/>
          <w:sz w:val="25"/>
          <w:szCs w:val="25"/>
        </w:rPr>
        <w:t>s</w:t>
      </w:r>
      <w:r w:rsidRPr="006E51A2">
        <w:rPr>
          <w:rFonts w:ascii="Aptos" w:hAnsi="Aptos" w:cs="Times New Roman"/>
          <w:i/>
          <w:iCs/>
          <w:sz w:val="25"/>
          <w:szCs w:val="25"/>
        </w:rPr>
        <w:t xml:space="preserve"> to Dismiss</w:t>
      </w:r>
      <w:r w:rsidR="00B20C24">
        <w:rPr>
          <w:rFonts w:ascii="Aptos" w:hAnsi="Aptos" w:cs="Times New Roman"/>
          <w:i/>
          <w:iCs/>
          <w:sz w:val="25"/>
          <w:szCs w:val="25"/>
        </w:rPr>
        <w:t xml:space="preserve"> </w:t>
      </w:r>
      <w:r w:rsidR="00B20C24">
        <w:rPr>
          <w:rFonts w:ascii="Aptos" w:hAnsi="Aptos" w:cs="Times New Roman"/>
          <w:sz w:val="25"/>
          <w:szCs w:val="25"/>
        </w:rPr>
        <w:t>filed by</w:t>
      </w:r>
      <w:r w:rsidR="004C2F54">
        <w:rPr>
          <w:rFonts w:ascii="Aptos" w:hAnsi="Aptos" w:cs="Times New Roman"/>
          <w:sz w:val="25"/>
          <w:szCs w:val="25"/>
        </w:rPr>
        <w:t xml:space="preserve"> </w:t>
      </w:r>
      <w:r w:rsidR="00074480">
        <w:rPr>
          <w:rFonts w:ascii="Aptos" w:hAnsi="Aptos" w:cs="Times New Roman"/>
          <w:sz w:val="25"/>
          <w:szCs w:val="25"/>
        </w:rPr>
        <w:t>the Department of Elementary and Secondary Education (DESE, or the Department) and Framingham Public Schools (Framingham, or FPS)</w:t>
      </w:r>
      <w:r w:rsidR="00B20C24">
        <w:rPr>
          <w:rFonts w:ascii="Aptos" w:hAnsi="Aptos" w:cs="Times New Roman"/>
          <w:sz w:val="25"/>
          <w:szCs w:val="25"/>
        </w:rPr>
        <w:t>, in response to a</w:t>
      </w:r>
      <w:r w:rsidR="004C2F54">
        <w:rPr>
          <w:rFonts w:ascii="Aptos" w:hAnsi="Aptos" w:cs="Times New Roman"/>
          <w:sz w:val="25"/>
          <w:szCs w:val="25"/>
        </w:rPr>
        <w:t xml:space="preserve"> </w:t>
      </w:r>
      <w:r w:rsidR="004C2F54" w:rsidRPr="008F3CDE">
        <w:rPr>
          <w:rFonts w:ascii="Aptos" w:hAnsi="Aptos"/>
          <w:i/>
          <w:iCs/>
          <w:sz w:val="25"/>
          <w:szCs w:val="25"/>
        </w:rPr>
        <w:t>LEA</w:t>
      </w:r>
      <w:r w:rsidR="004C2F54">
        <w:rPr>
          <w:rFonts w:ascii="Aptos" w:hAnsi="Aptos"/>
          <w:sz w:val="25"/>
          <w:szCs w:val="25"/>
        </w:rPr>
        <w:t xml:space="preserve"> (Local Educational Agency) </w:t>
      </w:r>
      <w:r w:rsidR="004C2F54" w:rsidRPr="008F3CDE">
        <w:rPr>
          <w:rFonts w:ascii="Aptos" w:hAnsi="Aptos"/>
          <w:i/>
          <w:iCs/>
          <w:sz w:val="25"/>
          <w:szCs w:val="25"/>
        </w:rPr>
        <w:t>Assignment Hearing Request</w:t>
      </w:r>
      <w:r w:rsidR="004C2F54">
        <w:rPr>
          <w:rFonts w:ascii="Aptos" w:hAnsi="Aptos"/>
          <w:sz w:val="25"/>
          <w:szCs w:val="25"/>
        </w:rPr>
        <w:t xml:space="preserve"> (</w:t>
      </w:r>
      <w:r w:rsidR="004C2F54" w:rsidRPr="008E4F40">
        <w:rPr>
          <w:rFonts w:ascii="Aptos" w:hAnsi="Aptos"/>
          <w:i/>
          <w:iCs/>
          <w:sz w:val="25"/>
          <w:szCs w:val="25"/>
        </w:rPr>
        <w:t>Hearing Request</w:t>
      </w:r>
      <w:r w:rsidR="004C2F54" w:rsidRPr="008E4F40">
        <w:rPr>
          <w:rFonts w:ascii="Aptos" w:hAnsi="Aptos"/>
          <w:sz w:val="25"/>
          <w:szCs w:val="25"/>
        </w:rPr>
        <w:t xml:space="preserve">) </w:t>
      </w:r>
      <w:r w:rsidR="004C2F54">
        <w:rPr>
          <w:rFonts w:ascii="Aptos" w:hAnsi="Aptos"/>
          <w:sz w:val="25"/>
          <w:szCs w:val="25"/>
        </w:rPr>
        <w:t xml:space="preserve">filed </w:t>
      </w:r>
      <w:r w:rsidR="004C2F54">
        <w:rPr>
          <w:rFonts w:ascii="Aptos" w:hAnsi="Aptos" w:cs="Times New Roman"/>
          <w:sz w:val="25"/>
          <w:szCs w:val="25"/>
        </w:rPr>
        <w:t xml:space="preserve">by </w:t>
      </w:r>
      <w:r w:rsidR="00B20C24">
        <w:rPr>
          <w:rFonts w:ascii="Aptos" w:hAnsi="Aptos" w:cs="Times New Roman"/>
          <w:sz w:val="25"/>
          <w:szCs w:val="25"/>
        </w:rPr>
        <w:t>Worcester Public Schools (Worcester, or WPS) on January 13, 2026. A Motion Hearing was held on February 27, 2026</w:t>
      </w:r>
      <w:r w:rsidR="00A03E8C">
        <w:rPr>
          <w:rFonts w:ascii="Aptos" w:hAnsi="Aptos" w:cs="Times New Roman"/>
          <w:sz w:val="25"/>
          <w:szCs w:val="25"/>
        </w:rPr>
        <w:t>, to permit the parties to supplement their written submissions with oral argument</w:t>
      </w:r>
      <w:r w:rsidR="00B20C24">
        <w:rPr>
          <w:rFonts w:ascii="Aptos" w:hAnsi="Aptos" w:cs="Times New Roman"/>
          <w:sz w:val="25"/>
          <w:szCs w:val="25"/>
        </w:rPr>
        <w:t xml:space="preserve">. For the reasons below, </w:t>
      </w:r>
      <w:bookmarkEnd w:id="2"/>
      <w:r w:rsidR="00074480">
        <w:rPr>
          <w:rFonts w:ascii="Aptos" w:hAnsi="Aptos" w:cs="Times New Roman"/>
          <w:sz w:val="25"/>
          <w:szCs w:val="25"/>
        </w:rPr>
        <w:t xml:space="preserve">Framingham’s </w:t>
      </w:r>
      <w:r w:rsidR="00074480">
        <w:rPr>
          <w:rFonts w:ascii="Aptos" w:hAnsi="Aptos" w:cs="Times New Roman"/>
          <w:i/>
          <w:iCs/>
          <w:sz w:val="25"/>
          <w:szCs w:val="25"/>
        </w:rPr>
        <w:t>Motion</w:t>
      </w:r>
      <w:r w:rsidR="00074480">
        <w:rPr>
          <w:rFonts w:ascii="Aptos" w:hAnsi="Aptos" w:cs="Times New Roman"/>
          <w:sz w:val="25"/>
          <w:szCs w:val="25"/>
        </w:rPr>
        <w:t xml:space="preserve"> is hereby ALLOWED</w:t>
      </w:r>
      <w:r w:rsidR="000D305B">
        <w:rPr>
          <w:rFonts w:ascii="Aptos" w:hAnsi="Aptos" w:cs="Times New Roman"/>
          <w:sz w:val="25"/>
          <w:szCs w:val="25"/>
        </w:rPr>
        <w:t>,</w:t>
      </w:r>
      <w:r w:rsidR="00074480">
        <w:rPr>
          <w:rFonts w:ascii="Aptos" w:hAnsi="Aptos" w:cs="Times New Roman"/>
          <w:sz w:val="25"/>
          <w:szCs w:val="25"/>
        </w:rPr>
        <w:t xml:space="preserve"> and the Department’s </w:t>
      </w:r>
      <w:r w:rsidR="00074480">
        <w:rPr>
          <w:rFonts w:ascii="Aptos" w:hAnsi="Aptos" w:cs="Times New Roman"/>
          <w:i/>
          <w:iCs/>
          <w:sz w:val="25"/>
          <w:szCs w:val="25"/>
        </w:rPr>
        <w:t xml:space="preserve">Motion </w:t>
      </w:r>
      <w:r w:rsidR="00074480">
        <w:rPr>
          <w:rFonts w:ascii="Aptos" w:hAnsi="Aptos" w:cs="Times New Roman"/>
          <w:sz w:val="25"/>
          <w:szCs w:val="25"/>
        </w:rPr>
        <w:t>is hereby ALLOWED in part and DENIED in part.</w:t>
      </w:r>
    </w:p>
    <w:p w14:paraId="3C290E7B" w14:textId="77777777" w:rsidR="002034C3" w:rsidRDefault="002034C3" w:rsidP="002034C3">
      <w:pPr>
        <w:pStyle w:val="NoSpacing"/>
        <w:rPr>
          <w:rFonts w:ascii="Aptos" w:hAnsi="Aptos" w:cs="Times New Roman"/>
          <w:sz w:val="25"/>
          <w:szCs w:val="25"/>
        </w:rPr>
      </w:pPr>
    </w:p>
    <w:p w14:paraId="16B4B862" w14:textId="088A43CF" w:rsidR="002034C3" w:rsidRPr="002034C3" w:rsidRDefault="002034C3" w:rsidP="002034C3">
      <w:pPr>
        <w:pStyle w:val="NoSpacing"/>
        <w:numPr>
          <w:ilvl w:val="0"/>
          <w:numId w:val="11"/>
        </w:numPr>
        <w:rPr>
          <w:rFonts w:ascii="Aptos" w:hAnsi="Aptos" w:cs="Times New Roman"/>
          <w:b/>
          <w:bCs/>
          <w:sz w:val="25"/>
          <w:szCs w:val="25"/>
        </w:rPr>
      </w:pPr>
      <w:r>
        <w:rPr>
          <w:rFonts w:ascii="Aptos" w:hAnsi="Aptos" w:cs="Times New Roman"/>
          <w:b/>
          <w:bCs/>
          <w:sz w:val="25"/>
          <w:szCs w:val="25"/>
        </w:rPr>
        <w:t>PROCEDURAL HISTORY</w:t>
      </w:r>
    </w:p>
    <w:p w14:paraId="07D23367" w14:textId="5D74D7D0" w:rsidR="00B20C24" w:rsidRDefault="00B20C24" w:rsidP="002034C3">
      <w:pPr>
        <w:pStyle w:val="NoSpacing"/>
        <w:spacing w:before="240"/>
        <w:ind w:firstLine="720"/>
        <w:rPr>
          <w:rFonts w:ascii="Aptos" w:hAnsi="Aptos"/>
          <w:sz w:val="25"/>
          <w:szCs w:val="25"/>
        </w:rPr>
      </w:pPr>
      <w:bookmarkStart w:id="3" w:name="_Hlk219450745"/>
      <w:r>
        <w:rPr>
          <w:rFonts w:ascii="Aptos" w:hAnsi="Aptos"/>
          <w:sz w:val="25"/>
          <w:szCs w:val="25"/>
        </w:rPr>
        <w:t>On J</w:t>
      </w:r>
      <w:r w:rsidR="004C2F54">
        <w:rPr>
          <w:rFonts w:ascii="Aptos" w:hAnsi="Aptos"/>
          <w:sz w:val="25"/>
          <w:szCs w:val="25"/>
        </w:rPr>
        <w:t>anuary 13, 2026</w:t>
      </w:r>
      <w:r>
        <w:rPr>
          <w:rFonts w:ascii="Aptos" w:hAnsi="Aptos"/>
          <w:sz w:val="25"/>
          <w:szCs w:val="25"/>
        </w:rPr>
        <w:t xml:space="preserve">, </w:t>
      </w:r>
      <w:r w:rsidR="004C2F54">
        <w:rPr>
          <w:rFonts w:ascii="Aptos" w:hAnsi="Aptos"/>
          <w:sz w:val="25"/>
          <w:szCs w:val="25"/>
        </w:rPr>
        <w:t>Worcester</w:t>
      </w:r>
      <w:r>
        <w:rPr>
          <w:rFonts w:ascii="Aptos" w:hAnsi="Aptos"/>
          <w:sz w:val="25"/>
          <w:szCs w:val="25"/>
        </w:rPr>
        <w:t xml:space="preserve"> filed </w:t>
      </w:r>
      <w:r w:rsidR="00A03E8C">
        <w:rPr>
          <w:rFonts w:ascii="Aptos" w:hAnsi="Aptos"/>
          <w:sz w:val="25"/>
          <w:szCs w:val="25"/>
        </w:rPr>
        <w:t>a</w:t>
      </w:r>
      <w:r w:rsidR="004C2F54">
        <w:rPr>
          <w:rFonts w:ascii="Aptos" w:hAnsi="Aptos"/>
          <w:sz w:val="25"/>
          <w:szCs w:val="25"/>
        </w:rPr>
        <w:t xml:space="preserve"> </w:t>
      </w:r>
      <w:r w:rsidRPr="008E4F40">
        <w:rPr>
          <w:rFonts w:ascii="Aptos" w:hAnsi="Aptos"/>
          <w:i/>
          <w:iCs/>
          <w:sz w:val="25"/>
          <w:szCs w:val="25"/>
        </w:rPr>
        <w:t>Hearing Request</w:t>
      </w:r>
      <w:r w:rsidRPr="008E4F40">
        <w:rPr>
          <w:rFonts w:ascii="Aptos" w:hAnsi="Aptos"/>
          <w:sz w:val="25"/>
          <w:szCs w:val="25"/>
        </w:rPr>
        <w:t xml:space="preserve"> with the </w:t>
      </w:r>
      <w:r w:rsidR="00A03E8C">
        <w:rPr>
          <w:rFonts w:ascii="Aptos" w:hAnsi="Aptos"/>
          <w:sz w:val="25"/>
          <w:szCs w:val="25"/>
        </w:rPr>
        <w:t>Bureau of Special Education Appeals (</w:t>
      </w:r>
      <w:r w:rsidRPr="008E4F40">
        <w:rPr>
          <w:rFonts w:ascii="Aptos" w:hAnsi="Aptos"/>
          <w:sz w:val="25"/>
          <w:szCs w:val="25"/>
        </w:rPr>
        <w:t>BSEA</w:t>
      </w:r>
      <w:r w:rsidR="00A03E8C">
        <w:rPr>
          <w:rFonts w:ascii="Aptos" w:hAnsi="Aptos"/>
          <w:sz w:val="25"/>
          <w:szCs w:val="25"/>
        </w:rPr>
        <w:t>)</w:t>
      </w:r>
      <w:r w:rsidRPr="008E4F40">
        <w:rPr>
          <w:rFonts w:ascii="Aptos" w:hAnsi="Aptos"/>
          <w:sz w:val="25"/>
          <w:szCs w:val="25"/>
        </w:rPr>
        <w:t xml:space="preserve"> against </w:t>
      </w:r>
      <w:r w:rsidR="00074480">
        <w:rPr>
          <w:rFonts w:ascii="Aptos" w:hAnsi="Aptos"/>
          <w:sz w:val="25"/>
          <w:szCs w:val="25"/>
        </w:rPr>
        <w:t>DESE,</w:t>
      </w:r>
      <w:r w:rsidR="004C2F54">
        <w:rPr>
          <w:rFonts w:ascii="Aptos" w:hAnsi="Aptos"/>
          <w:sz w:val="25"/>
          <w:szCs w:val="25"/>
        </w:rPr>
        <w:t xml:space="preserve"> Quabbin Regional School District (Quabbin, or QRSD), Springfield Public Schools (Springfield, or SPS), Framingham, Acton Public Schools (Acton, or APS),</w:t>
      </w:r>
      <w:r w:rsidR="004C2F54">
        <w:rPr>
          <w:rStyle w:val="FootnoteReference"/>
          <w:rFonts w:ascii="Aptos" w:hAnsi="Aptos"/>
          <w:sz w:val="25"/>
          <w:szCs w:val="25"/>
        </w:rPr>
        <w:footnoteReference w:id="1"/>
      </w:r>
      <w:r w:rsidR="004C2F54">
        <w:rPr>
          <w:rFonts w:ascii="Aptos" w:hAnsi="Aptos"/>
          <w:sz w:val="25"/>
          <w:szCs w:val="25"/>
        </w:rPr>
        <w:t xml:space="preserve"> and Lowell Public Schools (Lowell, or LPS)</w:t>
      </w:r>
      <w:r w:rsidRPr="008E4F40">
        <w:rPr>
          <w:rFonts w:ascii="Aptos" w:hAnsi="Aptos"/>
          <w:sz w:val="25"/>
          <w:szCs w:val="25"/>
        </w:rPr>
        <w:t xml:space="preserve">. The </w:t>
      </w:r>
      <w:r w:rsidRPr="008E4F40">
        <w:rPr>
          <w:rFonts w:ascii="Aptos" w:hAnsi="Aptos"/>
          <w:i/>
          <w:iCs/>
          <w:sz w:val="25"/>
          <w:szCs w:val="25"/>
        </w:rPr>
        <w:t>Hearing Request</w:t>
      </w:r>
      <w:r w:rsidRPr="008E4F40">
        <w:rPr>
          <w:rFonts w:ascii="Aptos" w:hAnsi="Aptos"/>
          <w:sz w:val="25"/>
          <w:szCs w:val="25"/>
        </w:rPr>
        <w:t xml:space="preserve"> s</w:t>
      </w:r>
      <w:r w:rsidR="00E45C13">
        <w:rPr>
          <w:rFonts w:ascii="Aptos" w:hAnsi="Aptos"/>
          <w:sz w:val="25"/>
          <w:szCs w:val="25"/>
        </w:rPr>
        <w:t>eeks</w:t>
      </w:r>
      <w:r w:rsidRPr="008E4F40">
        <w:rPr>
          <w:rFonts w:ascii="Aptos" w:hAnsi="Aptos"/>
          <w:sz w:val="25"/>
          <w:szCs w:val="25"/>
        </w:rPr>
        <w:t xml:space="preserve"> a determination that DESE erred in assigning programmatic and financial responsibility for Student’s special education program to </w:t>
      </w:r>
      <w:r w:rsidR="004C2F54">
        <w:rPr>
          <w:rFonts w:ascii="Aptos" w:hAnsi="Aptos"/>
          <w:sz w:val="25"/>
          <w:szCs w:val="25"/>
        </w:rPr>
        <w:t>WPS and an order that Worcester is not fiscally or programmatically responsible for</w:t>
      </w:r>
      <w:r w:rsidR="00CC4DCE">
        <w:rPr>
          <w:rFonts w:ascii="Aptos" w:hAnsi="Aptos"/>
          <w:sz w:val="25"/>
          <w:szCs w:val="25"/>
        </w:rPr>
        <w:t xml:space="preserve"> his education</w:t>
      </w:r>
      <w:r w:rsidR="004C2F54">
        <w:rPr>
          <w:rFonts w:ascii="Aptos" w:hAnsi="Aptos"/>
          <w:sz w:val="25"/>
          <w:szCs w:val="25"/>
        </w:rPr>
        <w:t>.</w:t>
      </w:r>
      <w:r w:rsidR="00E92A67">
        <w:rPr>
          <w:rFonts w:ascii="Aptos" w:hAnsi="Aptos"/>
          <w:sz w:val="25"/>
          <w:szCs w:val="25"/>
        </w:rPr>
        <w:t xml:space="preserve"> Worcester</w:t>
      </w:r>
      <w:r w:rsidR="00074480">
        <w:rPr>
          <w:rFonts w:ascii="Aptos" w:hAnsi="Aptos"/>
          <w:sz w:val="25"/>
          <w:szCs w:val="25"/>
        </w:rPr>
        <w:t xml:space="preserve"> contends that</w:t>
      </w:r>
      <w:r w:rsidR="00E92A67">
        <w:rPr>
          <w:rFonts w:ascii="Aptos" w:hAnsi="Aptos"/>
          <w:sz w:val="25"/>
          <w:szCs w:val="25"/>
        </w:rPr>
        <w:t xml:space="preserve"> Springfield, Quabbin, or another school district should be assigned programmatic responsibility for Student</w:t>
      </w:r>
      <w:r w:rsidR="00CC4DCE">
        <w:rPr>
          <w:rFonts w:ascii="Aptos" w:hAnsi="Aptos"/>
          <w:sz w:val="25"/>
          <w:szCs w:val="25"/>
        </w:rPr>
        <w:t xml:space="preserve"> and </w:t>
      </w:r>
      <w:r w:rsidR="00E92A67">
        <w:rPr>
          <w:rFonts w:ascii="Aptos" w:hAnsi="Aptos"/>
          <w:sz w:val="25"/>
          <w:szCs w:val="25"/>
        </w:rPr>
        <w:t xml:space="preserve">asserts that the district where Student’s parent or legal guardian resides or last </w:t>
      </w:r>
      <w:proofErr w:type="gramStart"/>
      <w:r w:rsidR="00E92A67">
        <w:rPr>
          <w:rFonts w:ascii="Aptos" w:hAnsi="Aptos"/>
          <w:sz w:val="25"/>
          <w:szCs w:val="25"/>
        </w:rPr>
        <w:t>resided</w:t>
      </w:r>
      <w:proofErr w:type="gramEnd"/>
      <w:r w:rsidR="00E92A67">
        <w:rPr>
          <w:rFonts w:ascii="Aptos" w:hAnsi="Aptos"/>
          <w:sz w:val="25"/>
          <w:szCs w:val="25"/>
        </w:rPr>
        <w:t xml:space="preserve"> should be assigned fiscal responsibility for him; WPS does not identify which school district this i</w:t>
      </w:r>
      <w:r w:rsidR="00F9799C">
        <w:rPr>
          <w:rFonts w:ascii="Aptos" w:hAnsi="Aptos"/>
          <w:sz w:val="25"/>
          <w:szCs w:val="25"/>
        </w:rPr>
        <w:t>s</w:t>
      </w:r>
      <w:r w:rsidR="00E92A67">
        <w:rPr>
          <w:rFonts w:ascii="Aptos" w:hAnsi="Aptos"/>
          <w:sz w:val="25"/>
          <w:szCs w:val="25"/>
        </w:rPr>
        <w:t xml:space="preserve"> but maintains that it is not Worcester.</w:t>
      </w:r>
      <w:r w:rsidR="00F9799C">
        <w:rPr>
          <w:rFonts w:ascii="Aptos" w:hAnsi="Aptos"/>
          <w:sz w:val="25"/>
          <w:szCs w:val="25"/>
        </w:rPr>
        <w:t xml:space="preserve"> According to WPS, DESE assigned programmatic and fiscal responsibility to Worcester, where – according to the available evidence – Parents </w:t>
      </w:r>
      <w:r w:rsidR="00F9799C">
        <w:rPr>
          <w:rFonts w:ascii="Aptos" w:hAnsi="Aptos"/>
          <w:sz w:val="25"/>
          <w:szCs w:val="25"/>
        </w:rPr>
        <w:lastRenderedPageBreak/>
        <w:t xml:space="preserve">never resided, after determining that its own regulations are inapplicable to Student’s circumstances. Worcester contends that, in fact, 603 CMR 28.10(5)(b)(3) does apply and that pursuant to this provision, Springfield retains programmatic responsibility as the school that was programmatically responsible for Student prior to a </w:t>
      </w:r>
      <w:r w:rsidR="00A03E8C">
        <w:rPr>
          <w:rFonts w:ascii="Aptos" w:hAnsi="Aptos"/>
          <w:sz w:val="25"/>
          <w:szCs w:val="25"/>
        </w:rPr>
        <w:t>Department of Children and Families (</w:t>
      </w:r>
      <w:r w:rsidR="00F9799C">
        <w:rPr>
          <w:rFonts w:ascii="Aptos" w:hAnsi="Aptos"/>
          <w:sz w:val="25"/>
          <w:szCs w:val="25"/>
        </w:rPr>
        <w:t>DCF</w:t>
      </w:r>
      <w:r w:rsidR="00A03E8C">
        <w:rPr>
          <w:rFonts w:ascii="Aptos" w:hAnsi="Aptos"/>
          <w:sz w:val="25"/>
          <w:szCs w:val="25"/>
        </w:rPr>
        <w:t>)</w:t>
      </w:r>
      <w:r w:rsidR="00F9799C">
        <w:rPr>
          <w:rFonts w:ascii="Aptos" w:hAnsi="Aptos"/>
          <w:sz w:val="25"/>
          <w:szCs w:val="25"/>
        </w:rPr>
        <w:t xml:space="preserve"> relocation. Furthermore, either Springfield or another school district, but not Worcester, should be</w:t>
      </w:r>
      <w:r w:rsidR="00D60B04">
        <w:rPr>
          <w:rFonts w:ascii="Aptos" w:hAnsi="Aptos"/>
          <w:sz w:val="25"/>
          <w:szCs w:val="25"/>
        </w:rPr>
        <w:t xml:space="preserve"> assigned </w:t>
      </w:r>
      <w:r w:rsidR="00F9799C">
        <w:rPr>
          <w:rFonts w:ascii="Aptos" w:hAnsi="Aptos"/>
          <w:sz w:val="25"/>
          <w:szCs w:val="25"/>
        </w:rPr>
        <w:t>fiscal responsibility for Student.</w:t>
      </w:r>
      <w:r w:rsidR="00D60B04">
        <w:rPr>
          <w:rFonts w:ascii="Aptos" w:hAnsi="Aptos"/>
          <w:sz w:val="25"/>
          <w:szCs w:val="25"/>
        </w:rPr>
        <w:t xml:space="preserve"> Worcester request</w:t>
      </w:r>
      <w:r w:rsidR="00E45C13">
        <w:rPr>
          <w:rFonts w:ascii="Aptos" w:hAnsi="Aptos"/>
          <w:sz w:val="25"/>
          <w:szCs w:val="25"/>
        </w:rPr>
        <w:t>s</w:t>
      </w:r>
      <w:r w:rsidR="00D60B04">
        <w:rPr>
          <w:rFonts w:ascii="Aptos" w:hAnsi="Aptos"/>
          <w:sz w:val="25"/>
          <w:szCs w:val="25"/>
        </w:rPr>
        <w:t xml:space="preserve"> that the BSEA overturn DESE’s LEA Assignment and order that Springfield, Quabbin, Framingham, Acton, Lowell, or some combination thereof, bear responsibility for Student and that one or more of these Districts should reimburse WPS for funds already expended on the current residential school placement, including but not limited to transportation and instruction-related costs.</w:t>
      </w:r>
    </w:p>
    <w:p w14:paraId="1228E183" w14:textId="2EE2332B" w:rsidR="00D60B04" w:rsidRDefault="00D60B04" w:rsidP="002034C3">
      <w:pPr>
        <w:pStyle w:val="NoSpacing"/>
        <w:spacing w:before="240"/>
        <w:ind w:firstLine="720"/>
        <w:rPr>
          <w:rFonts w:ascii="Aptos" w:hAnsi="Aptos"/>
          <w:sz w:val="25"/>
          <w:szCs w:val="25"/>
        </w:rPr>
      </w:pPr>
      <w:r>
        <w:rPr>
          <w:rFonts w:ascii="Aptos" w:hAnsi="Aptos"/>
          <w:sz w:val="25"/>
          <w:szCs w:val="25"/>
        </w:rPr>
        <w:t>The Hearing was scheduled for February 2, 2026.</w:t>
      </w:r>
    </w:p>
    <w:p w14:paraId="0CE09A10" w14:textId="1AFFF4ED" w:rsidR="00D60B04" w:rsidRDefault="00D60B04" w:rsidP="002034C3">
      <w:pPr>
        <w:pStyle w:val="NoSpacing"/>
        <w:spacing w:before="240"/>
        <w:ind w:firstLine="720"/>
        <w:rPr>
          <w:rFonts w:ascii="Aptos" w:hAnsi="Aptos"/>
          <w:sz w:val="25"/>
          <w:szCs w:val="25"/>
        </w:rPr>
      </w:pPr>
      <w:r>
        <w:rPr>
          <w:rFonts w:ascii="Aptos" w:hAnsi="Aptos"/>
          <w:sz w:val="25"/>
          <w:szCs w:val="25"/>
        </w:rPr>
        <w:t>On January 20, 2026, Quabbin filed a request to postpone the Hearing for three months to permit the parties to conduct discovery. Springfield, Framingham, Acton</w:t>
      </w:r>
      <w:r w:rsidR="000D305B">
        <w:rPr>
          <w:rFonts w:ascii="Aptos" w:hAnsi="Aptos"/>
          <w:sz w:val="25"/>
          <w:szCs w:val="25"/>
        </w:rPr>
        <w:t>,</w:t>
      </w:r>
      <w:r>
        <w:rPr>
          <w:rFonts w:ascii="Aptos" w:hAnsi="Aptos"/>
          <w:sz w:val="25"/>
          <w:szCs w:val="25"/>
        </w:rPr>
        <w:t xml:space="preserve"> and Lowell assented to the request. On the same date, Worcester agreed to postpone the Hearing, but objected to a postponement of that length. All parties agreed to a </w:t>
      </w:r>
      <w:r w:rsidR="00CC4DCE">
        <w:rPr>
          <w:rFonts w:ascii="Aptos" w:hAnsi="Aptos"/>
          <w:sz w:val="25"/>
          <w:szCs w:val="25"/>
        </w:rPr>
        <w:t>seven-week</w:t>
      </w:r>
      <w:r>
        <w:rPr>
          <w:rFonts w:ascii="Aptos" w:hAnsi="Aptos"/>
          <w:sz w:val="25"/>
          <w:szCs w:val="25"/>
        </w:rPr>
        <w:t xml:space="preserve"> postponement, which was allowed for good cause, and the Hearing was scheduled for March 24, 2026.</w:t>
      </w:r>
    </w:p>
    <w:p w14:paraId="672010C2" w14:textId="360A3309" w:rsidR="00D60B04" w:rsidRDefault="00D60B04" w:rsidP="002034C3">
      <w:pPr>
        <w:pStyle w:val="NoSpacing"/>
        <w:spacing w:before="240"/>
        <w:ind w:firstLine="720"/>
        <w:rPr>
          <w:rFonts w:ascii="Aptos" w:hAnsi="Aptos"/>
          <w:sz w:val="25"/>
          <w:szCs w:val="25"/>
        </w:rPr>
      </w:pPr>
      <w:r>
        <w:rPr>
          <w:rFonts w:ascii="Aptos" w:hAnsi="Aptos"/>
          <w:sz w:val="25"/>
          <w:szCs w:val="25"/>
        </w:rPr>
        <w:t xml:space="preserve">On January 26, 2026, the Department filed a </w:t>
      </w:r>
      <w:r>
        <w:rPr>
          <w:rFonts w:ascii="Aptos" w:hAnsi="Aptos"/>
          <w:i/>
          <w:iCs/>
          <w:sz w:val="25"/>
          <w:szCs w:val="25"/>
        </w:rPr>
        <w:t>Motion to Dismiss and Response to Hearing Request</w:t>
      </w:r>
      <w:r>
        <w:rPr>
          <w:rFonts w:ascii="Aptos" w:hAnsi="Aptos"/>
          <w:sz w:val="25"/>
          <w:szCs w:val="25"/>
        </w:rPr>
        <w:t xml:space="preserve"> (DESE </w:t>
      </w:r>
      <w:r>
        <w:rPr>
          <w:rFonts w:ascii="Aptos" w:hAnsi="Aptos"/>
          <w:i/>
          <w:iCs/>
          <w:sz w:val="25"/>
          <w:szCs w:val="25"/>
        </w:rPr>
        <w:t>Motion</w:t>
      </w:r>
      <w:r>
        <w:rPr>
          <w:rFonts w:ascii="Aptos" w:hAnsi="Aptos"/>
          <w:sz w:val="25"/>
          <w:szCs w:val="25"/>
        </w:rPr>
        <w:t xml:space="preserve">), arguing that Worcester’s </w:t>
      </w:r>
      <w:r>
        <w:rPr>
          <w:rFonts w:ascii="Aptos" w:hAnsi="Aptos"/>
          <w:i/>
          <w:iCs/>
          <w:sz w:val="25"/>
          <w:szCs w:val="25"/>
        </w:rPr>
        <w:t xml:space="preserve">Hearing Request </w:t>
      </w:r>
      <w:r>
        <w:rPr>
          <w:rFonts w:ascii="Aptos" w:hAnsi="Aptos"/>
          <w:sz w:val="25"/>
          <w:szCs w:val="25"/>
        </w:rPr>
        <w:t xml:space="preserve">should be dismissed for failure to state a claim upon which relief can be granted. According to DESE, </w:t>
      </w:r>
      <w:r w:rsidR="000D305B">
        <w:rPr>
          <w:rFonts w:ascii="Aptos" w:hAnsi="Aptos"/>
          <w:sz w:val="25"/>
          <w:szCs w:val="25"/>
        </w:rPr>
        <w:t xml:space="preserve">pursuant to </w:t>
      </w:r>
      <w:r>
        <w:rPr>
          <w:rFonts w:ascii="Aptos" w:hAnsi="Aptos"/>
          <w:sz w:val="25"/>
          <w:szCs w:val="25"/>
        </w:rPr>
        <w:t>603 CMR 28.10(9)(b)(3)</w:t>
      </w:r>
      <w:r w:rsidR="009159CF">
        <w:rPr>
          <w:rFonts w:ascii="Aptos" w:hAnsi="Aptos"/>
          <w:sz w:val="25"/>
          <w:szCs w:val="25"/>
        </w:rPr>
        <w:t>,</w:t>
      </w:r>
      <w:r>
        <w:rPr>
          <w:rFonts w:ascii="Aptos" w:hAnsi="Aptos"/>
          <w:sz w:val="25"/>
          <w:szCs w:val="25"/>
        </w:rPr>
        <w:t xml:space="preserve"> </w:t>
      </w:r>
      <w:r w:rsidR="00BA1893">
        <w:rPr>
          <w:rFonts w:ascii="Aptos" w:hAnsi="Aptos"/>
          <w:sz w:val="25"/>
          <w:szCs w:val="25"/>
        </w:rPr>
        <w:t>a school district contesting a LEA Assignment before the BSEA must, in its request for appeal, “identify the district that the appealing district claims should have been assigned responsibility</w:t>
      </w:r>
      <w:r w:rsidR="00E45C13">
        <w:rPr>
          <w:rFonts w:ascii="Aptos" w:hAnsi="Aptos"/>
          <w:sz w:val="25"/>
          <w:szCs w:val="25"/>
        </w:rPr>
        <w:t>,</w:t>
      </w:r>
      <w:r w:rsidR="00BA1893">
        <w:rPr>
          <w:rFonts w:ascii="Aptos" w:hAnsi="Aptos"/>
          <w:sz w:val="25"/>
          <w:szCs w:val="25"/>
        </w:rPr>
        <w:t xml:space="preserve">” but Worcester’s </w:t>
      </w:r>
      <w:r w:rsidR="00BA1893">
        <w:rPr>
          <w:rFonts w:ascii="Aptos" w:hAnsi="Aptos"/>
          <w:i/>
          <w:iCs/>
          <w:sz w:val="25"/>
          <w:szCs w:val="25"/>
        </w:rPr>
        <w:t xml:space="preserve">Hearing Request </w:t>
      </w:r>
      <w:r w:rsidR="00BA1893">
        <w:rPr>
          <w:rFonts w:ascii="Aptos" w:hAnsi="Aptos"/>
          <w:sz w:val="25"/>
          <w:szCs w:val="25"/>
        </w:rPr>
        <w:t>fails to do so. Instead, WPS names several school districts “with varied and limited connections” to Student, without definitively identifying which district(s) should have been assigned responsibility.</w:t>
      </w:r>
      <w:r w:rsidR="00AB292A">
        <w:rPr>
          <w:rFonts w:ascii="Aptos" w:hAnsi="Aptos"/>
          <w:sz w:val="25"/>
          <w:szCs w:val="25"/>
        </w:rPr>
        <w:t xml:space="preserve"> Moreover, Worcester does not allege a specific misinterpretation of fact or misapplication of a regulation by DESE that leads to an alternative assignment. As the </w:t>
      </w:r>
      <w:r w:rsidR="00AB292A">
        <w:rPr>
          <w:rFonts w:ascii="Aptos" w:hAnsi="Aptos"/>
          <w:i/>
          <w:iCs/>
          <w:sz w:val="25"/>
          <w:szCs w:val="25"/>
        </w:rPr>
        <w:t xml:space="preserve">Hearing Request </w:t>
      </w:r>
      <w:r w:rsidR="00AB292A">
        <w:rPr>
          <w:rFonts w:ascii="Aptos" w:hAnsi="Aptos"/>
          <w:sz w:val="25"/>
          <w:szCs w:val="25"/>
        </w:rPr>
        <w:t>inappropriately seeks substitution of the BSEA’s judgment for that of DESE, it should be dismissed.</w:t>
      </w:r>
      <w:r w:rsidR="00AB292A">
        <w:rPr>
          <w:rStyle w:val="FootnoteReference"/>
          <w:rFonts w:ascii="Aptos" w:hAnsi="Aptos"/>
          <w:sz w:val="25"/>
          <w:szCs w:val="25"/>
        </w:rPr>
        <w:footnoteReference w:id="2"/>
      </w:r>
      <w:r w:rsidR="00AB292A">
        <w:rPr>
          <w:rFonts w:ascii="Aptos" w:hAnsi="Aptos"/>
          <w:sz w:val="25"/>
          <w:szCs w:val="25"/>
        </w:rPr>
        <w:t xml:space="preserve"> </w:t>
      </w:r>
    </w:p>
    <w:p w14:paraId="173F1905" w14:textId="40AF78C7" w:rsidR="00AB292A" w:rsidRDefault="00AB292A" w:rsidP="002034C3">
      <w:pPr>
        <w:pStyle w:val="NoSpacing"/>
        <w:spacing w:before="240"/>
        <w:ind w:firstLine="720"/>
        <w:rPr>
          <w:rFonts w:ascii="Aptos" w:hAnsi="Aptos"/>
          <w:sz w:val="25"/>
          <w:szCs w:val="25"/>
        </w:rPr>
      </w:pPr>
      <w:r>
        <w:rPr>
          <w:rFonts w:ascii="Aptos" w:hAnsi="Aptos"/>
          <w:sz w:val="25"/>
          <w:szCs w:val="25"/>
        </w:rPr>
        <w:t>On January 2</w:t>
      </w:r>
      <w:r w:rsidR="007145AC">
        <w:rPr>
          <w:rFonts w:ascii="Aptos" w:hAnsi="Aptos"/>
          <w:sz w:val="25"/>
          <w:szCs w:val="25"/>
        </w:rPr>
        <w:t>8</w:t>
      </w:r>
      <w:r>
        <w:rPr>
          <w:rFonts w:ascii="Aptos" w:hAnsi="Aptos"/>
          <w:sz w:val="25"/>
          <w:szCs w:val="25"/>
        </w:rPr>
        <w:t xml:space="preserve">, 2026, Lowell filed a </w:t>
      </w:r>
      <w:r>
        <w:rPr>
          <w:rFonts w:ascii="Aptos" w:hAnsi="Aptos"/>
          <w:i/>
          <w:iCs/>
          <w:sz w:val="25"/>
          <w:szCs w:val="25"/>
        </w:rPr>
        <w:t>Response to Worcester’s Hearing Request and Support of DESE’s Motion to Dismiss</w:t>
      </w:r>
      <w:r>
        <w:rPr>
          <w:rFonts w:ascii="Aptos" w:hAnsi="Aptos"/>
          <w:sz w:val="25"/>
          <w:szCs w:val="25"/>
        </w:rPr>
        <w:t xml:space="preserve">. Like DESE, LPS asserts that WPS’s </w:t>
      </w:r>
      <w:r>
        <w:rPr>
          <w:rFonts w:ascii="Aptos" w:hAnsi="Aptos"/>
          <w:i/>
          <w:iCs/>
          <w:sz w:val="25"/>
          <w:szCs w:val="25"/>
        </w:rPr>
        <w:t>Hearing Request</w:t>
      </w:r>
      <w:r>
        <w:rPr>
          <w:rFonts w:ascii="Aptos" w:hAnsi="Aptos"/>
          <w:sz w:val="25"/>
          <w:szCs w:val="25"/>
        </w:rPr>
        <w:t xml:space="preserve"> must be dismissed for failure to state a claim as a result of Worcester’s failure to identify the specific district or districts that should be named in its stead, and because Worcester failed to allege a specific misinterpretation of fact or </w:t>
      </w:r>
      <w:r>
        <w:rPr>
          <w:rFonts w:ascii="Aptos" w:hAnsi="Aptos"/>
          <w:sz w:val="25"/>
          <w:szCs w:val="25"/>
        </w:rPr>
        <w:lastRenderedPageBreak/>
        <w:t>misapplication of a regulation by the Department that would lea</w:t>
      </w:r>
      <w:r w:rsidR="00E45C13">
        <w:rPr>
          <w:rFonts w:ascii="Aptos" w:hAnsi="Aptos"/>
          <w:sz w:val="25"/>
          <w:szCs w:val="25"/>
        </w:rPr>
        <w:t>d</w:t>
      </w:r>
      <w:r>
        <w:rPr>
          <w:rFonts w:ascii="Aptos" w:hAnsi="Aptos"/>
          <w:sz w:val="25"/>
          <w:szCs w:val="25"/>
        </w:rPr>
        <w:t xml:space="preserve"> to an alternative assignment of district responsibility.</w:t>
      </w:r>
      <w:r>
        <w:rPr>
          <w:rStyle w:val="FootnoteReference"/>
          <w:rFonts w:ascii="Aptos" w:hAnsi="Aptos"/>
          <w:sz w:val="25"/>
          <w:szCs w:val="25"/>
        </w:rPr>
        <w:footnoteReference w:id="3"/>
      </w:r>
      <w:r>
        <w:rPr>
          <w:rFonts w:ascii="Aptos" w:hAnsi="Aptos"/>
          <w:sz w:val="25"/>
          <w:szCs w:val="25"/>
        </w:rPr>
        <w:t xml:space="preserve"> </w:t>
      </w:r>
    </w:p>
    <w:p w14:paraId="6D893887" w14:textId="3093F3DB" w:rsidR="007145AC" w:rsidRPr="007145AC" w:rsidRDefault="007145AC" w:rsidP="002034C3">
      <w:pPr>
        <w:pStyle w:val="NoSpacing"/>
        <w:spacing w:before="240"/>
        <w:ind w:firstLine="720"/>
        <w:rPr>
          <w:rFonts w:ascii="Aptos" w:hAnsi="Aptos"/>
          <w:sz w:val="25"/>
          <w:szCs w:val="25"/>
        </w:rPr>
      </w:pPr>
      <w:r>
        <w:rPr>
          <w:rFonts w:ascii="Aptos" w:hAnsi="Aptos"/>
          <w:sz w:val="25"/>
          <w:szCs w:val="25"/>
        </w:rPr>
        <w:t xml:space="preserve">Also on January 28, 2026, Framingham filed its </w:t>
      </w:r>
      <w:r>
        <w:rPr>
          <w:rFonts w:ascii="Aptos" w:hAnsi="Aptos"/>
          <w:i/>
          <w:iCs/>
          <w:sz w:val="25"/>
          <w:szCs w:val="25"/>
        </w:rPr>
        <w:t>Support of DESE’s Motion to Dismiss and Motion to Dismiss</w:t>
      </w:r>
      <w:r>
        <w:rPr>
          <w:rFonts w:ascii="Aptos" w:hAnsi="Aptos"/>
          <w:sz w:val="25"/>
          <w:szCs w:val="25"/>
        </w:rPr>
        <w:t xml:space="preserve">, asserting that should the Hearing Officer allow the Department’s </w:t>
      </w:r>
      <w:r>
        <w:rPr>
          <w:rFonts w:ascii="Aptos" w:hAnsi="Aptos"/>
          <w:i/>
          <w:iCs/>
          <w:sz w:val="25"/>
          <w:szCs w:val="25"/>
        </w:rPr>
        <w:t>Motion to Dismiss</w:t>
      </w:r>
      <w:r>
        <w:rPr>
          <w:rFonts w:ascii="Aptos" w:hAnsi="Aptos"/>
          <w:sz w:val="25"/>
          <w:szCs w:val="25"/>
        </w:rPr>
        <w:t xml:space="preserve">, the </w:t>
      </w:r>
      <w:r>
        <w:rPr>
          <w:rFonts w:ascii="Aptos" w:hAnsi="Aptos"/>
          <w:i/>
          <w:iCs/>
          <w:sz w:val="25"/>
          <w:szCs w:val="25"/>
        </w:rPr>
        <w:t xml:space="preserve">Hearing Request </w:t>
      </w:r>
      <w:r>
        <w:rPr>
          <w:rFonts w:ascii="Aptos" w:hAnsi="Aptos"/>
          <w:sz w:val="25"/>
          <w:szCs w:val="25"/>
        </w:rPr>
        <w:t>must also be dismissed as to Framingham for failure to state a claim upon which relief can be granted, as Worcester does not have a separate cause of action against Framingham.</w:t>
      </w:r>
    </w:p>
    <w:p w14:paraId="135F8222" w14:textId="36FEE2D0" w:rsidR="00B4057C" w:rsidRPr="007145AC" w:rsidRDefault="00B4057C" w:rsidP="002034C3">
      <w:pPr>
        <w:pStyle w:val="NoSpacing"/>
        <w:spacing w:before="240"/>
        <w:ind w:firstLine="720"/>
        <w:rPr>
          <w:rFonts w:ascii="Aptos" w:hAnsi="Aptos"/>
          <w:i/>
          <w:iCs/>
          <w:sz w:val="25"/>
          <w:szCs w:val="25"/>
        </w:rPr>
      </w:pPr>
      <w:r>
        <w:rPr>
          <w:rFonts w:ascii="Aptos" w:hAnsi="Aptos"/>
          <w:sz w:val="25"/>
          <w:szCs w:val="25"/>
        </w:rPr>
        <w:t xml:space="preserve">On January 30, 2026, Springfield filed its </w:t>
      </w:r>
      <w:r>
        <w:rPr>
          <w:rFonts w:ascii="Aptos" w:hAnsi="Aptos"/>
          <w:i/>
          <w:iCs/>
          <w:sz w:val="25"/>
          <w:szCs w:val="25"/>
        </w:rPr>
        <w:t>Response</w:t>
      </w:r>
      <w:r>
        <w:rPr>
          <w:rFonts w:ascii="Aptos" w:hAnsi="Aptos"/>
          <w:sz w:val="25"/>
          <w:szCs w:val="25"/>
        </w:rPr>
        <w:t xml:space="preserve"> to Worcester’s </w:t>
      </w:r>
      <w:r>
        <w:rPr>
          <w:rFonts w:ascii="Aptos" w:hAnsi="Aptos"/>
          <w:i/>
          <w:iCs/>
          <w:sz w:val="25"/>
          <w:szCs w:val="25"/>
        </w:rPr>
        <w:t>Hearing Request</w:t>
      </w:r>
      <w:r w:rsidR="008A09D8">
        <w:rPr>
          <w:rFonts w:ascii="Aptos" w:hAnsi="Aptos"/>
          <w:sz w:val="25"/>
          <w:szCs w:val="25"/>
        </w:rPr>
        <w:t>.</w:t>
      </w:r>
      <w:r>
        <w:rPr>
          <w:rStyle w:val="FootnoteReference"/>
          <w:rFonts w:ascii="Aptos" w:hAnsi="Aptos"/>
          <w:sz w:val="25"/>
          <w:szCs w:val="25"/>
        </w:rPr>
        <w:footnoteReference w:id="4"/>
      </w:r>
      <w:r>
        <w:rPr>
          <w:rFonts w:ascii="Aptos" w:hAnsi="Aptos"/>
          <w:sz w:val="25"/>
          <w:szCs w:val="25"/>
        </w:rPr>
        <w:t xml:space="preserve"> </w:t>
      </w:r>
      <w:r w:rsidR="008A09D8">
        <w:rPr>
          <w:rFonts w:ascii="Aptos" w:hAnsi="Aptos"/>
          <w:sz w:val="25"/>
          <w:szCs w:val="25"/>
        </w:rPr>
        <w:t>O</w:t>
      </w:r>
      <w:r>
        <w:rPr>
          <w:rFonts w:ascii="Aptos" w:hAnsi="Aptos"/>
          <w:sz w:val="25"/>
          <w:szCs w:val="25"/>
        </w:rPr>
        <w:t xml:space="preserve">n February 4, 2026, SPS filed its </w:t>
      </w:r>
      <w:r>
        <w:rPr>
          <w:rFonts w:ascii="Aptos" w:hAnsi="Aptos"/>
          <w:i/>
          <w:iCs/>
          <w:sz w:val="25"/>
          <w:szCs w:val="25"/>
        </w:rPr>
        <w:t>Support of DESE’s Motion to Dismiss and Supplemental Response</w:t>
      </w:r>
      <w:r w:rsidR="008A09D8">
        <w:rPr>
          <w:rFonts w:ascii="Aptos" w:hAnsi="Aptos"/>
          <w:sz w:val="25"/>
          <w:szCs w:val="25"/>
        </w:rPr>
        <w:t>, asserting that Worcester’s appeal of DESE’s LEA Assignment should be dismissed for the reasons advanced by the Department and supported by Lowell.</w:t>
      </w:r>
      <w:r w:rsidR="008A09D8">
        <w:rPr>
          <w:rStyle w:val="FootnoteReference"/>
          <w:rFonts w:ascii="Aptos" w:hAnsi="Aptos"/>
          <w:sz w:val="25"/>
          <w:szCs w:val="25"/>
        </w:rPr>
        <w:footnoteReference w:id="5"/>
      </w:r>
    </w:p>
    <w:p w14:paraId="3B1C0D88" w14:textId="6ADF457F" w:rsidR="00D032C8" w:rsidRDefault="007145AC" w:rsidP="002034C3">
      <w:pPr>
        <w:pStyle w:val="NoSpacing"/>
        <w:spacing w:before="240"/>
        <w:ind w:firstLine="720"/>
        <w:rPr>
          <w:rFonts w:ascii="Aptos" w:hAnsi="Aptos"/>
          <w:sz w:val="25"/>
          <w:szCs w:val="25"/>
        </w:rPr>
      </w:pPr>
      <w:r>
        <w:rPr>
          <w:rFonts w:ascii="Aptos" w:hAnsi="Aptos"/>
          <w:sz w:val="25"/>
          <w:szCs w:val="25"/>
        </w:rPr>
        <w:t xml:space="preserve">Worcester filed its </w:t>
      </w:r>
      <w:r>
        <w:rPr>
          <w:rFonts w:ascii="Aptos" w:hAnsi="Aptos"/>
          <w:i/>
          <w:iCs/>
          <w:sz w:val="25"/>
          <w:szCs w:val="25"/>
        </w:rPr>
        <w:t xml:space="preserve">Opposition to DESE’s Motion to Dismiss </w:t>
      </w:r>
      <w:r w:rsidR="00F1659F">
        <w:rPr>
          <w:rFonts w:ascii="Aptos" w:hAnsi="Aptos"/>
          <w:sz w:val="25"/>
          <w:szCs w:val="25"/>
        </w:rPr>
        <w:t>(</w:t>
      </w:r>
      <w:r w:rsidR="00F1659F">
        <w:rPr>
          <w:rFonts w:ascii="Aptos" w:hAnsi="Aptos"/>
          <w:i/>
          <w:iCs/>
          <w:sz w:val="25"/>
          <w:szCs w:val="25"/>
        </w:rPr>
        <w:t>Opposition to DESE</w:t>
      </w:r>
      <w:r w:rsidR="00F1659F">
        <w:rPr>
          <w:rFonts w:ascii="Aptos" w:hAnsi="Aptos"/>
          <w:sz w:val="25"/>
          <w:szCs w:val="25"/>
        </w:rPr>
        <w:t xml:space="preserve">) </w:t>
      </w:r>
      <w:r>
        <w:rPr>
          <w:rFonts w:ascii="Aptos" w:hAnsi="Aptos"/>
          <w:sz w:val="25"/>
          <w:szCs w:val="25"/>
        </w:rPr>
        <w:t>and it</w:t>
      </w:r>
      <w:r w:rsidR="00F1659F">
        <w:rPr>
          <w:rFonts w:ascii="Aptos" w:hAnsi="Aptos"/>
          <w:sz w:val="25"/>
          <w:szCs w:val="25"/>
        </w:rPr>
        <w:t>s</w:t>
      </w:r>
      <w:r>
        <w:rPr>
          <w:rFonts w:ascii="Aptos" w:hAnsi="Aptos"/>
          <w:sz w:val="25"/>
          <w:szCs w:val="25"/>
        </w:rPr>
        <w:t xml:space="preserve"> </w:t>
      </w:r>
      <w:r>
        <w:rPr>
          <w:rFonts w:ascii="Aptos" w:hAnsi="Aptos"/>
          <w:i/>
          <w:iCs/>
          <w:sz w:val="25"/>
          <w:szCs w:val="25"/>
        </w:rPr>
        <w:t>Opposition to Framingham’s Motion to Dismiss</w:t>
      </w:r>
      <w:r>
        <w:rPr>
          <w:rFonts w:ascii="Aptos" w:hAnsi="Aptos"/>
          <w:sz w:val="25"/>
          <w:szCs w:val="25"/>
        </w:rPr>
        <w:t xml:space="preserve"> </w:t>
      </w:r>
      <w:r w:rsidR="00F1659F">
        <w:rPr>
          <w:rFonts w:ascii="Aptos" w:hAnsi="Aptos"/>
          <w:sz w:val="25"/>
          <w:szCs w:val="25"/>
        </w:rPr>
        <w:t>(</w:t>
      </w:r>
      <w:r w:rsidR="00F1659F">
        <w:rPr>
          <w:rFonts w:ascii="Aptos" w:hAnsi="Aptos"/>
          <w:i/>
          <w:iCs/>
          <w:sz w:val="25"/>
          <w:szCs w:val="25"/>
        </w:rPr>
        <w:t>Opposition to FPS</w:t>
      </w:r>
      <w:r w:rsidR="00F1659F">
        <w:rPr>
          <w:rFonts w:ascii="Aptos" w:hAnsi="Aptos"/>
          <w:sz w:val="25"/>
          <w:szCs w:val="25"/>
        </w:rPr>
        <w:t xml:space="preserve">) </w:t>
      </w:r>
      <w:r>
        <w:rPr>
          <w:rFonts w:ascii="Aptos" w:hAnsi="Aptos"/>
          <w:sz w:val="25"/>
          <w:szCs w:val="25"/>
        </w:rPr>
        <w:t>on</w:t>
      </w:r>
      <w:r w:rsidR="00F1659F">
        <w:rPr>
          <w:rFonts w:ascii="Aptos" w:hAnsi="Aptos"/>
          <w:sz w:val="25"/>
          <w:szCs w:val="25"/>
        </w:rPr>
        <w:t xml:space="preserve"> February 26, 2026.</w:t>
      </w:r>
      <w:r w:rsidR="00F1659F">
        <w:rPr>
          <w:rStyle w:val="FootnoteReference"/>
          <w:rFonts w:ascii="Aptos" w:hAnsi="Aptos"/>
          <w:sz w:val="25"/>
          <w:szCs w:val="25"/>
        </w:rPr>
        <w:footnoteReference w:id="6"/>
      </w:r>
      <w:r>
        <w:rPr>
          <w:rFonts w:ascii="Aptos" w:hAnsi="Aptos"/>
          <w:sz w:val="25"/>
          <w:szCs w:val="25"/>
        </w:rPr>
        <w:t xml:space="preserve"> </w:t>
      </w:r>
      <w:r w:rsidR="00F1659F">
        <w:rPr>
          <w:rFonts w:ascii="Aptos" w:hAnsi="Aptos"/>
          <w:sz w:val="25"/>
          <w:szCs w:val="25"/>
        </w:rPr>
        <w:t xml:space="preserve">In its </w:t>
      </w:r>
      <w:r w:rsidR="00F1659F">
        <w:rPr>
          <w:rFonts w:ascii="Aptos" w:hAnsi="Aptos"/>
          <w:i/>
          <w:iCs/>
          <w:sz w:val="25"/>
          <w:szCs w:val="25"/>
        </w:rPr>
        <w:t>Opposition to DESE</w:t>
      </w:r>
      <w:r w:rsidR="00F1659F">
        <w:rPr>
          <w:rFonts w:ascii="Aptos" w:hAnsi="Aptos"/>
          <w:sz w:val="25"/>
          <w:szCs w:val="25"/>
        </w:rPr>
        <w:t>, Worcester contends that because Lowell is the District where Parents “last lived,” pursuant to 603 CMR 28.10(8)(c)(4), LPS is fiscally and programmatically responsible for Student.</w:t>
      </w:r>
      <w:r w:rsidR="008E27ED">
        <w:rPr>
          <w:rStyle w:val="FootnoteReference"/>
          <w:rFonts w:ascii="Aptos" w:hAnsi="Aptos"/>
          <w:sz w:val="25"/>
          <w:szCs w:val="25"/>
        </w:rPr>
        <w:footnoteReference w:id="7"/>
      </w:r>
      <w:r w:rsidR="00F1659F">
        <w:rPr>
          <w:rFonts w:ascii="Aptos" w:hAnsi="Aptos"/>
          <w:sz w:val="25"/>
          <w:szCs w:val="25"/>
        </w:rPr>
        <w:t xml:space="preserve"> Alternatively, Worcester asserts that to the extent that these responsibilities do not lie with Lowell, Framingham should be deemed fiscally responsible, as this is where Student’s DCF </w:t>
      </w:r>
      <w:r w:rsidR="00A710FB">
        <w:rPr>
          <w:rFonts w:ascii="Aptos" w:hAnsi="Aptos"/>
          <w:sz w:val="25"/>
          <w:szCs w:val="25"/>
        </w:rPr>
        <w:t>A</w:t>
      </w:r>
      <w:r w:rsidR="00F1659F">
        <w:rPr>
          <w:rFonts w:ascii="Aptos" w:hAnsi="Aptos"/>
          <w:sz w:val="25"/>
          <w:szCs w:val="25"/>
        </w:rPr>
        <w:t xml:space="preserve">doption </w:t>
      </w:r>
      <w:r w:rsidR="00A710FB">
        <w:rPr>
          <w:rFonts w:ascii="Aptos" w:hAnsi="Aptos"/>
          <w:sz w:val="25"/>
          <w:szCs w:val="25"/>
        </w:rPr>
        <w:t>S</w:t>
      </w:r>
      <w:r w:rsidR="00F1659F">
        <w:rPr>
          <w:rFonts w:ascii="Aptos" w:hAnsi="Aptos"/>
          <w:sz w:val="25"/>
          <w:szCs w:val="25"/>
        </w:rPr>
        <w:t xml:space="preserve">ocial </w:t>
      </w:r>
      <w:r w:rsidR="00A710FB">
        <w:rPr>
          <w:rFonts w:ascii="Aptos" w:hAnsi="Aptos"/>
          <w:sz w:val="25"/>
          <w:szCs w:val="25"/>
        </w:rPr>
        <w:t>W</w:t>
      </w:r>
      <w:r w:rsidR="00F1659F">
        <w:rPr>
          <w:rFonts w:ascii="Aptos" w:hAnsi="Aptos"/>
          <w:sz w:val="25"/>
          <w:szCs w:val="25"/>
        </w:rPr>
        <w:t>orker is based and where his foster parent and educational surrogate parent</w:t>
      </w:r>
      <w:r w:rsidR="00A710FB">
        <w:rPr>
          <w:rFonts w:ascii="Aptos" w:hAnsi="Aptos"/>
          <w:sz w:val="25"/>
          <w:szCs w:val="25"/>
        </w:rPr>
        <w:t xml:space="preserve"> (ESP)</w:t>
      </w:r>
      <w:r w:rsidR="00F1659F">
        <w:rPr>
          <w:rFonts w:ascii="Aptos" w:hAnsi="Aptos"/>
          <w:sz w:val="25"/>
          <w:szCs w:val="25"/>
        </w:rPr>
        <w:t xml:space="preserve"> reside. In any event, Worcester is not fiscally responsible for Student under any regulation, as Parents never lived in Worcester and Student’s only connection thereto was “temporary residency” in a group home funded by DCF for approximately six months during 2025.</w:t>
      </w:r>
      <w:r w:rsidR="005A7A90">
        <w:rPr>
          <w:rFonts w:ascii="Aptos" w:hAnsi="Aptos"/>
          <w:sz w:val="25"/>
          <w:szCs w:val="25"/>
        </w:rPr>
        <w:t xml:space="preserve"> </w:t>
      </w:r>
      <w:r w:rsidR="00F1659F">
        <w:rPr>
          <w:rFonts w:ascii="Aptos" w:hAnsi="Aptos"/>
          <w:sz w:val="25"/>
          <w:szCs w:val="25"/>
        </w:rPr>
        <w:t xml:space="preserve">According to Worcester, it is also possible that Quabbin, Springfield, and/or Acton may bear programmatic </w:t>
      </w:r>
      <w:r w:rsidR="008E27ED">
        <w:rPr>
          <w:rFonts w:ascii="Aptos" w:hAnsi="Aptos"/>
          <w:sz w:val="25"/>
          <w:szCs w:val="25"/>
        </w:rPr>
        <w:t>responsibility for Student if neither Framingham nor Lowell does so</w:t>
      </w:r>
      <w:r w:rsidR="00F1659F">
        <w:rPr>
          <w:rFonts w:ascii="Aptos" w:hAnsi="Aptos"/>
          <w:sz w:val="25"/>
          <w:szCs w:val="25"/>
        </w:rPr>
        <w:t xml:space="preserve">, particularly as DESE’s investigation of Student’s and Parents’ residential history was “so opaque and inadequate as to require discovery here in order </w:t>
      </w:r>
      <w:r w:rsidR="00F1659F">
        <w:rPr>
          <w:rFonts w:ascii="Aptos" w:hAnsi="Aptos"/>
          <w:sz w:val="25"/>
          <w:szCs w:val="25"/>
        </w:rPr>
        <w:lastRenderedPageBreak/>
        <w:t>to determine with certainty the last Massachusetts school district in which [Student]’s Parents last lived and/or resided.”</w:t>
      </w:r>
      <w:r w:rsidR="00AC4E35">
        <w:rPr>
          <w:rFonts w:ascii="Aptos" w:hAnsi="Aptos"/>
          <w:sz w:val="25"/>
          <w:szCs w:val="25"/>
        </w:rPr>
        <w:t xml:space="preserve"> </w:t>
      </w:r>
    </w:p>
    <w:p w14:paraId="608B40CC" w14:textId="7F65EB34" w:rsidR="00D032C8" w:rsidRDefault="00AC4E35" w:rsidP="002034C3">
      <w:pPr>
        <w:pStyle w:val="NoSpacing"/>
        <w:spacing w:before="240"/>
        <w:ind w:firstLine="720"/>
        <w:rPr>
          <w:rFonts w:ascii="Aptos" w:hAnsi="Aptos"/>
          <w:sz w:val="25"/>
          <w:szCs w:val="25"/>
        </w:rPr>
      </w:pPr>
      <w:r>
        <w:rPr>
          <w:rFonts w:ascii="Aptos" w:hAnsi="Aptos"/>
          <w:sz w:val="25"/>
          <w:szCs w:val="25"/>
        </w:rPr>
        <w:t xml:space="preserve">Worcester argues that a full adjudication of the matter is necessary, with the benefit of discovery, and that to the extent WPS may not have pled sufficient facts </w:t>
      </w:r>
      <w:r w:rsidR="00CC4DCE">
        <w:rPr>
          <w:rFonts w:ascii="Aptos" w:hAnsi="Aptos"/>
          <w:sz w:val="25"/>
          <w:szCs w:val="25"/>
        </w:rPr>
        <w:t xml:space="preserve">to overcome dismissal </w:t>
      </w:r>
      <w:r>
        <w:rPr>
          <w:rFonts w:ascii="Aptos" w:hAnsi="Aptos"/>
          <w:sz w:val="25"/>
          <w:szCs w:val="25"/>
        </w:rPr>
        <w:t xml:space="preserve">regarding the identification of the district(s) that is/are programmatically and fiscally responsible for Student in its </w:t>
      </w:r>
      <w:r>
        <w:rPr>
          <w:rFonts w:ascii="Aptos" w:hAnsi="Aptos"/>
          <w:i/>
          <w:iCs/>
          <w:sz w:val="25"/>
          <w:szCs w:val="25"/>
        </w:rPr>
        <w:t>Hearing Request</w:t>
      </w:r>
      <w:r>
        <w:rPr>
          <w:rFonts w:ascii="Aptos" w:hAnsi="Aptos"/>
          <w:sz w:val="25"/>
          <w:szCs w:val="25"/>
        </w:rPr>
        <w:t xml:space="preserve">, it cures such defects in its </w:t>
      </w:r>
      <w:r>
        <w:rPr>
          <w:rFonts w:ascii="Aptos" w:hAnsi="Aptos"/>
          <w:i/>
          <w:iCs/>
          <w:sz w:val="25"/>
          <w:szCs w:val="25"/>
        </w:rPr>
        <w:t>Opposition to DESE</w:t>
      </w:r>
      <w:r>
        <w:rPr>
          <w:rFonts w:ascii="Aptos" w:hAnsi="Aptos"/>
          <w:sz w:val="25"/>
          <w:szCs w:val="25"/>
        </w:rPr>
        <w:t>.</w:t>
      </w:r>
      <w:r w:rsidR="008E27ED">
        <w:rPr>
          <w:rFonts w:ascii="Aptos" w:hAnsi="Aptos"/>
          <w:sz w:val="25"/>
          <w:szCs w:val="25"/>
        </w:rPr>
        <w:t xml:space="preserve"> Specifically, Worcester points to Parents’ address in Lowell between October 3</w:t>
      </w:r>
      <w:r w:rsidR="005A7A90">
        <w:rPr>
          <w:rFonts w:ascii="Aptos" w:hAnsi="Aptos"/>
          <w:sz w:val="25"/>
          <w:szCs w:val="25"/>
        </w:rPr>
        <w:t>, 2019</w:t>
      </w:r>
      <w:r w:rsidR="008E27ED">
        <w:rPr>
          <w:rFonts w:ascii="Aptos" w:hAnsi="Aptos"/>
          <w:sz w:val="25"/>
          <w:szCs w:val="25"/>
        </w:rPr>
        <w:t xml:space="preserve"> and November 15 or 25, 2019,</w:t>
      </w:r>
      <w:r w:rsidR="009159CF">
        <w:rPr>
          <w:rStyle w:val="FootnoteReference"/>
          <w:rFonts w:ascii="Aptos" w:hAnsi="Aptos"/>
          <w:sz w:val="25"/>
          <w:szCs w:val="25"/>
        </w:rPr>
        <w:footnoteReference w:id="8"/>
      </w:r>
      <w:r w:rsidR="008E27ED">
        <w:rPr>
          <w:rFonts w:ascii="Aptos" w:hAnsi="Aptos"/>
          <w:sz w:val="25"/>
          <w:szCs w:val="25"/>
        </w:rPr>
        <w:t xml:space="preserve"> which WPS asserts is an apartment operated through the Lowell Housing Authority, as the necessary factual basis to overcome dismissal as to Lowell, and indicates that the Framingham addresses of Student’s </w:t>
      </w:r>
      <w:r w:rsidR="00A710FB">
        <w:rPr>
          <w:rFonts w:ascii="Aptos" w:hAnsi="Aptos"/>
          <w:sz w:val="25"/>
          <w:szCs w:val="25"/>
        </w:rPr>
        <w:t>ESP</w:t>
      </w:r>
      <w:r w:rsidR="008E27ED">
        <w:rPr>
          <w:rFonts w:ascii="Aptos" w:hAnsi="Aptos"/>
          <w:sz w:val="25"/>
          <w:szCs w:val="25"/>
        </w:rPr>
        <w:t xml:space="preserve">, foster parent, and DCF </w:t>
      </w:r>
      <w:r w:rsidR="00A710FB">
        <w:rPr>
          <w:rFonts w:ascii="Aptos" w:hAnsi="Aptos"/>
          <w:sz w:val="25"/>
          <w:szCs w:val="25"/>
        </w:rPr>
        <w:t>A</w:t>
      </w:r>
      <w:r w:rsidR="008E27ED">
        <w:rPr>
          <w:rFonts w:ascii="Aptos" w:hAnsi="Aptos"/>
          <w:sz w:val="25"/>
          <w:szCs w:val="25"/>
        </w:rPr>
        <w:t xml:space="preserve">doption </w:t>
      </w:r>
      <w:r w:rsidR="00A710FB">
        <w:rPr>
          <w:rFonts w:ascii="Aptos" w:hAnsi="Aptos"/>
          <w:sz w:val="25"/>
          <w:szCs w:val="25"/>
        </w:rPr>
        <w:t>S</w:t>
      </w:r>
      <w:r w:rsidR="008E27ED">
        <w:rPr>
          <w:rFonts w:ascii="Aptos" w:hAnsi="Aptos"/>
          <w:sz w:val="25"/>
          <w:szCs w:val="25"/>
        </w:rPr>
        <w:t xml:space="preserve">ocial </w:t>
      </w:r>
      <w:r w:rsidR="00A710FB">
        <w:rPr>
          <w:rFonts w:ascii="Aptos" w:hAnsi="Aptos"/>
          <w:sz w:val="25"/>
          <w:szCs w:val="25"/>
        </w:rPr>
        <w:t>W</w:t>
      </w:r>
      <w:r w:rsidR="008E27ED">
        <w:rPr>
          <w:rFonts w:ascii="Aptos" w:hAnsi="Aptos"/>
          <w:sz w:val="25"/>
          <w:szCs w:val="25"/>
        </w:rPr>
        <w:t xml:space="preserve">orker’s main office, </w:t>
      </w:r>
      <w:r w:rsidR="00D032C8">
        <w:rPr>
          <w:rFonts w:ascii="Aptos" w:hAnsi="Aptos"/>
          <w:sz w:val="25"/>
          <w:szCs w:val="25"/>
        </w:rPr>
        <w:t>provide the same as to Framingham. In the alternative, Worcester asserts, WPS may bear programmatic responsibility for Student, because at the time DCF relocated Student to a residential school, Worcester was programmatically responsible for him, but “Framingham or another district should bear fiscal responsibility,” as the district where Student’s legal guardian resides.</w:t>
      </w:r>
      <w:r w:rsidR="000C3599">
        <w:rPr>
          <w:rFonts w:ascii="Aptos" w:hAnsi="Aptos"/>
          <w:sz w:val="25"/>
          <w:szCs w:val="25"/>
        </w:rPr>
        <w:t xml:space="preserve"> Finally, according to Worcester, there is statutory authority and persuasive case law for the assignment of fiscal responsibility to state educational agencies (SEAs) when state law does not squarely apply to an individual student’s circumstances</w:t>
      </w:r>
      <w:r w:rsidR="00CC4DCE">
        <w:rPr>
          <w:rFonts w:ascii="Aptos" w:hAnsi="Aptos"/>
          <w:sz w:val="25"/>
          <w:szCs w:val="25"/>
        </w:rPr>
        <w:t>,</w:t>
      </w:r>
      <w:r w:rsidR="000C3599">
        <w:rPr>
          <w:rFonts w:ascii="Aptos" w:hAnsi="Aptos"/>
          <w:sz w:val="25"/>
          <w:szCs w:val="25"/>
        </w:rPr>
        <w:t xml:space="preserve"> </w:t>
      </w:r>
      <w:r w:rsidR="000D305B">
        <w:rPr>
          <w:rFonts w:ascii="Aptos" w:hAnsi="Aptos"/>
          <w:sz w:val="25"/>
          <w:szCs w:val="25"/>
        </w:rPr>
        <w:t xml:space="preserve">such that </w:t>
      </w:r>
      <w:r w:rsidR="000C3599">
        <w:rPr>
          <w:rFonts w:ascii="Aptos" w:hAnsi="Aptos"/>
          <w:sz w:val="25"/>
          <w:szCs w:val="25"/>
        </w:rPr>
        <w:t>the BSEA could exercise its discretionary authority to fashion equitabl</w:t>
      </w:r>
      <w:r w:rsidR="005A7A90">
        <w:rPr>
          <w:rFonts w:ascii="Aptos" w:hAnsi="Aptos"/>
          <w:sz w:val="25"/>
          <w:szCs w:val="25"/>
        </w:rPr>
        <w:t>e</w:t>
      </w:r>
      <w:r w:rsidR="000C3599">
        <w:rPr>
          <w:rFonts w:ascii="Aptos" w:hAnsi="Aptos"/>
          <w:sz w:val="25"/>
          <w:szCs w:val="25"/>
        </w:rPr>
        <w:t xml:space="preserve"> relief, making DESE responsible for Student in the unique circumstances of this case.</w:t>
      </w:r>
    </w:p>
    <w:p w14:paraId="504BC873" w14:textId="171D42CB" w:rsidR="000C3599" w:rsidRPr="000C3599" w:rsidRDefault="000C3599" w:rsidP="002034C3">
      <w:pPr>
        <w:pStyle w:val="NoSpacing"/>
        <w:spacing w:before="240"/>
        <w:ind w:firstLine="720"/>
        <w:rPr>
          <w:rFonts w:ascii="Aptos" w:hAnsi="Aptos"/>
          <w:sz w:val="25"/>
          <w:szCs w:val="25"/>
        </w:rPr>
      </w:pPr>
      <w:r>
        <w:rPr>
          <w:rFonts w:ascii="Aptos" w:hAnsi="Aptos"/>
          <w:sz w:val="25"/>
          <w:szCs w:val="25"/>
        </w:rPr>
        <w:t xml:space="preserve">In its </w:t>
      </w:r>
      <w:r>
        <w:rPr>
          <w:rFonts w:ascii="Aptos" w:hAnsi="Aptos"/>
          <w:i/>
          <w:iCs/>
          <w:sz w:val="25"/>
          <w:szCs w:val="25"/>
        </w:rPr>
        <w:t>Opposition to FPS</w:t>
      </w:r>
      <w:r>
        <w:rPr>
          <w:rFonts w:ascii="Aptos" w:hAnsi="Aptos"/>
          <w:sz w:val="25"/>
          <w:szCs w:val="25"/>
        </w:rPr>
        <w:t xml:space="preserve">, Worcester argues that because DESE’s investigation of Student’s and Parents’ residential history was inadequate, discovery is required </w:t>
      </w:r>
      <w:proofErr w:type="gramStart"/>
      <w:r>
        <w:rPr>
          <w:rFonts w:ascii="Aptos" w:hAnsi="Aptos"/>
          <w:sz w:val="25"/>
          <w:szCs w:val="25"/>
        </w:rPr>
        <w:t>in order to</w:t>
      </w:r>
      <w:proofErr w:type="gramEnd"/>
      <w:r>
        <w:rPr>
          <w:rFonts w:ascii="Aptos" w:hAnsi="Aptos"/>
          <w:sz w:val="25"/>
          <w:szCs w:val="25"/>
        </w:rPr>
        <w:t xml:space="preserve"> determine the last Massachusetts school district in which Parents lived or resided. </w:t>
      </w:r>
      <w:r w:rsidR="005A7A90">
        <w:rPr>
          <w:rFonts w:ascii="Aptos" w:hAnsi="Aptos"/>
          <w:sz w:val="25"/>
          <w:szCs w:val="25"/>
        </w:rPr>
        <w:t xml:space="preserve">In its </w:t>
      </w:r>
      <w:r w:rsidR="005A7A90">
        <w:rPr>
          <w:rFonts w:ascii="Aptos" w:hAnsi="Aptos"/>
          <w:i/>
          <w:iCs/>
          <w:sz w:val="25"/>
          <w:szCs w:val="25"/>
        </w:rPr>
        <w:t xml:space="preserve">Opposition to FPS, </w:t>
      </w:r>
      <w:r w:rsidRPr="005A7A90">
        <w:rPr>
          <w:rFonts w:ascii="Aptos" w:hAnsi="Aptos"/>
          <w:sz w:val="25"/>
          <w:szCs w:val="25"/>
        </w:rPr>
        <w:t>WPS</w:t>
      </w:r>
      <w:r>
        <w:rPr>
          <w:rFonts w:ascii="Aptos" w:hAnsi="Aptos"/>
          <w:sz w:val="25"/>
          <w:szCs w:val="25"/>
        </w:rPr>
        <w:t xml:space="preserve"> takes th</w:t>
      </w:r>
      <w:r w:rsidR="005A7A90">
        <w:rPr>
          <w:rFonts w:ascii="Aptos" w:hAnsi="Aptos"/>
          <w:sz w:val="25"/>
          <w:szCs w:val="25"/>
        </w:rPr>
        <w:t xml:space="preserve">e position </w:t>
      </w:r>
      <w:r>
        <w:rPr>
          <w:rFonts w:ascii="Aptos" w:hAnsi="Aptos"/>
          <w:sz w:val="25"/>
          <w:szCs w:val="25"/>
        </w:rPr>
        <w:t xml:space="preserve">that Worcester should remain programmatically responsible for Student, but that Framingham should be fiscally responsible because DCF is his “current legal guardian” and his case is managed from DCF’s Framingham office, where his </w:t>
      </w:r>
      <w:r w:rsidR="00A710FB">
        <w:rPr>
          <w:rFonts w:ascii="Aptos" w:hAnsi="Aptos"/>
          <w:sz w:val="25"/>
          <w:szCs w:val="25"/>
        </w:rPr>
        <w:t>A</w:t>
      </w:r>
      <w:r>
        <w:rPr>
          <w:rFonts w:ascii="Aptos" w:hAnsi="Aptos"/>
          <w:sz w:val="25"/>
          <w:szCs w:val="25"/>
        </w:rPr>
        <w:t xml:space="preserve">doption </w:t>
      </w:r>
      <w:r w:rsidR="00A710FB">
        <w:rPr>
          <w:rFonts w:ascii="Aptos" w:hAnsi="Aptos"/>
          <w:sz w:val="25"/>
          <w:szCs w:val="25"/>
        </w:rPr>
        <w:t>S</w:t>
      </w:r>
      <w:r>
        <w:rPr>
          <w:rFonts w:ascii="Aptos" w:hAnsi="Aptos"/>
          <w:sz w:val="25"/>
          <w:szCs w:val="25"/>
        </w:rPr>
        <w:t xml:space="preserve">ocial </w:t>
      </w:r>
      <w:r w:rsidR="00A710FB">
        <w:rPr>
          <w:rFonts w:ascii="Aptos" w:hAnsi="Aptos"/>
          <w:sz w:val="25"/>
          <w:szCs w:val="25"/>
        </w:rPr>
        <w:t>W</w:t>
      </w:r>
      <w:r>
        <w:rPr>
          <w:rFonts w:ascii="Aptos" w:hAnsi="Aptos"/>
          <w:sz w:val="25"/>
          <w:szCs w:val="25"/>
        </w:rPr>
        <w:t>orker is based, and because both his foster parent and his</w:t>
      </w:r>
      <w:r w:rsidR="00A710FB">
        <w:rPr>
          <w:rFonts w:ascii="Aptos" w:hAnsi="Aptos"/>
          <w:sz w:val="25"/>
          <w:szCs w:val="25"/>
        </w:rPr>
        <w:t xml:space="preserve"> ESP </w:t>
      </w:r>
      <w:r>
        <w:rPr>
          <w:rFonts w:ascii="Aptos" w:hAnsi="Aptos"/>
          <w:sz w:val="25"/>
          <w:szCs w:val="25"/>
        </w:rPr>
        <w:t xml:space="preserve">reside in Framingham. </w:t>
      </w:r>
      <w:r w:rsidR="009D31A4">
        <w:rPr>
          <w:rFonts w:ascii="Aptos" w:hAnsi="Aptos"/>
          <w:sz w:val="25"/>
          <w:szCs w:val="25"/>
        </w:rPr>
        <w:t xml:space="preserve">In the alternative, Lowell may be found fiscally responsible because it is the district within which Parents last lived.  </w:t>
      </w:r>
      <w:r>
        <w:rPr>
          <w:rFonts w:ascii="Aptos" w:hAnsi="Aptos"/>
          <w:sz w:val="25"/>
          <w:szCs w:val="25"/>
        </w:rPr>
        <w:t xml:space="preserve">As such, WPS has </w:t>
      </w:r>
      <w:proofErr w:type="gramStart"/>
      <w:r>
        <w:rPr>
          <w:rFonts w:ascii="Aptos" w:hAnsi="Aptos"/>
          <w:sz w:val="25"/>
          <w:szCs w:val="25"/>
        </w:rPr>
        <w:t>pled</w:t>
      </w:r>
      <w:proofErr w:type="gramEnd"/>
      <w:r>
        <w:rPr>
          <w:rFonts w:ascii="Aptos" w:hAnsi="Aptos"/>
          <w:sz w:val="25"/>
          <w:szCs w:val="25"/>
        </w:rPr>
        <w:t xml:space="preserve"> sufficient facts in its </w:t>
      </w:r>
      <w:r>
        <w:rPr>
          <w:rFonts w:ascii="Aptos" w:hAnsi="Aptos"/>
          <w:i/>
          <w:iCs/>
          <w:sz w:val="25"/>
          <w:szCs w:val="25"/>
        </w:rPr>
        <w:t>Hearing Request</w:t>
      </w:r>
      <w:r>
        <w:rPr>
          <w:rFonts w:ascii="Aptos" w:hAnsi="Aptos"/>
          <w:sz w:val="25"/>
          <w:szCs w:val="25"/>
        </w:rPr>
        <w:t xml:space="preserve"> </w:t>
      </w:r>
      <w:r w:rsidR="00A710FB">
        <w:rPr>
          <w:rFonts w:ascii="Aptos" w:hAnsi="Aptos"/>
          <w:sz w:val="25"/>
          <w:szCs w:val="25"/>
        </w:rPr>
        <w:t>to avoid dismissal.</w:t>
      </w:r>
      <w:r w:rsidR="009D31A4">
        <w:rPr>
          <w:rStyle w:val="FootnoteReference"/>
          <w:rFonts w:ascii="Aptos" w:hAnsi="Aptos"/>
          <w:sz w:val="25"/>
          <w:szCs w:val="25"/>
        </w:rPr>
        <w:footnoteReference w:id="9"/>
      </w:r>
    </w:p>
    <w:p w14:paraId="54702603" w14:textId="100032ED" w:rsidR="00882762" w:rsidRDefault="009D31A4" w:rsidP="00ED67AC">
      <w:pPr>
        <w:pStyle w:val="NoSpacing"/>
        <w:spacing w:before="240"/>
        <w:ind w:firstLine="720"/>
        <w:rPr>
          <w:rFonts w:ascii="Aptos" w:hAnsi="Aptos"/>
          <w:sz w:val="25"/>
          <w:szCs w:val="25"/>
        </w:rPr>
      </w:pPr>
      <w:r>
        <w:rPr>
          <w:rFonts w:ascii="Aptos" w:hAnsi="Aptos"/>
          <w:sz w:val="25"/>
          <w:szCs w:val="25"/>
        </w:rPr>
        <w:t>On February 13, 2026, Worcester filed a request for shortened discovery timelines</w:t>
      </w:r>
      <w:r w:rsidR="000D305B">
        <w:rPr>
          <w:rFonts w:ascii="Aptos" w:hAnsi="Aptos"/>
          <w:sz w:val="25"/>
          <w:szCs w:val="25"/>
        </w:rPr>
        <w:t>. Framingham filed an opposition to this request</w:t>
      </w:r>
      <w:r>
        <w:rPr>
          <w:rFonts w:ascii="Aptos" w:hAnsi="Aptos"/>
          <w:sz w:val="25"/>
          <w:szCs w:val="25"/>
        </w:rPr>
        <w:t xml:space="preserve"> on February 18, 2026</w:t>
      </w:r>
      <w:r w:rsidR="0064250F">
        <w:rPr>
          <w:rFonts w:ascii="Aptos" w:hAnsi="Aptos"/>
          <w:sz w:val="25"/>
          <w:szCs w:val="25"/>
        </w:rPr>
        <w:t xml:space="preserve">, and Quabbin and Springfield </w:t>
      </w:r>
      <w:r w:rsidR="000D305B">
        <w:rPr>
          <w:rFonts w:ascii="Aptos" w:hAnsi="Aptos"/>
          <w:sz w:val="25"/>
          <w:szCs w:val="25"/>
        </w:rPr>
        <w:t>filed similar oppositions</w:t>
      </w:r>
      <w:r w:rsidR="0064250F">
        <w:rPr>
          <w:rFonts w:ascii="Aptos" w:hAnsi="Aptos"/>
          <w:sz w:val="25"/>
          <w:szCs w:val="25"/>
        </w:rPr>
        <w:t xml:space="preserve"> on February 19, 2026</w:t>
      </w:r>
      <w:r>
        <w:rPr>
          <w:rFonts w:ascii="Aptos" w:hAnsi="Aptos"/>
          <w:sz w:val="25"/>
          <w:szCs w:val="25"/>
        </w:rPr>
        <w:t xml:space="preserve">. </w:t>
      </w:r>
      <w:r w:rsidR="000D305B">
        <w:rPr>
          <w:rFonts w:ascii="Aptos" w:hAnsi="Aptos"/>
          <w:sz w:val="25"/>
          <w:szCs w:val="25"/>
        </w:rPr>
        <w:t xml:space="preserve">Worcester’s </w:t>
      </w:r>
      <w:r w:rsidR="005A7A90">
        <w:rPr>
          <w:rFonts w:ascii="Aptos" w:hAnsi="Aptos"/>
          <w:sz w:val="25"/>
          <w:szCs w:val="25"/>
        </w:rPr>
        <w:t xml:space="preserve">request was denied on February 23, 2026. </w:t>
      </w:r>
    </w:p>
    <w:p w14:paraId="415F977C" w14:textId="3546B9B2" w:rsidR="009159CF" w:rsidRPr="00ED67AC" w:rsidRDefault="009159CF" w:rsidP="00ED67AC">
      <w:pPr>
        <w:pStyle w:val="NoSpacing"/>
        <w:spacing w:before="240"/>
        <w:ind w:firstLine="720"/>
        <w:rPr>
          <w:rFonts w:ascii="Aptos" w:hAnsi="Aptos"/>
          <w:sz w:val="25"/>
          <w:szCs w:val="25"/>
        </w:rPr>
      </w:pPr>
      <w:r>
        <w:rPr>
          <w:rFonts w:ascii="Aptos" w:hAnsi="Aptos"/>
          <w:sz w:val="25"/>
          <w:szCs w:val="25"/>
        </w:rPr>
        <w:lastRenderedPageBreak/>
        <w:t xml:space="preserve">On February 26, 2026, the parties jointly requested that the </w:t>
      </w:r>
      <w:r w:rsidR="002021B6">
        <w:rPr>
          <w:rFonts w:ascii="Aptos" w:hAnsi="Aptos"/>
          <w:sz w:val="25"/>
          <w:szCs w:val="25"/>
        </w:rPr>
        <w:t xml:space="preserve">matter </w:t>
      </w:r>
      <w:r>
        <w:rPr>
          <w:rFonts w:ascii="Aptos" w:hAnsi="Aptos"/>
          <w:sz w:val="25"/>
          <w:szCs w:val="25"/>
        </w:rPr>
        <w:t xml:space="preserve">be </w:t>
      </w:r>
      <w:r w:rsidR="002021B6">
        <w:rPr>
          <w:rFonts w:ascii="Aptos" w:hAnsi="Aptos"/>
          <w:sz w:val="25"/>
          <w:szCs w:val="25"/>
        </w:rPr>
        <w:t>continued</w:t>
      </w:r>
      <w:r>
        <w:rPr>
          <w:rFonts w:ascii="Aptos" w:hAnsi="Aptos"/>
          <w:sz w:val="25"/>
          <w:szCs w:val="25"/>
        </w:rPr>
        <w:t xml:space="preserve"> to April 17, 2026 and that</w:t>
      </w:r>
      <w:r w:rsidR="002021B6">
        <w:rPr>
          <w:rFonts w:ascii="Aptos" w:hAnsi="Aptos"/>
          <w:sz w:val="25"/>
          <w:szCs w:val="25"/>
        </w:rPr>
        <w:t xml:space="preserve"> a decision be rendered without a Hearing, based solely on written material submitted by the parties on or before that date. This request was allowed on February 27, 2026.</w:t>
      </w:r>
    </w:p>
    <w:p w14:paraId="03D7B1DD" w14:textId="0DB521F3" w:rsidR="00ED7EEF" w:rsidRPr="00ED67AC" w:rsidRDefault="00ED7EEF" w:rsidP="00ED7EEF">
      <w:pPr>
        <w:pStyle w:val="NoSpacing"/>
        <w:spacing w:before="240"/>
        <w:ind w:firstLine="720"/>
        <w:rPr>
          <w:rFonts w:ascii="Aptos" w:hAnsi="Aptos" w:cs="Times New Roman"/>
          <w:sz w:val="25"/>
          <w:szCs w:val="25"/>
        </w:rPr>
      </w:pPr>
      <w:r>
        <w:rPr>
          <w:rFonts w:ascii="Aptos" w:hAnsi="Aptos" w:cs="Times New Roman"/>
          <w:sz w:val="25"/>
          <w:szCs w:val="25"/>
        </w:rPr>
        <w:t xml:space="preserve">For the reasons set forth below, </w:t>
      </w:r>
      <w:r w:rsidR="00ED67AC">
        <w:rPr>
          <w:rFonts w:ascii="Aptos" w:hAnsi="Aptos" w:cs="Times New Roman"/>
          <w:sz w:val="25"/>
          <w:szCs w:val="25"/>
        </w:rPr>
        <w:t xml:space="preserve">Framingham’s </w:t>
      </w:r>
      <w:r w:rsidR="00ED67AC">
        <w:rPr>
          <w:rFonts w:ascii="Aptos" w:hAnsi="Aptos" w:cs="Times New Roman"/>
          <w:i/>
          <w:iCs/>
          <w:sz w:val="25"/>
          <w:szCs w:val="25"/>
        </w:rPr>
        <w:t>Motion to Dismiss</w:t>
      </w:r>
      <w:r w:rsidR="00ED67AC">
        <w:rPr>
          <w:rFonts w:ascii="Aptos" w:hAnsi="Aptos" w:cs="Times New Roman"/>
          <w:sz w:val="25"/>
          <w:szCs w:val="25"/>
        </w:rPr>
        <w:t xml:space="preserve"> is ALLOWED. DESE’s </w:t>
      </w:r>
      <w:r w:rsidR="00ED67AC">
        <w:rPr>
          <w:rFonts w:ascii="Aptos" w:hAnsi="Aptos" w:cs="Times New Roman"/>
          <w:i/>
          <w:iCs/>
          <w:sz w:val="25"/>
          <w:szCs w:val="25"/>
        </w:rPr>
        <w:t xml:space="preserve">Motion to Dismiss </w:t>
      </w:r>
      <w:r w:rsidR="00ED67AC">
        <w:rPr>
          <w:rFonts w:ascii="Aptos" w:hAnsi="Aptos" w:cs="Times New Roman"/>
          <w:sz w:val="25"/>
          <w:szCs w:val="25"/>
        </w:rPr>
        <w:t>is ALLOWED IN PART and DENIED IN PART.</w:t>
      </w:r>
    </w:p>
    <w:bookmarkEnd w:id="3"/>
    <w:p w14:paraId="1B796247" w14:textId="77777777" w:rsidR="00ED7EEF" w:rsidRPr="00F47331" w:rsidRDefault="00ED7EEF" w:rsidP="002E49D7">
      <w:pPr>
        <w:rPr>
          <w:rFonts w:ascii="Aptos" w:hAnsi="Aptos"/>
          <w:color w:val="000000" w:themeColor="text1"/>
          <w:sz w:val="25"/>
          <w:szCs w:val="25"/>
        </w:rPr>
      </w:pPr>
    </w:p>
    <w:p w14:paraId="2EB532AD" w14:textId="16B74D99" w:rsidR="00ED4F9D" w:rsidRPr="002034C3" w:rsidRDefault="004D0734" w:rsidP="002034C3">
      <w:pPr>
        <w:pStyle w:val="ListParagraph"/>
        <w:numPr>
          <w:ilvl w:val="0"/>
          <w:numId w:val="11"/>
        </w:numPr>
        <w:rPr>
          <w:rFonts w:ascii="Aptos" w:hAnsi="Aptos"/>
          <w:b/>
          <w:bCs/>
          <w:color w:val="000000" w:themeColor="text1"/>
          <w:sz w:val="25"/>
          <w:szCs w:val="25"/>
        </w:rPr>
      </w:pPr>
      <w:r w:rsidRPr="002034C3">
        <w:rPr>
          <w:rFonts w:ascii="Aptos" w:hAnsi="Aptos"/>
          <w:b/>
          <w:bCs/>
          <w:color w:val="000000" w:themeColor="text1"/>
          <w:sz w:val="25"/>
          <w:szCs w:val="25"/>
        </w:rPr>
        <w:t>FACTUAL BACKGROUND</w:t>
      </w:r>
      <w:r w:rsidR="004C2F54">
        <w:rPr>
          <w:rStyle w:val="FootnoteReference"/>
          <w:rFonts w:ascii="Aptos" w:hAnsi="Aptos"/>
          <w:b/>
          <w:bCs/>
          <w:color w:val="000000" w:themeColor="text1"/>
          <w:sz w:val="25"/>
          <w:szCs w:val="25"/>
        </w:rPr>
        <w:footnoteReference w:id="10"/>
      </w:r>
    </w:p>
    <w:p w14:paraId="348E87B6" w14:textId="77777777" w:rsidR="00F020A6" w:rsidRPr="00F020A6" w:rsidRDefault="00F020A6" w:rsidP="00ED4F9D">
      <w:pPr>
        <w:rPr>
          <w:rFonts w:ascii="Aptos" w:hAnsi="Aptos"/>
          <w:b/>
          <w:bCs/>
          <w:color w:val="000000" w:themeColor="text1"/>
          <w:sz w:val="25"/>
          <w:szCs w:val="25"/>
        </w:rPr>
      </w:pPr>
    </w:p>
    <w:p w14:paraId="1B7E48FF" w14:textId="03D69204" w:rsidR="00631C99" w:rsidRDefault="00631C99" w:rsidP="005E7A76">
      <w:pPr>
        <w:pStyle w:val="NormalWeb"/>
        <w:numPr>
          <w:ilvl w:val="0"/>
          <w:numId w:val="1"/>
        </w:numPr>
        <w:spacing w:before="0" w:beforeAutospacing="0" w:after="120" w:afterAutospacing="0"/>
        <w:rPr>
          <w:rFonts w:ascii="Aptos" w:hAnsi="Aptos"/>
          <w:sz w:val="25"/>
          <w:szCs w:val="25"/>
        </w:rPr>
      </w:pPr>
      <w:r>
        <w:rPr>
          <w:rFonts w:ascii="Aptos" w:hAnsi="Aptos"/>
          <w:sz w:val="25"/>
          <w:szCs w:val="25"/>
        </w:rPr>
        <w:t>Student, who is currently nine years old, was removed from his biological parents’ custody</w:t>
      </w:r>
      <w:r w:rsidR="00E92A67">
        <w:rPr>
          <w:rFonts w:ascii="Aptos" w:hAnsi="Aptos"/>
          <w:sz w:val="25"/>
          <w:szCs w:val="25"/>
        </w:rPr>
        <w:t xml:space="preserve"> by DCF</w:t>
      </w:r>
      <w:r w:rsidR="005A7A90">
        <w:rPr>
          <w:rFonts w:ascii="Aptos" w:hAnsi="Aptos"/>
          <w:sz w:val="25"/>
          <w:szCs w:val="25"/>
        </w:rPr>
        <w:t xml:space="preserve"> in or around</w:t>
      </w:r>
      <w:r>
        <w:rPr>
          <w:rFonts w:ascii="Aptos" w:hAnsi="Aptos"/>
          <w:sz w:val="25"/>
          <w:szCs w:val="25"/>
        </w:rPr>
        <w:t xml:space="preserve"> </w:t>
      </w:r>
      <w:r w:rsidR="005D0F11">
        <w:rPr>
          <w:rFonts w:ascii="Aptos" w:hAnsi="Aptos"/>
          <w:sz w:val="25"/>
          <w:szCs w:val="25"/>
        </w:rPr>
        <w:t xml:space="preserve">September </w:t>
      </w:r>
      <w:r>
        <w:rPr>
          <w:rFonts w:ascii="Aptos" w:hAnsi="Aptos"/>
          <w:sz w:val="25"/>
          <w:szCs w:val="25"/>
        </w:rPr>
        <w:t>2019</w:t>
      </w:r>
      <w:r w:rsidR="00B4057C">
        <w:rPr>
          <w:rFonts w:ascii="Aptos" w:hAnsi="Aptos"/>
          <w:sz w:val="25"/>
          <w:szCs w:val="25"/>
        </w:rPr>
        <w:t>, when he was three</w:t>
      </w:r>
      <w:r>
        <w:rPr>
          <w:rFonts w:ascii="Aptos" w:hAnsi="Aptos"/>
          <w:sz w:val="25"/>
          <w:szCs w:val="25"/>
        </w:rPr>
        <w:t>. Prior to his removal, Parents struggled with homelessness.</w:t>
      </w:r>
      <w:r w:rsidR="00E92A67">
        <w:rPr>
          <w:rFonts w:ascii="Aptos" w:hAnsi="Aptos"/>
          <w:sz w:val="25"/>
          <w:szCs w:val="25"/>
        </w:rPr>
        <w:t xml:space="preserve"> DCF reported addresses for </w:t>
      </w:r>
      <w:r w:rsidR="005A7A90">
        <w:rPr>
          <w:rFonts w:ascii="Aptos" w:hAnsi="Aptos"/>
          <w:sz w:val="25"/>
          <w:szCs w:val="25"/>
        </w:rPr>
        <w:t>Parents</w:t>
      </w:r>
      <w:r w:rsidR="00E92A67">
        <w:rPr>
          <w:rFonts w:ascii="Aptos" w:hAnsi="Aptos"/>
          <w:sz w:val="25"/>
          <w:szCs w:val="25"/>
        </w:rPr>
        <w:t xml:space="preserve"> between 2018 and 2020 in Springfield, Acton, Lowell, and Ashland, Massachusetts.</w:t>
      </w:r>
      <w:r w:rsidR="00A6079E">
        <w:rPr>
          <w:rFonts w:ascii="Aptos" w:hAnsi="Aptos"/>
          <w:sz w:val="25"/>
          <w:szCs w:val="25"/>
        </w:rPr>
        <w:t xml:space="preserve"> Specifically, DCF reported, as the dates the agency has “of the parents in that time range:”</w:t>
      </w:r>
      <w:r w:rsidR="00A6079E">
        <w:rPr>
          <w:rStyle w:val="FootnoteReference"/>
          <w:rFonts w:ascii="Aptos" w:hAnsi="Aptos"/>
          <w:sz w:val="25"/>
          <w:szCs w:val="25"/>
        </w:rPr>
        <w:footnoteReference w:id="11"/>
      </w:r>
    </w:p>
    <w:p w14:paraId="6597E896" w14:textId="230231C5" w:rsidR="00A6079E" w:rsidRDefault="00A6079E" w:rsidP="00A6079E">
      <w:pPr>
        <w:pStyle w:val="NormalWeb"/>
        <w:numPr>
          <w:ilvl w:val="1"/>
          <w:numId w:val="1"/>
        </w:numPr>
        <w:spacing w:before="0" w:beforeAutospacing="0" w:after="120" w:afterAutospacing="0"/>
        <w:rPr>
          <w:rFonts w:ascii="Aptos" w:hAnsi="Aptos"/>
          <w:sz w:val="25"/>
          <w:szCs w:val="25"/>
        </w:rPr>
      </w:pPr>
      <w:r>
        <w:rPr>
          <w:rFonts w:ascii="Aptos" w:hAnsi="Aptos"/>
          <w:sz w:val="25"/>
          <w:szCs w:val="25"/>
        </w:rPr>
        <w:t>[street address]</w:t>
      </w:r>
      <w:r>
        <w:rPr>
          <w:rStyle w:val="FootnoteReference"/>
          <w:rFonts w:ascii="Aptos" w:hAnsi="Aptos"/>
          <w:sz w:val="25"/>
          <w:szCs w:val="25"/>
        </w:rPr>
        <w:footnoteReference w:id="12"/>
      </w:r>
      <w:r w:rsidR="001F49E6">
        <w:rPr>
          <w:rFonts w:ascii="Aptos" w:hAnsi="Aptos"/>
          <w:sz w:val="25"/>
          <w:szCs w:val="25"/>
        </w:rPr>
        <w:t xml:space="preserve"> </w:t>
      </w:r>
      <w:r>
        <w:rPr>
          <w:rFonts w:ascii="Aptos" w:hAnsi="Aptos"/>
          <w:sz w:val="25"/>
          <w:szCs w:val="25"/>
        </w:rPr>
        <w:t>Ashland, MA 02721</w:t>
      </w:r>
      <w:r>
        <w:rPr>
          <w:rFonts w:ascii="Aptos" w:hAnsi="Aptos"/>
          <w:sz w:val="25"/>
          <w:szCs w:val="25"/>
        </w:rPr>
        <w:tab/>
        <w:t>11/15/2019-1/27/2020</w:t>
      </w:r>
    </w:p>
    <w:p w14:paraId="08E7037E" w14:textId="3DFDE6B9" w:rsidR="00A6079E" w:rsidRDefault="00A6079E" w:rsidP="00A6079E">
      <w:pPr>
        <w:pStyle w:val="NormalWeb"/>
        <w:numPr>
          <w:ilvl w:val="1"/>
          <w:numId w:val="1"/>
        </w:numPr>
        <w:spacing w:before="0" w:beforeAutospacing="0" w:after="120" w:afterAutospacing="0"/>
        <w:rPr>
          <w:rFonts w:ascii="Aptos" w:hAnsi="Aptos"/>
          <w:sz w:val="25"/>
          <w:szCs w:val="25"/>
        </w:rPr>
      </w:pPr>
      <w:r>
        <w:rPr>
          <w:rFonts w:ascii="Aptos" w:hAnsi="Aptos"/>
          <w:sz w:val="25"/>
          <w:szCs w:val="25"/>
        </w:rPr>
        <w:t xml:space="preserve">Unknown New Britain, CT </w:t>
      </w:r>
      <w:r>
        <w:rPr>
          <w:rFonts w:ascii="Aptos" w:hAnsi="Aptos"/>
          <w:sz w:val="25"/>
          <w:szCs w:val="25"/>
        </w:rPr>
        <w:tab/>
      </w:r>
      <w:r>
        <w:rPr>
          <w:rFonts w:ascii="Aptos" w:hAnsi="Aptos"/>
          <w:sz w:val="25"/>
          <w:szCs w:val="25"/>
        </w:rPr>
        <w:tab/>
      </w:r>
      <w:r>
        <w:rPr>
          <w:rFonts w:ascii="Aptos" w:hAnsi="Aptos"/>
          <w:sz w:val="25"/>
          <w:szCs w:val="25"/>
        </w:rPr>
        <w:tab/>
        <w:t>11/26/2019-11/26/2019</w:t>
      </w:r>
    </w:p>
    <w:p w14:paraId="37BFDB4A" w14:textId="65F34AE4" w:rsidR="00A6079E" w:rsidRDefault="00A6079E" w:rsidP="00A6079E">
      <w:pPr>
        <w:pStyle w:val="NormalWeb"/>
        <w:numPr>
          <w:ilvl w:val="1"/>
          <w:numId w:val="1"/>
        </w:numPr>
        <w:spacing w:before="0" w:beforeAutospacing="0" w:after="120" w:afterAutospacing="0"/>
        <w:rPr>
          <w:rFonts w:ascii="Aptos" w:hAnsi="Aptos"/>
          <w:sz w:val="25"/>
          <w:szCs w:val="25"/>
        </w:rPr>
      </w:pPr>
      <w:r>
        <w:rPr>
          <w:rFonts w:ascii="Aptos" w:hAnsi="Aptos"/>
          <w:sz w:val="25"/>
          <w:szCs w:val="25"/>
        </w:rPr>
        <w:t>[street address] Lowell, MA</w:t>
      </w:r>
      <w:r>
        <w:rPr>
          <w:rFonts w:ascii="Aptos" w:hAnsi="Aptos"/>
          <w:sz w:val="25"/>
          <w:szCs w:val="25"/>
        </w:rPr>
        <w:tab/>
      </w:r>
      <w:r>
        <w:rPr>
          <w:rFonts w:ascii="Aptos" w:hAnsi="Aptos"/>
          <w:sz w:val="25"/>
          <w:szCs w:val="25"/>
        </w:rPr>
        <w:tab/>
        <w:t>10/3/2019-11/25/2019</w:t>
      </w:r>
    </w:p>
    <w:p w14:paraId="56D2F046" w14:textId="0A7C66DA" w:rsidR="00A6079E" w:rsidRDefault="00A6079E" w:rsidP="00A6079E">
      <w:pPr>
        <w:pStyle w:val="NormalWeb"/>
        <w:numPr>
          <w:ilvl w:val="1"/>
          <w:numId w:val="1"/>
        </w:numPr>
        <w:spacing w:before="0" w:beforeAutospacing="0" w:after="120" w:afterAutospacing="0"/>
        <w:rPr>
          <w:rFonts w:ascii="Aptos" w:hAnsi="Aptos"/>
          <w:sz w:val="25"/>
          <w:szCs w:val="25"/>
        </w:rPr>
      </w:pPr>
      <w:r>
        <w:rPr>
          <w:rFonts w:ascii="Aptos" w:hAnsi="Aptos"/>
          <w:sz w:val="25"/>
          <w:szCs w:val="25"/>
        </w:rPr>
        <w:t>[street address] Acton, MA 01720</w:t>
      </w:r>
      <w:r>
        <w:rPr>
          <w:rFonts w:ascii="Aptos" w:hAnsi="Aptos"/>
          <w:sz w:val="25"/>
          <w:szCs w:val="25"/>
        </w:rPr>
        <w:tab/>
      </w:r>
      <w:r>
        <w:rPr>
          <w:rFonts w:ascii="Aptos" w:hAnsi="Aptos"/>
          <w:sz w:val="25"/>
          <w:szCs w:val="25"/>
        </w:rPr>
        <w:tab/>
        <w:t>9/9/2019-10/2/2019</w:t>
      </w:r>
    </w:p>
    <w:p w14:paraId="6184BA12" w14:textId="10FD4184" w:rsidR="00A6079E" w:rsidRDefault="00A6079E" w:rsidP="00A6079E">
      <w:pPr>
        <w:pStyle w:val="NormalWeb"/>
        <w:numPr>
          <w:ilvl w:val="1"/>
          <w:numId w:val="1"/>
        </w:numPr>
        <w:spacing w:before="0" w:beforeAutospacing="0" w:after="120" w:afterAutospacing="0"/>
        <w:rPr>
          <w:rFonts w:ascii="Aptos" w:hAnsi="Aptos"/>
          <w:sz w:val="25"/>
          <w:szCs w:val="25"/>
        </w:rPr>
      </w:pPr>
      <w:r>
        <w:rPr>
          <w:rFonts w:ascii="Aptos" w:hAnsi="Aptos"/>
          <w:sz w:val="25"/>
          <w:szCs w:val="25"/>
        </w:rPr>
        <w:t>Unknown Springfield, MA</w:t>
      </w:r>
      <w:r>
        <w:rPr>
          <w:rFonts w:ascii="Aptos" w:hAnsi="Aptos"/>
          <w:sz w:val="25"/>
          <w:szCs w:val="25"/>
        </w:rPr>
        <w:tab/>
      </w:r>
      <w:r>
        <w:rPr>
          <w:rFonts w:ascii="Aptos" w:hAnsi="Aptos"/>
          <w:sz w:val="25"/>
          <w:szCs w:val="25"/>
        </w:rPr>
        <w:tab/>
      </w:r>
      <w:r>
        <w:rPr>
          <w:rFonts w:ascii="Aptos" w:hAnsi="Aptos"/>
          <w:sz w:val="25"/>
          <w:szCs w:val="25"/>
        </w:rPr>
        <w:tab/>
        <w:t>7/12/2018-9/8/2019</w:t>
      </w:r>
    </w:p>
    <w:p w14:paraId="33565327" w14:textId="7B2F9AFC" w:rsidR="00E92A67" w:rsidRDefault="00E92A67" w:rsidP="005E7A76">
      <w:pPr>
        <w:pStyle w:val="NormalWeb"/>
        <w:numPr>
          <w:ilvl w:val="0"/>
          <w:numId w:val="1"/>
        </w:numPr>
        <w:spacing w:before="0" w:beforeAutospacing="0" w:after="120" w:afterAutospacing="0"/>
        <w:rPr>
          <w:rFonts w:ascii="Aptos" w:hAnsi="Aptos"/>
          <w:sz w:val="25"/>
          <w:szCs w:val="25"/>
        </w:rPr>
      </w:pPr>
      <w:r>
        <w:rPr>
          <w:rFonts w:ascii="Aptos" w:hAnsi="Aptos"/>
          <w:sz w:val="25"/>
          <w:szCs w:val="25"/>
        </w:rPr>
        <w:t>DESE indicated that Mother’s last known Massachusetts address was in Ashland (11/15/2019-1/27/2020)</w:t>
      </w:r>
      <w:r w:rsidR="00D72E55">
        <w:rPr>
          <w:rFonts w:ascii="Aptos" w:hAnsi="Aptos"/>
          <w:sz w:val="25"/>
          <w:szCs w:val="25"/>
        </w:rPr>
        <w:t xml:space="preserve">, but Ashland Public Schools reported that Student was never enrolled therein and that the address </w:t>
      </w:r>
      <w:r w:rsidR="000D305B">
        <w:rPr>
          <w:rFonts w:ascii="Aptos" w:hAnsi="Aptos"/>
          <w:sz w:val="25"/>
          <w:szCs w:val="25"/>
        </w:rPr>
        <w:t>provided</w:t>
      </w:r>
      <w:r w:rsidR="00D72E55">
        <w:rPr>
          <w:rFonts w:ascii="Aptos" w:hAnsi="Aptos"/>
          <w:sz w:val="25"/>
          <w:szCs w:val="25"/>
        </w:rPr>
        <w:t xml:space="preserve"> is a homeless shelter. Father’s last Massachusetts address is unknown.</w:t>
      </w:r>
    </w:p>
    <w:p w14:paraId="7B639459" w14:textId="0BB265AF" w:rsidR="00E92A67" w:rsidRDefault="00E92A67" w:rsidP="005E7A76">
      <w:pPr>
        <w:pStyle w:val="NormalWeb"/>
        <w:numPr>
          <w:ilvl w:val="0"/>
          <w:numId w:val="1"/>
        </w:numPr>
        <w:spacing w:before="0" w:beforeAutospacing="0" w:after="120" w:afterAutospacing="0"/>
        <w:rPr>
          <w:rFonts w:ascii="Aptos" w:hAnsi="Aptos"/>
          <w:sz w:val="25"/>
          <w:szCs w:val="25"/>
        </w:rPr>
      </w:pPr>
      <w:r>
        <w:rPr>
          <w:rFonts w:ascii="Aptos" w:hAnsi="Aptos"/>
          <w:sz w:val="25"/>
          <w:szCs w:val="25"/>
        </w:rPr>
        <w:t xml:space="preserve">DESE concluded that Parents never had a permanent address in </w:t>
      </w:r>
      <w:r w:rsidR="00A0588E">
        <w:rPr>
          <w:rFonts w:ascii="Aptos" w:hAnsi="Aptos"/>
          <w:sz w:val="25"/>
          <w:szCs w:val="25"/>
        </w:rPr>
        <w:t xml:space="preserve">  </w:t>
      </w:r>
      <w:r>
        <w:rPr>
          <w:rFonts w:ascii="Aptos" w:hAnsi="Aptos"/>
          <w:sz w:val="25"/>
          <w:szCs w:val="25"/>
        </w:rPr>
        <w:t>Massachusetts.</w:t>
      </w:r>
    </w:p>
    <w:p w14:paraId="54E46DD5" w14:textId="23D08452" w:rsidR="00D72E55" w:rsidRPr="00D72E55" w:rsidRDefault="00D72E55" w:rsidP="00D72E55">
      <w:pPr>
        <w:pStyle w:val="NormalWeb"/>
        <w:numPr>
          <w:ilvl w:val="0"/>
          <w:numId w:val="1"/>
        </w:numPr>
        <w:spacing w:before="0" w:beforeAutospacing="0" w:after="120" w:afterAutospacing="0"/>
        <w:rPr>
          <w:rFonts w:ascii="Aptos" w:hAnsi="Aptos"/>
          <w:sz w:val="25"/>
          <w:szCs w:val="25"/>
        </w:rPr>
      </w:pPr>
      <w:r>
        <w:rPr>
          <w:rFonts w:ascii="Aptos" w:hAnsi="Aptos"/>
          <w:sz w:val="25"/>
          <w:szCs w:val="25"/>
        </w:rPr>
        <w:t>Between January 2020 and July 2025, Student lived in various foster homes with placement facilitated</w:t>
      </w:r>
      <w:r w:rsidR="00A710FB">
        <w:rPr>
          <w:rFonts w:ascii="Aptos" w:hAnsi="Aptos"/>
          <w:sz w:val="25"/>
          <w:szCs w:val="25"/>
        </w:rPr>
        <w:t xml:space="preserve"> by his</w:t>
      </w:r>
      <w:r>
        <w:rPr>
          <w:rFonts w:ascii="Aptos" w:hAnsi="Aptos"/>
          <w:sz w:val="25"/>
          <w:szCs w:val="25"/>
        </w:rPr>
        <w:t xml:space="preserve"> DCF </w:t>
      </w:r>
      <w:r w:rsidR="00A710FB">
        <w:rPr>
          <w:rFonts w:ascii="Aptos" w:hAnsi="Aptos"/>
          <w:sz w:val="25"/>
          <w:szCs w:val="25"/>
        </w:rPr>
        <w:t>A</w:t>
      </w:r>
      <w:r>
        <w:rPr>
          <w:rFonts w:ascii="Aptos" w:hAnsi="Aptos"/>
          <w:sz w:val="25"/>
          <w:szCs w:val="25"/>
        </w:rPr>
        <w:t xml:space="preserve">doption </w:t>
      </w:r>
      <w:r w:rsidR="00A710FB">
        <w:rPr>
          <w:rFonts w:ascii="Aptos" w:hAnsi="Aptos"/>
          <w:sz w:val="25"/>
          <w:szCs w:val="25"/>
        </w:rPr>
        <w:t>S</w:t>
      </w:r>
      <w:r>
        <w:rPr>
          <w:rFonts w:ascii="Aptos" w:hAnsi="Aptos"/>
          <w:sz w:val="25"/>
          <w:szCs w:val="25"/>
        </w:rPr>
        <w:t xml:space="preserve">ocial </w:t>
      </w:r>
      <w:r w:rsidR="00A710FB">
        <w:rPr>
          <w:rFonts w:ascii="Aptos" w:hAnsi="Aptos"/>
          <w:sz w:val="25"/>
          <w:szCs w:val="25"/>
        </w:rPr>
        <w:t>W</w:t>
      </w:r>
      <w:r>
        <w:rPr>
          <w:rFonts w:ascii="Aptos" w:hAnsi="Aptos"/>
          <w:sz w:val="25"/>
          <w:szCs w:val="25"/>
        </w:rPr>
        <w:t>orker.</w:t>
      </w:r>
    </w:p>
    <w:p w14:paraId="5698FE26" w14:textId="502A1618" w:rsidR="00D72E55" w:rsidRDefault="00D72E55" w:rsidP="005E7A76">
      <w:pPr>
        <w:pStyle w:val="NormalWeb"/>
        <w:numPr>
          <w:ilvl w:val="0"/>
          <w:numId w:val="1"/>
        </w:numPr>
        <w:spacing w:before="0" w:beforeAutospacing="0" w:after="120" w:afterAutospacing="0"/>
        <w:rPr>
          <w:rFonts w:ascii="Aptos" w:hAnsi="Aptos"/>
          <w:sz w:val="25"/>
          <w:szCs w:val="25"/>
        </w:rPr>
      </w:pPr>
      <w:r>
        <w:rPr>
          <w:rFonts w:ascii="Aptos" w:hAnsi="Aptos"/>
          <w:sz w:val="25"/>
          <w:szCs w:val="25"/>
        </w:rPr>
        <w:t xml:space="preserve">From January 10, 2020 to October 20, 2021, Student resided in foster care in Framingham. Student attended </w:t>
      </w:r>
      <w:proofErr w:type="gramStart"/>
      <w:r>
        <w:rPr>
          <w:rFonts w:ascii="Aptos" w:hAnsi="Aptos"/>
          <w:sz w:val="25"/>
          <w:szCs w:val="25"/>
        </w:rPr>
        <w:t>an elementary</w:t>
      </w:r>
      <w:proofErr w:type="gramEnd"/>
      <w:r>
        <w:rPr>
          <w:rFonts w:ascii="Aptos" w:hAnsi="Aptos"/>
          <w:sz w:val="25"/>
          <w:szCs w:val="25"/>
        </w:rPr>
        <w:t xml:space="preserve"> school within FPS during the 2019-2020, 2020-2021, and 2021-2022 school years.</w:t>
      </w:r>
    </w:p>
    <w:p w14:paraId="4EF1E861" w14:textId="17112668" w:rsidR="00D72E55" w:rsidRPr="00D72E55" w:rsidRDefault="00D72E55" w:rsidP="00D72E55">
      <w:pPr>
        <w:pStyle w:val="NormalWeb"/>
        <w:numPr>
          <w:ilvl w:val="0"/>
          <w:numId w:val="1"/>
        </w:numPr>
        <w:spacing w:before="0" w:beforeAutospacing="0" w:after="120" w:afterAutospacing="0"/>
        <w:rPr>
          <w:rFonts w:ascii="Aptos" w:hAnsi="Aptos"/>
          <w:sz w:val="25"/>
          <w:szCs w:val="25"/>
        </w:rPr>
      </w:pPr>
      <w:r>
        <w:rPr>
          <w:rFonts w:ascii="Aptos" w:hAnsi="Aptos"/>
          <w:sz w:val="25"/>
          <w:szCs w:val="25"/>
        </w:rPr>
        <w:t>Father’s parental rights were terminated on or about May 12, 2021. Mother’s parent</w:t>
      </w:r>
      <w:r w:rsidR="005A7A90">
        <w:rPr>
          <w:rFonts w:ascii="Aptos" w:hAnsi="Aptos"/>
          <w:sz w:val="25"/>
          <w:szCs w:val="25"/>
        </w:rPr>
        <w:t>al</w:t>
      </w:r>
      <w:r>
        <w:rPr>
          <w:rFonts w:ascii="Aptos" w:hAnsi="Aptos"/>
          <w:sz w:val="25"/>
          <w:szCs w:val="25"/>
        </w:rPr>
        <w:t xml:space="preserve"> rights were terminated on or about July 1, 2021. There is no information </w:t>
      </w:r>
      <w:r>
        <w:rPr>
          <w:rFonts w:ascii="Aptos" w:hAnsi="Aptos"/>
          <w:sz w:val="25"/>
          <w:szCs w:val="25"/>
        </w:rPr>
        <w:lastRenderedPageBreak/>
        <w:t>in the record about where</w:t>
      </w:r>
      <w:r w:rsidR="005A7A90">
        <w:rPr>
          <w:rFonts w:ascii="Aptos" w:hAnsi="Aptos"/>
          <w:sz w:val="25"/>
          <w:szCs w:val="25"/>
        </w:rPr>
        <w:t xml:space="preserve"> either Parent</w:t>
      </w:r>
      <w:r>
        <w:rPr>
          <w:rFonts w:ascii="Aptos" w:hAnsi="Aptos"/>
          <w:sz w:val="25"/>
          <w:szCs w:val="25"/>
        </w:rPr>
        <w:t xml:space="preserve"> w</w:t>
      </w:r>
      <w:r w:rsidR="005A7A90">
        <w:rPr>
          <w:rFonts w:ascii="Aptos" w:hAnsi="Aptos"/>
          <w:sz w:val="25"/>
          <w:szCs w:val="25"/>
        </w:rPr>
        <w:t>as</w:t>
      </w:r>
      <w:r>
        <w:rPr>
          <w:rFonts w:ascii="Aptos" w:hAnsi="Aptos"/>
          <w:sz w:val="25"/>
          <w:szCs w:val="25"/>
        </w:rPr>
        <w:t xml:space="preserve"> living at the</w:t>
      </w:r>
      <w:r w:rsidR="005A7A90">
        <w:rPr>
          <w:rFonts w:ascii="Aptos" w:hAnsi="Aptos"/>
          <w:sz w:val="25"/>
          <w:szCs w:val="25"/>
        </w:rPr>
        <w:t xml:space="preserve"> time parental rights were terminated</w:t>
      </w:r>
      <w:r>
        <w:rPr>
          <w:rFonts w:ascii="Aptos" w:hAnsi="Aptos"/>
          <w:sz w:val="25"/>
          <w:szCs w:val="25"/>
        </w:rPr>
        <w:t>. Mother’s last known address is in Connecticut. Father’s last known address is in Georgia.</w:t>
      </w:r>
    </w:p>
    <w:p w14:paraId="1C12B98D" w14:textId="7E7885BE" w:rsidR="00D72E55" w:rsidRDefault="00D72E55" w:rsidP="00D72E55">
      <w:pPr>
        <w:pStyle w:val="NormalWeb"/>
        <w:numPr>
          <w:ilvl w:val="0"/>
          <w:numId w:val="1"/>
        </w:numPr>
        <w:spacing w:before="0" w:beforeAutospacing="0" w:after="120" w:afterAutospacing="0"/>
        <w:rPr>
          <w:rFonts w:ascii="Aptos" w:hAnsi="Aptos"/>
          <w:sz w:val="25"/>
          <w:szCs w:val="25"/>
        </w:rPr>
      </w:pPr>
      <w:r>
        <w:rPr>
          <w:rFonts w:ascii="Aptos" w:hAnsi="Aptos"/>
          <w:sz w:val="25"/>
          <w:szCs w:val="25"/>
        </w:rPr>
        <w:t xml:space="preserve">On or about August 19, 2021, the Cambridge Juvenile Court issued a </w:t>
      </w:r>
      <w:r w:rsidR="005A7A90">
        <w:rPr>
          <w:rFonts w:ascii="Aptos" w:hAnsi="Aptos"/>
          <w:sz w:val="25"/>
          <w:szCs w:val="25"/>
        </w:rPr>
        <w:t>C</w:t>
      </w:r>
      <w:r>
        <w:rPr>
          <w:rFonts w:ascii="Aptos" w:hAnsi="Aptos"/>
          <w:sz w:val="25"/>
          <w:szCs w:val="25"/>
        </w:rPr>
        <w:t xml:space="preserve">are and Protection Order. At this time, Student was residing at a Motel in Acton, Massachusetts. It is unclear with whom he was living. </w:t>
      </w:r>
    </w:p>
    <w:p w14:paraId="48798F16" w14:textId="3D36C82B" w:rsidR="00D72E55" w:rsidRDefault="00D72E55" w:rsidP="00D72E55">
      <w:pPr>
        <w:pStyle w:val="NormalWeb"/>
        <w:numPr>
          <w:ilvl w:val="0"/>
          <w:numId w:val="1"/>
        </w:numPr>
        <w:spacing w:before="0" w:beforeAutospacing="0" w:after="120" w:afterAutospacing="0"/>
        <w:rPr>
          <w:rFonts w:ascii="Aptos" w:hAnsi="Aptos"/>
          <w:sz w:val="25"/>
          <w:szCs w:val="25"/>
        </w:rPr>
      </w:pPr>
      <w:r>
        <w:rPr>
          <w:rFonts w:ascii="Aptos" w:hAnsi="Aptos"/>
          <w:sz w:val="25"/>
          <w:szCs w:val="25"/>
        </w:rPr>
        <w:t>Student completed the 2021-2022 school year in Framingham.</w:t>
      </w:r>
    </w:p>
    <w:p w14:paraId="09B6D2FB" w14:textId="14B80E9F" w:rsidR="00D72E55" w:rsidRPr="00D72E55" w:rsidRDefault="00D72E55" w:rsidP="00D72E55">
      <w:pPr>
        <w:pStyle w:val="NormalWeb"/>
        <w:numPr>
          <w:ilvl w:val="0"/>
          <w:numId w:val="1"/>
        </w:numPr>
        <w:spacing w:before="0" w:beforeAutospacing="0" w:after="120" w:afterAutospacing="0"/>
        <w:rPr>
          <w:rFonts w:ascii="Aptos" w:hAnsi="Aptos"/>
          <w:sz w:val="25"/>
          <w:szCs w:val="25"/>
        </w:rPr>
      </w:pPr>
      <w:r>
        <w:rPr>
          <w:rFonts w:ascii="Aptos" w:hAnsi="Aptos"/>
          <w:sz w:val="25"/>
          <w:szCs w:val="25"/>
        </w:rPr>
        <w:t xml:space="preserve">There is no information </w:t>
      </w:r>
      <w:r w:rsidR="002021B6">
        <w:rPr>
          <w:rFonts w:ascii="Aptos" w:hAnsi="Aptos"/>
          <w:sz w:val="25"/>
          <w:szCs w:val="25"/>
        </w:rPr>
        <w:t xml:space="preserve">in the pleadings </w:t>
      </w:r>
      <w:r>
        <w:rPr>
          <w:rFonts w:ascii="Aptos" w:hAnsi="Aptos"/>
          <w:sz w:val="25"/>
          <w:szCs w:val="25"/>
        </w:rPr>
        <w:t>about where Student began the 2022-2023 school year, or when he was first found eligible for special education.</w:t>
      </w:r>
      <w:r w:rsidR="00AC4E35">
        <w:rPr>
          <w:rFonts w:ascii="Aptos" w:hAnsi="Aptos"/>
          <w:sz w:val="25"/>
          <w:szCs w:val="25"/>
        </w:rPr>
        <w:t xml:space="preserve"> It appears that </w:t>
      </w:r>
      <w:r w:rsidR="002021B6">
        <w:rPr>
          <w:rFonts w:ascii="Aptos" w:hAnsi="Aptos"/>
          <w:sz w:val="25"/>
          <w:szCs w:val="25"/>
        </w:rPr>
        <w:t>Student</w:t>
      </w:r>
      <w:r w:rsidR="00AC4E35">
        <w:rPr>
          <w:rFonts w:ascii="Aptos" w:hAnsi="Aptos"/>
          <w:sz w:val="25"/>
          <w:szCs w:val="25"/>
        </w:rPr>
        <w:t xml:space="preserve"> </w:t>
      </w:r>
      <w:r w:rsidR="00A710FB">
        <w:rPr>
          <w:rFonts w:ascii="Aptos" w:hAnsi="Aptos"/>
          <w:sz w:val="25"/>
          <w:szCs w:val="25"/>
        </w:rPr>
        <w:t>was</w:t>
      </w:r>
      <w:r w:rsidR="00AC4E35">
        <w:rPr>
          <w:rFonts w:ascii="Aptos" w:hAnsi="Aptos"/>
          <w:sz w:val="25"/>
          <w:szCs w:val="25"/>
        </w:rPr>
        <w:t xml:space="preserve"> placed</w:t>
      </w:r>
      <w:r w:rsidR="00A710FB">
        <w:rPr>
          <w:rFonts w:ascii="Aptos" w:hAnsi="Aptos"/>
          <w:sz w:val="25"/>
          <w:szCs w:val="25"/>
        </w:rPr>
        <w:t xml:space="preserve"> </w:t>
      </w:r>
      <w:r w:rsidR="00AC4E35">
        <w:rPr>
          <w:rFonts w:ascii="Aptos" w:hAnsi="Aptos"/>
          <w:sz w:val="25"/>
          <w:szCs w:val="25"/>
        </w:rPr>
        <w:t>residentially</w:t>
      </w:r>
      <w:r w:rsidR="00A710FB">
        <w:rPr>
          <w:rFonts w:ascii="Aptos" w:hAnsi="Aptos"/>
          <w:sz w:val="25"/>
          <w:szCs w:val="25"/>
        </w:rPr>
        <w:t xml:space="preserve"> by DCF at St. Ann’s in Methuen</w:t>
      </w:r>
      <w:r w:rsidR="005A7A90">
        <w:rPr>
          <w:rFonts w:ascii="Aptos" w:hAnsi="Aptos"/>
          <w:sz w:val="25"/>
          <w:szCs w:val="25"/>
        </w:rPr>
        <w:t xml:space="preserve"> on or about October 26, 2022</w:t>
      </w:r>
      <w:r w:rsidR="00A710FB">
        <w:rPr>
          <w:rFonts w:ascii="Aptos" w:hAnsi="Aptos"/>
          <w:sz w:val="25"/>
          <w:szCs w:val="25"/>
        </w:rPr>
        <w:t>, and attended the associated school there,</w:t>
      </w:r>
      <w:r w:rsidR="00AC4E35">
        <w:rPr>
          <w:rFonts w:ascii="Aptos" w:hAnsi="Aptos"/>
          <w:sz w:val="25"/>
          <w:szCs w:val="25"/>
        </w:rPr>
        <w:t xml:space="preserve"> </w:t>
      </w:r>
      <w:r w:rsidR="005A7A90">
        <w:rPr>
          <w:rFonts w:ascii="Aptos" w:hAnsi="Aptos"/>
          <w:sz w:val="25"/>
          <w:szCs w:val="25"/>
        </w:rPr>
        <w:t>until on or about</w:t>
      </w:r>
      <w:r w:rsidR="00AC4E35">
        <w:rPr>
          <w:rFonts w:ascii="Aptos" w:hAnsi="Aptos"/>
          <w:sz w:val="25"/>
          <w:szCs w:val="25"/>
        </w:rPr>
        <w:t xml:space="preserve"> April 4, 2023.</w:t>
      </w:r>
      <w:r w:rsidR="005D0F11">
        <w:rPr>
          <w:rStyle w:val="FootnoteReference"/>
          <w:rFonts w:ascii="Aptos" w:hAnsi="Aptos"/>
          <w:sz w:val="25"/>
          <w:szCs w:val="25"/>
        </w:rPr>
        <w:footnoteReference w:id="13"/>
      </w:r>
    </w:p>
    <w:p w14:paraId="64B45FD1" w14:textId="4A740B1C" w:rsidR="00E92A67" w:rsidRDefault="00B4057C" w:rsidP="00631C99">
      <w:pPr>
        <w:pStyle w:val="NormalWeb"/>
        <w:numPr>
          <w:ilvl w:val="0"/>
          <w:numId w:val="1"/>
        </w:numPr>
        <w:spacing w:before="0" w:beforeAutospacing="0" w:after="120" w:afterAutospacing="0"/>
        <w:rPr>
          <w:rFonts w:ascii="Aptos" w:hAnsi="Aptos"/>
          <w:sz w:val="25"/>
          <w:szCs w:val="25"/>
        </w:rPr>
      </w:pPr>
      <w:r>
        <w:rPr>
          <w:rFonts w:ascii="Aptos" w:hAnsi="Aptos"/>
          <w:sz w:val="25"/>
          <w:szCs w:val="25"/>
        </w:rPr>
        <w:t xml:space="preserve">DCF placed </w:t>
      </w:r>
      <w:r w:rsidR="00E92A67">
        <w:rPr>
          <w:rFonts w:ascii="Aptos" w:hAnsi="Aptos"/>
          <w:sz w:val="25"/>
          <w:szCs w:val="25"/>
        </w:rPr>
        <w:t>Student</w:t>
      </w:r>
      <w:r>
        <w:rPr>
          <w:rFonts w:ascii="Aptos" w:hAnsi="Aptos"/>
          <w:sz w:val="25"/>
          <w:szCs w:val="25"/>
        </w:rPr>
        <w:t xml:space="preserve"> in a group home </w:t>
      </w:r>
      <w:r w:rsidR="005502F6">
        <w:rPr>
          <w:rFonts w:ascii="Aptos" w:hAnsi="Aptos"/>
          <w:sz w:val="25"/>
          <w:szCs w:val="25"/>
        </w:rPr>
        <w:t>through Helix Human Services (Helix)</w:t>
      </w:r>
      <w:r>
        <w:rPr>
          <w:rFonts w:ascii="Aptos" w:hAnsi="Aptos"/>
          <w:sz w:val="25"/>
          <w:szCs w:val="25"/>
        </w:rPr>
        <w:t xml:space="preserve"> on or about April 5, 2023. </w:t>
      </w:r>
      <w:r w:rsidR="005502F6">
        <w:rPr>
          <w:rFonts w:ascii="Aptos" w:hAnsi="Aptos"/>
          <w:sz w:val="25"/>
          <w:szCs w:val="25"/>
        </w:rPr>
        <w:t xml:space="preserve">Helix’s main address is in Springfield, Massachusetts. </w:t>
      </w:r>
      <w:r w:rsidR="005A7A90">
        <w:rPr>
          <w:rFonts w:ascii="Aptos" w:hAnsi="Aptos"/>
          <w:sz w:val="25"/>
          <w:szCs w:val="25"/>
        </w:rPr>
        <w:t>According to SPS, RS</w:t>
      </w:r>
      <w:r w:rsidR="005A7A90">
        <w:rPr>
          <w:rStyle w:val="FootnoteReference"/>
          <w:rFonts w:ascii="Aptos" w:hAnsi="Aptos"/>
          <w:sz w:val="25"/>
          <w:szCs w:val="25"/>
        </w:rPr>
        <w:footnoteReference w:id="14"/>
      </w:r>
      <w:r w:rsidR="005A7A90">
        <w:rPr>
          <w:rFonts w:ascii="Aptos" w:hAnsi="Aptos"/>
          <w:sz w:val="25"/>
          <w:szCs w:val="25"/>
        </w:rPr>
        <w:t xml:space="preserve"> is a program manager at Helix. </w:t>
      </w:r>
      <w:r>
        <w:rPr>
          <w:rFonts w:ascii="Aptos" w:hAnsi="Aptos"/>
          <w:sz w:val="25"/>
          <w:szCs w:val="25"/>
        </w:rPr>
        <w:t>Student</w:t>
      </w:r>
      <w:r w:rsidR="00E92A67">
        <w:rPr>
          <w:rFonts w:ascii="Aptos" w:hAnsi="Aptos"/>
          <w:sz w:val="25"/>
          <w:szCs w:val="25"/>
        </w:rPr>
        <w:t xml:space="preserve"> attended an elementary school in Springfield from </w:t>
      </w:r>
      <w:r w:rsidR="005502F6">
        <w:rPr>
          <w:rFonts w:ascii="Aptos" w:hAnsi="Aptos"/>
          <w:sz w:val="25"/>
          <w:szCs w:val="25"/>
        </w:rPr>
        <w:t>April 5,</w:t>
      </w:r>
      <w:r w:rsidR="00E92A67">
        <w:rPr>
          <w:rFonts w:ascii="Aptos" w:hAnsi="Aptos"/>
          <w:sz w:val="25"/>
          <w:szCs w:val="25"/>
        </w:rPr>
        <w:t xml:space="preserve"> </w:t>
      </w:r>
      <w:r w:rsidR="005502F6">
        <w:rPr>
          <w:rFonts w:ascii="Aptos" w:hAnsi="Aptos"/>
          <w:sz w:val="25"/>
          <w:szCs w:val="25"/>
        </w:rPr>
        <w:t xml:space="preserve">2023 </w:t>
      </w:r>
      <w:r w:rsidR="00E92A67">
        <w:rPr>
          <w:rFonts w:ascii="Aptos" w:hAnsi="Aptos"/>
          <w:sz w:val="25"/>
          <w:szCs w:val="25"/>
        </w:rPr>
        <w:t>to February 4, 2025.</w:t>
      </w:r>
    </w:p>
    <w:p w14:paraId="73E19593" w14:textId="729DD34E" w:rsidR="00A1157A" w:rsidRDefault="00314971" w:rsidP="005502F6">
      <w:pPr>
        <w:pStyle w:val="NormalWeb"/>
        <w:numPr>
          <w:ilvl w:val="0"/>
          <w:numId w:val="1"/>
        </w:numPr>
        <w:spacing w:before="0" w:beforeAutospacing="0" w:after="120" w:afterAutospacing="0"/>
        <w:rPr>
          <w:rFonts w:ascii="Aptos" w:hAnsi="Aptos"/>
          <w:sz w:val="25"/>
          <w:szCs w:val="25"/>
        </w:rPr>
      </w:pPr>
      <w:r>
        <w:rPr>
          <w:rFonts w:ascii="Aptos" w:hAnsi="Aptos"/>
          <w:sz w:val="25"/>
          <w:szCs w:val="25"/>
        </w:rPr>
        <w:t>S</w:t>
      </w:r>
      <w:r w:rsidR="00E92A67">
        <w:rPr>
          <w:rFonts w:ascii="Aptos" w:hAnsi="Aptos"/>
          <w:sz w:val="25"/>
          <w:szCs w:val="25"/>
        </w:rPr>
        <w:t>PS</w:t>
      </w:r>
      <w:r w:rsidR="005502F6">
        <w:rPr>
          <w:rFonts w:ascii="Aptos" w:hAnsi="Aptos"/>
          <w:sz w:val="25"/>
          <w:szCs w:val="25"/>
        </w:rPr>
        <w:t xml:space="preserve"> issued a comparable individualized education program (IEP) for Student, dated 6/8/2022</w:t>
      </w:r>
      <w:r w:rsidR="00A0588E">
        <w:rPr>
          <w:rFonts w:ascii="Aptos" w:hAnsi="Aptos"/>
          <w:sz w:val="25"/>
          <w:szCs w:val="25"/>
        </w:rPr>
        <w:t xml:space="preserve"> to </w:t>
      </w:r>
      <w:r w:rsidR="005502F6">
        <w:rPr>
          <w:rFonts w:ascii="Aptos" w:hAnsi="Aptos"/>
          <w:sz w:val="25"/>
          <w:szCs w:val="25"/>
        </w:rPr>
        <w:t xml:space="preserve">6/7/2023. </w:t>
      </w:r>
      <w:r w:rsidR="00A1157A">
        <w:rPr>
          <w:rFonts w:ascii="Aptos" w:hAnsi="Aptos"/>
          <w:sz w:val="25"/>
          <w:szCs w:val="25"/>
        </w:rPr>
        <w:t>This IEP</w:t>
      </w:r>
      <w:r w:rsidR="005A7A90">
        <w:rPr>
          <w:rFonts w:ascii="Aptos" w:hAnsi="Aptos"/>
          <w:sz w:val="25"/>
          <w:szCs w:val="25"/>
        </w:rPr>
        <w:t xml:space="preserve"> incorrectly</w:t>
      </w:r>
      <w:r w:rsidR="00A1157A">
        <w:rPr>
          <w:rFonts w:ascii="Aptos" w:hAnsi="Aptos"/>
          <w:sz w:val="25"/>
          <w:szCs w:val="25"/>
        </w:rPr>
        <w:t xml:space="preserve"> lists RS as Student’s parent, with the street address for Helix </w:t>
      </w:r>
      <w:r w:rsidR="008A09D8">
        <w:rPr>
          <w:rFonts w:ascii="Aptos" w:hAnsi="Aptos"/>
          <w:sz w:val="25"/>
          <w:szCs w:val="25"/>
        </w:rPr>
        <w:t>in Springfield</w:t>
      </w:r>
      <w:r w:rsidR="00A1157A">
        <w:rPr>
          <w:rFonts w:ascii="Aptos" w:hAnsi="Aptos"/>
          <w:sz w:val="25"/>
          <w:szCs w:val="25"/>
        </w:rPr>
        <w:t>.</w:t>
      </w:r>
      <w:r w:rsidR="00A1157A">
        <w:rPr>
          <w:rStyle w:val="FootnoteReference"/>
          <w:rFonts w:ascii="Aptos" w:hAnsi="Aptos"/>
          <w:sz w:val="25"/>
          <w:szCs w:val="25"/>
        </w:rPr>
        <w:footnoteReference w:id="15"/>
      </w:r>
      <w:r w:rsidR="00A1157A">
        <w:rPr>
          <w:rFonts w:ascii="Aptos" w:hAnsi="Aptos"/>
          <w:sz w:val="25"/>
          <w:szCs w:val="25"/>
        </w:rPr>
        <w:t xml:space="preserve"> It lists SM as Student’s </w:t>
      </w:r>
      <w:r w:rsidR="00A710FB">
        <w:rPr>
          <w:rFonts w:ascii="Aptos" w:hAnsi="Aptos"/>
          <w:sz w:val="25"/>
          <w:szCs w:val="25"/>
        </w:rPr>
        <w:t>ESP</w:t>
      </w:r>
      <w:r w:rsidR="00A1157A">
        <w:rPr>
          <w:rFonts w:ascii="Aptos" w:hAnsi="Aptos"/>
          <w:sz w:val="25"/>
          <w:szCs w:val="25"/>
        </w:rPr>
        <w:t xml:space="preserve"> and WA as his foster parent; both are listed with the same street address </w:t>
      </w:r>
      <w:r w:rsidR="008A09D8">
        <w:rPr>
          <w:rFonts w:ascii="Aptos" w:hAnsi="Aptos"/>
          <w:sz w:val="25"/>
          <w:szCs w:val="25"/>
        </w:rPr>
        <w:t>in Framingham.</w:t>
      </w:r>
    </w:p>
    <w:p w14:paraId="25719F0C" w14:textId="3A8AF2DE" w:rsidR="005502F6" w:rsidRDefault="005502F6" w:rsidP="005502F6">
      <w:pPr>
        <w:pStyle w:val="NormalWeb"/>
        <w:numPr>
          <w:ilvl w:val="0"/>
          <w:numId w:val="1"/>
        </w:numPr>
        <w:spacing w:before="0" w:beforeAutospacing="0" w:after="120" w:afterAutospacing="0"/>
        <w:rPr>
          <w:rFonts w:ascii="Aptos" w:hAnsi="Aptos"/>
          <w:sz w:val="25"/>
          <w:szCs w:val="25"/>
        </w:rPr>
      </w:pPr>
      <w:r>
        <w:rPr>
          <w:rFonts w:ascii="Aptos" w:hAnsi="Aptos"/>
          <w:sz w:val="25"/>
          <w:szCs w:val="25"/>
        </w:rPr>
        <w:t xml:space="preserve">Student’s Team </w:t>
      </w:r>
      <w:r w:rsidRPr="005502F6">
        <w:rPr>
          <w:rFonts w:ascii="Aptos" w:hAnsi="Aptos"/>
          <w:sz w:val="25"/>
          <w:szCs w:val="25"/>
        </w:rPr>
        <w:t xml:space="preserve">convened for an annual review on June 21, 2023 and </w:t>
      </w:r>
      <w:r w:rsidR="00314971" w:rsidRPr="005502F6">
        <w:rPr>
          <w:rFonts w:ascii="Aptos" w:hAnsi="Aptos"/>
          <w:sz w:val="25"/>
          <w:szCs w:val="25"/>
        </w:rPr>
        <w:t xml:space="preserve">developed </w:t>
      </w:r>
      <w:r w:rsidR="00A710FB">
        <w:rPr>
          <w:rFonts w:ascii="Aptos" w:hAnsi="Aptos"/>
          <w:sz w:val="25"/>
          <w:szCs w:val="25"/>
        </w:rPr>
        <w:t xml:space="preserve">an </w:t>
      </w:r>
      <w:r w:rsidR="00314971" w:rsidRPr="005502F6">
        <w:rPr>
          <w:rFonts w:ascii="Aptos" w:hAnsi="Aptos"/>
          <w:sz w:val="25"/>
          <w:szCs w:val="25"/>
        </w:rPr>
        <w:t>IEP</w:t>
      </w:r>
      <w:r w:rsidR="00A1157A">
        <w:rPr>
          <w:rFonts w:ascii="Aptos" w:hAnsi="Aptos"/>
          <w:sz w:val="25"/>
          <w:szCs w:val="25"/>
        </w:rPr>
        <w:t xml:space="preserve"> </w:t>
      </w:r>
      <w:r w:rsidR="00314971" w:rsidRPr="005502F6">
        <w:rPr>
          <w:rFonts w:ascii="Aptos" w:hAnsi="Aptos"/>
          <w:sz w:val="25"/>
          <w:szCs w:val="25"/>
        </w:rPr>
        <w:t xml:space="preserve">for Student dated </w:t>
      </w:r>
      <w:r w:rsidRPr="005502F6">
        <w:rPr>
          <w:rFonts w:ascii="Aptos" w:hAnsi="Aptos"/>
          <w:sz w:val="25"/>
          <w:szCs w:val="25"/>
        </w:rPr>
        <w:t>6/21/2023 to 6/20/2024</w:t>
      </w:r>
      <w:r w:rsidR="00CC4DCE">
        <w:rPr>
          <w:rFonts w:ascii="Aptos" w:hAnsi="Aptos"/>
          <w:sz w:val="25"/>
          <w:szCs w:val="25"/>
        </w:rPr>
        <w:t>,</w:t>
      </w:r>
      <w:r>
        <w:rPr>
          <w:rFonts w:ascii="Aptos" w:hAnsi="Aptos"/>
          <w:sz w:val="25"/>
          <w:szCs w:val="25"/>
        </w:rPr>
        <w:t xml:space="preserve"> </w:t>
      </w:r>
      <w:r w:rsidR="00CA1327">
        <w:rPr>
          <w:rFonts w:ascii="Aptos" w:hAnsi="Aptos"/>
          <w:sz w:val="25"/>
          <w:szCs w:val="25"/>
        </w:rPr>
        <w:t>with</w:t>
      </w:r>
      <w:r>
        <w:rPr>
          <w:rFonts w:ascii="Aptos" w:hAnsi="Aptos"/>
          <w:sz w:val="25"/>
          <w:szCs w:val="25"/>
        </w:rPr>
        <w:t xml:space="preserve"> a corresponding placement in a substantially separate program. This IEP</w:t>
      </w:r>
      <w:r w:rsidR="00A1157A">
        <w:rPr>
          <w:rFonts w:ascii="Aptos" w:hAnsi="Aptos"/>
          <w:sz w:val="25"/>
          <w:szCs w:val="25"/>
        </w:rPr>
        <w:t>, which was accepted in full (as was the placement),</w:t>
      </w:r>
      <w:r w:rsidR="00A0588E">
        <w:rPr>
          <w:rFonts w:ascii="Aptos" w:hAnsi="Aptos"/>
          <w:sz w:val="25"/>
          <w:szCs w:val="25"/>
        </w:rPr>
        <w:t xml:space="preserve"> incorrectly</w:t>
      </w:r>
      <w:r w:rsidR="00A1157A">
        <w:rPr>
          <w:rFonts w:ascii="Aptos" w:hAnsi="Aptos"/>
          <w:sz w:val="25"/>
          <w:szCs w:val="25"/>
        </w:rPr>
        <w:t xml:space="preserve"> lists RS</w:t>
      </w:r>
      <w:r w:rsidR="00A0588E">
        <w:rPr>
          <w:rFonts w:ascii="Aptos" w:hAnsi="Aptos"/>
          <w:sz w:val="25"/>
          <w:szCs w:val="25"/>
        </w:rPr>
        <w:t xml:space="preserve"> </w:t>
      </w:r>
      <w:r w:rsidR="00A1157A">
        <w:rPr>
          <w:rFonts w:ascii="Aptos" w:hAnsi="Aptos"/>
          <w:sz w:val="25"/>
          <w:szCs w:val="25"/>
        </w:rPr>
        <w:t>as Student’s Parent and WA as his foster parent. It</w:t>
      </w:r>
      <w:r>
        <w:rPr>
          <w:rFonts w:ascii="Aptos" w:hAnsi="Aptos"/>
          <w:sz w:val="25"/>
          <w:szCs w:val="25"/>
        </w:rPr>
        <w:t xml:space="preserve"> lists SM as Student’s </w:t>
      </w:r>
      <w:r w:rsidR="00A710FB">
        <w:rPr>
          <w:rFonts w:ascii="Aptos" w:hAnsi="Aptos"/>
          <w:sz w:val="25"/>
          <w:szCs w:val="25"/>
        </w:rPr>
        <w:t>ESP</w:t>
      </w:r>
      <w:r w:rsidR="00A1157A">
        <w:rPr>
          <w:rFonts w:ascii="Aptos" w:hAnsi="Aptos"/>
          <w:sz w:val="25"/>
          <w:szCs w:val="25"/>
        </w:rPr>
        <w:t xml:space="preserve">, though it also references her as his foster parent. </w:t>
      </w:r>
    </w:p>
    <w:p w14:paraId="23317220" w14:textId="681D1F8A" w:rsidR="00A1157A" w:rsidRPr="005502F6" w:rsidRDefault="00A1157A" w:rsidP="005502F6">
      <w:pPr>
        <w:pStyle w:val="NormalWeb"/>
        <w:numPr>
          <w:ilvl w:val="0"/>
          <w:numId w:val="1"/>
        </w:numPr>
        <w:spacing w:before="0" w:beforeAutospacing="0" w:after="120" w:afterAutospacing="0"/>
        <w:rPr>
          <w:rFonts w:ascii="Aptos" w:hAnsi="Aptos"/>
          <w:sz w:val="25"/>
          <w:szCs w:val="25"/>
        </w:rPr>
      </w:pPr>
      <w:r>
        <w:rPr>
          <w:rFonts w:ascii="Aptos" w:hAnsi="Aptos"/>
          <w:sz w:val="25"/>
          <w:szCs w:val="25"/>
        </w:rPr>
        <w:t>In the fall of 2023, Springfield reconvened Student’s Team to review reevaluation testing and update his IEP. The resulting IEP, dated 10/4/2023 to 10/3/2024, again</w:t>
      </w:r>
      <w:r w:rsidR="00A0588E">
        <w:rPr>
          <w:rFonts w:ascii="Aptos" w:hAnsi="Aptos"/>
          <w:sz w:val="25"/>
          <w:szCs w:val="25"/>
        </w:rPr>
        <w:t xml:space="preserve"> incorrectly</w:t>
      </w:r>
      <w:r>
        <w:rPr>
          <w:rFonts w:ascii="Aptos" w:hAnsi="Aptos"/>
          <w:sz w:val="25"/>
          <w:szCs w:val="25"/>
        </w:rPr>
        <w:t xml:space="preserve"> list</w:t>
      </w:r>
      <w:r w:rsidR="00A0588E">
        <w:rPr>
          <w:rFonts w:ascii="Aptos" w:hAnsi="Aptos"/>
          <w:sz w:val="25"/>
          <w:szCs w:val="25"/>
        </w:rPr>
        <w:t xml:space="preserve">s </w:t>
      </w:r>
      <w:r>
        <w:rPr>
          <w:rFonts w:ascii="Aptos" w:hAnsi="Aptos"/>
          <w:sz w:val="25"/>
          <w:szCs w:val="25"/>
        </w:rPr>
        <w:t>RS as a parent</w:t>
      </w:r>
      <w:r w:rsidR="00A0588E">
        <w:rPr>
          <w:rFonts w:ascii="Aptos" w:hAnsi="Aptos"/>
          <w:sz w:val="25"/>
          <w:szCs w:val="25"/>
        </w:rPr>
        <w:t xml:space="preserve"> </w:t>
      </w:r>
      <w:r>
        <w:rPr>
          <w:rFonts w:ascii="Aptos" w:hAnsi="Aptos"/>
          <w:sz w:val="25"/>
          <w:szCs w:val="25"/>
        </w:rPr>
        <w:t>and</w:t>
      </w:r>
      <w:r w:rsidR="00A0588E">
        <w:rPr>
          <w:rFonts w:ascii="Aptos" w:hAnsi="Aptos"/>
          <w:sz w:val="25"/>
          <w:szCs w:val="25"/>
        </w:rPr>
        <w:t xml:space="preserve"> </w:t>
      </w:r>
      <w:r>
        <w:rPr>
          <w:rFonts w:ascii="Aptos" w:hAnsi="Aptos"/>
          <w:sz w:val="25"/>
          <w:szCs w:val="25"/>
        </w:rPr>
        <w:t xml:space="preserve">lists SM as the </w:t>
      </w:r>
      <w:r w:rsidR="00A710FB">
        <w:rPr>
          <w:rFonts w:ascii="Aptos" w:hAnsi="Aptos"/>
          <w:sz w:val="25"/>
          <w:szCs w:val="25"/>
        </w:rPr>
        <w:t>ESP</w:t>
      </w:r>
      <w:r>
        <w:rPr>
          <w:rFonts w:ascii="Aptos" w:hAnsi="Aptos"/>
          <w:sz w:val="25"/>
          <w:szCs w:val="25"/>
        </w:rPr>
        <w:t xml:space="preserve"> </w:t>
      </w:r>
      <w:r w:rsidR="00A0588E">
        <w:rPr>
          <w:rFonts w:ascii="Aptos" w:hAnsi="Aptos"/>
          <w:sz w:val="25"/>
          <w:szCs w:val="25"/>
        </w:rPr>
        <w:t>while also referencing</w:t>
      </w:r>
      <w:r>
        <w:rPr>
          <w:rFonts w:ascii="Aptos" w:hAnsi="Aptos"/>
          <w:sz w:val="25"/>
          <w:szCs w:val="25"/>
        </w:rPr>
        <w:t xml:space="preserve"> her as </w:t>
      </w:r>
      <w:r w:rsidR="00A0588E">
        <w:rPr>
          <w:rFonts w:ascii="Aptos" w:hAnsi="Aptos"/>
          <w:sz w:val="25"/>
          <w:szCs w:val="25"/>
        </w:rPr>
        <w:t>Student’s</w:t>
      </w:r>
      <w:r>
        <w:rPr>
          <w:rFonts w:ascii="Aptos" w:hAnsi="Aptos"/>
          <w:sz w:val="25"/>
          <w:szCs w:val="25"/>
        </w:rPr>
        <w:t xml:space="preserve"> foster parent. This IEP does not </w:t>
      </w:r>
      <w:r w:rsidR="00A0588E">
        <w:rPr>
          <w:rFonts w:ascii="Aptos" w:hAnsi="Aptos"/>
          <w:sz w:val="25"/>
          <w:szCs w:val="25"/>
        </w:rPr>
        <w:t>include</w:t>
      </w:r>
      <w:r>
        <w:rPr>
          <w:rFonts w:ascii="Aptos" w:hAnsi="Aptos"/>
          <w:sz w:val="25"/>
          <w:szCs w:val="25"/>
        </w:rPr>
        <w:t xml:space="preserve"> WA. Th</w:t>
      </w:r>
      <w:r w:rsidR="005A7A90">
        <w:rPr>
          <w:rFonts w:ascii="Aptos" w:hAnsi="Aptos"/>
          <w:sz w:val="25"/>
          <w:szCs w:val="25"/>
        </w:rPr>
        <w:t>e</w:t>
      </w:r>
      <w:r>
        <w:rPr>
          <w:rFonts w:ascii="Aptos" w:hAnsi="Aptos"/>
          <w:sz w:val="25"/>
          <w:szCs w:val="25"/>
        </w:rPr>
        <w:t xml:space="preserve"> IEP </w:t>
      </w:r>
      <w:r>
        <w:rPr>
          <w:rFonts w:ascii="Aptos" w:hAnsi="Aptos"/>
          <w:sz w:val="25"/>
          <w:szCs w:val="25"/>
        </w:rPr>
        <w:lastRenderedPageBreak/>
        <w:t>and substantially separate placement were accepted in full on October 20, 2023.</w:t>
      </w:r>
    </w:p>
    <w:p w14:paraId="4D4D0380" w14:textId="2CF89A09" w:rsidR="00D72E55" w:rsidRDefault="00A1157A" w:rsidP="00631C99">
      <w:pPr>
        <w:pStyle w:val="NormalWeb"/>
        <w:numPr>
          <w:ilvl w:val="0"/>
          <w:numId w:val="1"/>
        </w:numPr>
        <w:spacing w:before="0" w:beforeAutospacing="0" w:after="120" w:afterAutospacing="0"/>
        <w:rPr>
          <w:rFonts w:ascii="Aptos" w:hAnsi="Aptos"/>
          <w:sz w:val="25"/>
          <w:szCs w:val="25"/>
        </w:rPr>
      </w:pPr>
      <w:r>
        <w:rPr>
          <w:rFonts w:ascii="Aptos" w:hAnsi="Aptos"/>
          <w:sz w:val="25"/>
          <w:szCs w:val="25"/>
        </w:rPr>
        <w:t xml:space="preserve">Following the annual Team meeting, Springfield issued an IEP dated </w:t>
      </w:r>
      <w:r w:rsidR="00314971">
        <w:rPr>
          <w:rFonts w:ascii="Aptos" w:hAnsi="Aptos"/>
          <w:sz w:val="25"/>
          <w:szCs w:val="25"/>
        </w:rPr>
        <w:t>10/1/2024 to 9/30/2025</w:t>
      </w:r>
      <w:r w:rsidR="00D72E55">
        <w:rPr>
          <w:rFonts w:ascii="Aptos" w:hAnsi="Aptos"/>
          <w:sz w:val="25"/>
          <w:szCs w:val="25"/>
        </w:rPr>
        <w:t xml:space="preserve"> </w:t>
      </w:r>
      <w:r w:rsidR="008A09D8">
        <w:rPr>
          <w:rFonts w:ascii="Aptos" w:hAnsi="Aptos"/>
          <w:sz w:val="25"/>
          <w:szCs w:val="25"/>
        </w:rPr>
        <w:t xml:space="preserve">(2024-2025 IEP) </w:t>
      </w:r>
      <w:r w:rsidR="00D72E55">
        <w:rPr>
          <w:rFonts w:ascii="Aptos" w:hAnsi="Aptos"/>
          <w:sz w:val="25"/>
          <w:szCs w:val="25"/>
        </w:rPr>
        <w:t xml:space="preserve">and a corresponding </w:t>
      </w:r>
      <w:r w:rsidR="00A710FB">
        <w:rPr>
          <w:rFonts w:ascii="Aptos" w:hAnsi="Aptos"/>
          <w:sz w:val="25"/>
          <w:szCs w:val="25"/>
        </w:rPr>
        <w:t xml:space="preserve">substantially separate </w:t>
      </w:r>
      <w:r w:rsidR="00D72E55">
        <w:rPr>
          <w:rFonts w:ascii="Aptos" w:hAnsi="Aptos"/>
          <w:sz w:val="25"/>
          <w:szCs w:val="25"/>
        </w:rPr>
        <w:t>placement</w:t>
      </w:r>
      <w:r w:rsidR="00314971">
        <w:rPr>
          <w:rFonts w:ascii="Aptos" w:hAnsi="Aptos"/>
          <w:sz w:val="25"/>
          <w:szCs w:val="25"/>
        </w:rPr>
        <w:t xml:space="preserve">. </w:t>
      </w:r>
      <w:r w:rsidR="005502F6">
        <w:rPr>
          <w:rFonts w:ascii="Aptos" w:hAnsi="Aptos"/>
          <w:sz w:val="25"/>
          <w:szCs w:val="25"/>
        </w:rPr>
        <w:t>The IEP lists</w:t>
      </w:r>
      <w:r w:rsidR="008C4113">
        <w:rPr>
          <w:rFonts w:ascii="Aptos" w:hAnsi="Aptos"/>
          <w:sz w:val="25"/>
          <w:szCs w:val="25"/>
        </w:rPr>
        <w:t xml:space="preserve"> SM as </w:t>
      </w:r>
      <w:r w:rsidR="005502F6">
        <w:rPr>
          <w:rFonts w:ascii="Aptos" w:hAnsi="Aptos"/>
          <w:sz w:val="25"/>
          <w:szCs w:val="25"/>
        </w:rPr>
        <w:t>Student’s</w:t>
      </w:r>
      <w:r w:rsidR="008C4113">
        <w:rPr>
          <w:rFonts w:ascii="Aptos" w:hAnsi="Aptos"/>
          <w:sz w:val="25"/>
          <w:szCs w:val="25"/>
        </w:rPr>
        <w:t xml:space="preserve"> </w:t>
      </w:r>
      <w:r w:rsidR="002021B6">
        <w:rPr>
          <w:rFonts w:ascii="Aptos" w:hAnsi="Aptos"/>
          <w:sz w:val="25"/>
          <w:szCs w:val="25"/>
        </w:rPr>
        <w:t>ESP</w:t>
      </w:r>
      <w:r w:rsidR="008C4113">
        <w:rPr>
          <w:rFonts w:ascii="Aptos" w:hAnsi="Aptos"/>
          <w:sz w:val="25"/>
          <w:szCs w:val="25"/>
        </w:rPr>
        <w:t xml:space="preserve">, </w:t>
      </w:r>
      <w:r w:rsidR="008A09D8">
        <w:rPr>
          <w:rFonts w:ascii="Aptos" w:hAnsi="Aptos"/>
          <w:sz w:val="25"/>
          <w:szCs w:val="25"/>
        </w:rPr>
        <w:t>foster parent, and pre-adop</w:t>
      </w:r>
      <w:r w:rsidR="005A7A90">
        <w:rPr>
          <w:rFonts w:ascii="Aptos" w:hAnsi="Aptos"/>
          <w:sz w:val="25"/>
          <w:szCs w:val="25"/>
        </w:rPr>
        <w:t>t</w:t>
      </w:r>
      <w:r w:rsidR="008A09D8">
        <w:rPr>
          <w:rFonts w:ascii="Aptos" w:hAnsi="Aptos"/>
          <w:sz w:val="25"/>
          <w:szCs w:val="25"/>
        </w:rPr>
        <w:t xml:space="preserve">ive foster parent. It also lists WA as Student’s foster parent. The address on the IEP for SM, WA, and Student is the same street address in Framingham, though under “Additional Information,” the IEP states that Student resides at Helix. </w:t>
      </w:r>
    </w:p>
    <w:p w14:paraId="0254A5B7" w14:textId="09726C3F" w:rsidR="00314971" w:rsidRPr="008C4113" w:rsidRDefault="00D72E55" w:rsidP="00E92A67">
      <w:pPr>
        <w:pStyle w:val="NormalWeb"/>
        <w:numPr>
          <w:ilvl w:val="0"/>
          <w:numId w:val="1"/>
        </w:numPr>
        <w:spacing w:before="0" w:beforeAutospacing="0" w:after="120" w:afterAutospacing="0"/>
        <w:rPr>
          <w:rFonts w:ascii="Aptos" w:hAnsi="Aptos"/>
          <w:sz w:val="25"/>
          <w:szCs w:val="25"/>
        </w:rPr>
      </w:pPr>
      <w:r>
        <w:rPr>
          <w:rFonts w:ascii="Aptos" w:hAnsi="Aptos"/>
          <w:sz w:val="25"/>
          <w:szCs w:val="25"/>
        </w:rPr>
        <w:t xml:space="preserve"> </w:t>
      </w:r>
      <w:r w:rsidR="008A09D8">
        <w:rPr>
          <w:rFonts w:ascii="Aptos" w:hAnsi="Aptos"/>
          <w:sz w:val="25"/>
          <w:szCs w:val="25"/>
        </w:rPr>
        <w:t xml:space="preserve">Springfield’s 2024-2025 IEP was accepted in full on November 12, 2024. </w:t>
      </w:r>
      <w:r>
        <w:rPr>
          <w:rFonts w:ascii="Aptos" w:hAnsi="Aptos"/>
          <w:sz w:val="25"/>
          <w:szCs w:val="25"/>
        </w:rPr>
        <w:t xml:space="preserve">According to Worcester, the signature of the person who accepted this IEP is illegible and it is </w:t>
      </w:r>
      <w:r w:rsidR="00CC4DCE">
        <w:rPr>
          <w:rFonts w:ascii="Aptos" w:hAnsi="Aptos"/>
          <w:sz w:val="25"/>
          <w:szCs w:val="25"/>
        </w:rPr>
        <w:t xml:space="preserve">therefore </w:t>
      </w:r>
      <w:r>
        <w:rPr>
          <w:rFonts w:ascii="Aptos" w:hAnsi="Aptos"/>
          <w:sz w:val="25"/>
          <w:szCs w:val="25"/>
        </w:rPr>
        <w:t xml:space="preserve">unclear who </w:t>
      </w:r>
      <w:proofErr w:type="gramStart"/>
      <w:r>
        <w:rPr>
          <w:rFonts w:ascii="Aptos" w:hAnsi="Aptos"/>
          <w:sz w:val="25"/>
          <w:szCs w:val="25"/>
        </w:rPr>
        <w:t>actually signed</w:t>
      </w:r>
      <w:proofErr w:type="gramEnd"/>
      <w:r>
        <w:rPr>
          <w:rFonts w:ascii="Aptos" w:hAnsi="Aptos"/>
          <w:sz w:val="25"/>
          <w:szCs w:val="25"/>
        </w:rPr>
        <w:t xml:space="preserve">. Springfield reported to Worcester that </w:t>
      </w:r>
      <w:r w:rsidR="008A09D8">
        <w:rPr>
          <w:rFonts w:ascii="Aptos" w:hAnsi="Aptos"/>
          <w:sz w:val="25"/>
          <w:szCs w:val="25"/>
        </w:rPr>
        <w:t xml:space="preserve">SM </w:t>
      </w:r>
      <w:r>
        <w:rPr>
          <w:rFonts w:ascii="Aptos" w:hAnsi="Aptos"/>
          <w:sz w:val="25"/>
          <w:szCs w:val="25"/>
        </w:rPr>
        <w:t>signed the IEP and placement pages through the parent portal.</w:t>
      </w:r>
    </w:p>
    <w:p w14:paraId="3310E551" w14:textId="15B9EF27" w:rsidR="008C4113" w:rsidRPr="008C4113" w:rsidRDefault="008C4113" w:rsidP="00314971">
      <w:pPr>
        <w:pStyle w:val="NormalWeb"/>
        <w:numPr>
          <w:ilvl w:val="0"/>
          <w:numId w:val="1"/>
        </w:numPr>
        <w:spacing w:before="0" w:beforeAutospacing="0" w:after="120" w:afterAutospacing="0"/>
        <w:rPr>
          <w:rFonts w:ascii="Aptos" w:hAnsi="Aptos"/>
          <w:i/>
          <w:iCs/>
          <w:sz w:val="25"/>
          <w:szCs w:val="25"/>
        </w:rPr>
      </w:pPr>
      <w:r>
        <w:rPr>
          <w:rFonts w:ascii="Aptos" w:hAnsi="Aptos"/>
          <w:sz w:val="25"/>
          <w:szCs w:val="25"/>
        </w:rPr>
        <w:t xml:space="preserve">On </w:t>
      </w:r>
      <w:r w:rsidR="008A09D8">
        <w:rPr>
          <w:rFonts w:ascii="Aptos" w:hAnsi="Aptos"/>
          <w:sz w:val="25"/>
          <w:szCs w:val="25"/>
        </w:rPr>
        <w:t xml:space="preserve">or about </w:t>
      </w:r>
      <w:r w:rsidR="00E92A67">
        <w:rPr>
          <w:rFonts w:ascii="Aptos" w:hAnsi="Aptos"/>
          <w:sz w:val="25"/>
          <w:szCs w:val="25"/>
        </w:rPr>
        <w:t>February</w:t>
      </w:r>
      <w:r>
        <w:rPr>
          <w:rFonts w:ascii="Aptos" w:hAnsi="Aptos"/>
          <w:sz w:val="25"/>
          <w:szCs w:val="25"/>
        </w:rPr>
        <w:t xml:space="preserve"> 4,</w:t>
      </w:r>
      <w:r w:rsidR="00E92A67">
        <w:rPr>
          <w:rFonts w:ascii="Aptos" w:hAnsi="Aptos"/>
          <w:sz w:val="25"/>
          <w:szCs w:val="25"/>
        </w:rPr>
        <w:t xml:space="preserve"> 2025, </w:t>
      </w:r>
      <w:r>
        <w:rPr>
          <w:rFonts w:ascii="Aptos" w:hAnsi="Aptos"/>
          <w:sz w:val="25"/>
          <w:szCs w:val="25"/>
        </w:rPr>
        <w:t xml:space="preserve">DCF placed </w:t>
      </w:r>
      <w:r w:rsidR="00631C99">
        <w:rPr>
          <w:rFonts w:ascii="Aptos" w:hAnsi="Aptos"/>
          <w:sz w:val="25"/>
          <w:szCs w:val="25"/>
        </w:rPr>
        <w:t>Student in a</w:t>
      </w:r>
      <w:r w:rsidR="002021B6">
        <w:rPr>
          <w:rFonts w:ascii="Aptos" w:hAnsi="Aptos"/>
          <w:sz w:val="25"/>
          <w:szCs w:val="25"/>
        </w:rPr>
        <w:t xml:space="preserve"> </w:t>
      </w:r>
      <w:r w:rsidR="00631C99">
        <w:rPr>
          <w:rFonts w:ascii="Aptos" w:hAnsi="Aptos"/>
          <w:sz w:val="25"/>
          <w:szCs w:val="25"/>
        </w:rPr>
        <w:t>foster home in Worcester, Massachusetts.</w:t>
      </w:r>
      <w:r w:rsidR="00E92A67">
        <w:rPr>
          <w:rFonts w:ascii="Aptos" w:hAnsi="Aptos"/>
          <w:sz w:val="25"/>
          <w:szCs w:val="25"/>
        </w:rPr>
        <w:t xml:space="preserve"> </w:t>
      </w:r>
    </w:p>
    <w:p w14:paraId="47670E26" w14:textId="5695737B" w:rsidR="008C4113" w:rsidRPr="008C4113" w:rsidRDefault="008C4113" w:rsidP="00314971">
      <w:pPr>
        <w:pStyle w:val="NormalWeb"/>
        <w:numPr>
          <w:ilvl w:val="0"/>
          <w:numId w:val="1"/>
        </w:numPr>
        <w:spacing w:before="0" w:beforeAutospacing="0" w:after="120" w:afterAutospacing="0"/>
        <w:rPr>
          <w:rFonts w:ascii="Aptos" w:hAnsi="Aptos"/>
          <w:i/>
          <w:iCs/>
          <w:sz w:val="25"/>
          <w:szCs w:val="25"/>
        </w:rPr>
      </w:pPr>
      <w:r>
        <w:rPr>
          <w:rFonts w:ascii="Aptos" w:hAnsi="Aptos"/>
          <w:sz w:val="25"/>
          <w:szCs w:val="25"/>
        </w:rPr>
        <w:t xml:space="preserve">On </w:t>
      </w:r>
      <w:r w:rsidR="008A09D8">
        <w:rPr>
          <w:rFonts w:ascii="Aptos" w:hAnsi="Aptos"/>
          <w:sz w:val="25"/>
          <w:szCs w:val="25"/>
        </w:rPr>
        <w:t xml:space="preserve">or about </w:t>
      </w:r>
      <w:r>
        <w:rPr>
          <w:rFonts w:ascii="Aptos" w:hAnsi="Aptos"/>
          <w:sz w:val="25"/>
          <w:szCs w:val="25"/>
        </w:rPr>
        <w:t xml:space="preserve">February 7, 2025, DCF facilitated Student’s enrollment in WPS. </w:t>
      </w:r>
    </w:p>
    <w:p w14:paraId="33DDCDFA" w14:textId="27410A3D" w:rsidR="00314971" w:rsidRPr="008C4113" w:rsidRDefault="00E92A67" w:rsidP="00314971">
      <w:pPr>
        <w:pStyle w:val="NormalWeb"/>
        <w:numPr>
          <w:ilvl w:val="0"/>
          <w:numId w:val="1"/>
        </w:numPr>
        <w:spacing w:before="0" w:beforeAutospacing="0" w:after="120" w:afterAutospacing="0"/>
        <w:rPr>
          <w:rFonts w:ascii="Aptos" w:hAnsi="Aptos"/>
          <w:i/>
          <w:iCs/>
          <w:sz w:val="25"/>
          <w:szCs w:val="25"/>
        </w:rPr>
      </w:pPr>
      <w:r>
        <w:rPr>
          <w:rFonts w:ascii="Aptos" w:hAnsi="Aptos"/>
          <w:sz w:val="25"/>
          <w:szCs w:val="25"/>
        </w:rPr>
        <w:t>According to Worcester, Student was enrolled “for the sole purpose of conducting an extended evaluation.” Other than the extended evaluation, Student has never regularly attended classes or participated in other District activities in Worcester.</w:t>
      </w:r>
      <w:r w:rsidR="008A09D8">
        <w:rPr>
          <w:rFonts w:ascii="Aptos" w:hAnsi="Aptos"/>
          <w:sz w:val="25"/>
          <w:szCs w:val="25"/>
        </w:rPr>
        <w:t xml:space="preserve"> The other parties to this appeal contend that there is no such thing as enrollment limited solely</w:t>
      </w:r>
      <w:r w:rsidR="00A0588E">
        <w:rPr>
          <w:rFonts w:ascii="Aptos" w:hAnsi="Aptos"/>
          <w:sz w:val="25"/>
          <w:szCs w:val="25"/>
        </w:rPr>
        <w:t xml:space="preserve"> to</w:t>
      </w:r>
      <w:r w:rsidR="008A09D8">
        <w:rPr>
          <w:rFonts w:ascii="Aptos" w:hAnsi="Aptos"/>
          <w:sz w:val="25"/>
          <w:szCs w:val="25"/>
        </w:rPr>
        <w:t xml:space="preserve"> an evaluation.</w:t>
      </w:r>
    </w:p>
    <w:p w14:paraId="469C2172" w14:textId="34CCF327" w:rsidR="008C4113" w:rsidRPr="00314971" w:rsidRDefault="008C4113" w:rsidP="00314971">
      <w:pPr>
        <w:pStyle w:val="NormalWeb"/>
        <w:numPr>
          <w:ilvl w:val="0"/>
          <w:numId w:val="1"/>
        </w:numPr>
        <w:spacing w:before="0" w:beforeAutospacing="0" w:after="120" w:afterAutospacing="0"/>
        <w:rPr>
          <w:rFonts w:ascii="Aptos" w:hAnsi="Aptos"/>
          <w:i/>
          <w:iCs/>
          <w:sz w:val="25"/>
          <w:szCs w:val="25"/>
        </w:rPr>
      </w:pPr>
      <w:r>
        <w:rPr>
          <w:rFonts w:ascii="Aptos" w:hAnsi="Aptos"/>
          <w:sz w:val="25"/>
          <w:szCs w:val="25"/>
        </w:rPr>
        <w:t>On February 24, 2025, Worcester began conducting Student’s extended evaluation.</w:t>
      </w:r>
    </w:p>
    <w:p w14:paraId="775C0B0B" w14:textId="5A9BE354" w:rsidR="00314971" w:rsidRDefault="00631C99" w:rsidP="00314971">
      <w:pPr>
        <w:pStyle w:val="NoSpacing"/>
        <w:numPr>
          <w:ilvl w:val="0"/>
          <w:numId w:val="1"/>
        </w:numPr>
        <w:spacing w:after="120"/>
        <w:rPr>
          <w:rFonts w:ascii="Aptos" w:hAnsi="Aptos" w:cs="Times New Roman"/>
          <w:sz w:val="25"/>
          <w:szCs w:val="25"/>
        </w:rPr>
      </w:pPr>
      <w:r>
        <w:rPr>
          <w:rFonts w:ascii="Aptos" w:hAnsi="Aptos" w:cs="Times New Roman"/>
          <w:sz w:val="25"/>
          <w:szCs w:val="25"/>
        </w:rPr>
        <w:t>In or around March 2025, DCF requested LEA assignment assistance from DESE.</w:t>
      </w:r>
      <w:r w:rsidR="008C4113">
        <w:rPr>
          <w:rFonts w:ascii="Aptos" w:hAnsi="Aptos" w:cs="Times New Roman"/>
          <w:sz w:val="25"/>
          <w:szCs w:val="25"/>
        </w:rPr>
        <w:t xml:space="preserve"> On March 27, 2025, DESE issued Assignment Alerts to Worcester and Ashland.</w:t>
      </w:r>
    </w:p>
    <w:p w14:paraId="6AA75F48" w14:textId="1B41C06D" w:rsidR="005D0F11" w:rsidRPr="00314971" w:rsidRDefault="005D0F11" w:rsidP="00314971">
      <w:pPr>
        <w:pStyle w:val="NoSpacing"/>
        <w:numPr>
          <w:ilvl w:val="0"/>
          <w:numId w:val="1"/>
        </w:numPr>
        <w:spacing w:after="120"/>
        <w:rPr>
          <w:rFonts w:ascii="Aptos" w:hAnsi="Aptos" w:cs="Times New Roman"/>
          <w:sz w:val="25"/>
          <w:szCs w:val="25"/>
        </w:rPr>
      </w:pPr>
      <w:r>
        <w:rPr>
          <w:rFonts w:ascii="Aptos" w:hAnsi="Aptos" w:cs="Times New Roman"/>
          <w:sz w:val="25"/>
          <w:szCs w:val="25"/>
        </w:rPr>
        <w:t>In May 2025, DCF relocated Student to an emergency residential placement at Devereaux in Webster, Massachusetts.</w:t>
      </w:r>
    </w:p>
    <w:p w14:paraId="74B8EB4A" w14:textId="315CA01D" w:rsidR="00631C99" w:rsidRPr="002021B6" w:rsidRDefault="008C4113" w:rsidP="002021B6">
      <w:pPr>
        <w:pStyle w:val="NormalWeb"/>
        <w:numPr>
          <w:ilvl w:val="0"/>
          <w:numId w:val="1"/>
        </w:numPr>
        <w:spacing w:before="0" w:beforeAutospacing="0" w:after="120" w:afterAutospacing="0"/>
        <w:rPr>
          <w:rFonts w:ascii="Aptos" w:hAnsi="Aptos"/>
          <w:i/>
          <w:iCs/>
          <w:sz w:val="25"/>
          <w:szCs w:val="25"/>
        </w:rPr>
      </w:pPr>
      <w:r>
        <w:rPr>
          <w:rFonts w:ascii="Aptos" w:hAnsi="Aptos"/>
          <w:sz w:val="25"/>
          <w:szCs w:val="25"/>
        </w:rPr>
        <w:t>O</w:t>
      </w:r>
      <w:r w:rsidR="00631C99">
        <w:rPr>
          <w:rFonts w:ascii="Aptos" w:hAnsi="Aptos"/>
          <w:sz w:val="25"/>
          <w:szCs w:val="25"/>
        </w:rPr>
        <w:t xml:space="preserve">n or about July </w:t>
      </w:r>
      <w:r>
        <w:rPr>
          <w:rFonts w:ascii="Aptos" w:hAnsi="Aptos"/>
          <w:sz w:val="25"/>
          <w:szCs w:val="25"/>
        </w:rPr>
        <w:t xml:space="preserve">21, </w:t>
      </w:r>
      <w:r w:rsidR="00631C99">
        <w:rPr>
          <w:rFonts w:ascii="Aptos" w:hAnsi="Aptos"/>
          <w:sz w:val="25"/>
          <w:szCs w:val="25"/>
        </w:rPr>
        <w:t>2025,</w:t>
      </w:r>
      <w:r>
        <w:rPr>
          <w:rFonts w:ascii="Aptos" w:hAnsi="Aptos"/>
          <w:sz w:val="25"/>
          <w:szCs w:val="25"/>
        </w:rPr>
        <w:t xml:space="preserve"> following the conclusion of Student’s extended evaluation, DCF removed </w:t>
      </w:r>
      <w:r w:rsidR="00CC4DCE">
        <w:rPr>
          <w:rFonts w:ascii="Aptos" w:hAnsi="Aptos"/>
          <w:sz w:val="25"/>
          <w:szCs w:val="25"/>
        </w:rPr>
        <w:t>Student</w:t>
      </w:r>
      <w:r w:rsidR="00E92A67">
        <w:rPr>
          <w:rFonts w:ascii="Aptos" w:hAnsi="Aptos"/>
          <w:sz w:val="25"/>
          <w:szCs w:val="25"/>
        </w:rPr>
        <w:t xml:space="preserve"> from the foster home in Worcester</w:t>
      </w:r>
      <w:r w:rsidR="00CA1327">
        <w:rPr>
          <w:rFonts w:ascii="Aptos" w:hAnsi="Aptos"/>
          <w:sz w:val="25"/>
          <w:szCs w:val="25"/>
        </w:rPr>
        <w:t xml:space="preserve"> and </w:t>
      </w:r>
      <w:r w:rsidR="008E27ED">
        <w:rPr>
          <w:rFonts w:ascii="Aptos" w:hAnsi="Aptos"/>
          <w:sz w:val="25"/>
          <w:szCs w:val="25"/>
        </w:rPr>
        <w:t xml:space="preserve">relocated </w:t>
      </w:r>
      <w:r w:rsidR="00CA1327">
        <w:rPr>
          <w:rFonts w:ascii="Aptos" w:hAnsi="Aptos"/>
          <w:sz w:val="25"/>
          <w:szCs w:val="25"/>
        </w:rPr>
        <w:t>him</w:t>
      </w:r>
      <w:r w:rsidR="00E92A67">
        <w:rPr>
          <w:rFonts w:ascii="Aptos" w:hAnsi="Aptos"/>
          <w:sz w:val="25"/>
          <w:szCs w:val="25"/>
        </w:rPr>
        <w:t xml:space="preserve"> </w:t>
      </w:r>
      <w:r>
        <w:rPr>
          <w:rFonts w:ascii="Aptos" w:hAnsi="Aptos"/>
          <w:sz w:val="25"/>
          <w:szCs w:val="25"/>
        </w:rPr>
        <w:t>to “reside in and attend an approved special education school</w:t>
      </w:r>
      <w:r w:rsidR="00CA1327">
        <w:rPr>
          <w:rFonts w:ascii="Aptos" w:hAnsi="Aptos"/>
          <w:sz w:val="25"/>
          <w:szCs w:val="25"/>
        </w:rPr>
        <w:t>.</w:t>
      </w:r>
      <w:r>
        <w:rPr>
          <w:rFonts w:ascii="Aptos" w:hAnsi="Aptos"/>
          <w:sz w:val="25"/>
          <w:szCs w:val="25"/>
        </w:rPr>
        <w:t xml:space="preserve">” Student now attends </w:t>
      </w:r>
      <w:r w:rsidR="004C2F54">
        <w:rPr>
          <w:rFonts w:ascii="Aptos" w:hAnsi="Aptos"/>
          <w:sz w:val="25"/>
          <w:szCs w:val="25"/>
        </w:rPr>
        <w:t>a Chapter 766-approved out-of-district residential school (residential school)</w:t>
      </w:r>
      <w:r w:rsidR="002021B6">
        <w:rPr>
          <w:rFonts w:ascii="Aptos" w:hAnsi="Aptos"/>
          <w:sz w:val="25"/>
          <w:szCs w:val="25"/>
        </w:rPr>
        <w:t xml:space="preserve"> located within the geographic boundaries of Quabbin Regional School District.</w:t>
      </w:r>
      <w:r w:rsidR="004C2F54">
        <w:rPr>
          <w:rStyle w:val="FootnoteReference"/>
          <w:rFonts w:ascii="Aptos" w:hAnsi="Aptos"/>
          <w:sz w:val="25"/>
          <w:szCs w:val="25"/>
        </w:rPr>
        <w:footnoteReference w:id="16"/>
      </w:r>
      <w:r w:rsidR="00631C99" w:rsidRPr="002021B6">
        <w:rPr>
          <w:rFonts w:ascii="Aptos" w:hAnsi="Aptos"/>
          <w:sz w:val="25"/>
          <w:szCs w:val="25"/>
        </w:rPr>
        <w:t xml:space="preserve"> </w:t>
      </w:r>
    </w:p>
    <w:p w14:paraId="2CA4AF9E" w14:textId="7527AED7" w:rsidR="008C4113" w:rsidRPr="00631C99" w:rsidRDefault="008C4113" w:rsidP="00631C99">
      <w:pPr>
        <w:pStyle w:val="NormalWeb"/>
        <w:numPr>
          <w:ilvl w:val="0"/>
          <w:numId w:val="1"/>
        </w:numPr>
        <w:spacing w:before="0" w:beforeAutospacing="0" w:after="120" w:afterAutospacing="0"/>
        <w:rPr>
          <w:rFonts w:ascii="Aptos" w:hAnsi="Aptos"/>
          <w:i/>
          <w:iCs/>
          <w:sz w:val="25"/>
          <w:szCs w:val="25"/>
        </w:rPr>
      </w:pPr>
      <w:r>
        <w:rPr>
          <w:rFonts w:ascii="Aptos" w:hAnsi="Aptos"/>
          <w:sz w:val="25"/>
          <w:szCs w:val="25"/>
        </w:rPr>
        <w:t xml:space="preserve">On September 18, 2025, </w:t>
      </w:r>
      <w:r w:rsidR="000E0159">
        <w:rPr>
          <w:rFonts w:ascii="Aptos" w:hAnsi="Aptos"/>
          <w:sz w:val="25"/>
          <w:szCs w:val="25"/>
        </w:rPr>
        <w:t xml:space="preserve">DESE issued a second Assignment Alert to Worcester. </w:t>
      </w:r>
    </w:p>
    <w:p w14:paraId="0F0C98AD" w14:textId="1045C898" w:rsidR="000E0159" w:rsidRDefault="00517DF5" w:rsidP="006955CA">
      <w:pPr>
        <w:pStyle w:val="NoSpacing"/>
        <w:numPr>
          <w:ilvl w:val="0"/>
          <w:numId w:val="1"/>
        </w:numPr>
        <w:spacing w:after="120"/>
        <w:rPr>
          <w:rFonts w:ascii="Aptos" w:hAnsi="Aptos" w:cs="Times New Roman"/>
          <w:sz w:val="25"/>
          <w:szCs w:val="25"/>
        </w:rPr>
      </w:pPr>
      <w:r>
        <w:rPr>
          <w:rFonts w:ascii="Aptos" w:hAnsi="Aptos" w:cs="Times New Roman"/>
          <w:sz w:val="25"/>
          <w:szCs w:val="25"/>
        </w:rPr>
        <w:lastRenderedPageBreak/>
        <w:t>On November 14, 2025, the Department issued its Assignment Notice</w:t>
      </w:r>
      <w:r w:rsidR="000E0159">
        <w:rPr>
          <w:rFonts w:ascii="Aptos" w:hAnsi="Aptos" w:cs="Times New Roman"/>
          <w:sz w:val="25"/>
          <w:szCs w:val="25"/>
        </w:rPr>
        <w:t xml:space="preserve"> (LEA Assignment), assigning both fiscal and programmatic responsibility for Student to Worcester, where Student is presently enrolled in school. </w:t>
      </w:r>
      <w:r w:rsidR="00F9799C">
        <w:rPr>
          <w:rFonts w:ascii="Aptos" w:hAnsi="Aptos" w:cs="Times New Roman"/>
          <w:sz w:val="25"/>
          <w:szCs w:val="25"/>
        </w:rPr>
        <w:t>The LEA Assignment specified that Worcester remains responsible until Student is adopted “or until a legal guardian for him is appoint</w:t>
      </w:r>
      <w:r w:rsidR="002021B6">
        <w:rPr>
          <w:rFonts w:ascii="Aptos" w:hAnsi="Aptos" w:cs="Times New Roman"/>
          <w:sz w:val="25"/>
          <w:szCs w:val="25"/>
        </w:rPr>
        <w:t>ed</w:t>
      </w:r>
      <w:r w:rsidR="00F9799C">
        <w:rPr>
          <w:rFonts w:ascii="Aptos" w:hAnsi="Aptos" w:cs="Times New Roman"/>
          <w:sz w:val="25"/>
          <w:szCs w:val="25"/>
        </w:rPr>
        <w:t>.”</w:t>
      </w:r>
    </w:p>
    <w:p w14:paraId="38F43924" w14:textId="5095C32B" w:rsidR="00517DF5" w:rsidRDefault="00CA1327" w:rsidP="006955CA">
      <w:pPr>
        <w:pStyle w:val="NoSpacing"/>
        <w:numPr>
          <w:ilvl w:val="0"/>
          <w:numId w:val="1"/>
        </w:numPr>
        <w:spacing w:after="120"/>
        <w:rPr>
          <w:rFonts w:ascii="Aptos" w:hAnsi="Aptos" w:cs="Times New Roman"/>
          <w:sz w:val="25"/>
          <w:szCs w:val="25"/>
        </w:rPr>
      </w:pPr>
      <w:r>
        <w:rPr>
          <w:rFonts w:ascii="Aptos" w:hAnsi="Aptos" w:cs="Times New Roman"/>
          <w:sz w:val="25"/>
          <w:szCs w:val="25"/>
        </w:rPr>
        <w:t>In its LEA Assignment, t</w:t>
      </w:r>
      <w:r w:rsidR="000E0159">
        <w:rPr>
          <w:rFonts w:ascii="Aptos" w:hAnsi="Aptos" w:cs="Times New Roman"/>
          <w:sz w:val="25"/>
          <w:szCs w:val="25"/>
        </w:rPr>
        <w:t>he Department noted</w:t>
      </w:r>
      <w:r>
        <w:rPr>
          <w:rFonts w:ascii="Aptos" w:hAnsi="Aptos" w:cs="Times New Roman"/>
          <w:sz w:val="25"/>
          <w:szCs w:val="25"/>
        </w:rPr>
        <w:t xml:space="preserve"> that</w:t>
      </w:r>
      <w:r w:rsidR="000E0159">
        <w:rPr>
          <w:rFonts w:ascii="Aptos" w:hAnsi="Aptos" w:cs="Times New Roman"/>
          <w:sz w:val="25"/>
          <w:szCs w:val="25"/>
        </w:rPr>
        <w:t xml:space="preserve"> Student’s situation is complicated, because the Department’s regulations provide that </w:t>
      </w:r>
      <w:r>
        <w:rPr>
          <w:rFonts w:ascii="Aptos" w:hAnsi="Aptos" w:cs="Times New Roman"/>
          <w:sz w:val="25"/>
          <w:szCs w:val="25"/>
        </w:rPr>
        <w:t xml:space="preserve">for </w:t>
      </w:r>
      <w:r w:rsidR="000E0159">
        <w:rPr>
          <w:rFonts w:ascii="Aptos" w:hAnsi="Aptos" w:cs="Times New Roman"/>
          <w:sz w:val="25"/>
          <w:szCs w:val="25"/>
        </w:rPr>
        <w:t>LEA Assignments of students who are in foster care and without a parent or guardian residing in Massachusetts, the assignment of responsibility depends upon where parents last resided in Massachusetts, but in this case, Student’s legal guardian is DCF and Parents have never resided in Massachusetts.</w:t>
      </w:r>
    </w:p>
    <w:p w14:paraId="23AC09CF" w14:textId="77777777" w:rsidR="00F66C64" w:rsidRPr="00F47331" w:rsidRDefault="00F66C64" w:rsidP="00F66C64">
      <w:pPr>
        <w:autoSpaceDE w:val="0"/>
        <w:autoSpaceDN w:val="0"/>
        <w:adjustRightInd w:val="0"/>
        <w:rPr>
          <w:rFonts w:ascii="Aptos" w:hAnsi="Aptos"/>
          <w:b/>
          <w:bCs/>
          <w:color w:val="000000" w:themeColor="text1"/>
          <w:sz w:val="25"/>
          <w:szCs w:val="25"/>
        </w:rPr>
      </w:pPr>
    </w:p>
    <w:p w14:paraId="4CBB9EAA" w14:textId="47D02ACE" w:rsidR="00F66C64" w:rsidRPr="00124855" w:rsidRDefault="00F66C64" w:rsidP="00124855">
      <w:pPr>
        <w:pStyle w:val="ListParagraph"/>
        <w:numPr>
          <w:ilvl w:val="0"/>
          <w:numId w:val="11"/>
        </w:numPr>
        <w:autoSpaceDE w:val="0"/>
        <w:autoSpaceDN w:val="0"/>
        <w:adjustRightInd w:val="0"/>
        <w:rPr>
          <w:rFonts w:ascii="Aptos" w:hAnsi="Aptos"/>
          <w:b/>
          <w:bCs/>
          <w:color w:val="000000" w:themeColor="text1"/>
          <w:sz w:val="25"/>
          <w:szCs w:val="25"/>
        </w:rPr>
      </w:pPr>
      <w:r w:rsidRPr="00124855">
        <w:rPr>
          <w:rFonts w:ascii="Aptos" w:hAnsi="Aptos"/>
          <w:b/>
          <w:bCs/>
          <w:color w:val="000000" w:themeColor="text1"/>
          <w:sz w:val="25"/>
          <w:szCs w:val="25"/>
        </w:rPr>
        <w:t>DISCUSSION</w:t>
      </w:r>
    </w:p>
    <w:p w14:paraId="70FBBC51" w14:textId="106A0009" w:rsidR="004E29F4" w:rsidRPr="00CA1327" w:rsidRDefault="00691C73" w:rsidP="00CA1327">
      <w:pPr>
        <w:pStyle w:val="NoSpacing"/>
        <w:spacing w:before="240"/>
        <w:ind w:firstLine="720"/>
        <w:rPr>
          <w:rFonts w:ascii="Aptos" w:hAnsi="Aptos" w:cs="Times New Roman"/>
          <w:i/>
          <w:iCs/>
          <w:sz w:val="25"/>
          <w:szCs w:val="25"/>
        </w:rPr>
      </w:pPr>
      <w:r>
        <w:rPr>
          <w:rFonts w:ascii="Aptos" w:hAnsi="Aptos" w:cs="Times New Roman"/>
          <w:sz w:val="25"/>
          <w:szCs w:val="25"/>
        </w:rPr>
        <w:t>Evaluating th</w:t>
      </w:r>
      <w:r w:rsidR="00BA1893">
        <w:rPr>
          <w:rFonts w:ascii="Aptos" w:hAnsi="Aptos" w:cs="Times New Roman"/>
          <w:sz w:val="25"/>
          <w:szCs w:val="25"/>
        </w:rPr>
        <w:t>e</w:t>
      </w:r>
      <w:r>
        <w:rPr>
          <w:rFonts w:ascii="Aptos" w:hAnsi="Aptos" w:cs="Times New Roman"/>
          <w:sz w:val="25"/>
          <w:szCs w:val="25"/>
        </w:rPr>
        <w:t xml:space="preserve"> </w:t>
      </w:r>
      <w:r>
        <w:rPr>
          <w:rFonts w:ascii="Aptos" w:hAnsi="Aptos" w:cs="Times New Roman"/>
          <w:i/>
          <w:iCs/>
          <w:sz w:val="25"/>
          <w:szCs w:val="25"/>
        </w:rPr>
        <w:t>Motion</w:t>
      </w:r>
      <w:r w:rsidR="00BA1893">
        <w:rPr>
          <w:rFonts w:ascii="Aptos" w:hAnsi="Aptos" w:cs="Times New Roman"/>
          <w:i/>
          <w:iCs/>
          <w:sz w:val="25"/>
          <w:szCs w:val="25"/>
        </w:rPr>
        <w:t xml:space="preserve">s to Dismiss </w:t>
      </w:r>
      <w:r w:rsidR="00BA1893">
        <w:rPr>
          <w:rFonts w:ascii="Aptos" w:hAnsi="Aptos" w:cs="Times New Roman"/>
          <w:sz w:val="25"/>
          <w:szCs w:val="25"/>
        </w:rPr>
        <w:t>filed</w:t>
      </w:r>
      <w:r w:rsidR="002021B6">
        <w:rPr>
          <w:rFonts w:ascii="Aptos" w:hAnsi="Aptos" w:cs="Times New Roman"/>
          <w:sz w:val="25"/>
          <w:szCs w:val="25"/>
        </w:rPr>
        <w:t xml:space="preserve"> </w:t>
      </w:r>
      <w:r w:rsidR="00BA1893">
        <w:rPr>
          <w:rFonts w:ascii="Aptos" w:hAnsi="Aptos" w:cs="Times New Roman"/>
          <w:sz w:val="25"/>
          <w:szCs w:val="25"/>
        </w:rPr>
        <w:t>in this case</w:t>
      </w:r>
      <w:r w:rsidR="00124855">
        <w:rPr>
          <w:rFonts w:ascii="Aptos" w:hAnsi="Aptos" w:cs="Times New Roman"/>
          <w:i/>
          <w:iCs/>
          <w:sz w:val="25"/>
          <w:szCs w:val="25"/>
        </w:rPr>
        <w:t xml:space="preserve"> </w:t>
      </w:r>
      <w:r w:rsidR="00124855">
        <w:rPr>
          <w:rFonts w:ascii="Aptos" w:hAnsi="Aptos" w:cs="Times New Roman"/>
          <w:sz w:val="25"/>
          <w:szCs w:val="25"/>
        </w:rPr>
        <w:t xml:space="preserve">requires an examination of the </w:t>
      </w:r>
      <w:r w:rsidR="0092020D">
        <w:rPr>
          <w:rFonts w:ascii="Aptos" w:hAnsi="Aptos" w:cs="Times New Roman"/>
          <w:sz w:val="25"/>
          <w:szCs w:val="25"/>
        </w:rPr>
        <w:t>relevant</w:t>
      </w:r>
      <w:r w:rsidR="00124855">
        <w:rPr>
          <w:rFonts w:ascii="Aptos" w:hAnsi="Aptos" w:cs="Times New Roman"/>
          <w:sz w:val="25"/>
          <w:szCs w:val="25"/>
        </w:rPr>
        <w:t xml:space="preserve"> substantive law and procedural standards, and application of th</w:t>
      </w:r>
      <w:r>
        <w:rPr>
          <w:rFonts w:ascii="Aptos" w:hAnsi="Aptos" w:cs="Times New Roman"/>
          <w:sz w:val="25"/>
          <w:szCs w:val="25"/>
        </w:rPr>
        <w:t>ese</w:t>
      </w:r>
      <w:r w:rsidR="00124855">
        <w:rPr>
          <w:rFonts w:ascii="Aptos" w:hAnsi="Aptos" w:cs="Times New Roman"/>
          <w:sz w:val="25"/>
          <w:szCs w:val="25"/>
        </w:rPr>
        <w:t xml:space="preserve"> law</w:t>
      </w:r>
      <w:r>
        <w:rPr>
          <w:rFonts w:ascii="Aptos" w:hAnsi="Aptos" w:cs="Times New Roman"/>
          <w:sz w:val="25"/>
          <w:szCs w:val="25"/>
        </w:rPr>
        <w:t>s</w:t>
      </w:r>
      <w:r w:rsidR="00124855">
        <w:rPr>
          <w:rFonts w:ascii="Aptos" w:hAnsi="Aptos" w:cs="Times New Roman"/>
          <w:sz w:val="25"/>
          <w:szCs w:val="25"/>
        </w:rPr>
        <w:t xml:space="preserve"> and standards to the facts outlined above. </w:t>
      </w:r>
    </w:p>
    <w:p w14:paraId="594DD3A0" w14:textId="77777777" w:rsidR="002034C3" w:rsidRDefault="002034C3" w:rsidP="004E29F4">
      <w:pPr>
        <w:pStyle w:val="NoSpacing"/>
        <w:ind w:firstLine="720"/>
        <w:rPr>
          <w:rFonts w:ascii="Aptos" w:hAnsi="Aptos" w:cs="Times New Roman"/>
          <w:sz w:val="25"/>
          <w:szCs w:val="25"/>
        </w:rPr>
      </w:pPr>
    </w:p>
    <w:p w14:paraId="56A30927" w14:textId="77777777" w:rsidR="00BA1893" w:rsidRPr="00BA1893" w:rsidRDefault="00BA1893" w:rsidP="00BA1893">
      <w:pPr>
        <w:pStyle w:val="NoSpacing"/>
        <w:numPr>
          <w:ilvl w:val="0"/>
          <w:numId w:val="10"/>
        </w:numPr>
        <w:rPr>
          <w:rFonts w:ascii="Aptos" w:hAnsi="Aptos" w:cs="Times New Roman"/>
          <w:sz w:val="25"/>
          <w:szCs w:val="25"/>
        </w:rPr>
      </w:pPr>
      <w:r w:rsidRPr="00BA1893">
        <w:rPr>
          <w:rFonts w:ascii="Aptos" w:hAnsi="Aptos" w:cs="Times New Roman"/>
          <w:iCs/>
          <w:sz w:val="25"/>
          <w:szCs w:val="25"/>
          <w:u w:val="single"/>
        </w:rPr>
        <w:t>Legal Standards</w:t>
      </w:r>
    </w:p>
    <w:p w14:paraId="0AD042A8" w14:textId="12580ACD" w:rsidR="00BA1893" w:rsidRDefault="00BA1893" w:rsidP="00BA1893">
      <w:pPr>
        <w:pStyle w:val="NoSpacing"/>
        <w:ind w:left="1800"/>
        <w:rPr>
          <w:rFonts w:ascii="Aptos" w:hAnsi="Aptos" w:cs="Times New Roman"/>
          <w:sz w:val="25"/>
          <w:szCs w:val="25"/>
        </w:rPr>
      </w:pPr>
      <w:r>
        <w:rPr>
          <w:rFonts w:ascii="Aptos" w:hAnsi="Aptos" w:cs="Times New Roman"/>
          <w:i/>
          <w:sz w:val="25"/>
          <w:szCs w:val="25"/>
        </w:rPr>
        <w:t xml:space="preserve"> </w:t>
      </w:r>
    </w:p>
    <w:p w14:paraId="05372257" w14:textId="4DB99F78" w:rsidR="00F66C64" w:rsidRDefault="004E29F4" w:rsidP="00BA1893">
      <w:pPr>
        <w:pStyle w:val="NoSpacing"/>
        <w:numPr>
          <w:ilvl w:val="2"/>
          <w:numId w:val="1"/>
        </w:numPr>
        <w:rPr>
          <w:rFonts w:ascii="Aptos" w:hAnsi="Aptos" w:cs="Times New Roman"/>
          <w:sz w:val="25"/>
          <w:szCs w:val="25"/>
        </w:rPr>
      </w:pPr>
      <w:r w:rsidRPr="00BA1893">
        <w:rPr>
          <w:rFonts w:ascii="Aptos" w:hAnsi="Aptos" w:cs="Times New Roman"/>
          <w:i/>
          <w:sz w:val="25"/>
          <w:szCs w:val="25"/>
        </w:rPr>
        <w:t>Motion</w:t>
      </w:r>
      <w:r w:rsidR="00BA1893" w:rsidRPr="00BA1893">
        <w:rPr>
          <w:rFonts w:ascii="Aptos" w:hAnsi="Aptos" w:cs="Times New Roman"/>
          <w:i/>
          <w:sz w:val="25"/>
          <w:szCs w:val="25"/>
        </w:rPr>
        <w:t>s</w:t>
      </w:r>
      <w:r w:rsidRPr="00BA1893">
        <w:rPr>
          <w:rFonts w:ascii="Aptos" w:hAnsi="Aptos" w:cs="Times New Roman"/>
          <w:i/>
          <w:sz w:val="25"/>
          <w:szCs w:val="25"/>
        </w:rPr>
        <w:t xml:space="preserve"> to Dismiss</w:t>
      </w:r>
      <w:r w:rsidRPr="00BA1893">
        <w:rPr>
          <w:rFonts w:ascii="Aptos" w:hAnsi="Aptos" w:cs="Times New Roman"/>
          <w:sz w:val="25"/>
          <w:szCs w:val="25"/>
        </w:rPr>
        <w:t xml:space="preserve"> </w:t>
      </w:r>
    </w:p>
    <w:p w14:paraId="77D493BB" w14:textId="3E11A4D8" w:rsidR="00BA1893" w:rsidRPr="00BA1893" w:rsidRDefault="00BA1893" w:rsidP="00BA1893">
      <w:pPr>
        <w:spacing w:before="240"/>
        <w:ind w:firstLine="720"/>
        <w:rPr>
          <w:rFonts w:ascii="Aptos" w:hAnsi="Aptos" w:cs="Times New Roman"/>
          <w:sz w:val="25"/>
          <w:szCs w:val="25"/>
        </w:rPr>
      </w:pPr>
      <w:r w:rsidRPr="00BA1893">
        <w:rPr>
          <w:rFonts w:ascii="Aptos" w:hAnsi="Aptos" w:cs="Times New Roman"/>
          <w:sz w:val="25"/>
          <w:szCs w:val="25"/>
        </w:rPr>
        <w:t xml:space="preserve">Pursuant to the </w:t>
      </w:r>
      <w:r w:rsidRPr="00BA1893">
        <w:rPr>
          <w:rFonts w:ascii="Aptos" w:hAnsi="Aptos" w:cs="Times New Roman"/>
          <w:i/>
          <w:sz w:val="25"/>
          <w:szCs w:val="25"/>
        </w:rPr>
        <w:t>Standard Adjudicatory Rules of Practice and Procedure</w:t>
      </w:r>
      <w:r w:rsidRPr="00BA1893">
        <w:rPr>
          <w:rFonts w:ascii="Aptos" w:hAnsi="Aptos" w:cs="Times New Roman"/>
          <w:sz w:val="25"/>
          <w:szCs w:val="25"/>
        </w:rPr>
        <w:t xml:space="preserve">, 801 CMR 1.01(7)(g)(3) and Rule XVI(B) of the BSEA </w:t>
      </w:r>
      <w:r w:rsidRPr="00BA1893">
        <w:rPr>
          <w:rFonts w:ascii="Aptos" w:hAnsi="Aptos" w:cs="Times New Roman"/>
          <w:i/>
          <w:sz w:val="25"/>
          <w:szCs w:val="25"/>
        </w:rPr>
        <w:t>Hearing Rules</w:t>
      </w:r>
      <w:r w:rsidRPr="00BA1893">
        <w:rPr>
          <w:rFonts w:ascii="Aptos" w:hAnsi="Aptos" w:cs="Times New Roman"/>
          <w:sz w:val="25"/>
          <w:szCs w:val="25"/>
        </w:rPr>
        <w:t>, a hearing officer may allow a motion to dismiss if the party requesting the appeal fails to state a claim on which relief can be granted. This rule is analogous to Rule 12(b)(6) of the Federal Rules of Civil Procedure and as such hearing officers have generally used the same standards as the courts in deciding motions to dismiss for failure to state a claim. Specifically, what is required to survive a motion to dismiss “are factual ‘allegations plausibly suggesting (not merely consistent with)’ an entitlement to relief.”</w:t>
      </w:r>
      <w:r w:rsidRPr="009F2251">
        <w:rPr>
          <w:rStyle w:val="FootnoteReference"/>
          <w:rFonts w:ascii="Aptos" w:hAnsi="Aptos" w:cs="Times New Roman"/>
          <w:sz w:val="25"/>
          <w:szCs w:val="25"/>
        </w:rPr>
        <w:footnoteReference w:id="17"/>
      </w:r>
      <w:r w:rsidRPr="00BA1893">
        <w:rPr>
          <w:rFonts w:ascii="Aptos" w:hAnsi="Aptos" w:cs="Times New Roman"/>
          <w:sz w:val="25"/>
          <w:szCs w:val="25"/>
        </w:rPr>
        <w:t xml:space="preserve"> In evaluating the complaint, the hearing officer must take as true “the allegations of the complaint, as well as such inferences as may be drawn therefrom in the plaintiff’s favor.”</w:t>
      </w:r>
      <w:r w:rsidRPr="009F2251">
        <w:rPr>
          <w:rStyle w:val="FootnoteReference"/>
          <w:rFonts w:ascii="Aptos" w:hAnsi="Aptos" w:cs="Times New Roman"/>
          <w:sz w:val="25"/>
          <w:szCs w:val="25"/>
        </w:rPr>
        <w:footnoteReference w:id="18"/>
      </w:r>
      <w:r w:rsidRPr="00BA1893">
        <w:rPr>
          <w:rFonts w:ascii="Aptos" w:hAnsi="Aptos" w:cs="Times New Roman"/>
          <w:sz w:val="25"/>
          <w:szCs w:val="25"/>
        </w:rPr>
        <w:t xml:space="preserve"> These “[f]actual allegations must be enough to raise a right to relief above the speculative level . . . [based] on the assumption that all the allegations in the complaint are true (even if doubtful in fact). . . .”</w:t>
      </w:r>
      <w:r w:rsidRPr="009F2251">
        <w:rPr>
          <w:rStyle w:val="FootnoteReference"/>
          <w:rFonts w:ascii="Aptos" w:hAnsi="Aptos" w:cs="Times New Roman"/>
          <w:sz w:val="25"/>
          <w:szCs w:val="25"/>
        </w:rPr>
        <w:footnoteReference w:id="19"/>
      </w:r>
    </w:p>
    <w:p w14:paraId="6302A72F" w14:textId="77777777" w:rsidR="00BA1893" w:rsidRDefault="00BA1893" w:rsidP="00BA1893">
      <w:pPr>
        <w:pStyle w:val="NoSpacing"/>
        <w:rPr>
          <w:rFonts w:ascii="Aptos" w:hAnsi="Aptos" w:cs="Times New Roman"/>
          <w:sz w:val="25"/>
          <w:szCs w:val="25"/>
        </w:rPr>
      </w:pPr>
    </w:p>
    <w:p w14:paraId="4C1B1E2A" w14:textId="2693C083" w:rsidR="00BA1893" w:rsidRPr="00BA1893" w:rsidRDefault="00BA1893" w:rsidP="00BA1893">
      <w:pPr>
        <w:pStyle w:val="NoSpacing"/>
        <w:numPr>
          <w:ilvl w:val="2"/>
          <w:numId w:val="1"/>
        </w:numPr>
        <w:rPr>
          <w:rFonts w:ascii="Aptos" w:hAnsi="Aptos" w:cs="Times New Roman"/>
          <w:i/>
          <w:iCs/>
          <w:sz w:val="25"/>
          <w:szCs w:val="25"/>
        </w:rPr>
      </w:pPr>
      <w:r w:rsidRPr="00BA1893">
        <w:rPr>
          <w:rFonts w:ascii="Aptos" w:hAnsi="Aptos" w:cs="Times New Roman"/>
          <w:i/>
          <w:iCs/>
          <w:sz w:val="25"/>
          <w:szCs w:val="25"/>
        </w:rPr>
        <w:t>BSEA Jurisdiction</w:t>
      </w:r>
    </w:p>
    <w:p w14:paraId="68351011" w14:textId="77777777" w:rsidR="00BA1893" w:rsidRPr="00BA1893" w:rsidRDefault="00BA1893" w:rsidP="00BA1893">
      <w:pPr>
        <w:spacing w:before="240"/>
        <w:ind w:firstLine="720"/>
        <w:rPr>
          <w:rFonts w:ascii="Aptos" w:hAnsi="Aptos"/>
          <w:sz w:val="25"/>
          <w:szCs w:val="25"/>
        </w:rPr>
      </w:pPr>
      <w:r w:rsidRPr="00BA1893">
        <w:rPr>
          <w:rFonts w:ascii="Aptos" w:hAnsi="Aptos"/>
          <w:sz w:val="25"/>
          <w:szCs w:val="25"/>
        </w:rPr>
        <w:lastRenderedPageBreak/>
        <w:t xml:space="preserve">The IDEA, 20 U.S.C. § 1400 </w:t>
      </w:r>
      <w:r w:rsidRPr="00BA1893">
        <w:rPr>
          <w:rFonts w:ascii="Aptos" w:hAnsi="Aptos"/>
          <w:i/>
          <w:sz w:val="25"/>
          <w:szCs w:val="25"/>
        </w:rPr>
        <w:t>et seq.</w:t>
      </w:r>
      <w:r w:rsidRPr="00BA1893">
        <w:rPr>
          <w:rFonts w:ascii="Aptos" w:hAnsi="Aptos"/>
          <w:iCs/>
          <w:sz w:val="25"/>
          <w:szCs w:val="25"/>
        </w:rPr>
        <w:t>,</w:t>
      </w:r>
      <w:r w:rsidRPr="00BA1893">
        <w:rPr>
          <w:rFonts w:ascii="Aptos" w:hAnsi="Aptos"/>
          <w:sz w:val="25"/>
          <w:szCs w:val="25"/>
        </w:rPr>
        <w:t xml:space="preserve"> provides parents the right to pursue a formal due process complaint with respect to “any matter relating to the identification, evaluation, or educational placement of the child, or the provision of a free appropriate public education to such child.”</w:t>
      </w:r>
      <w:r w:rsidRPr="009F2251">
        <w:rPr>
          <w:rStyle w:val="FootnoteReference"/>
          <w:rFonts w:ascii="Aptos" w:eastAsiaTheme="majorEastAsia" w:hAnsi="Aptos"/>
          <w:sz w:val="25"/>
          <w:szCs w:val="25"/>
        </w:rPr>
        <w:footnoteReference w:id="20"/>
      </w:r>
      <w:r w:rsidRPr="00BA1893">
        <w:rPr>
          <w:rFonts w:ascii="Aptos" w:hAnsi="Aptos"/>
          <w:sz w:val="25"/>
          <w:szCs w:val="25"/>
        </w:rPr>
        <w:t xml:space="preserve"> In Massachusetts, the BSEA is the administrative agency before which any impartial due process hearing regarding these issues takes place. The BSEA is an agency of limited jurisdiction; it has jurisdiction over requests for hearing filed by: </w:t>
      </w:r>
    </w:p>
    <w:p w14:paraId="56B64752" w14:textId="77777777" w:rsidR="00BA1893" w:rsidRPr="00BA1893" w:rsidRDefault="00BA1893" w:rsidP="00BA1893">
      <w:pPr>
        <w:spacing w:before="240" w:after="240"/>
        <w:ind w:left="1080"/>
        <w:rPr>
          <w:rFonts w:ascii="Aptos" w:hAnsi="Aptos"/>
          <w:sz w:val="25"/>
          <w:szCs w:val="25"/>
        </w:rPr>
      </w:pPr>
      <w:r w:rsidRPr="00BA1893">
        <w:rPr>
          <w:rFonts w:ascii="Aptos" w:hAnsi="Aptos"/>
          <w:sz w:val="25"/>
          <w:szCs w:val="25"/>
        </w:rPr>
        <w:t>a parent or school district   . . . on any matter concerning the eligibility, evaluation, placement, IEP, provision of special education in accordance with state and federal law, or procedural protections of state and federal law for students with disabilities. A parent of a student with a disability may also request a hearing on any issue involving the denial of the free appropriate public education guaranteed by Section 504 . . . .</w:t>
      </w:r>
      <w:r w:rsidRPr="009F2251">
        <w:rPr>
          <w:rStyle w:val="FootnoteReference"/>
          <w:rFonts w:ascii="Aptos" w:eastAsiaTheme="majorEastAsia" w:hAnsi="Aptos"/>
          <w:sz w:val="25"/>
          <w:szCs w:val="25"/>
        </w:rPr>
        <w:footnoteReference w:id="21"/>
      </w:r>
    </w:p>
    <w:p w14:paraId="60D36E54" w14:textId="774848AF" w:rsidR="000709E8" w:rsidRDefault="005D5C21" w:rsidP="00BA1893">
      <w:pPr>
        <w:spacing w:before="240" w:after="240"/>
        <w:ind w:firstLine="720"/>
        <w:rPr>
          <w:rFonts w:ascii="Aptos" w:hAnsi="Aptos"/>
          <w:sz w:val="25"/>
          <w:szCs w:val="25"/>
        </w:rPr>
      </w:pPr>
      <w:r>
        <w:rPr>
          <w:rFonts w:ascii="Aptos" w:hAnsi="Aptos"/>
          <w:sz w:val="25"/>
          <w:szCs w:val="25"/>
        </w:rPr>
        <w:t>“</w:t>
      </w:r>
      <w:r w:rsidR="00BA1893" w:rsidRPr="00BA1893">
        <w:rPr>
          <w:rFonts w:ascii="Aptos" w:hAnsi="Aptos"/>
          <w:sz w:val="25"/>
          <w:szCs w:val="25"/>
        </w:rPr>
        <w:t>BSEA jurisdiction specifically includes appeals of the Department’s assignments of school district responsibility for children with disabilities,</w:t>
      </w:r>
      <w:r w:rsidR="00BA1893">
        <w:rPr>
          <w:rStyle w:val="FootnoteReference"/>
          <w:rFonts w:ascii="Aptos" w:hAnsi="Aptos"/>
          <w:sz w:val="25"/>
          <w:szCs w:val="25"/>
        </w:rPr>
        <w:footnoteReference w:id="22"/>
      </w:r>
      <w:r w:rsidR="00BA1893" w:rsidRPr="00BA1893">
        <w:rPr>
          <w:rFonts w:ascii="Aptos" w:hAnsi="Aptos"/>
          <w:sz w:val="25"/>
          <w:szCs w:val="25"/>
        </w:rPr>
        <w:t xml:space="preserve"> as each LEA assignment necessarily concerns </w:t>
      </w:r>
      <w:r>
        <w:rPr>
          <w:rFonts w:ascii="Aptos" w:hAnsi="Aptos"/>
          <w:sz w:val="25"/>
          <w:szCs w:val="25"/>
        </w:rPr>
        <w:t>‘</w:t>
      </w:r>
      <w:r w:rsidR="00BA1893" w:rsidRPr="00BA1893">
        <w:rPr>
          <w:rFonts w:ascii="Aptos" w:hAnsi="Aptos"/>
          <w:sz w:val="25"/>
          <w:szCs w:val="25"/>
        </w:rPr>
        <w:t>a matter relating to the . . . education program or educational placement of a child with a disability or the provision of a free appropriate public education to the child.</w:t>
      </w:r>
      <w:r>
        <w:rPr>
          <w:rFonts w:ascii="Aptos" w:hAnsi="Aptos"/>
          <w:sz w:val="25"/>
          <w:szCs w:val="25"/>
        </w:rPr>
        <w:t>’</w:t>
      </w:r>
      <w:r w:rsidR="00BA1893" w:rsidRPr="00BA1893">
        <w:rPr>
          <w:rFonts w:ascii="Aptos" w:hAnsi="Aptos"/>
          <w:sz w:val="25"/>
          <w:szCs w:val="25"/>
        </w:rPr>
        <w:t>”</w:t>
      </w:r>
      <w:r w:rsidR="00BA1893">
        <w:rPr>
          <w:rStyle w:val="FootnoteReference"/>
          <w:rFonts w:ascii="Aptos" w:hAnsi="Aptos"/>
          <w:sz w:val="25"/>
          <w:szCs w:val="25"/>
        </w:rPr>
        <w:footnoteReference w:id="23"/>
      </w:r>
      <w:r w:rsidR="00BA1893" w:rsidRPr="00BA1893">
        <w:rPr>
          <w:rFonts w:ascii="Aptos" w:hAnsi="Aptos"/>
          <w:sz w:val="25"/>
          <w:szCs w:val="25"/>
        </w:rPr>
        <w:t xml:space="preserve"> </w:t>
      </w:r>
    </w:p>
    <w:p w14:paraId="4BD136E3" w14:textId="1F64B05F" w:rsidR="00BA1893" w:rsidRPr="00BA1893" w:rsidRDefault="00882762" w:rsidP="00BA1893">
      <w:pPr>
        <w:pStyle w:val="ListParagraph"/>
        <w:numPr>
          <w:ilvl w:val="2"/>
          <w:numId w:val="1"/>
        </w:numPr>
        <w:spacing w:before="240" w:after="240"/>
        <w:rPr>
          <w:rFonts w:ascii="Aptos" w:hAnsi="Aptos" w:cs="Times New Roman"/>
          <w:sz w:val="25"/>
          <w:szCs w:val="25"/>
        </w:rPr>
      </w:pPr>
      <w:r>
        <w:rPr>
          <w:rFonts w:ascii="Aptos" w:hAnsi="Aptos" w:cs="Times New Roman"/>
          <w:i/>
          <w:iCs/>
          <w:sz w:val="25"/>
          <w:szCs w:val="25"/>
        </w:rPr>
        <w:t xml:space="preserve">DESE’s Assignment of </w:t>
      </w:r>
      <w:r w:rsidR="00BA1893">
        <w:rPr>
          <w:rFonts w:ascii="Aptos" w:hAnsi="Aptos" w:cs="Times New Roman"/>
          <w:i/>
          <w:iCs/>
          <w:sz w:val="25"/>
          <w:szCs w:val="25"/>
        </w:rPr>
        <w:t>School District Responsibility for Children with Disabilities</w:t>
      </w:r>
    </w:p>
    <w:p w14:paraId="046FD6BC" w14:textId="49154504" w:rsidR="00BA1893" w:rsidRPr="00BA1893" w:rsidRDefault="00CD4445" w:rsidP="00CD4445">
      <w:pPr>
        <w:spacing w:after="100" w:afterAutospacing="1"/>
        <w:ind w:firstLine="720"/>
        <w:rPr>
          <w:rFonts w:ascii="Aptos" w:hAnsi="Aptos"/>
          <w:sz w:val="25"/>
          <w:szCs w:val="25"/>
        </w:rPr>
      </w:pPr>
      <w:r>
        <w:rPr>
          <w:rFonts w:ascii="Aptos" w:hAnsi="Aptos"/>
          <w:sz w:val="25"/>
          <w:szCs w:val="25"/>
        </w:rPr>
        <w:t xml:space="preserve">In a recent </w:t>
      </w:r>
      <w:r>
        <w:rPr>
          <w:rFonts w:ascii="Aptos" w:hAnsi="Aptos"/>
          <w:i/>
          <w:iCs/>
          <w:sz w:val="25"/>
          <w:szCs w:val="25"/>
        </w:rPr>
        <w:t xml:space="preserve">Decision </w:t>
      </w:r>
      <w:r>
        <w:rPr>
          <w:rFonts w:ascii="Aptos" w:hAnsi="Aptos"/>
          <w:sz w:val="25"/>
          <w:szCs w:val="25"/>
        </w:rPr>
        <w:t xml:space="preserve">involving a separate LEA Assignment, I outlined </w:t>
      </w:r>
      <w:r w:rsidR="00CA1327">
        <w:rPr>
          <w:rFonts w:ascii="Aptos" w:hAnsi="Aptos"/>
          <w:sz w:val="25"/>
          <w:szCs w:val="25"/>
        </w:rPr>
        <w:t xml:space="preserve">the applicable </w:t>
      </w:r>
      <w:r>
        <w:rPr>
          <w:rFonts w:ascii="Aptos" w:hAnsi="Aptos"/>
          <w:sz w:val="25"/>
          <w:szCs w:val="25"/>
        </w:rPr>
        <w:t>Massachusetts law regarding school district responsibility for children with disabilities.</w:t>
      </w:r>
      <w:r>
        <w:rPr>
          <w:rStyle w:val="FootnoteReference"/>
          <w:rFonts w:ascii="Aptos" w:hAnsi="Aptos"/>
          <w:sz w:val="25"/>
          <w:szCs w:val="25"/>
        </w:rPr>
        <w:footnoteReference w:id="24"/>
      </w:r>
      <w:r>
        <w:rPr>
          <w:rFonts w:ascii="Aptos" w:hAnsi="Aptos"/>
          <w:sz w:val="25"/>
          <w:szCs w:val="25"/>
        </w:rPr>
        <w:t xml:space="preserve"> Generally, a student has the right to enroll in the school district where he resides,</w:t>
      </w:r>
      <w:r w:rsidR="00CA1327">
        <w:rPr>
          <w:rStyle w:val="FootnoteReference"/>
          <w:rFonts w:ascii="Aptos" w:hAnsi="Aptos"/>
          <w:sz w:val="25"/>
          <w:szCs w:val="25"/>
        </w:rPr>
        <w:footnoteReference w:id="25"/>
      </w:r>
      <w:r>
        <w:rPr>
          <w:rFonts w:ascii="Aptos" w:hAnsi="Aptos"/>
          <w:sz w:val="25"/>
          <w:szCs w:val="25"/>
        </w:rPr>
        <w:t xml:space="preserve"> and that school district is responsible for his special education programming.</w:t>
      </w:r>
      <w:r w:rsidR="00CA1327">
        <w:rPr>
          <w:rStyle w:val="FootnoteReference"/>
          <w:rFonts w:ascii="Aptos" w:hAnsi="Aptos"/>
          <w:sz w:val="25"/>
          <w:szCs w:val="25"/>
        </w:rPr>
        <w:footnoteReference w:id="26"/>
      </w:r>
      <w:r w:rsidRPr="00BA1893">
        <w:rPr>
          <w:rFonts w:ascii="Aptos" w:hAnsi="Aptos"/>
          <w:sz w:val="25"/>
          <w:szCs w:val="25"/>
        </w:rPr>
        <w:t xml:space="preserve"> </w:t>
      </w:r>
      <w:r w:rsidR="00BA1893" w:rsidRPr="00BA1893">
        <w:rPr>
          <w:rFonts w:ascii="Aptos" w:hAnsi="Aptos"/>
          <w:sz w:val="25"/>
          <w:szCs w:val="25"/>
        </w:rPr>
        <w:t>Where a student’s legal residence is unclear, DESE has the authority to adopt regulations to assist in resolving the issue.</w:t>
      </w:r>
      <w:r w:rsidR="00BA1893">
        <w:rPr>
          <w:rStyle w:val="FootnoteReference"/>
          <w:rFonts w:ascii="Aptos" w:hAnsi="Aptos"/>
          <w:sz w:val="25"/>
          <w:szCs w:val="25"/>
        </w:rPr>
        <w:footnoteReference w:id="27"/>
      </w:r>
      <w:r w:rsidR="00BA1893" w:rsidRPr="00BA1893">
        <w:rPr>
          <w:rFonts w:ascii="Aptos" w:hAnsi="Aptos"/>
          <w:sz w:val="25"/>
          <w:szCs w:val="25"/>
        </w:rPr>
        <w:t xml:space="preserve"> Pursuant to this authority, the </w:t>
      </w:r>
      <w:r w:rsidR="00BA1893" w:rsidRPr="00BA1893">
        <w:rPr>
          <w:rFonts w:ascii="Aptos" w:hAnsi="Aptos"/>
          <w:sz w:val="25"/>
          <w:szCs w:val="25"/>
        </w:rPr>
        <w:lastRenderedPageBreak/>
        <w:t>Department promulgated regulations concerning assignment of special education responsibility, which are set forth at 603 CMR 28.10.</w:t>
      </w:r>
      <w:r w:rsidR="00EF2400">
        <w:rPr>
          <w:rFonts w:ascii="Aptos" w:hAnsi="Aptos"/>
          <w:sz w:val="25"/>
          <w:szCs w:val="25"/>
        </w:rPr>
        <w:t xml:space="preserve"> </w:t>
      </w:r>
    </w:p>
    <w:p w14:paraId="22074134" w14:textId="1B8972AD" w:rsidR="00154AE0" w:rsidRDefault="00BA1893" w:rsidP="00154AE0">
      <w:pPr>
        <w:spacing w:after="100" w:afterAutospacing="1"/>
        <w:ind w:firstLine="720"/>
        <w:rPr>
          <w:rFonts w:ascii="Aptos" w:hAnsi="Aptos"/>
          <w:sz w:val="25"/>
          <w:szCs w:val="25"/>
        </w:rPr>
      </w:pPr>
      <w:r w:rsidRPr="005D5C21">
        <w:rPr>
          <w:rFonts w:ascii="Aptos" w:hAnsi="Aptos"/>
          <w:sz w:val="25"/>
          <w:szCs w:val="25"/>
        </w:rPr>
        <w:t xml:space="preserve">In accordance with 603 CMR 28.10, DESE assigns school district responsibility for a particular student based on whether the student lives with one or both parents; is over 18 years old and has established her own residence as an adult; lives in an institutional facility operated by one of several enumerated state agencies; lives with relatives; is placed in foster care; is homeless; or is in another living situation as described. </w:t>
      </w:r>
      <w:r w:rsidR="00EF2400">
        <w:rPr>
          <w:rFonts w:ascii="Aptos" w:hAnsi="Aptos"/>
          <w:sz w:val="25"/>
          <w:szCs w:val="25"/>
        </w:rPr>
        <w:t>In most cases, the assignment of school responsibility depends on the residence of the student’s parent</w:t>
      </w:r>
      <w:r w:rsidR="00154AE0">
        <w:rPr>
          <w:rFonts w:ascii="Aptos" w:hAnsi="Aptos"/>
          <w:sz w:val="25"/>
          <w:szCs w:val="25"/>
        </w:rPr>
        <w:t>(s)</w:t>
      </w:r>
      <w:r w:rsidR="00EF2400">
        <w:rPr>
          <w:rFonts w:ascii="Aptos" w:hAnsi="Aptos"/>
          <w:sz w:val="25"/>
          <w:szCs w:val="25"/>
        </w:rPr>
        <w:t xml:space="preserve"> or guardian</w:t>
      </w:r>
      <w:r w:rsidR="00154AE0">
        <w:rPr>
          <w:rFonts w:ascii="Aptos" w:hAnsi="Aptos"/>
          <w:sz w:val="25"/>
          <w:szCs w:val="25"/>
        </w:rPr>
        <w:t>(s)</w:t>
      </w:r>
      <w:r w:rsidR="00EF2400">
        <w:rPr>
          <w:rFonts w:ascii="Aptos" w:hAnsi="Aptos"/>
          <w:sz w:val="25"/>
          <w:szCs w:val="25"/>
        </w:rPr>
        <w:t>. For example,</w:t>
      </w:r>
      <w:r w:rsidR="00154AE0">
        <w:rPr>
          <w:rFonts w:ascii="Aptos" w:hAnsi="Aptos"/>
          <w:sz w:val="25"/>
          <w:szCs w:val="25"/>
        </w:rPr>
        <w:t xml:space="preserve"> where a student who requires an out-of-district placement lives with two different parents during the school year, the school districts where those parents reside are equally responsible for the student’s special education.</w:t>
      </w:r>
      <w:r w:rsidR="00154AE0">
        <w:rPr>
          <w:rStyle w:val="FootnoteReference"/>
          <w:rFonts w:ascii="Aptos" w:hAnsi="Aptos"/>
          <w:sz w:val="25"/>
          <w:szCs w:val="25"/>
        </w:rPr>
        <w:footnoteReference w:id="28"/>
      </w:r>
      <w:r w:rsidR="00154AE0">
        <w:rPr>
          <w:rFonts w:ascii="Aptos" w:hAnsi="Aptos"/>
          <w:sz w:val="25"/>
          <w:szCs w:val="25"/>
        </w:rPr>
        <w:t xml:space="preserve"> When a student whose IEP requires an out-of-district placement is placed by his Team at a special education residential school where he lives and receives special education services, </w:t>
      </w:r>
      <w:r w:rsidR="003A7F62">
        <w:rPr>
          <w:rFonts w:ascii="Aptos" w:hAnsi="Aptos"/>
          <w:sz w:val="25"/>
          <w:szCs w:val="25"/>
        </w:rPr>
        <w:t>the school district(s) where the student’s parents(s) or legal guardian resides</w:t>
      </w:r>
      <w:r w:rsidR="00CA1327">
        <w:rPr>
          <w:rFonts w:ascii="Aptos" w:hAnsi="Aptos"/>
          <w:sz w:val="25"/>
          <w:szCs w:val="25"/>
        </w:rPr>
        <w:t xml:space="preserve"> maintains</w:t>
      </w:r>
      <w:r w:rsidR="003A7F62">
        <w:rPr>
          <w:rFonts w:ascii="Aptos" w:hAnsi="Aptos"/>
          <w:sz w:val="25"/>
          <w:szCs w:val="25"/>
        </w:rPr>
        <w:t xml:space="preserve"> both programmatic and financial responsibility</w:t>
      </w:r>
      <w:r w:rsidR="00154AE0">
        <w:rPr>
          <w:rFonts w:ascii="Aptos" w:hAnsi="Aptos"/>
          <w:sz w:val="25"/>
          <w:szCs w:val="25"/>
        </w:rPr>
        <w:t>.</w:t>
      </w:r>
      <w:r w:rsidR="00154AE0">
        <w:rPr>
          <w:rStyle w:val="FootnoteReference"/>
          <w:rFonts w:ascii="Aptos" w:hAnsi="Aptos"/>
          <w:sz w:val="25"/>
          <w:szCs w:val="25"/>
        </w:rPr>
        <w:footnoteReference w:id="29"/>
      </w:r>
      <w:r w:rsidR="00EF2400">
        <w:rPr>
          <w:rFonts w:ascii="Aptos" w:hAnsi="Aptos"/>
          <w:sz w:val="25"/>
          <w:szCs w:val="25"/>
        </w:rPr>
        <w:t xml:space="preserve"> </w:t>
      </w:r>
    </w:p>
    <w:p w14:paraId="34CEAF2D" w14:textId="4ECAA81A" w:rsidR="003A7F62" w:rsidRDefault="000C43B8" w:rsidP="00424E30">
      <w:pPr>
        <w:spacing w:after="100" w:afterAutospacing="1"/>
        <w:rPr>
          <w:rFonts w:ascii="Aptos" w:hAnsi="Aptos"/>
          <w:sz w:val="25"/>
          <w:szCs w:val="25"/>
        </w:rPr>
      </w:pPr>
      <w:r>
        <w:rPr>
          <w:rFonts w:ascii="Aptos" w:hAnsi="Aptos"/>
          <w:sz w:val="25"/>
          <w:szCs w:val="25"/>
        </w:rPr>
        <w:tab/>
        <w:t>603 CMR 28.10(5)(b) delineates school district responsibility for students in foster care (defined to include 24-hour substitute care for children placed away from their parents or guardians and for whom DCF has placement and care responsibility, such as placements in foster family and pre</w:t>
      </w:r>
      <w:r w:rsidR="000F1220">
        <w:rPr>
          <w:rFonts w:ascii="Aptos" w:hAnsi="Aptos"/>
          <w:sz w:val="25"/>
          <w:szCs w:val="25"/>
        </w:rPr>
        <w:t>-</w:t>
      </w:r>
      <w:r>
        <w:rPr>
          <w:rFonts w:ascii="Aptos" w:hAnsi="Aptos"/>
          <w:sz w:val="25"/>
          <w:szCs w:val="25"/>
        </w:rPr>
        <w:t>adoptive homes, group homes, emergency shelter, and residential facilities, among others). For students who change schools at the time their foster care setting changes</w:t>
      </w:r>
      <w:r w:rsidR="00E47A92">
        <w:rPr>
          <w:rFonts w:ascii="Aptos" w:hAnsi="Aptos"/>
          <w:sz w:val="25"/>
          <w:szCs w:val="25"/>
        </w:rPr>
        <w:t xml:space="preserve"> (</w:t>
      </w:r>
      <w:r>
        <w:rPr>
          <w:rFonts w:ascii="Aptos" w:hAnsi="Aptos"/>
          <w:sz w:val="25"/>
          <w:szCs w:val="25"/>
        </w:rPr>
        <w:t>such that they enroll in the district in which their foster care setting is located</w:t>
      </w:r>
      <w:r w:rsidR="00E47A92">
        <w:rPr>
          <w:rFonts w:ascii="Aptos" w:hAnsi="Aptos"/>
          <w:sz w:val="25"/>
          <w:szCs w:val="25"/>
        </w:rPr>
        <w:t>)</w:t>
      </w:r>
      <w:r>
        <w:rPr>
          <w:rFonts w:ascii="Aptos" w:hAnsi="Aptos"/>
          <w:sz w:val="25"/>
          <w:szCs w:val="25"/>
        </w:rPr>
        <w:t>, programmatic responsibility is with the district in which the student is enrolled; financial responsibility is with the district where the parent(s) or legal guardian resides.</w:t>
      </w:r>
      <w:r>
        <w:rPr>
          <w:rStyle w:val="FootnoteReference"/>
          <w:rFonts w:ascii="Aptos" w:hAnsi="Aptos"/>
          <w:sz w:val="25"/>
          <w:szCs w:val="25"/>
        </w:rPr>
        <w:footnoteReference w:id="30"/>
      </w:r>
      <w:r>
        <w:rPr>
          <w:rFonts w:ascii="Aptos" w:hAnsi="Aptos"/>
          <w:sz w:val="25"/>
          <w:szCs w:val="25"/>
        </w:rPr>
        <w:t xml:space="preserve"> When DCF “relocates a student to reside in and attend an approved residential school, the school district that was programmatically responsible prior to this relocation shall remain programmatically responsible and the district where the parent(s) or legal guardian resides shall be financially responsible.”</w:t>
      </w:r>
      <w:r>
        <w:rPr>
          <w:rStyle w:val="FootnoteReference"/>
          <w:rFonts w:ascii="Aptos" w:hAnsi="Aptos"/>
          <w:sz w:val="25"/>
          <w:szCs w:val="25"/>
        </w:rPr>
        <w:footnoteReference w:id="31"/>
      </w:r>
    </w:p>
    <w:p w14:paraId="6A04502A" w14:textId="0FE1092A" w:rsidR="00424E30" w:rsidRDefault="00424E30" w:rsidP="00424E30">
      <w:pPr>
        <w:spacing w:after="100" w:afterAutospacing="1"/>
        <w:rPr>
          <w:rFonts w:ascii="Aptos" w:hAnsi="Aptos"/>
          <w:sz w:val="25"/>
          <w:szCs w:val="25"/>
        </w:rPr>
      </w:pPr>
      <w:r>
        <w:rPr>
          <w:rFonts w:ascii="Aptos" w:hAnsi="Aptos"/>
          <w:sz w:val="25"/>
          <w:szCs w:val="25"/>
        </w:rPr>
        <w:tab/>
        <w:t xml:space="preserve">For a student who is in the care or custody of a state agency and has no parent or legal guardian residing in Massachusetts, the Department may assign, or a school district or agency may request DESE’s assistance </w:t>
      </w:r>
      <w:r w:rsidR="0092020D">
        <w:rPr>
          <w:rFonts w:ascii="Aptos" w:hAnsi="Aptos"/>
          <w:sz w:val="25"/>
          <w:szCs w:val="25"/>
        </w:rPr>
        <w:t>i</w:t>
      </w:r>
      <w:r>
        <w:rPr>
          <w:rFonts w:ascii="Aptos" w:hAnsi="Aptos"/>
          <w:sz w:val="25"/>
          <w:szCs w:val="25"/>
        </w:rPr>
        <w:t>n assigning, a city, town, or school district to be responsible for the student.</w:t>
      </w:r>
      <w:r>
        <w:rPr>
          <w:rStyle w:val="FootnoteReference"/>
          <w:rFonts w:ascii="Aptos" w:hAnsi="Aptos"/>
          <w:sz w:val="25"/>
          <w:szCs w:val="25"/>
        </w:rPr>
        <w:footnoteReference w:id="32"/>
      </w:r>
      <w:r>
        <w:rPr>
          <w:rFonts w:ascii="Aptos" w:hAnsi="Aptos"/>
          <w:sz w:val="25"/>
          <w:szCs w:val="25"/>
        </w:rPr>
        <w:t xml:space="preserve"> In such a case, the school district or agency </w:t>
      </w:r>
      <w:r w:rsidR="00A6079E">
        <w:rPr>
          <w:rFonts w:ascii="Aptos" w:hAnsi="Aptos"/>
          <w:sz w:val="25"/>
          <w:szCs w:val="25"/>
        </w:rPr>
        <w:t xml:space="preserve">requesting the assignment “shall be responsible for providing to the Department all required documentation to ascertain the legal status or residence(s) of the student or </w:t>
      </w:r>
      <w:r w:rsidR="00A6079E">
        <w:rPr>
          <w:rFonts w:ascii="Aptos" w:hAnsi="Aptos"/>
          <w:sz w:val="25"/>
          <w:szCs w:val="25"/>
        </w:rPr>
        <w:lastRenderedPageBreak/>
        <w:t>the student’s parent(s) or legal guardian.”</w:t>
      </w:r>
      <w:r w:rsidR="00A6079E">
        <w:rPr>
          <w:rStyle w:val="FootnoteReference"/>
          <w:rFonts w:ascii="Aptos" w:hAnsi="Aptos"/>
          <w:sz w:val="25"/>
          <w:szCs w:val="25"/>
        </w:rPr>
        <w:footnoteReference w:id="33"/>
      </w:r>
      <w:r w:rsidR="00A6079E">
        <w:rPr>
          <w:rFonts w:ascii="Aptos" w:hAnsi="Aptos"/>
          <w:sz w:val="25"/>
          <w:szCs w:val="25"/>
        </w:rPr>
        <w:t xml:space="preserve"> Where a child has been voluntarily surrendered or freed for adoption by the Juvenile Court, “the school district(s) where the parent(s) lived at the time that the child was surrendered or freed for adoption or when parental rights were terminated shall be responsible.”</w:t>
      </w:r>
      <w:r w:rsidR="00A6079E">
        <w:rPr>
          <w:rStyle w:val="FootnoteReference"/>
          <w:rFonts w:ascii="Aptos" w:hAnsi="Aptos"/>
          <w:sz w:val="25"/>
          <w:szCs w:val="25"/>
        </w:rPr>
        <w:footnoteReference w:id="34"/>
      </w:r>
      <w:r w:rsidR="009C70CC">
        <w:rPr>
          <w:rFonts w:ascii="Aptos" w:hAnsi="Aptos"/>
          <w:sz w:val="25"/>
          <w:szCs w:val="25"/>
        </w:rPr>
        <w:t xml:space="preserve"> For a minor student whose parents’ rights have been terminated and the Juvenile Court has appointed a legal guardian, the school district where the legal guardian resides is responsible for the student,</w:t>
      </w:r>
      <w:r w:rsidR="009C70CC">
        <w:rPr>
          <w:rStyle w:val="FootnoteReference"/>
          <w:rFonts w:ascii="Aptos" w:hAnsi="Aptos"/>
          <w:sz w:val="25"/>
          <w:szCs w:val="25"/>
        </w:rPr>
        <w:footnoteReference w:id="35"/>
      </w:r>
      <w:r w:rsidR="009C70CC">
        <w:rPr>
          <w:rFonts w:ascii="Aptos" w:hAnsi="Aptos"/>
          <w:sz w:val="25"/>
          <w:szCs w:val="25"/>
        </w:rPr>
        <w:t xml:space="preserve"> except that “where the legal guardian is an agency or organization or the legal guardian has been appointed on a limited basis such as a guardian ad litem, or a guardian appointed solely to monitor medications or finances, the school district where the parent(s) lives or last lived shall be responsible.”</w:t>
      </w:r>
      <w:r w:rsidR="009C70CC">
        <w:rPr>
          <w:rStyle w:val="FootnoteReference"/>
          <w:rFonts w:ascii="Aptos" w:hAnsi="Aptos"/>
          <w:sz w:val="25"/>
          <w:szCs w:val="25"/>
        </w:rPr>
        <w:footnoteReference w:id="36"/>
      </w:r>
      <w:r w:rsidR="009C70CC">
        <w:rPr>
          <w:rFonts w:ascii="Aptos" w:hAnsi="Aptos"/>
          <w:sz w:val="25"/>
          <w:szCs w:val="25"/>
        </w:rPr>
        <w:t xml:space="preserve"> If the student’s parent(s) or legal guardians do not reside in Massachusetts and their whereabouts are unknown, “the school district of the last known Massachusetts residence of the student’s parent(s) or legal guardian who lived in Massachusetts shall be responsible.”</w:t>
      </w:r>
      <w:r w:rsidR="009C70CC">
        <w:rPr>
          <w:rStyle w:val="FootnoteReference"/>
          <w:rFonts w:ascii="Aptos" w:hAnsi="Aptos"/>
          <w:sz w:val="25"/>
          <w:szCs w:val="25"/>
        </w:rPr>
        <w:footnoteReference w:id="37"/>
      </w:r>
    </w:p>
    <w:p w14:paraId="4ADD5210" w14:textId="7F21FD0A" w:rsidR="00424E30" w:rsidRDefault="003758D3" w:rsidP="00424E30">
      <w:pPr>
        <w:spacing w:after="100" w:afterAutospacing="1"/>
        <w:rPr>
          <w:rFonts w:ascii="Aptos" w:hAnsi="Aptos"/>
          <w:sz w:val="25"/>
          <w:szCs w:val="25"/>
        </w:rPr>
      </w:pPr>
      <w:r>
        <w:rPr>
          <w:rFonts w:ascii="Aptos" w:hAnsi="Aptos"/>
          <w:sz w:val="25"/>
          <w:szCs w:val="25"/>
        </w:rPr>
        <w:tab/>
        <w:t>Once DESE has made a determination of school district responsibility for a particular student, based on the criteria outlined above</w:t>
      </w:r>
      <w:r w:rsidR="00E47A92">
        <w:rPr>
          <w:rFonts w:ascii="Aptos" w:hAnsi="Aptos"/>
          <w:sz w:val="25"/>
          <w:szCs w:val="25"/>
        </w:rPr>
        <w:t>,</w:t>
      </w:r>
      <w:r>
        <w:rPr>
          <w:rFonts w:ascii="Aptos" w:hAnsi="Aptos"/>
          <w:sz w:val="25"/>
          <w:szCs w:val="25"/>
        </w:rPr>
        <w:t xml:space="preserve"> and notified the assigned school district(s) of its decision, the assigned school district must immediately assume responsibility for the student; until such notification, the school district that had been responsible</w:t>
      </w:r>
      <w:r w:rsidR="00E47A92">
        <w:rPr>
          <w:rFonts w:ascii="Aptos" w:hAnsi="Aptos"/>
          <w:sz w:val="25"/>
          <w:szCs w:val="25"/>
        </w:rPr>
        <w:t xml:space="preserve"> </w:t>
      </w:r>
      <w:r>
        <w:rPr>
          <w:rFonts w:ascii="Aptos" w:hAnsi="Aptos"/>
          <w:sz w:val="25"/>
          <w:szCs w:val="25"/>
        </w:rPr>
        <w:t>for providing special education to the student continues to be responsible.</w:t>
      </w:r>
      <w:r>
        <w:rPr>
          <w:rStyle w:val="FootnoteReference"/>
          <w:rFonts w:ascii="Aptos" w:hAnsi="Aptos"/>
          <w:sz w:val="25"/>
          <w:szCs w:val="25"/>
        </w:rPr>
        <w:footnoteReference w:id="38"/>
      </w:r>
      <w:r>
        <w:rPr>
          <w:rFonts w:ascii="Aptos" w:hAnsi="Aptos"/>
          <w:sz w:val="25"/>
          <w:szCs w:val="25"/>
        </w:rPr>
        <w:t xml:space="preserve"> When lack of assignment of school district responsibility “threatens [a] student’s placement or program,” DESE may make a temporary assignment of school district responsibility, based on the information available to the Department.</w:t>
      </w:r>
      <w:r>
        <w:rPr>
          <w:rStyle w:val="FootnoteReference"/>
          <w:rFonts w:ascii="Aptos" w:hAnsi="Aptos"/>
          <w:sz w:val="25"/>
          <w:szCs w:val="25"/>
        </w:rPr>
        <w:footnoteReference w:id="39"/>
      </w:r>
      <w:r>
        <w:rPr>
          <w:rFonts w:ascii="Aptos" w:hAnsi="Aptos"/>
          <w:sz w:val="25"/>
          <w:szCs w:val="25"/>
        </w:rPr>
        <w:t xml:space="preserve"> In </w:t>
      </w:r>
      <w:r w:rsidR="00424E30">
        <w:rPr>
          <w:rFonts w:ascii="Aptos" w:hAnsi="Aptos"/>
          <w:sz w:val="25"/>
          <w:szCs w:val="25"/>
        </w:rPr>
        <w:t>the event that a different district is later assigned responsibility for the period of time during which the temporary district assumed responsibility for the student, the temporary district may bill the assigned district for all special education costs it accrued.</w:t>
      </w:r>
      <w:r w:rsidR="00424E30">
        <w:rPr>
          <w:rStyle w:val="FootnoteReference"/>
          <w:rFonts w:ascii="Aptos" w:hAnsi="Aptos"/>
          <w:sz w:val="25"/>
          <w:szCs w:val="25"/>
        </w:rPr>
        <w:footnoteReference w:id="40"/>
      </w:r>
    </w:p>
    <w:p w14:paraId="32F20FF2" w14:textId="3917B4D8" w:rsidR="00D032C8" w:rsidRPr="00725000" w:rsidRDefault="00725000" w:rsidP="00725000">
      <w:pPr>
        <w:spacing w:after="100" w:afterAutospacing="1"/>
        <w:rPr>
          <w:rFonts w:ascii="Aptos" w:hAnsi="Aptos"/>
          <w:sz w:val="25"/>
          <w:szCs w:val="25"/>
        </w:rPr>
      </w:pPr>
      <w:r>
        <w:rPr>
          <w:rFonts w:ascii="Aptos" w:hAnsi="Aptos"/>
          <w:sz w:val="25"/>
          <w:szCs w:val="25"/>
        </w:rPr>
        <w:tab/>
        <w:t>Should a school district become aware of information that was not available to the Department at the time the assignment of school district responsibility was made, that school district may seek review of the Department’s assignment.</w:t>
      </w:r>
      <w:r>
        <w:rPr>
          <w:rStyle w:val="FootnoteReference"/>
          <w:rFonts w:ascii="Aptos" w:hAnsi="Aptos"/>
          <w:sz w:val="25"/>
          <w:szCs w:val="25"/>
        </w:rPr>
        <w:footnoteReference w:id="41"/>
      </w:r>
      <w:r>
        <w:rPr>
          <w:rFonts w:ascii="Aptos" w:hAnsi="Aptos"/>
          <w:sz w:val="25"/>
          <w:szCs w:val="25"/>
        </w:rPr>
        <w:t xml:space="preserve"> If the assigned school district </w:t>
      </w:r>
      <w:r w:rsidR="00A0588E">
        <w:rPr>
          <w:rFonts w:ascii="Aptos" w:hAnsi="Aptos"/>
          <w:sz w:val="25"/>
          <w:szCs w:val="25"/>
        </w:rPr>
        <w:t>lacks</w:t>
      </w:r>
      <w:r>
        <w:rPr>
          <w:rFonts w:ascii="Aptos" w:hAnsi="Aptos"/>
          <w:sz w:val="25"/>
          <w:szCs w:val="25"/>
        </w:rPr>
        <w:t xml:space="preserve"> new information but disagrees with DESE’s application of the regulation to the facts, it may appeal to the BSEA.</w:t>
      </w:r>
    </w:p>
    <w:p w14:paraId="2C796D4E" w14:textId="7B6A481A" w:rsidR="005D0F11" w:rsidRDefault="00882762" w:rsidP="005D0F11">
      <w:pPr>
        <w:pStyle w:val="ListParagraph"/>
        <w:numPr>
          <w:ilvl w:val="2"/>
          <w:numId w:val="1"/>
        </w:numPr>
        <w:spacing w:before="240" w:after="240"/>
        <w:rPr>
          <w:rFonts w:ascii="Aptos" w:hAnsi="Aptos" w:cs="Times New Roman"/>
          <w:i/>
          <w:iCs/>
          <w:sz w:val="25"/>
          <w:szCs w:val="25"/>
        </w:rPr>
      </w:pPr>
      <w:r>
        <w:rPr>
          <w:rFonts w:ascii="Aptos" w:hAnsi="Aptos" w:cs="Times New Roman"/>
          <w:i/>
          <w:iCs/>
          <w:sz w:val="25"/>
          <w:szCs w:val="25"/>
        </w:rPr>
        <w:t>Appeals of LEA Assignments</w:t>
      </w:r>
    </w:p>
    <w:p w14:paraId="1C6A3CC6" w14:textId="0ED82659" w:rsidR="00124855" w:rsidRPr="00E47A92" w:rsidRDefault="00882762" w:rsidP="00E47A92">
      <w:pPr>
        <w:spacing w:after="100" w:afterAutospacing="1"/>
        <w:ind w:firstLine="720"/>
        <w:rPr>
          <w:rFonts w:ascii="Aptos" w:hAnsi="Aptos" w:cs="Times New Roman"/>
          <w:sz w:val="25"/>
          <w:szCs w:val="25"/>
        </w:rPr>
      </w:pPr>
      <w:r>
        <w:rPr>
          <w:rFonts w:ascii="Aptos" w:hAnsi="Aptos" w:cs="Times New Roman"/>
          <w:sz w:val="25"/>
          <w:szCs w:val="25"/>
        </w:rPr>
        <w:lastRenderedPageBreak/>
        <w:t>The process for appealing an assignment of school district responsibility is set forth in 603 CMR 29.10(9)(b). The appealing school district must base its request for appeal “only on the information provided to the Department under 603 CMR 28.10(8)(b) and 603 CMR 28.10(8)(f).</w:t>
      </w:r>
      <w:r w:rsidR="000F1220">
        <w:rPr>
          <w:rFonts w:ascii="Aptos" w:hAnsi="Aptos" w:cs="Times New Roman"/>
          <w:sz w:val="25"/>
          <w:szCs w:val="25"/>
        </w:rPr>
        <w:t>”</w:t>
      </w:r>
      <w:r w:rsidR="000F123D">
        <w:rPr>
          <w:rStyle w:val="FootnoteReference"/>
          <w:rFonts w:ascii="Aptos" w:hAnsi="Aptos" w:cs="Times New Roman"/>
          <w:sz w:val="25"/>
          <w:szCs w:val="25"/>
        </w:rPr>
        <w:footnoteReference w:id="42"/>
      </w:r>
      <w:r>
        <w:rPr>
          <w:rFonts w:ascii="Aptos" w:hAnsi="Aptos" w:cs="Times New Roman"/>
          <w:sz w:val="25"/>
          <w:szCs w:val="25"/>
        </w:rPr>
        <w:t xml:space="preserve"> The LEA Assignment </w:t>
      </w:r>
      <w:r>
        <w:rPr>
          <w:rFonts w:ascii="Aptos" w:hAnsi="Aptos" w:cs="Times New Roman"/>
          <w:i/>
          <w:iCs/>
          <w:sz w:val="25"/>
          <w:szCs w:val="25"/>
        </w:rPr>
        <w:t>Hearing Request</w:t>
      </w:r>
      <w:r>
        <w:rPr>
          <w:rFonts w:ascii="Aptos" w:hAnsi="Aptos" w:cs="Times New Roman"/>
          <w:sz w:val="25"/>
          <w:szCs w:val="25"/>
        </w:rPr>
        <w:t xml:space="preserve"> “shall state the basis of the appeal,” and “identify the district(s) that the appealing district claims should have been assigned responsibility.”</w:t>
      </w:r>
      <w:r w:rsidR="000F123D">
        <w:rPr>
          <w:rStyle w:val="FootnoteReference"/>
          <w:rFonts w:ascii="Aptos" w:hAnsi="Aptos" w:cs="Times New Roman"/>
          <w:sz w:val="25"/>
          <w:szCs w:val="25"/>
        </w:rPr>
        <w:footnoteReference w:id="43"/>
      </w:r>
      <w:r>
        <w:rPr>
          <w:rFonts w:ascii="Aptos" w:hAnsi="Aptos" w:cs="Times New Roman"/>
          <w:sz w:val="25"/>
          <w:szCs w:val="25"/>
        </w:rPr>
        <w:t xml:space="preserve"> The appealing school district must “include such district(s) as a party to the appeal.”</w:t>
      </w:r>
      <w:r w:rsidR="000F123D">
        <w:rPr>
          <w:rStyle w:val="FootnoteReference"/>
          <w:rFonts w:ascii="Aptos" w:hAnsi="Aptos" w:cs="Times New Roman"/>
          <w:sz w:val="25"/>
          <w:szCs w:val="25"/>
        </w:rPr>
        <w:footnoteReference w:id="44"/>
      </w:r>
    </w:p>
    <w:p w14:paraId="470D9268" w14:textId="64490426" w:rsidR="00124855" w:rsidRPr="00725000" w:rsidRDefault="00124855" w:rsidP="00BA1893">
      <w:pPr>
        <w:pStyle w:val="NoSpacing"/>
        <w:numPr>
          <w:ilvl w:val="0"/>
          <w:numId w:val="10"/>
        </w:numPr>
        <w:rPr>
          <w:rFonts w:ascii="Aptos" w:hAnsi="Aptos" w:cs="Times New Roman"/>
          <w:color w:val="000000" w:themeColor="text1"/>
          <w:sz w:val="25"/>
          <w:szCs w:val="25"/>
        </w:rPr>
      </w:pPr>
      <w:r>
        <w:rPr>
          <w:rFonts w:ascii="Aptos" w:hAnsi="Aptos" w:cs="Times New Roman"/>
          <w:color w:val="000000" w:themeColor="text1"/>
          <w:sz w:val="25"/>
          <w:szCs w:val="25"/>
        </w:rPr>
        <w:t xml:space="preserve">Application of these standards requires partial dismissal of </w:t>
      </w:r>
      <w:r w:rsidR="00E47A92">
        <w:rPr>
          <w:rFonts w:ascii="Aptos" w:hAnsi="Aptos" w:cs="Times New Roman"/>
          <w:color w:val="000000" w:themeColor="text1"/>
          <w:sz w:val="25"/>
          <w:szCs w:val="25"/>
        </w:rPr>
        <w:t>Worcester’s</w:t>
      </w:r>
      <w:r>
        <w:rPr>
          <w:rFonts w:ascii="Aptos" w:hAnsi="Aptos" w:cs="Times New Roman"/>
          <w:color w:val="000000" w:themeColor="text1"/>
          <w:sz w:val="25"/>
          <w:szCs w:val="25"/>
        </w:rPr>
        <w:t xml:space="preserve"> </w:t>
      </w:r>
      <w:r>
        <w:rPr>
          <w:rFonts w:ascii="Aptos" w:hAnsi="Aptos" w:cs="Times New Roman"/>
          <w:i/>
          <w:iCs/>
          <w:color w:val="000000" w:themeColor="text1"/>
          <w:sz w:val="25"/>
          <w:szCs w:val="25"/>
        </w:rPr>
        <w:t xml:space="preserve">Hearing Request </w:t>
      </w:r>
    </w:p>
    <w:p w14:paraId="537B86B9" w14:textId="646286DC" w:rsidR="00E47A92" w:rsidRPr="00474B8C" w:rsidRDefault="00E47A92" w:rsidP="00725000">
      <w:pPr>
        <w:spacing w:before="240"/>
        <w:ind w:firstLine="720"/>
        <w:rPr>
          <w:rFonts w:ascii="Aptos" w:hAnsi="Aptos" w:cs="Times New Roman"/>
          <w:color w:val="000000" w:themeColor="text1"/>
          <w:sz w:val="25"/>
          <w:szCs w:val="25"/>
        </w:rPr>
      </w:pPr>
      <w:r>
        <w:rPr>
          <w:rFonts w:ascii="Aptos" w:hAnsi="Aptos" w:cs="Times New Roman"/>
          <w:color w:val="000000" w:themeColor="text1"/>
          <w:sz w:val="25"/>
          <w:szCs w:val="25"/>
        </w:rPr>
        <w:t xml:space="preserve">The parties seeking dismissal assert that Worcester’s </w:t>
      </w:r>
      <w:r>
        <w:rPr>
          <w:rFonts w:ascii="Aptos" w:hAnsi="Aptos" w:cs="Times New Roman"/>
          <w:i/>
          <w:iCs/>
          <w:color w:val="000000" w:themeColor="text1"/>
          <w:sz w:val="25"/>
          <w:szCs w:val="25"/>
        </w:rPr>
        <w:t xml:space="preserve">Hearing Request </w:t>
      </w:r>
      <w:r>
        <w:rPr>
          <w:rFonts w:ascii="Aptos" w:hAnsi="Aptos" w:cs="Times New Roman"/>
          <w:color w:val="000000" w:themeColor="text1"/>
          <w:sz w:val="25"/>
          <w:szCs w:val="25"/>
        </w:rPr>
        <w:t>does not sufficiently “identify the district(s) that [WPS] claims should have been assigned responsibility” for Student</w:t>
      </w:r>
      <w:r w:rsidR="00474B8C">
        <w:rPr>
          <w:rFonts w:ascii="Aptos" w:hAnsi="Aptos" w:cs="Times New Roman"/>
          <w:color w:val="000000" w:themeColor="text1"/>
          <w:sz w:val="25"/>
          <w:szCs w:val="25"/>
        </w:rPr>
        <w:t xml:space="preserve"> and that, as such, the </w:t>
      </w:r>
      <w:r w:rsidR="00474B8C">
        <w:rPr>
          <w:rFonts w:ascii="Aptos" w:hAnsi="Aptos" w:cs="Times New Roman"/>
          <w:i/>
          <w:iCs/>
          <w:color w:val="000000" w:themeColor="text1"/>
          <w:sz w:val="25"/>
          <w:szCs w:val="25"/>
        </w:rPr>
        <w:t>Hearing Request</w:t>
      </w:r>
      <w:r w:rsidR="00474B8C">
        <w:rPr>
          <w:rFonts w:ascii="Aptos" w:hAnsi="Aptos" w:cs="Times New Roman"/>
          <w:color w:val="000000" w:themeColor="text1"/>
          <w:sz w:val="25"/>
          <w:szCs w:val="25"/>
        </w:rPr>
        <w:t xml:space="preserve"> must be dismissed for failure to state a claim</w:t>
      </w:r>
      <w:r>
        <w:rPr>
          <w:rFonts w:ascii="Aptos" w:hAnsi="Aptos" w:cs="Times New Roman"/>
          <w:color w:val="000000" w:themeColor="text1"/>
          <w:sz w:val="25"/>
          <w:szCs w:val="25"/>
        </w:rPr>
        <w:t xml:space="preserve">. </w:t>
      </w:r>
      <w:r w:rsidR="00725000">
        <w:rPr>
          <w:rFonts w:ascii="Aptos" w:hAnsi="Aptos" w:cs="Times New Roman"/>
          <w:color w:val="000000" w:themeColor="text1"/>
          <w:sz w:val="25"/>
          <w:szCs w:val="25"/>
        </w:rPr>
        <w:t xml:space="preserve">Worcester contends that </w:t>
      </w:r>
      <w:r>
        <w:rPr>
          <w:rFonts w:ascii="Aptos" w:hAnsi="Aptos" w:cs="Times New Roman"/>
          <w:color w:val="000000" w:themeColor="text1"/>
          <w:sz w:val="25"/>
          <w:szCs w:val="25"/>
        </w:rPr>
        <w:t xml:space="preserve">WPS “already pled sufficient facts to overcome dismissal” in its </w:t>
      </w:r>
      <w:r>
        <w:rPr>
          <w:rFonts w:ascii="Aptos" w:hAnsi="Aptos" w:cs="Times New Roman"/>
          <w:i/>
          <w:iCs/>
          <w:color w:val="000000" w:themeColor="text1"/>
          <w:sz w:val="25"/>
          <w:szCs w:val="25"/>
        </w:rPr>
        <w:t xml:space="preserve">Hearing Request </w:t>
      </w:r>
      <w:r>
        <w:rPr>
          <w:rFonts w:ascii="Aptos" w:hAnsi="Aptos" w:cs="Times New Roman"/>
          <w:color w:val="000000" w:themeColor="text1"/>
          <w:sz w:val="25"/>
          <w:szCs w:val="25"/>
        </w:rPr>
        <w:t>but that, to the extent it has not,</w:t>
      </w:r>
      <w:r w:rsidR="00474B8C">
        <w:rPr>
          <w:rFonts w:ascii="Aptos" w:hAnsi="Aptos" w:cs="Times New Roman"/>
          <w:color w:val="000000" w:themeColor="text1"/>
          <w:sz w:val="25"/>
          <w:szCs w:val="25"/>
        </w:rPr>
        <w:t xml:space="preserve"> its </w:t>
      </w:r>
      <w:r w:rsidR="00474B8C">
        <w:rPr>
          <w:rFonts w:ascii="Aptos" w:hAnsi="Aptos" w:cs="Times New Roman"/>
          <w:i/>
          <w:iCs/>
          <w:color w:val="000000" w:themeColor="text1"/>
          <w:sz w:val="25"/>
          <w:szCs w:val="25"/>
        </w:rPr>
        <w:t xml:space="preserve">Oppositions </w:t>
      </w:r>
      <w:r w:rsidR="00474B8C">
        <w:rPr>
          <w:rFonts w:ascii="Aptos" w:hAnsi="Aptos" w:cs="Times New Roman"/>
          <w:color w:val="000000" w:themeColor="text1"/>
          <w:sz w:val="25"/>
          <w:szCs w:val="25"/>
        </w:rPr>
        <w:t>“cure[] any defects.”</w:t>
      </w:r>
    </w:p>
    <w:p w14:paraId="6A992C06" w14:textId="573232AE" w:rsidR="00725000" w:rsidRDefault="002407FC" w:rsidP="002407FC">
      <w:pPr>
        <w:spacing w:before="240"/>
        <w:ind w:firstLine="720"/>
        <w:rPr>
          <w:rFonts w:ascii="Aptos" w:hAnsi="Aptos" w:cs="Times New Roman"/>
          <w:sz w:val="25"/>
          <w:szCs w:val="25"/>
        </w:rPr>
      </w:pPr>
      <w:r>
        <w:rPr>
          <w:rFonts w:ascii="Aptos" w:hAnsi="Aptos" w:cs="Times New Roman"/>
          <w:color w:val="000000" w:themeColor="text1"/>
          <w:sz w:val="25"/>
          <w:szCs w:val="25"/>
        </w:rPr>
        <w:t>The standard for a Motion to Dismiss, reviewed above, require</w:t>
      </w:r>
      <w:r w:rsidR="00A0588E">
        <w:rPr>
          <w:rFonts w:ascii="Aptos" w:hAnsi="Aptos" w:cs="Times New Roman"/>
          <w:color w:val="000000" w:themeColor="text1"/>
          <w:sz w:val="25"/>
          <w:szCs w:val="25"/>
        </w:rPr>
        <w:t>s</w:t>
      </w:r>
      <w:r>
        <w:rPr>
          <w:rFonts w:ascii="Aptos" w:hAnsi="Aptos" w:cs="Times New Roman"/>
          <w:color w:val="000000" w:themeColor="text1"/>
          <w:sz w:val="25"/>
          <w:szCs w:val="25"/>
        </w:rPr>
        <w:t xml:space="preserve"> me to examine only </w:t>
      </w:r>
      <w:r w:rsidR="008B3FBF">
        <w:rPr>
          <w:rFonts w:ascii="Aptos" w:hAnsi="Aptos" w:cs="Times New Roman"/>
          <w:sz w:val="25"/>
          <w:szCs w:val="25"/>
        </w:rPr>
        <w:t>the</w:t>
      </w:r>
      <w:r w:rsidR="00934085">
        <w:rPr>
          <w:rFonts w:ascii="Aptos" w:hAnsi="Aptos" w:cs="Times New Roman"/>
          <w:sz w:val="25"/>
          <w:szCs w:val="25"/>
        </w:rPr>
        <w:t xml:space="preserve"> allegations contained in the</w:t>
      </w:r>
      <w:r w:rsidR="008B3FBF">
        <w:rPr>
          <w:rFonts w:ascii="Aptos" w:hAnsi="Aptos" w:cs="Times New Roman"/>
          <w:sz w:val="25"/>
          <w:szCs w:val="25"/>
        </w:rPr>
        <w:t xml:space="preserve"> </w:t>
      </w:r>
      <w:r w:rsidR="00934085">
        <w:rPr>
          <w:rFonts w:ascii="Aptos" w:hAnsi="Aptos" w:cs="Times New Roman"/>
          <w:i/>
          <w:iCs/>
          <w:sz w:val="25"/>
          <w:szCs w:val="25"/>
        </w:rPr>
        <w:t>Hearing Request</w:t>
      </w:r>
      <w:r w:rsidR="00934085">
        <w:rPr>
          <w:rFonts w:ascii="Aptos" w:hAnsi="Aptos" w:cs="Times New Roman"/>
          <w:sz w:val="25"/>
          <w:szCs w:val="25"/>
        </w:rPr>
        <w:t>, ta</w:t>
      </w:r>
      <w:r>
        <w:rPr>
          <w:rFonts w:ascii="Aptos" w:hAnsi="Aptos" w:cs="Times New Roman"/>
          <w:sz w:val="25"/>
          <w:szCs w:val="25"/>
        </w:rPr>
        <w:t>ke</w:t>
      </w:r>
      <w:r w:rsidR="00934085">
        <w:rPr>
          <w:rFonts w:ascii="Aptos" w:hAnsi="Aptos" w:cs="Times New Roman"/>
          <w:sz w:val="25"/>
          <w:szCs w:val="25"/>
        </w:rPr>
        <w:t xml:space="preserve"> them as true</w:t>
      </w:r>
      <w:r>
        <w:rPr>
          <w:rFonts w:ascii="Aptos" w:hAnsi="Aptos" w:cs="Times New Roman"/>
          <w:sz w:val="25"/>
          <w:szCs w:val="25"/>
        </w:rPr>
        <w:t>,</w:t>
      </w:r>
      <w:r w:rsidR="00934085">
        <w:rPr>
          <w:rFonts w:ascii="Aptos" w:hAnsi="Aptos" w:cs="Times New Roman"/>
          <w:sz w:val="25"/>
          <w:szCs w:val="25"/>
        </w:rPr>
        <w:t xml:space="preserve"> and draw</w:t>
      </w:r>
      <w:r>
        <w:rPr>
          <w:rFonts w:ascii="Aptos" w:hAnsi="Aptos" w:cs="Times New Roman"/>
          <w:sz w:val="25"/>
          <w:szCs w:val="25"/>
        </w:rPr>
        <w:t xml:space="preserve"> </w:t>
      </w:r>
      <w:r w:rsidR="00934085">
        <w:rPr>
          <w:rFonts w:ascii="Aptos" w:hAnsi="Aptos" w:cs="Times New Roman"/>
          <w:sz w:val="25"/>
          <w:szCs w:val="25"/>
        </w:rPr>
        <w:t xml:space="preserve">any inferences that may reasonably be drawn therefrom in </w:t>
      </w:r>
      <w:r>
        <w:rPr>
          <w:rFonts w:ascii="Aptos" w:hAnsi="Aptos" w:cs="Times New Roman"/>
          <w:sz w:val="25"/>
          <w:szCs w:val="25"/>
        </w:rPr>
        <w:t>Worcester’s</w:t>
      </w:r>
      <w:r w:rsidR="00934085">
        <w:rPr>
          <w:rFonts w:ascii="Aptos" w:hAnsi="Aptos" w:cs="Times New Roman"/>
          <w:sz w:val="25"/>
          <w:szCs w:val="25"/>
        </w:rPr>
        <w:t xml:space="preserve"> favor.</w:t>
      </w:r>
      <w:r w:rsidR="00934085">
        <w:rPr>
          <w:rStyle w:val="FootnoteReference"/>
          <w:rFonts w:ascii="Aptos" w:hAnsi="Aptos" w:cs="Times New Roman"/>
          <w:sz w:val="25"/>
          <w:szCs w:val="25"/>
        </w:rPr>
        <w:footnoteReference w:id="45"/>
      </w:r>
      <w:r w:rsidR="00934085">
        <w:rPr>
          <w:rFonts w:ascii="Aptos" w:hAnsi="Aptos" w:cs="Times New Roman"/>
          <w:sz w:val="25"/>
          <w:szCs w:val="25"/>
        </w:rPr>
        <w:t xml:space="preserve"> </w:t>
      </w:r>
      <w:r w:rsidR="004C05EB">
        <w:rPr>
          <w:rFonts w:ascii="Aptos" w:hAnsi="Aptos" w:cs="Times New Roman"/>
          <w:sz w:val="25"/>
          <w:szCs w:val="25"/>
        </w:rPr>
        <w:t>I</w:t>
      </w:r>
      <w:r w:rsidR="00934085">
        <w:rPr>
          <w:rFonts w:ascii="Aptos" w:hAnsi="Aptos" w:cs="Times New Roman"/>
          <w:sz w:val="25"/>
          <w:szCs w:val="25"/>
        </w:rPr>
        <w:t xml:space="preserve">f these allegations </w:t>
      </w:r>
      <w:r w:rsidR="004C05EB">
        <w:rPr>
          <w:rFonts w:ascii="Aptos" w:hAnsi="Aptos" w:cs="Times New Roman"/>
          <w:sz w:val="25"/>
          <w:szCs w:val="25"/>
        </w:rPr>
        <w:t xml:space="preserve">plausibly suggest an entitlement to relief, the </w:t>
      </w:r>
      <w:r w:rsidR="00934085">
        <w:rPr>
          <w:rFonts w:ascii="Aptos" w:hAnsi="Aptos" w:cs="Times New Roman"/>
          <w:sz w:val="25"/>
          <w:szCs w:val="25"/>
        </w:rPr>
        <w:t>motion to dismiss</w:t>
      </w:r>
      <w:r w:rsidR="004C05EB">
        <w:rPr>
          <w:rFonts w:ascii="Aptos" w:hAnsi="Aptos" w:cs="Times New Roman"/>
          <w:sz w:val="25"/>
          <w:szCs w:val="25"/>
        </w:rPr>
        <w:t xml:space="preserve"> will</w:t>
      </w:r>
      <w:r w:rsidR="00934085">
        <w:rPr>
          <w:rFonts w:ascii="Aptos" w:hAnsi="Aptos" w:cs="Times New Roman"/>
          <w:sz w:val="25"/>
          <w:szCs w:val="25"/>
        </w:rPr>
        <w:t xml:space="preserve"> </w:t>
      </w:r>
      <w:r w:rsidR="00A0588E">
        <w:rPr>
          <w:rFonts w:ascii="Aptos" w:hAnsi="Aptos" w:cs="Times New Roman"/>
          <w:sz w:val="25"/>
          <w:szCs w:val="25"/>
        </w:rPr>
        <w:t xml:space="preserve">be </w:t>
      </w:r>
      <w:r w:rsidR="00934085">
        <w:rPr>
          <w:rFonts w:ascii="Aptos" w:hAnsi="Aptos" w:cs="Times New Roman"/>
          <w:sz w:val="25"/>
          <w:szCs w:val="25"/>
        </w:rPr>
        <w:t>denied.</w:t>
      </w:r>
      <w:r w:rsidR="00725000">
        <w:rPr>
          <w:rStyle w:val="FootnoteReference"/>
          <w:rFonts w:ascii="Aptos" w:hAnsi="Aptos" w:cs="Times New Roman"/>
          <w:sz w:val="25"/>
          <w:szCs w:val="25"/>
        </w:rPr>
        <w:footnoteReference w:id="46"/>
      </w:r>
      <w:r w:rsidR="00725000" w:rsidRPr="00725000">
        <w:rPr>
          <w:rFonts w:ascii="Aptos" w:hAnsi="Aptos" w:cs="Times New Roman"/>
          <w:sz w:val="25"/>
          <w:szCs w:val="25"/>
        </w:rPr>
        <w:t xml:space="preserve"> </w:t>
      </w:r>
      <w:r w:rsidR="00725000">
        <w:rPr>
          <w:rFonts w:ascii="Aptos" w:hAnsi="Aptos" w:cs="Times New Roman"/>
          <w:sz w:val="25"/>
          <w:szCs w:val="25"/>
        </w:rPr>
        <w:t xml:space="preserve">In accordance with these standards, to the extent </w:t>
      </w:r>
      <w:r>
        <w:rPr>
          <w:rFonts w:ascii="Aptos" w:hAnsi="Aptos" w:cs="Times New Roman"/>
          <w:sz w:val="25"/>
          <w:szCs w:val="25"/>
        </w:rPr>
        <w:t xml:space="preserve">WPS presents allegations for the first time in its </w:t>
      </w:r>
      <w:r w:rsidR="00725000">
        <w:rPr>
          <w:rFonts w:ascii="Aptos" w:hAnsi="Aptos" w:cs="Times New Roman"/>
          <w:i/>
          <w:iCs/>
          <w:sz w:val="25"/>
          <w:szCs w:val="25"/>
        </w:rPr>
        <w:t>Opposition</w:t>
      </w:r>
      <w:r>
        <w:rPr>
          <w:rFonts w:ascii="Aptos" w:hAnsi="Aptos" w:cs="Times New Roman"/>
          <w:i/>
          <w:iCs/>
          <w:sz w:val="25"/>
          <w:szCs w:val="25"/>
        </w:rPr>
        <w:t>s</w:t>
      </w:r>
      <w:r w:rsidR="00725000">
        <w:rPr>
          <w:rFonts w:ascii="Aptos" w:hAnsi="Aptos" w:cs="Times New Roman"/>
          <w:sz w:val="25"/>
          <w:szCs w:val="25"/>
        </w:rPr>
        <w:t xml:space="preserve">, I do not consider them for purposes of evaluating </w:t>
      </w:r>
      <w:r>
        <w:rPr>
          <w:rFonts w:ascii="Aptos" w:hAnsi="Aptos" w:cs="Times New Roman"/>
          <w:sz w:val="25"/>
          <w:szCs w:val="25"/>
        </w:rPr>
        <w:t xml:space="preserve">DESE’s and Framingham’s </w:t>
      </w:r>
      <w:r>
        <w:rPr>
          <w:rFonts w:ascii="Aptos" w:hAnsi="Aptos" w:cs="Times New Roman"/>
          <w:i/>
          <w:iCs/>
          <w:sz w:val="25"/>
          <w:szCs w:val="25"/>
        </w:rPr>
        <w:t>Motions to Dismiss</w:t>
      </w:r>
      <w:r>
        <w:rPr>
          <w:rFonts w:ascii="Aptos" w:hAnsi="Aptos" w:cs="Times New Roman"/>
          <w:sz w:val="25"/>
          <w:szCs w:val="25"/>
        </w:rPr>
        <w:t>.</w:t>
      </w:r>
    </w:p>
    <w:p w14:paraId="04C4614F" w14:textId="31737445" w:rsidR="001D1267" w:rsidRDefault="001D1267" w:rsidP="002407FC">
      <w:pPr>
        <w:spacing w:before="240"/>
        <w:ind w:firstLine="720"/>
        <w:rPr>
          <w:rFonts w:ascii="Aptos" w:hAnsi="Aptos" w:cs="Times New Roman"/>
          <w:sz w:val="25"/>
          <w:szCs w:val="25"/>
        </w:rPr>
      </w:pPr>
      <w:r>
        <w:rPr>
          <w:rFonts w:ascii="Aptos" w:hAnsi="Aptos" w:cs="Times New Roman"/>
          <w:sz w:val="25"/>
          <w:szCs w:val="25"/>
        </w:rPr>
        <w:t xml:space="preserve">In its assignment of school district responsibility, DESE </w:t>
      </w:r>
      <w:r w:rsidR="002E5E7B">
        <w:rPr>
          <w:rFonts w:ascii="Aptos" w:hAnsi="Aptos" w:cs="Times New Roman"/>
          <w:sz w:val="25"/>
          <w:szCs w:val="25"/>
        </w:rPr>
        <w:t>determined</w:t>
      </w:r>
      <w:r>
        <w:rPr>
          <w:rFonts w:ascii="Aptos" w:hAnsi="Aptos" w:cs="Times New Roman"/>
          <w:sz w:val="25"/>
          <w:szCs w:val="25"/>
        </w:rPr>
        <w:t xml:space="preserve"> that its regulations “do not squarely apply to the question of residency facing this Student.” The Department</w:t>
      </w:r>
      <w:r w:rsidR="002E5E7B">
        <w:rPr>
          <w:rFonts w:ascii="Aptos" w:hAnsi="Aptos" w:cs="Times New Roman"/>
          <w:sz w:val="25"/>
          <w:szCs w:val="25"/>
        </w:rPr>
        <w:t xml:space="preserve"> concluded that the absence of an assignment of special education responsibility threatens Student’s continued access to the substantially separate classroom placement described in his IEP.  As such, DESE rel</w:t>
      </w:r>
      <w:r>
        <w:rPr>
          <w:rFonts w:ascii="Aptos" w:hAnsi="Aptos" w:cs="Times New Roman"/>
          <w:sz w:val="25"/>
          <w:szCs w:val="25"/>
        </w:rPr>
        <w:t>ied on 603 CMR 28.10(7)</w:t>
      </w:r>
      <w:r w:rsidR="002E5E7B">
        <w:rPr>
          <w:rFonts w:ascii="Aptos" w:hAnsi="Aptos" w:cs="Times New Roman"/>
          <w:sz w:val="25"/>
          <w:szCs w:val="25"/>
        </w:rPr>
        <w:t xml:space="preserve"> in assigning programmatic and financial responsibility for Student to Worcester, until such time as Student is adopted or until a legal guardian for him is appointed.</w:t>
      </w:r>
      <w:r w:rsidR="002E5E7B">
        <w:rPr>
          <w:rStyle w:val="FootnoteReference"/>
          <w:rFonts w:ascii="Aptos" w:hAnsi="Aptos" w:cs="Times New Roman"/>
          <w:sz w:val="25"/>
          <w:szCs w:val="25"/>
        </w:rPr>
        <w:footnoteReference w:id="47"/>
      </w:r>
      <w:r w:rsidR="002E5E7B">
        <w:rPr>
          <w:rFonts w:ascii="Aptos" w:hAnsi="Aptos" w:cs="Times New Roman"/>
          <w:sz w:val="25"/>
          <w:szCs w:val="25"/>
        </w:rPr>
        <w:t xml:space="preserve"> WPS argues that such reliance is inappropriate, as 603 CMR 28.10(5)(b)(3) provides for assignment of school district responsibility to one of the other districts Worcester </w:t>
      </w:r>
      <w:r w:rsidR="002E5E7B">
        <w:rPr>
          <w:rFonts w:ascii="Aptos" w:hAnsi="Aptos" w:cs="Times New Roman"/>
          <w:sz w:val="25"/>
          <w:szCs w:val="25"/>
        </w:rPr>
        <w:lastRenderedPageBreak/>
        <w:t>named, and, moreover, neither Parents nor a legal guardian for Student ever resided in Worcester.</w:t>
      </w:r>
    </w:p>
    <w:p w14:paraId="63CAC0D9" w14:textId="76A3F9F9" w:rsidR="009A6860" w:rsidRDefault="009A6860" w:rsidP="009A6860">
      <w:pPr>
        <w:spacing w:before="240"/>
        <w:ind w:firstLine="720"/>
        <w:rPr>
          <w:rFonts w:ascii="Aptos" w:hAnsi="Aptos" w:cs="Times New Roman"/>
          <w:sz w:val="25"/>
          <w:szCs w:val="25"/>
        </w:rPr>
      </w:pPr>
      <w:r>
        <w:rPr>
          <w:rFonts w:ascii="Aptos" w:hAnsi="Aptos" w:cs="Times New Roman"/>
          <w:sz w:val="25"/>
          <w:szCs w:val="25"/>
        </w:rPr>
        <w:t>Taking as true the allegations made by Worcester and the inferences</w:t>
      </w:r>
      <w:r w:rsidR="00A0588E">
        <w:rPr>
          <w:rFonts w:ascii="Aptos" w:hAnsi="Aptos" w:cs="Times New Roman"/>
          <w:sz w:val="25"/>
          <w:szCs w:val="25"/>
        </w:rPr>
        <w:t xml:space="preserve"> in Worcester’s favor</w:t>
      </w:r>
      <w:r>
        <w:rPr>
          <w:rFonts w:ascii="Aptos" w:hAnsi="Aptos" w:cs="Times New Roman"/>
          <w:sz w:val="25"/>
          <w:szCs w:val="25"/>
        </w:rPr>
        <w:t xml:space="preserve"> that may be drawn therefrom, it appears Student was voluntarily surrendered or freed for adoption by the Massachusetts Juvenile Court on or about August 19, 2021, after Father’s parental rights were terminated on or about May 12, 2021 and Mother’s parental rights were terminated on or about July 1, 2021. Student is currently in </w:t>
      </w:r>
      <w:proofErr w:type="gramStart"/>
      <w:r>
        <w:rPr>
          <w:rFonts w:ascii="Aptos" w:hAnsi="Aptos" w:cs="Times New Roman"/>
          <w:sz w:val="25"/>
          <w:szCs w:val="25"/>
        </w:rPr>
        <w:t xml:space="preserve">the </w:t>
      </w:r>
      <w:r w:rsidR="00DE59FA">
        <w:rPr>
          <w:rFonts w:ascii="Aptos" w:hAnsi="Aptos" w:cs="Times New Roman"/>
          <w:sz w:val="25"/>
          <w:szCs w:val="25"/>
        </w:rPr>
        <w:t>legal</w:t>
      </w:r>
      <w:proofErr w:type="gramEnd"/>
      <w:r w:rsidR="00DE59FA">
        <w:rPr>
          <w:rFonts w:ascii="Aptos" w:hAnsi="Aptos" w:cs="Times New Roman"/>
          <w:sz w:val="25"/>
          <w:szCs w:val="25"/>
        </w:rPr>
        <w:t xml:space="preserve"> </w:t>
      </w:r>
      <w:r>
        <w:rPr>
          <w:rFonts w:ascii="Aptos" w:hAnsi="Aptos" w:cs="Times New Roman"/>
          <w:sz w:val="25"/>
          <w:szCs w:val="25"/>
        </w:rPr>
        <w:t>custody of DCF</w:t>
      </w:r>
      <w:r w:rsidR="00DE59FA">
        <w:rPr>
          <w:rFonts w:ascii="Aptos" w:hAnsi="Aptos" w:cs="Times New Roman"/>
          <w:sz w:val="25"/>
          <w:szCs w:val="25"/>
        </w:rPr>
        <w:t>. Although it is unclear who signed Student’s 2024-2025 IEP (the most recent IEP referenced in the pleadings), Student</w:t>
      </w:r>
      <w:r>
        <w:rPr>
          <w:rFonts w:ascii="Aptos" w:hAnsi="Aptos" w:cs="Times New Roman"/>
          <w:sz w:val="25"/>
          <w:szCs w:val="25"/>
        </w:rPr>
        <w:t xml:space="preserve"> has an ESP who lives</w:t>
      </w:r>
      <w:r w:rsidR="00DE59FA">
        <w:rPr>
          <w:rFonts w:ascii="Aptos" w:hAnsi="Aptos" w:cs="Times New Roman"/>
          <w:sz w:val="25"/>
          <w:szCs w:val="25"/>
        </w:rPr>
        <w:t xml:space="preserve"> or works</w:t>
      </w:r>
      <w:r>
        <w:rPr>
          <w:rFonts w:ascii="Aptos" w:hAnsi="Aptos" w:cs="Times New Roman"/>
          <w:sz w:val="25"/>
          <w:szCs w:val="25"/>
        </w:rPr>
        <w:t xml:space="preserve"> in Framingham</w:t>
      </w:r>
      <w:r w:rsidR="00DE59FA">
        <w:rPr>
          <w:rFonts w:ascii="Aptos" w:hAnsi="Aptos" w:cs="Times New Roman"/>
          <w:sz w:val="25"/>
          <w:szCs w:val="25"/>
        </w:rPr>
        <w:t>, who may also be his pre</w:t>
      </w:r>
      <w:r w:rsidR="000F1220">
        <w:rPr>
          <w:rFonts w:ascii="Aptos" w:hAnsi="Aptos" w:cs="Times New Roman"/>
          <w:sz w:val="25"/>
          <w:szCs w:val="25"/>
        </w:rPr>
        <w:t>-</w:t>
      </w:r>
      <w:r w:rsidR="00DE59FA">
        <w:rPr>
          <w:rFonts w:ascii="Aptos" w:hAnsi="Aptos" w:cs="Times New Roman"/>
          <w:sz w:val="25"/>
          <w:szCs w:val="25"/>
        </w:rPr>
        <w:t>adoptive foster parent; a former</w:t>
      </w:r>
      <w:r w:rsidR="005547AC">
        <w:rPr>
          <w:rFonts w:ascii="Aptos" w:hAnsi="Aptos" w:cs="Times New Roman"/>
          <w:sz w:val="25"/>
          <w:szCs w:val="25"/>
        </w:rPr>
        <w:t xml:space="preserve"> </w:t>
      </w:r>
      <w:r w:rsidR="00DE59FA">
        <w:rPr>
          <w:rFonts w:ascii="Aptos" w:hAnsi="Aptos" w:cs="Times New Roman"/>
          <w:sz w:val="25"/>
          <w:szCs w:val="25"/>
        </w:rPr>
        <w:t xml:space="preserve">foster parent who lives in Framingham; and an </w:t>
      </w:r>
      <w:r w:rsidR="000F1220">
        <w:rPr>
          <w:rFonts w:ascii="Aptos" w:hAnsi="Aptos" w:cs="Times New Roman"/>
          <w:sz w:val="25"/>
          <w:szCs w:val="25"/>
        </w:rPr>
        <w:t>A</w:t>
      </w:r>
      <w:r w:rsidR="00DE59FA">
        <w:rPr>
          <w:rFonts w:ascii="Aptos" w:hAnsi="Aptos" w:cs="Times New Roman"/>
          <w:sz w:val="25"/>
          <w:szCs w:val="25"/>
        </w:rPr>
        <w:t xml:space="preserve">doption </w:t>
      </w:r>
      <w:r w:rsidR="000F1220">
        <w:rPr>
          <w:rFonts w:ascii="Aptos" w:hAnsi="Aptos" w:cs="Times New Roman"/>
          <w:sz w:val="25"/>
          <w:szCs w:val="25"/>
        </w:rPr>
        <w:t>S</w:t>
      </w:r>
      <w:r w:rsidR="00DE59FA">
        <w:rPr>
          <w:rFonts w:ascii="Aptos" w:hAnsi="Aptos" w:cs="Times New Roman"/>
          <w:sz w:val="25"/>
          <w:szCs w:val="25"/>
        </w:rPr>
        <w:t xml:space="preserve">ocial </w:t>
      </w:r>
      <w:r w:rsidR="000F1220">
        <w:rPr>
          <w:rFonts w:ascii="Aptos" w:hAnsi="Aptos" w:cs="Times New Roman"/>
          <w:sz w:val="25"/>
          <w:szCs w:val="25"/>
        </w:rPr>
        <w:t>W</w:t>
      </w:r>
      <w:r w:rsidR="00DE59FA">
        <w:rPr>
          <w:rFonts w:ascii="Aptos" w:hAnsi="Aptos" w:cs="Times New Roman"/>
          <w:sz w:val="25"/>
          <w:szCs w:val="25"/>
        </w:rPr>
        <w:t xml:space="preserve">orker who works out of a DCF office located in Framingham. Student’s most recent foster placement was in Worcester, and WPS is the last school district in which he was enrolled. In July 2025, DCF relocated Student from Worcester to </w:t>
      </w:r>
      <w:r w:rsidR="000F1220">
        <w:rPr>
          <w:rFonts w:ascii="Aptos" w:hAnsi="Aptos" w:cs="Times New Roman"/>
          <w:sz w:val="25"/>
          <w:szCs w:val="25"/>
        </w:rPr>
        <w:t>a town</w:t>
      </w:r>
      <w:r w:rsidR="00DE59FA">
        <w:rPr>
          <w:rFonts w:ascii="Aptos" w:hAnsi="Aptos" w:cs="Times New Roman"/>
          <w:sz w:val="25"/>
          <w:szCs w:val="25"/>
        </w:rPr>
        <w:t xml:space="preserve"> within Q</w:t>
      </w:r>
      <w:r w:rsidR="00A0588E">
        <w:rPr>
          <w:rFonts w:ascii="Aptos" w:hAnsi="Aptos" w:cs="Times New Roman"/>
          <w:sz w:val="25"/>
          <w:szCs w:val="25"/>
        </w:rPr>
        <w:t>uabbin</w:t>
      </w:r>
      <w:r w:rsidR="00DE59FA">
        <w:rPr>
          <w:rFonts w:ascii="Aptos" w:hAnsi="Aptos" w:cs="Times New Roman"/>
          <w:sz w:val="25"/>
          <w:szCs w:val="25"/>
        </w:rPr>
        <w:t>’s geographic boundaries, to reside in and attend an approved special education school.</w:t>
      </w:r>
    </w:p>
    <w:p w14:paraId="59CF7560" w14:textId="77777777" w:rsidR="00530642" w:rsidRDefault="00530642" w:rsidP="002A66D8">
      <w:pPr>
        <w:pStyle w:val="FootnoteText"/>
        <w:rPr>
          <w:rFonts w:ascii="Aptos" w:hAnsi="Aptos" w:cs="Times New Roman"/>
          <w:sz w:val="25"/>
          <w:szCs w:val="25"/>
        </w:rPr>
      </w:pPr>
    </w:p>
    <w:p w14:paraId="1FD7F0D7" w14:textId="6049B565" w:rsidR="00995D14" w:rsidRPr="00A85BCE" w:rsidRDefault="007C7EE8" w:rsidP="00530642">
      <w:pPr>
        <w:pStyle w:val="FootnoteText"/>
        <w:ind w:firstLine="720"/>
        <w:rPr>
          <w:rFonts w:ascii="Aptos" w:hAnsi="Aptos"/>
          <w:sz w:val="25"/>
          <w:szCs w:val="25"/>
        </w:rPr>
      </w:pPr>
      <w:r>
        <w:rPr>
          <w:rFonts w:ascii="Aptos" w:hAnsi="Aptos" w:cs="Times New Roman"/>
          <w:sz w:val="25"/>
          <w:szCs w:val="25"/>
        </w:rPr>
        <w:t xml:space="preserve">Under 603 CMR 28.10(8)(c)(1), at the time Student was surrendered or freed for adoption, or when Parents’ rights were terminated, the school district(s) governing the towns where Mother and Father lived were responsible for his education. </w:t>
      </w:r>
      <w:r w:rsidR="002A66D8">
        <w:rPr>
          <w:rFonts w:ascii="Aptos" w:hAnsi="Aptos" w:cs="Times New Roman"/>
          <w:sz w:val="25"/>
          <w:szCs w:val="25"/>
        </w:rPr>
        <w:t>Due to the</w:t>
      </w:r>
      <w:r w:rsidR="00995D14">
        <w:rPr>
          <w:rFonts w:ascii="Aptos" w:hAnsi="Aptos" w:cs="Times New Roman"/>
          <w:sz w:val="25"/>
          <w:szCs w:val="25"/>
        </w:rPr>
        <w:t xml:space="preserve"> subsequent appointment </w:t>
      </w:r>
      <w:r w:rsidR="002A66D8">
        <w:rPr>
          <w:rFonts w:ascii="Aptos" w:hAnsi="Aptos" w:cs="Times New Roman"/>
          <w:sz w:val="25"/>
          <w:szCs w:val="25"/>
        </w:rPr>
        <w:t>of DCF, an agency, as Student’s legal guardian, the school district where Parents live or last live</w:t>
      </w:r>
      <w:r w:rsidR="000F1220">
        <w:rPr>
          <w:rFonts w:ascii="Aptos" w:hAnsi="Aptos" w:cs="Times New Roman"/>
          <w:sz w:val="25"/>
          <w:szCs w:val="25"/>
        </w:rPr>
        <w:t>d</w:t>
      </w:r>
      <w:r w:rsidR="002A66D8">
        <w:rPr>
          <w:rFonts w:ascii="Aptos" w:hAnsi="Aptos" w:cs="Times New Roman"/>
          <w:sz w:val="25"/>
          <w:szCs w:val="25"/>
        </w:rPr>
        <w:t xml:space="preserve"> </w:t>
      </w:r>
      <w:r w:rsidR="000F1220">
        <w:rPr>
          <w:rFonts w:ascii="Aptos" w:hAnsi="Aptos" w:cs="Times New Roman"/>
          <w:sz w:val="25"/>
          <w:szCs w:val="25"/>
        </w:rPr>
        <w:t>became</w:t>
      </w:r>
      <w:r w:rsidR="002A66D8">
        <w:rPr>
          <w:rFonts w:ascii="Aptos" w:hAnsi="Aptos" w:cs="Times New Roman"/>
          <w:sz w:val="25"/>
          <w:szCs w:val="25"/>
        </w:rPr>
        <w:t xml:space="preserve"> responsible.</w:t>
      </w:r>
      <w:r w:rsidR="002A66D8">
        <w:rPr>
          <w:rStyle w:val="FootnoteReference"/>
          <w:rFonts w:ascii="Aptos" w:hAnsi="Aptos" w:cs="Times New Roman"/>
          <w:sz w:val="25"/>
          <w:szCs w:val="25"/>
        </w:rPr>
        <w:footnoteReference w:id="48"/>
      </w:r>
      <w:r w:rsidR="002A66D8">
        <w:rPr>
          <w:rFonts w:ascii="Aptos" w:hAnsi="Aptos" w:cs="Times New Roman"/>
          <w:sz w:val="25"/>
          <w:szCs w:val="25"/>
        </w:rPr>
        <w:t xml:space="preserve"> Even taking as true Worcester’s argument that Student’s DCF </w:t>
      </w:r>
      <w:r w:rsidR="000F1220">
        <w:rPr>
          <w:rFonts w:ascii="Aptos" w:hAnsi="Aptos" w:cs="Times New Roman"/>
          <w:sz w:val="25"/>
          <w:szCs w:val="25"/>
        </w:rPr>
        <w:t>A</w:t>
      </w:r>
      <w:r w:rsidR="002A66D8">
        <w:rPr>
          <w:rFonts w:ascii="Aptos" w:hAnsi="Aptos" w:cs="Times New Roman"/>
          <w:sz w:val="25"/>
          <w:szCs w:val="25"/>
        </w:rPr>
        <w:t xml:space="preserve">doption </w:t>
      </w:r>
      <w:r w:rsidR="000F1220">
        <w:rPr>
          <w:rFonts w:ascii="Aptos" w:hAnsi="Aptos" w:cs="Times New Roman"/>
          <w:sz w:val="25"/>
          <w:szCs w:val="25"/>
        </w:rPr>
        <w:t>S</w:t>
      </w:r>
      <w:r w:rsidR="002A66D8">
        <w:rPr>
          <w:rFonts w:ascii="Aptos" w:hAnsi="Aptos" w:cs="Times New Roman"/>
          <w:sz w:val="25"/>
          <w:szCs w:val="25"/>
        </w:rPr>
        <w:t xml:space="preserve">ocial </w:t>
      </w:r>
      <w:r w:rsidR="000F1220">
        <w:rPr>
          <w:rFonts w:ascii="Aptos" w:hAnsi="Aptos" w:cs="Times New Roman"/>
          <w:sz w:val="25"/>
          <w:szCs w:val="25"/>
        </w:rPr>
        <w:t>W</w:t>
      </w:r>
      <w:r w:rsidR="002A66D8">
        <w:rPr>
          <w:rFonts w:ascii="Aptos" w:hAnsi="Aptos" w:cs="Times New Roman"/>
          <w:sz w:val="25"/>
          <w:szCs w:val="25"/>
        </w:rPr>
        <w:t>orker and ESP (who is also possibly Student’s pre-adoptive foster parent) are associated with Framingham</w:t>
      </w:r>
      <w:r w:rsidR="002F3DC7">
        <w:rPr>
          <w:rFonts w:ascii="Aptos" w:hAnsi="Aptos" w:cs="Times New Roman"/>
          <w:sz w:val="25"/>
          <w:szCs w:val="25"/>
        </w:rPr>
        <w:t>,</w:t>
      </w:r>
      <w:r w:rsidR="002F3DC7">
        <w:rPr>
          <w:rStyle w:val="FootnoteReference"/>
          <w:rFonts w:ascii="Aptos" w:hAnsi="Aptos" w:cs="Times New Roman"/>
          <w:sz w:val="25"/>
          <w:szCs w:val="25"/>
        </w:rPr>
        <w:footnoteReference w:id="49"/>
      </w:r>
      <w:r w:rsidR="002F3DC7">
        <w:rPr>
          <w:rFonts w:ascii="Aptos" w:hAnsi="Aptos" w:cs="Times New Roman"/>
          <w:sz w:val="25"/>
          <w:szCs w:val="25"/>
        </w:rPr>
        <w:t xml:space="preserve"> </w:t>
      </w:r>
      <w:r w:rsidR="002A66D8" w:rsidRPr="002A66D8">
        <w:rPr>
          <w:rFonts w:ascii="Aptos" w:hAnsi="Aptos" w:cs="Times New Roman"/>
          <w:sz w:val="25"/>
          <w:szCs w:val="25"/>
        </w:rPr>
        <w:t xml:space="preserve">I could not find that  Framingham is responsible for Student’s education on this basis. By its terms, </w:t>
      </w:r>
      <w:r w:rsidR="002A66D8" w:rsidRPr="002A66D8">
        <w:rPr>
          <w:rFonts w:ascii="Aptos" w:hAnsi="Aptos"/>
          <w:sz w:val="25"/>
          <w:szCs w:val="25"/>
        </w:rPr>
        <w:t>603 CMR 28.10(8)(c)(4)</w:t>
      </w:r>
      <w:r w:rsidR="002A66D8">
        <w:rPr>
          <w:rFonts w:ascii="Aptos" w:hAnsi="Aptos"/>
          <w:sz w:val="25"/>
          <w:szCs w:val="25"/>
        </w:rPr>
        <w:t xml:space="preserve"> provides that school district responsibility does not attach to the location of an agency legal guardian, such as DCF, or</w:t>
      </w:r>
      <w:r w:rsidR="000B66A4">
        <w:rPr>
          <w:rFonts w:ascii="Aptos" w:hAnsi="Aptos"/>
          <w:sz w:val="25"/>
          <w:szCs w:val="25"/>
        </w:rPr>
        <w:t xml:space="preserve"> the residence</w:t>
      </w:r>
      <w:r w:rsidR="008A2F10">
        <w:rPr>
          <w:rFonts w:ascii="Aptos" w:hAnsi="Aptos"/>
          <w:sz w:val="25"/>
          <w:szCs w:val="25"/>
        </w:rPr>
        <w:t xml:space="preserve"> of</w:t>
      </w:r>
      <w:r w:rsidR="002A66D8">
        <w:rPr>
          <w:rFonts w:ascii="Aptos" w:hAnsi="Aptos"/>
          <w:sz w:val="25"/>
          <w:szCs w:val="25"/>
        </w:rPr>
        <w:t xml:space="preserve"> an individual who has been appointed to represent a student on a limited basis, such as</w:t>
      </w:r>
      <w:r w:rsidR="002A66D8" w:rsidRPr="002A66D8">
        <w:rPr>
          <w:rFonts w:ascii="Aptos" w:hAnsi="Aptos"/>
          <w:sz w:val="25"/>
          <w:szCs w:val="25"/>
        </w:rPr>
        <w:t xml:space="preserve"> </w:t>
      </w:r>
      <w:r w:rsidR="00277D3B">
        <w:rPr>
          <w:rFonts w:ascii="Aptos" w:hAnsi="Aptos" w:cs="Times New Roman"/>
          <w:sz w:val="25"/>
          <w:szCs w:val="25"/>
        </w:rPr>
        <w:t>a guardian appointed solely to monitor medications or finances.</w:t>
      </w:r>
      <w:r w:rsidR="00277D3B">
        <w:rPr>
          <w:rFonts w:ascii="Aptos" w:hAnsi="Aptos"/>
          <w:sz w:val="25"/>
          <w:szCs w:val="25"/>
        </w:rPr>
        <w:t xml:space="preserve"> </w:t>
      </w:r>
      <w:r w:rsidR="0057440B">
        <w:rPr>
          <w:rFonts w:ascii="Aptos" w:hAnsi="Aptos"/>
          <w:sz w:val="25"/>
          <w:szCs w:val="25"/>
        </w:rPr>
        <w:t>A</w:t>
      </w:r>
      <w:r w:rsidR="002A66D8" w:rsidRPr="002A66D8">
        <w:rPr>
          <w:rFonts w:ascii="Aptos" w:hAnsi="Aptos" w:cs="Times New Roman"/>
          <w:sz w:val="25"/>
          <w:szCs w:val="25"/>
        </w:rPr>
        <w:t xml:space="preserve">n ESP </w:t>
      </w:r>
      <w:r w:rsidR="0057440B">
        <w:rPr>
          <w:rFonts w:ascii="Aptos" w:hAnsi="Aptos" w:cs="Times New Roman"/>
          <w:sz w:val="25"/>
          <w:szCs w:val="25"/>
        </w:rPr>
        <w:t xml:space="preserve">who </w:t>
      </w:r>
      <w:r w:rsidR="002A66D8">
        <w:rPr>
          <w:rFonts w:ascii="Aptos" w:hAnsi="Aptos" w:cs="Times New Roman"/>
          <w:sz w:val="25"/>
          <w:szCs w:val="25"/>
        </w:rPr>
        <w:t>acts as an educational decision-maker for a student without a parent or guardian</w:t>
      </w:r>
      <w:r w:rsidR="0057440B">
        <w:rPr>
          <w:rFonts w:ascii="Aptos" w:hAnsi="Aptos" w:cs="Times New Roman"/>
          <w:sz w:val="25"/>
          <w:szCs w:val="25"/>
        </w:rPr>
        <w:t xml:space="preserve"> is limited in similar ways.</w:t>
      </w:r>
      <w:r w:rsidR="00911422">
        <w:rPr>
          <w:rFonts w:ascii="Aptos" w:hAnsi="Aptos" w:cs="Times New Roman"/>
          <w:sz w:val="25"/>
          <w:szCs w:val="25"/>
        </w:rPr>
        <w:t xml:space="preserve"> </w:t>
      </w:r>
      <w:r w:rsidR="00780652">
        <w:rPr>
          <w:rFonts w:ascii="Aptos" w:hAnsi="Aptos" w:cs="Times New Roman"/>
          <w:sz w:val="25"/>
          <w:szCs w:val="25"/>
        </w:rPr>
        <w:t>Moreover, 603 CMR 28.10(5)(</w:t>
      </w:r>
      <w:r w:rsidR="001C5514">
        <w:rPr>
          <w:rFonts w:ascii="Aptos" w:hAnsi="Aptos" w:cs="Times New Roman"/>
          <w:sz w:val="25"/>
          <w:szCs w:val="25"/>
        </w:rPr>
        <w:t>b)(2) differentiates between a student’s parent or legal guardian and a foster parent</w:t>
      </w:r>
      <w:r w:rsidR="003210EF">
        <w:rPr>
          <w:rFonts w:ascii="Aptos" w:hAnsi="Aptos" w:cs="Times New Roman"/>
          <w:sz w:val="25"/>
          <w:szCs w:val="25"/>
        </w:rPr>
        <w:t xml:space="preserve"> for purposes of assignment of school district</w:t>
      </w:r>
      <w:r w:rsidR="002F3DC7">
        <w:rPr>
          <w:rFonts w:ascii="Aptos" w:hAnsi="Aptos" w:cs="Times New Roman"/>
          <w:sz w:val="25"/>
          <w:szCs w:val="25"/>
        </w:rPr>
        <w:t xml:space="preserve"> fiscal</w:t>
      </w:r>
      <w:r w:rsidR="003210EF">
        <w:rPr>
          <w:rFonts w:ascii="Aptos" w:hAnsi="Aptos" w:cs="Times New Roman"/>
          <w:sz w:val="25"/>
          <w:szCs w:val="25"/>
        </w:rPr>
        <w:t xml:space="preserve"> respons</w:t>
      </w:r>
      <w:r w:rsidR="00A0588E">
        <w:rPr>
          <w:rFonts w:ascii="Aptos" w:hAnsi="Aptos" w:cs="Times New Roman"/>
          <w:sz w:val="25"/>
          <w:szCs w:val="25"/>
        </w:rPr>
        <w:t>i</w:t>
      </w:r>
      <w:r w:rsidR="003210EF">
        <w:rPr>
          <w:rFonts w:ascii="Aptos" w:hAnsi="Aptos" w:cs="Times New Roman"/>
          <w:sz w:val="25"/>
          <w:szCs w:val="25"/>
        </w:rPr>
        <w:t>bility.</w:t>
      </w:r>
      <w:r w:rsidR="003210EF">
        <w:rPr>
          <w:rStyle w:val="FootnoteReference"/>
          <w:rFonts w:ascii="Aptos" w:hAnsi="Aptos" w:cs="Times New Roman"/>
          <w:sz w:val="25"/>
          <w:szCs w:val="25"/>
        </w:rPr>
        <w:footnoteReference w:id="50"/>
      </w:r>
      <w:r w:rsidR="00BD0AAF">
        <w:rPr>
          <w:rFonts w:ascii="Aptos" w:hAnsi="Aptos" w:cs="Times New Roman"/>
          <w:sz w:val="25"/>
          <w:szCs w:val="25"/>
        </w:rPr>
        <w:t xml:space="preserve"> As such, fiscal responsibility does not attach based on the residence of a foster parent. </w:t>
      </w:r>
      <w:r w:rsidR="00806A1A">
        <w:rPr>
          <w:rFonts w:ascii="Aptos" w:hAnsi="Aptos" w:cs="Times New Roman"/>
          <w:sz w:val="25"/>
          <w:szCs w:val="25"/>
        </w:rPr>
        <w:t xml:space="preserve">WPS acknowledges that Student’s last foster placement was in </w:t>
      </w:r>
      <w:r w:rsidR="002A4773">
        <w:rPr>
          <w:rFonts w:ascii="Aptos" w:hAnsi="Aptos" w:cs="Times New Roman"/>
          <w:sz w:val="25"/>
          <w:szCs w:val="25"/>
        </w:rPr>
        <w:t>Worcester</w:t>
      </w:r>
      <w:r w:rsidR="00A85BCE">
        <w:rPr>
          <w:rFonts w:ascii="Aptos" w:hAnsi="Aptos" w:cs="Times New Roman"/>
          <w:sz w:val="25"/>
          <w:szCs w:val="25"/>
        </w:rPr>
        <w:t>,</w:t>
      </w:r>
      <w:r w:rsidR="00F615D6">
        <w:rPr>
          <w:rFonts w:ascii="Aptos" w:hAnsi="Aptos" w:cs="Times New Roman"/>
          <w:sz w:val="25"/>
          <w:szCs w:val="25"/>
        </w:rPr>
        <w:t xml:space="preserve"> and that DCF enrolled Student in WPS</w:t>
      </w:r>
      <w:r w:rsidR="00A85BCE">
        <w:rPr>
          <w:rFonts w:ascii="Aptos" w:hAnsi="Aptos" w:cs="Times New Roman"/>
          <w:sz w:val="25"/>
          <w:szCs w:val="25"/>
        </w:rPr>
        <w:t>. Worcester</w:t>
      </w:r>
      <w:r w:rsidR="002A4773">
        <w:rPr>
          <w:rFonts w:ascii="Aptos" w:hAnsi="Aptos" w:cs="Times New Roman"/>
          <w:sz w:val="25"/>
          <w:szCs w:val="25"/>
        </w:rPr>
        <w:t xml:space="preserve"> has not alleged that Parents ever resided in Framingham. </w:t>
      </w:r>
      <w:r w:rsidR="00DB06E9">
        <w:rPr>
          <w:rFonts w:ascii="Aptos" w:hAnsi="Aptos" w:cs="Times New Roman"/>
          <w:sz w:val="25"/>
          <w:szCs w:val="25"/>
        </w:rPr>
        <w:t xml:space="preserve">As </w:t>
      </w:r>
      <w:r w:rsidR="002A4773">
        <w:rPr>
          <w:rFonts w:ascii="Aptos" w:hAnsi="Aptos" w:cs="Times New Roman"/>
          <w:sz w:val="25"/>
          <w:szCs w:val="25"/>
        </w:rPr>
        <w:t xml:space="preserve">such, </w:t>
      </w:r>
      <w:r w:rsidR="00A85BCE">
        <w:rPr>
          <w:rFonts w:ascii="Aptos" w:hAnsi="Aptos" w:cs="Times New Roman"/>
          <w:sz w:val="25"/>
          <w:szCs w:val="25"/>
        </w:rPr>
        <w:t xml:space="preserve">even taken as true, </w:t>
      </w:r>
      <w:r w:rsidR="00A85BCE">
        <w:rPr>
          <w:rFonts w:ascii="Aptos" w:hAnsi="Aptos" w:cs="Times New Roman"/>
          <w:sz w:val="25"/>
          <w:szCs w:val="25"/>
        </w:rPr>
        <w:lastRenderedPageBreak/>
        <w:t>Worcester’s factual allegations do not “raise a right to relief above the speculative level,” in that I could not overturn DESE’s finding that Framingham is neither programmatically nor fiscally responsible for Student’s education.</w:t>
      </w:r>
      <w:r w:rsidR="00A85BCE">
        <w:rPr>
          <w:rStyle w:val="FootnoteReference"/>
          <w:rFonts w:ascii="Aptos" w:hAnsi="Aptos" w:cs="Times New Roman"/>
          <w:sz w:val="25"/>
          <w:szCs w:val="25"/>
        </w:rPr>
        <w:footnoteReference w:id="51"/>
      </w:r>
    </w:p>
    <w:p w14:paraId="3D97EDC5" w14:textId="07DB04C3" w:rsidR="003210EF" w:rsidRDefault="00DB06E9" w:rsidP="003210EF">
      <w:pPr>
        <w:spacing w:before="240"/>
        <w:ind w:firstLine="720"/>
        <w:rPr>
          <w:rFonts w:ascii="Aptos" w:hAnsi="Aptos" w:cs="Times New Roman"/>
          <w:sz w:val="25"/>
          <w:szCs w:val="25"/>
        </w:rPr>
      </w:pPr>
      <w:r>
        <w:rPr>
          <w:rFonts w:ascii="Aptos" w:hAnsi="Aptos" w:cs="Times New Roman"/>
          <w:sz w:val="25"/>
          <w:szCs w:val="25"/>
        </w:rPr>
        <w:t xml:space="preserve">In accordance with the regulations outlined above, </w:t>
      </w:r>
      <w:r w:rsidR="003210EF">
        <w:rPr>
          <w:rFonts w:ascii="Aptos" w:hAnsi="Aptos" w:cs="Times New Roman"/>
          <w:sz w:val="25"/>
          <w:szCs w:val="25"/>
        </w:rPr>
        <w:t xml:space="preserve">where a student changes schools when his foster care setting changes, such that he enrolls in the district where his foster care setting is located, the school district where he is enrolled bears programmatic responsibility. Although Worcester emphasizes that Student was in “temporary foster care” in Worcester, WPS offers nothing to support its contention that Student’s foster placement in Worcester is different from any other foster placement; similarly, although Worcester argues that Student did not have a school placement in Worcester and was enrolled for the limited purpose of an extended evaluation, WPS cites no legal basis for its assertion that this is somehow different from enrollment corresponding to a change in foster care setting. Taking Worcester’s factual allegations as true, as well as any inferences that may reasonably be </w:t>
      </w:r>
      <w:proofErr w:type="gramStart"/>
      <w:r w:rsidR="003210EF">
        <w:rPr>
          <w:rFonts w:ascii="Aptos" w:hAnsi="Aptos" w:cs="Times New Roman"/>
          <w:sz w:val="25"/>
          <w:szCs w:val="25"/>
        </w:rPr>
        <w:t>drawn therefrom</w:t>
      </w:r>
      <w:proofErr w:type="gramEnd"/>
      <w:r w:rsidR="003210EF">
        <w:rPr>
          <w:rFonts w:ascii="Aptos" w:hAnsi="Aptos" w:cs="Times New Roman"/>
          <w:sz w:val="25"/>
          <w:szCs w:val="25"/>
        </w:rPr>
        <w:t xml:space="preserve"> in </w:t>
      </w:r>
      <w:proofErr w:type="gramStart"/>
      <w:r w:rsidR="003210EF">
        <w:rPr>
          <w:rFonts w:ascii="Aptos" w:hAnsi="Aptos" w:cs="Times New Roman"/>
          <w:sz w:val="25"/>
          <w:szCs w:val="25"/>
        </w:rPr>
        <w:t>its</w:t>
      </w:r>
      <w:proofErr w:type="gramEnd"/>
      <w:r w:rsidR="003210EF">
        <w:rPr>
          <w:rFonts w:ascii="Aptos" w:hAnsi="Aptos" w:cs="Times New Roman"/>
          <w:sz w:val="25"/>
          <w:szCs w:val="25"/>
        </w:rPr>
        <w:t xml:space="preserve"> favor, these allegations do not plausibly suggest </w:t>
      </w:r>
      <w:proofErr w:type="gramStart"/>
      <w:r w:rsidR="003210EF">
        <w:rPr>
          <w:rFonts w:ascii="Aptos" w:hAnsi="Aptos" w:cs="Times New Roman"/>
          <w:sz w:val="25"/>
          <w:szCs w:val="25"/>
        </w:rPr>
        <w:t>an entitlement</w:t>
      </w:r>
      <w:proofErr w:type="gramEnd"/>
      <w:r w:rsidR="003210EF">
        <w:rPr>
          <w:rFonts w:ascii="Aptos" w:hAnsi="Aptos" w:cs="Times New Roman"/>
          <w:sz w:val="25"/>
          <w:szCs w:val="25"/>
        </w:rPr>
        <w:t xml:space="preserve"> to relief in the form of a decision overturning DESE’s assignment of programmatic responsibility to WPS.</w:t>
      </w:r>
      <w:r w:rsidR="00E807E2">
        <w:rPr>
          <w:rStyle w:val="FootnoteReference"/>
          <w:rFonts w:ascii="Aptos" w:hAnsi="Aptos" w:cs="Times New Roman"/>
          <w:sz w:val="25"/>
          <w:szCs w:val="25"/>
        </w:rPr>
        <w:footnoteReference w:id="52"/>
      </w:r>
      <w:r w:rsidR="001754D3">
        <w:rPr>
          <w:rFonts w:ascii="Aptos" w:hAnsi="Aptos" w:cs="Times New Roman"/>
          <w:sz w:val="25"/>
          <w:szCs w:val="25"/>
        </w:rPr>
        <w:t xml:space="preserve"> </w:t>
      </w:r>
    </w:p>
    <w:p w14:paraId="1ABAF857" w14:textId="31F30A34" w:rsidR="00CE757D" w:rsidRDefault="00E807E2" w:rsidP="00CE757D">
      <w:pPr>
        <w:spacing w:before="240"/>
        <w:ind w:firstLine="720"/>
        <w:rPr>
          <w:rFonts w:ascii="Aptos" w:hAnsi="Aptos" w:cs="Times New Roman"/>
          <w:sz w:val="25"/>
          <w:szCs w:val="25"/>
        </w:rPr>
      </w:pPr>
      <w:r>
        <w:rPr>
          <w:rFonts w:ascii="Aptos" w:hAnsi="Aptos" w:cs="Times New Roman"/>
          <w:sz w:val="25"/>
          <w:szCs w:val="25"/>
        </w:rPr>
        <w:t>The last remaining issue is the assignment of fiscal responsibility for Student and whether Worcester has pled sufficient factual allegations to raise a right to relief a</w:t>
      </w:r>
      <w:r w:rsidR="002F3DC7">
        <w:rPr>
          <w:rFonts w:ascii="Aptos" w:hAnsi="Aptos" w:cs="Times New Roman"/>
          <w:sz w:val="25"/>
          <w:szCs w:val="25"/>
        </w:rPr>
        <w:t xml:space="preserve">bove </w:t>
      </w:r>
      <w:r w:rsidR="005547AC">
        <w:rPr>
          <w:rFonts w:ascii="Aptos" w:hAnsi="Aptos" w:cs="Times New Roman"/>
          <w:sz w:val="25"/>
          <w:szCs w:val="25"/>
        </w:rPr>
        <w:t>the</w:t>
      </w:r>
      <w:r w:rsidR="002F3DC7">
        <w:rPr>
          <w:rFonts w:ascii="Aptos" w:hAnsi="Aptos" w:cs="Times New Roman"/>
          <w:sz w:val="25"/>
          <w:szCs w:val="25"/>
        </w:rPr>
        <w:t xml:space="preserve"> </w:t>
      </w:r>
      <w:r>
        <w:rPr>
          <w:rFonts w:ascii="Aptos" w:hAnsi="Aptos" w:cs="Times New Roman"/>
          <w:sz w:val="25"/>
          <w:szCs w:val="25"/>
        </w:rPr>
        <w:t xml:space="preserve">speculative level – that is, whether its factual allegations plausibly suggest an entitlement to a decision from the BSEA overturning DESE’s assignment of financial responsibility to </w:t>
      </w:r>
      <w:r w:rsidR="000F1220">
        <w:rPr>
          <w:rFonts w:ascii="Aptos" w:hAnsi="Aptos" w:cs="Times New Roman"/>
          <w:sz w:val="25"/>
          <w:szCs w:val="25"/>
        </w:rPr>
        <w:t xml:space="preserve">Worcester, and </w:t>
      </w:r>
      <w:r>
        <w:rPr>
          <w:rFonts w:ascii="Aptos" w:hAnsi="Aptos" w:cs="Times New Roman"/>
          <w:sz w:val="25"/>
          <w:szCs w:val="25"/>
        </w:rPr>
        <w:t xml:space="preserve">whether WPS has sufficiently identified </w:t>
      </w:r>
      <w:r w:rsidR="000F1220">
        <w:rPr>
          <w:rFonts w:ascii="Aptos" w:hAnsi="Aptos" w:cs="Times New Roman"/>
          <w:sz w:val="25"/>
          <w:szCs w:val="25"/>
        </w:rPr>
        <w:t>the</w:t>
      </w:r>
      <w:r>
        <w:rPr>
          <w:rFonts w:ascii="Aptos" w:hAnsi="Aptos" w:cs="Times New Roman"/>
          <w:sz w:val="25"/>
          <w:szCs w:val="25"/>
        </w:rPr>
        <w:t xml:space="preserve"> school district</w:t>
      </w:r>
      <w:r w:rsidR="009B31BC">
        <w:rPr>
          <w:rFonts w:ascii="Aptos" w:hAnsi="Aptos" w:cs="Times New Roman"/>
          <w:sz w:val="25"/>
          <w:szCs w:val="25"/>
        </w:rPr>
        <w:t>(s)</w:t>
      </w:r>
      <w:r w:rsidR="000F1220">
        <w:rPr>
          <w:rFonts w:ascii="Aptos" w:hAnsi="Aptos" w:cs="Times New Roman"/>
          <w:sz w:val="25"/>
          <w:szCs w:val="25"/>
        </w:rPr>
        <w:t xml:space="preserve"> that may be responsible in its stead</w:t>
      </w:r>
      <w:r>
        <w:rPr>
          <w:rFonts w:ascii="Aptos" w:hAnsi="Aptos" w:cs="Times New Roman"/>
          <w:sz w:val="25"/>
          <w:szCs w:val="25"/>
        </w:rPr>
        <w:t>.</w:t>
      </w:r>
      <w:r w:rsidR="009B31BC">
        <w:rPr>
          <w:rStyle w:val="FootnoteReference"/>
          <w:rFonts w:ascii="Aptos" w:hAnsi="Aptos" w:cs="Times New Roman"/>
          <w:sz w:val="25"/>
          <w:szCs w:val="25"/>
        </w:rPr>
        <w:footnoteReference w:id="53"/>
      </w:r>
      <w:r w:rsidR="009B31BC">
        <w:rPr>
          <w:rFonts w:ascii="Aptos" w:hAnsi="Aptos" w:cs="Times New Roman"/>
          <w:sz w:val="25"/>
          <w:szCs w:val="25"/>
        </w:rPr>
        <w:t xml:space="preserve"> As discussed above, for a student in Student’s situation, fiscal responsibility would generally be with the school district </w:t>
      </w:r>
      <w:r w:rsidR="001D1267">
        <w:rPr>
          <w:rFonts w:ascii="Aptos" w:hAnsi="Aptos" w:cs="Times New Roman"/>
          <w:sz w:val="25"/>
          <w:szCs w:val="25"/>
        </w:rPr>
        <w:t>of Pa</w:t>
      </w:r>
      <w:r w:rsidR="009B31BC">
        <w:rPr>
          <w:rFonts w:ascii="Aptos" w:hAnsi="Aptos" w:cs="Times New Roman"/>
          <w:sz w:val="25"/>
          <w:szCs w:val="25"/>
        </w:rPr>
        <w:t>rents</w:t>
      </w:r>
      <w:r w:rsidR="001D1267">
        <w:rPr>
          <w:rFonts w:ascii="Aptos" w:hAnsi="Aptos" w:cs="Times New Roman"/>
          <w:sz w:val="25"/>
          <w:szCs w:val="25"/>
        </w:rPr>
        <w:t>’</w:t>
      </w:r>
      <w:r w:rsidR="009B31BC">
        <w:rPr>
          <w:rFonts w:ascii="Aptos" w:hAnsi="Aptos" w:cs="Times New Roman"/>
          <w:sz w:val="25"/>
          <w:szCs w:val="25"/>
        </w:rPr>
        <w:t xml:space="preserve"> </w:t>
      </w:r>
      <w:r w:rsidR="001D1267">
        <w:rPr>
          <w:rFonts w:ascii="Aptos" w:hAnsi="Aptos" w:cs="Times New Roman"/>
          <w:sz w:val="25"/>
          <w:szCs w:val="25"/>
        </w:rPr>
        <w:t>“last known Massachusetts residence</w:t>
      </w:r>
      <w:r w:rsidR="009B31BC">
        <w:rPr>
          <w:rFonts w:ascii="Aptos" w:hAnsi="Aptos" w:cs="Times New Roman"/>
          <w:sz w:val="25"/>
          <w:szCs w:val="25"/>
        </w:rPr>
        <w:t>.</w:t>
      </w:r>
      <w:r w:rsidR="001D1267">
        <w:rPr>
          <w:rFonts w:ascii="Aptos" w:hAnsi="Aptos" w:cs="Times New Roman"/>
          <w:sz w:val="25"/>
          <w:szCs w:val="25"/>
        </w:rPr>
        <w:t>”</w:t>
      </w:r>
      <w:r w:rsidR="009B31BC">
        <w:rPr>
          <w:rStyle w:val="FootnoteReference"/>
          <w:rFonts w:ascii="Aptos" w:hAnsi="Aptos" w:cs="Times New Roman"/>
          <w:sz w:val="25"/>
          <w:szCs w:val="25"/>
        </w:rPr>
        <w:footnoteReference w:id="54"/>
      </w:r>
      <w:r w:rsidR="001D1267">
        <w:rPr>
          <w:rFonts w:ascii="Aptos" w:hAnsi="Aptos" w:cs="Times New Roman"/>
          <w:sz w:val="25"/>
          <w:szCs w:val="25"/>
        </w:rPr>
        <w:t xml:space="preserve"> </w:t>
      </w:r>
      <w:r w:rsidR="00CE757D">
        <w:rPr>
          <w:rFonts w:ascii="Aptos" w:hAnsi="Aptos" w:cs="Times New Roman"/>
          <w:sz w:val="25"/>
          <w:szCs w:val="25"/>
        </w:rPr>
        <w:t xml:space="preserve">Based on the list of addresses and other history regarding Parents provided to DESE in connection with its LEA </w:t>
      </w:r>
      <w:r w:rsidR="00CA72CB">
        <w:rPr>
          <w:rFonts w:ascii="Aptos" w:hAnsi="Aptos" w:cs="Times New Roman"/>
          <w:sz w:val="25"/>
          <w:szCs w:val="25"/>
        </w:rPr>
        <w:t>A</w:t>
      </w:r>
      <w:r w:rsidR="00CE757D">
        <w:rPr>
          <w:rFonts w:ascii="Aptos" w:hAnsi="Aptos" w:cs="Times New Roman"/>
          <w:sz w:val="25"/>
          <w:szCs w:val="25"/>
        </w:rPr>
        <w:t xml:space="preserve">ssignment, the Department concluded that Parents had “never resided in Massachusetts.” By arguing that 603 CMR 28.10(5)(B)(3) applies, Worcester challenges this conclusion. </w:t>
      </w:r>
    </w:p>
    <w:p w14:paraId="5B15713D" w14:textId="03AB4AA1" w:rsidR="001754D3" w:rsidRDefault="001D1267" w:rsidP="00CE757D">
      <w:pPr>
        <w:spacing w:before="240"/>
        <w:ind w:firstLine="720"/>
        <w:rPr>
          <w:rFonts w:ascii="Aptos" w:hAnsi="Aptos" w:cs="Times New Roman"/>
          <w:sz w:val="25"/>
          <w:szCs w:val="25"/>
        </w:rPr>
      </w:pPr>
      <w:r>
        <w:rPr>
          <w:rFonts w:ascii="Aptos" w:hAnsi="Aptos" w:cs="Times New Roman"/>
          <w:sz w:val="25"/>
          <w:szCs w:val="25"/>
        </w:rPr>
        <w:t xml:space="preserve">Taking Worcester’s allegations as true, the last Massachusetts address associated with Parents was in Ashland, Massachusetts. </w:t>
      </w:r>
      <w:r w:rsidR="00CE757D">
        <w:rPr>
          <w:rFonts w:ascii="Aptos" w:hAnsi="Aptos" w:cs="Times New Roman"/>
          <w:sz w:val="25"/>
          <w:szCs w:val="25"/>
        </w:rPr>
        <w:t xml:space="preserve">The dates listed for the Ashland address (11/15/2019-1/27/2020) overlap in time with an address in Lowell, Massachusetts (10/3/2019-11/25/2019). It is unclear whether either address is associated with Mother, Father, or both. </w:t>
      </w:r>
      <w:r>
        <w:rPr>
          <w:rFonts w:ascii="Aptos" w:hAnsi="Aptos" w:cs="Times New Roman"/>
          <w:sz w:val="25"/>
          <w:szCs w:val="25"/>
        </w:rPr>
        <w:t xml:space="preserve">WPS elected not to include Ashland as a party </w:t>
      </w:r>
      <w:r w:rsidR="002F3DC7">
        <w:rPr>
          <w:rFonts w:ascii="Aptos" w:hAnsi="Aptos" w:cs="Times New Roman"/>
          <w:sz w:val="25"/>
          <w:szCs w:val="25"/>
        </w:rPr>
        <w:lastRenderedPageBreak/>
        <w:t>in</w:t>
      </w:r>
      <w:r>
        <w:rPr>
          <w:rFonts w:ascii="Aptos" w:hAnsi="Aptos" w:cs="Times New Roman"/>
          <w:sz w:val="25"/>
          <w:szCs w:val="25"/>
        </w:rPr>
        <w:t xml:space="preserve"> the </w:t>
      </w:r>
      <w:r>
        <w:rPr>
          <w:rFonts w:ascii="Aptos" w:hAnsi="Aptos" w:cs="Times New Roman"/>
          <w:i/>
          <w:iCs/>
          <w:sz w:val="25"/>
          <w:szCs w:val="25"/>
        </w:rPr>
        <w:t>Hearing Request</w:t>
      </w:r>
      <w:r>
        <w:rPr>
          <w:rFonts w:ascii="Aptos" w:hAnsi="Aptos" w:cs="Times New Roman"/>
          <w:sz w:val="25"/>
          <w:szCs w:val="25"/>
        </w:rPr>
        <w:t>, however, because</w:t>
      </w:r>
      <w:r w:rsidR="00CE757D">
        <w:rPr>
          <w:rFonts w:ascii="Aptos" w:hAnsi="Aptos" w:cs="Times New Roman"/>
          <w:sz w:val="25"/>
          <w:szCs w:val="25"/>
        </w:rPr>
        <w:t xml:space="preserve"> </w:t>
      </w:r>
      <w:r w:rsidR="001754D3">
        <w:rPr>
          <w:rFonts w:ascii="Aptos" w:hAnsi="Aptos" w:cs="Times New Roman"/>
          <w:sz w:val="25"/>
          <w:szCs w:val="25"/>
        </w:rPr>
        <w:t xml:space="preserve">according to </w:t>
      </w:r>
      <w:r w:rsidR="00CE757D">
        <w:rPr>
          <w:rFonts w:ascii="Aptos" w:hAnsi="Aptos" w:cs="Times New Roman"/>
          <w:sz w:val="25"/>
          <w:szCs w:val="25"/>
        </w:rPr>
        <w:t xml:space="preserve">the information Worcester received, </w:t>
      </w:r>
      <w:r>
        <w:rPr>
          <w:rFonts w:ascii="Aptos" w:hAnsi="Aptos" w:cs="Times New Roman"/>
          <w:sz w:val="25"/>
          <w:szCs w:val="25"/>
        </w:rPr>
        <w:t xml:space="preserve">the </w:t>
      </w:r>
      <w:r w:rsidR="00CE757D">
        <w:rPr>
          <w:rFonts w:ascii="Aptos" w:hAnsi="Aptos" w:cs="Times New Roman"/>
          <w:sz w:val="25"/>
          <w:szCs w:val="25"/>
        </w:rPr>
        <w:t xml:space="preserve">Ashland </w:t>
      </w:r>
      <w:r>
        <w:rPr>
          <w:rFonts w:ascii="Aptos" w:hAnsi="Aptos" w:cs="Times New Roman"/>
          <w:sz w:val="25"/>
          <w:szCs w:val="25"/>
        </w:rPr>
        <w:t xml:space="preserve">street address is that of a shelter. </w:t>
      </w:r>
      <w:r w:rsidR="001754D3">
        <w:rPr>
          <w:rFonts w:ascii="Aptos" w:hAnsi="Aptos" w:cs="Times New Roman"/>
          <w:sz w:val="25"/>
          <w:szCs w:val="25"/>
        </w:rPr>
        <w:t xml:space="preserve">For Worcester to succeed in its appeal of DESE’s assignment of financial responsibility to WPS, Worcester would have to </w:t>
      </w:r>
      <w:r w:rsidR="00CA72CB">
        <w:rPr>
          <w:rFonts w:ascii="Aptos" w:hAnsi="Aptos" w:cs="Times New Roman"/>
          <w:sz w:val="25"/>
          <w:szCs w:val="25"/>
        </w:rPr>
        <w:t>prove</w:t>
      </w:r>
      <w:r w:rsidR="001754D3">
        <w:rPr>
          <w:rFonts w:ascii="Aptos" w:hAnsi="Aptos" w:cs="Times New Roman"/>
          <w:sz w:val="25"/>
          <w:szCs w:val="25"/>
        </w:rPr>
        <w:t xml:space="preserve"> that the Department erred in applying 603 CMR 28.10(7), in that it should have concluded that Parents did, in fact, have a “last known Massachusetts residence” and applied 603 CMR 28.10(5)(b)(3) to find one of the school districts WPS named responsible for Student.</w:t>
      </w:r>
      <w:r w:rsidR="00CA72CB">
        <w:rPr>
          <w:rFonts w:ascii="Aptos" w:hAnsi="Aptos" w:cs="Times New Roman"/>
          <w:sz w:val="25"/>
          <w:szCs w:val="25"/>
        </w:rPr>
        <w:t xml:space="preserve"> In the alternative, Worcester may also succeed in its appeal by demonstrating that in the unique circumstances of this case, because DESE’s regulations do not squarely apply to resolve the issue of fiscal responsibility for Student, the BSEA should conclude that such responsibility lies with the Department.</w:t>
      </w:r>
    </w:p>
    <w:p w14:paraId="592B4064" w14:textId="7C2614D9" w:rsidR="00725000" w:rsidRPr="002521BD" w:rsidRDefault="001754D3" w:rsidP="002521BD">
      <w:pPr>
        <w:spacing w:before="240"/>
        <w:ind w:firstLine="720"/>
        <w:rPr>
          <w:rFonts w:ascii="Aptos" w:hAnsi="Aptos" w:cs="Times New Roman"/>
          <w:i/>
          <w:iCs/>
          <w:sz w:val="25"/>
          <w:szCs w:val="25"/>
        </w:rPr>
      </w:pPr>
      <w:r>
        <w:rPr>
          <w:rFonts w:ascii="Aptos" w:hAnsi="Aptos" w:cs="Times New Roman"/>
          <w:sz w:val="25"/>
          <w:szCs w:val="25"/>
        </w:rPr>
        <w:t>In accordance with this reasoning, Quabbin and Springfield</w:t>
      </w:r>
      <w:r w:rsidR="00FB4702">
        <w:rPr>
          <w:rFonts w:ascii="Aptos" w:hAnsi="Aptos" w:cs="Times New Roman"/>
          <w:sz w:val="25"/>
          <w:szCs w:val="25"/>
        </w:rPr>
        <w:t>, like Framingham,</w:t>
      </w:r>
      <w:r>
        <w:rPr>
          <w:rFonts w:ascii="Aptos" w:hAnsi="Aptos" w:cs="Times New Roman"/>
          <w:sz w:val="25"/>
          <w:szCs w:val="25"/>
        </w:rPr>
        <w:t xml:space="preserve"> could not be assigned responsibility for Student, as WPS has not alleged that Parents ever lived there. As I can consider only the information provided to the Department in connection with the assignment of school district responsibility,</w:t>
      </w:r>
      <w:r>
        <w:rPr>
          <w:rStyle w:val="FootnoteReference"/>
          <w:rFonts w:ascii="Aptos" w:hAnsi="Aptos" w:cs="Times New Roman"/>
          <w:sz w:val="25"/>
          <w:szCs w:val="25"/>
        </w:rPr>
        <w:footnoteReference w:id="55"/>
      </w:r>
      <w:r>
        <w:rPr>
          <w:rFonts w:ascii="Aptos" w:hAnsi="Aptos" w:cs="Times New Roman"/>
          <w:sz w:val="25"/>
          <w:szCs w:val="25"/>
        </w:rPr>
        <w:t xml:space="preserve"> </w:t>
      </w:r>
      <w:r w:rsidR="00A346B6">
        <w:rPr>
          <w:rFonts w:ascii="Aptos" w:hAnsi="Aptos" w:cs="Times New Roman"/>
          <w:sz w:val="25"/>
          <w:szCs w:val="25"/>
        </w:rPr>
        <w:t xml:space="preserve">I take as true that Parents were associated with an address in Lowell, Massachusetts from October 3, 2019 to November </w:t>
      </w:r>
      <w:r w:rsidR="00CA72CB">
        <w:rPr>
          <w:rFonts w:ascii="Aptos" w:hAnsi="Aptos" w:cs="Times New Roman"/>
          <w:sz w:val="25"/>
          <w:szCs w:val="25"/>
        </w:rPr>
        <w:t>15 or 25</w:t>
      </w:r>
      <w:r w:rsidR="00A346B6">
        <w:rPr>
          <w:rFonts w:ascii="Aptos" w:hAnsi="Aptos" w:cs="Times New Roman"/>
          <w:sz w:val="25"/>
          <w:szCs w:val="25"/>
        </w:rPr>
        <w:t xml:space="preserve">, 2019. </w:t>
      </w:r>
      <w:r w:rsidR="002521BD">
        <w:rPr>
          <w:rFonts w:ascii="Aptos" w:hAnsi="Aptos" w:cs="Times New Roman"/>
          <w:sz w:val="25"/>
          <w:szCs w:val="25"/>
        </w:rPr>
        <w:t>DESE’s determin</w:t>
      </w:r>
      <w:r w:rsidR="00FB4702">
        <w:rPr>
          <w:rFonts w:ascii="Aptos" w:hAnsi="Aptos" w:cs="Times New Roman"/>
          <w:sz w:val="25"/>
          <w:szCs w:val="25"/>
        </w:rPr>
        <w:t>ation</w:t>
      </w:r>
      <w:r w:rsidR="002521BD">
        <w:rPr>
          <w:rFonts w:ascii="Aptos" w:hAnsi="Aptos" w:cs="Times New Roman"/>
          <w:sz w:val="25"/>
          <w:szCs w:val="25"/>
        </w:rPr>
        <w:t xml:space="preserve"> that none of its regulations applied squarely to Student’s situation suggests that the Department did not view this association as sufficient to establish a last known Massachusetts residence for Parents in Lowell. At this stage in the case, I cannot say with certainty that the factual allegations set forth by Worcester, taken as true, along with the reasonable inferences that may be drawn therefrom</w:t>
      </w:r>
      <w:r w:rsidR="00FB4702">
        <w:rPr>
          <w:rFonts w:ascii="Aptos" w:hAnsi="Aptos" w:cs="Times New Roman"/>
          <w:sz w:val="25"/>
          <w:szCs w:val="25"/>
        </w:rPr>
        <w:t xml:space="preserve"> in Worcester’s favor</w:t>
      </w:r>
      <w:r w:rsidR="00CA72CB">
        <w:rPr>
          <w:rFonts w:ascii="Aptos" w:hAnsi="Aptos" w:cs="Times New Roman"/>
          <w:sz w:val="25"/>
          <w:szCs w:val="25"/>
        </w:rPr>
        <w:t>,</w:t>
      </w:r>
      <w:r w:rsidR="002521BD">
        <w:rPr>
          <w:rFonts w:ascii="Aptos" w:hAnsi="Aptos" w:cs="Times New Roman"/>
          <w:sz w:val="25"/>
          <w:szCs w:val="25"/>
        </w:rPr>
        <w:t xml:space="preserve"> do not plausibly suggest an entitlement to relief,</w:t>
      </w:r>
      <w:r w:rsidR="002521BD">
        <w:rPr>
          <w:rStyle w:val="FootnoteReference"/>
          <w:rFonts w:ascii="Aptos" w:hAnsi="Aptos" w:cs="Times New Roman"/>
          <w:sz w:val="25"/>
          <w:szCs w:val="25"/>
        </w:rPr>
        <w:footnoteReference w:id="56"/>
      </w:r>
      <w:r w:rsidR="002521BD">
        <w:rPr>
          <w:rFonts w:ascii="Aptos" w:hAnsi="Aptos" w:cs="Times New Roman"/>
          <w:sz w:val="25"/>
          <w:szCs w:val="25"/>
        </w:rPr>
        <w:t xml:space="preserve"> as WPS may be able to prove that Lowell was, in fact, Parents’ last known Massachusetts residence such that Lowell should be assigned fiscal responsibility for Student under 603 CMR 28.10(5)(b), </w:t>
      </w:r>
      <w:r w:rsidR="00363A12">
        <w:rPr>
          <w:rFonts w:ascii="Aptos" w:hAnsi="Aptos" w:cs="Times New Roman"/>
          <w:sz w:val="25"/>
          <w:szCs w:val="25"/>
        </w:rPr>
        <w:t xml:space="preserve">or </w:t>
      </w:r>
      <w:r w:rsidR="002521BD">
        <w:rPr>
          <w:rFonts w:ascii="Aptos" w:hAnsi="Aptos" w:cs="Times New Roman"/>
          <w:sz w:val="25"/>
          <w:szCs w:val="25"/>
        </w:rPr>
        <w:t>28.10(</w:t>
      </w:r>
      <w:r w:rsidR="00363A12">
        <w:rPr>
          <w:rFonts w:ascii="Aptos" w:hAnsi="Aptos" w:cs="Times New Roman"/>
          <w:sz w:val="25"/>
          <w:szCs w:val="25"/>
        </w:rPr>
        <w:t>8)(c)</w:t>
      </w:r>
      <w:r w:rsidR="00CA72CB">
        <w:rPr>
          <w:rFonts w:ascii="Aptos" w:hAnsi="Aptos" w:cs="Times New Roman"/>
          <w:sz w:val="25"/>
          <w:szCs w:val="25"/>
        </w:rPr>
        <w:t>, or that DESE should be assigned fiscal responsibility in this case</w:t>
      </w:r>
      <w:r w:rsidR="00363A12">
        <w:rPr>
          <w:rFonts w:ascii="Aptos" w:hAnsi="Aptos" w:cs="Times New Roman"/>
          <w:sz w:val="25"/>
          <w:szCs w:val="25"/>
        </w:rPr>
        <w:t>.</w:t>
      </w:r>
      <w:r w:rsidR="002521BD">
        <w:rPr>
          <w:rFonts w:ascii="Aptos" w:hAnsi="Aptos" w:cs="Times New Roman"/>
          <w:sz w:val="25"/>
          <w:szCs w:val="25"/>
        </w:rPr>
        <w:t xml:space="preserve"> </w:t>
      </w:r>
      <w:r w:rsidR="00A346B6">
        <w:rPr>
          <w:rFonts w:ascii="Aptos" w:hAnsi="Aptos" w:cs="Times New Roman"/>
          <w:sz w:val="25"/>
          <w:szCs w:val="25"/>
        </w:rPr>
        <w:t>Should Worcester</w:t>
      </w:r>
      <w:r w:rsidR="002521BD">
        <w:rPr>
          <w:rFonts w:ascii="Aptos" w:hAnsi="Aptos" w:cs="Times New Roman"/>
          <w:sz w:val="25"/>
          <w:szCs w:val="25"/>
        </w:rPr>
        <w:t xml:space="preserve"> or Lowell</w:t>
      </w:r>
      <w:r w:rsidR="00A346B6">
        <w:rPr>
          <w:rFonts w:ascii="Aptos" w:hAnsi="Aptos" w:cs="Times New Roman"/>
          <w:sz w:val="25"/>
          <w:szCs w:val="25"/>
        </w:rPr>
        <w:t xml:space="preserve"> become aware of</w:t>
      </w:r>
      <w:r w:rsidR="002521BD">
        <w:rPr>
          <w:rFonts w:ascii="Aptos" w:hAnsi="Aptos" w:cs="Times New Roman"/>
          <w:sz w:val="25"/>
          <w:szCs w:val="25"/>
        </w:rPr>
        <w:t xml:space="preserve"> additional</w:t>
      </w:r>
      <w:r w:rsidR="00A346B6">
        <w:rPr>
          <w:rFonts w:ascii="Aptos" w:hAnsi="Aptos" w:cs="Times New Roman"/>
          <w:sz w:val="25"/>
          <w:szCs w:val="25"/>
        </w:rPr>
        <w:t xml:space="preserve"> information</w:t>
      </w:r>
      <w:r w:rsidR="002521BD">
        <w:rPr>
          <w:rFonts w:ascii="Aptos" w:hAnsi="Aptos" w:cs="Times New Roman"/>
          <w:sz w:val="25"/>
          <w:szCs w:val="25"/>
        </w:rPr>
        <w:t xml:space="preserve"> regarding Parents’ association with the Lowell address that was not before the Department at the time the assignment of school district responsibility was made</w:t>
      </w:r>
      <w:r w:rsidR="00A346B6">
        <w:rPr>
          <w:rFonts w:ascii="Aptos" w:hAnsi="Aptos" w:cs="Times New Roman"/>
          <w:sz w:val="25"/>
          <w:szCs w:val="25"/>
        </w:rPr>
        <w:t xml:space="preserve">, whether through discovery or some other avenue, </w:t>
      </w:r>
      <w:r w:rsidR="002521BD">
        <w:rPr>
          <w:rFonts w:ascii="Aptos" w:hAnsi="Aptos" w:cs="Times New Roman"/>
          <w:sz w:val="25"/>
          <w:szCs w:val="25"/>
        </w:rPr>
        <w:t>the appropriate course of action would be to present this information to DESE</w:t>
      </w:r>
      <w:r w:rsidR="00A346B6">
        <w:rPr>
          <w:rFonts w:ascii="Aptos" w:hAnsi="Aptos" w:cs="Times New Roman"/>
          <w:sz w:val="25"/>
          <w:szCs w:val="25"/>
        </w:rPr>
        <w:t xml:space="preserve"> and seek review of </w:t>
      </w:r>
      <w:r w:rsidR="002521BD">
        <w:rPr>
          <w:rFonts w:ascii="Aptos" w:hAnsi="Aptos" w:cs="Times New Roman"/>
          <w:sz w:val="25"/>
          <w:szCs w:val="25"/>
        </w:rPr>
        <w:t>the LEA</w:t>
      </w:r>
      <w:r w:rsidR="00A346B6">
        <w:rPr>
          <w:rFonts w:ascii="Aptos" w:hAnsi="Aptos" w:cs="Times New Roman"/>
          <w:sz w:val="25"/>
          <w:szCs w:val="25"/>
        </w:rPr>
        <w:t xml:space="preserve"> </w:t>
      </w:r>
      <w:r w:rsidR="002521BD">
        <w:rPr>
          <w:rFonts w:ascii="Aptos" w:hAnsi="Aptos" w:cs="Times New Roman"/>
          <w:sz w:val="25"/>
          <w:szCs w:val="25"/>
        </w:rPr>
        <w:t>A</w:t>
      </w:r>
      <w:r w:rsidR="00A346B6">
        <w:rPr>
          <w:rFonts w:ascii="Aptos" w:hAnsi="Aptos" w:cs="Times New Roman"/>
          <w:sz w:val="25"/>
          <w:szCs w:val="25"/>
        </w:rPr>
        <w:t>ssignment</w:t>
      </w:r>
      <w:r w:rsidR="002521BD">
        <w:rPr>
          <w:rFonts w:ascii="Aptos" w:hAnsi="Aptos" w:cs="Times New Roman"/>
          <w:sz w:val="25"/>
          <w:szCs w:val="25"/>
        </w:rPr>
        <w:t xml:space="preserve"> underlying this appeal</w:t>
      </w:r>
      <w:r w:rsidR="00A346B6">
        <w:rPr>
          <w:rFonts w:ascii="Aptos" w:hAnsi="Aptos" w:cs="Times New Roman"/>
          <w:sz w:val="25"/>
          <w:szCs w:val="25"/>
        </w:rPr>
        <w:t>.</w:t>
      </w:r>
      <w:r w:rsidR="00A346B6">
        <w:rPr>
          <w:rStyle w:val="FootnoteReference"/>
          <w:rFonts w:ascii="Aptos" w:hAnsi="Aptos" w:cs="Times New Roman"/>
          <w:sz w:val="25"/>
          <w:szCs w:val="25"/>
        </w:rPr>
        <w:footnoteReference w:id="57"/>
      </w:r>
    </w:p>
    <w:p w14:paraId="6B45508F" w14:textId="46CC8CF8" w:rsidR="007D49DA" w:rsidRPr="00F47331" w:rsidRDefault="007D49DA" w:rsidP="00284BEB">
      <w:pPr>
        <w:shd w:val="clear" w:color="auto" w:fill="FFFFFF"/>
        <w:ind w:firstLine="720"/>
        <w:rPr>
          <w:rFonts w:ascii="Aptos" w:hAnsi="Aptos"/>
          <w:color w:val="000000" w:themeColor="text1"/>
          <w:sz w:val="25"/>
          <w:szCs w:val="25"/>
        </w:rPr>
      </w:pPr>
    </w:p>
    <w:p w14:paraId="51C2A804" w14:textId="77777777" w:rsidR="00F66C64" w:rsidRPr="00F47331" w:rsidRDefault="00F66C64" w:rsidP="00F66C64">
      <w:pPr>
        <w:pStyle w:val="NormalWeb"/>
        <w:rPr>
          <w:rFonts w:ascii="Aptos" w:hAnsi="Aptos"/>
          <w:b/>
          <w:bCs/>
          <w:color w:val="000000" w:themeColor="text1"/>
          <w:sz w:val="25"/>
          <w:szCs w:val="25"/>
        </w:rPr>
      </w:pPr>
      <w:r w:rsidRPr="00F47331">
        <w:rPr>
          <w:rFonts w:ascii="Aptos" w:hAnsi="Aptos"/>
          <w:b/>
          <w:bCs/>
          <w:color w:val="000000" w:themeColor="text1"/>
          <w:sz w:val="25"/>
          <w:szCs w:val="25"/>
        </w:rPr>
        <w:t>CONCLUSION</w:t>
      </w:r>
    </w:p>
    <w:p w14:paraId="33B476CC" w14:textId="4A17EBC5" w:rsidR="00F66C64" w:rsidRPr="00F47331" w:rsidRDefault="00F66C64" w:rsidP="00C27FC0">
      <w:pPr>
        <w:pStyle w:val="NormalWeb"/>
        <w:ind w:firstLine="720"/>
        <w:rPr>
          <w:rFonts w:ascii="Aptos" w:hAnsi="Aptos"/>
          <w:color w:val="000000" w:themeColor="text1"/>
          <w:sz w:val="25"/>
          <w:szCs w:val="25"/>
        </w:rPr>
      </w:pPr>
      <w:r w:rsidRPr="00F47331">
        <w:rPr>
          <w:rFonts w:ascii="Aptos" w:hAnsi="Aptos"/>
          <w:color w:val="000000" w:themeColor="text1"/>
          <w:sz w:val="25"/>
          <w:szCs w:val="25"/>
        </w:rPr>
        <w:lastRenderedPageBreak/>
        <w:t xml:space="preserve">Upon consideration of </w:t>
      </w:r>
      <w:r w:rsidR="00BB7EF9">
        <w:rPr>
          <w:rFonts w:ascii="Aptos" w:hAnsi="Aptos"/>
          <w:color w:val="000000" w:themeColor="text1"/>
          <w:sz w:val="25"/>
          <w:szCs w:val="25"/>
        </w:rPr>
        <w:t>DESE’s</w:t>
      </w:r>
      <w:r w:rsidR="00AC50A2">
        <w:rPr>
          <w:rFonts w:ascii="Aptos" w:hAnsi="Aptos"/>
          <w:color w:val="000000" w:themeColor="text1"/>
          <w:sz w:val="25"/>
          <w:szCs w:val="25"/>
        </w:rPr>
        <w:t xml:space="preserve"> </w:t>
      </w:r>
      <w:r w:rsidRPr="00BB7EF9">
        <w:rPr>
          <w:rFonts w:ascii="Aptos" w:hAnsi="Aptos"/>
          <w:i/>
          <w:iCs/>
          <w:color w:val="000000" w:themeColor="text1"/>
          <w:sz w:val="25"/>
          <w:szCs w:val="25"/>
        </w:rPr>
        <w:t>Motion</w:t>
      </w:r>
      <w:r w:rsidR="00BB7EF9">
        <w:rPr>
          <w:rFonts w:ascii="Aptos" w:hAnsi="Aptos"/>
          <w:color w:val="000000" w:themeColor="text1"/>
          <w:sz w:val="25"/>
          <w:szCs w:val="25"/>
        </w:rPr>
        <w:t xml:space="preserve">, FPS’s </w:t>
      </w:r>
      <w:r w:rsidR="00BB7EF9" w:rsidRPr="00BB7EF9">
        <w:rPr>
          <w:rFonts w:ascii="Aptos" w:hAnsi="Aptos"/>
          <w:i/>
          <w:iCs/>
          <w:color w:val="000000" w:themeColor="text1"/>
          <w:sz w:val="25"/>
          <w:szCs w:val="25"/>
        </w:rPr>
        <w:t>Motion</w:t>
      </w:r>
      <w:r w:rsidR="00BB7EF9">
        <w:rPr>
          <w:rFonts w:ascii="Aptos" w:hAnsi="Aptos"/>
          <w:color w:val="000000" w:themeColor="text1"/>
          <w:sz w:val="25"/>
          <w:szCs w:val="25"/>
        </w:rPr>
        <w:t xml:space="preserve">, and Worcester’s </w:t>
      </w:r>
      <w:r w:rsidR="00BB7EF9">
        <w:rPr>
          <w:rFonts w:ascii="Aptos" w:hAnsi="Aptos"/>
          <w:i/>
          <w:iCs/>
          <w:color w:val="000000" w:themeColor="text1"/>
          <w:sz w:val="25"/>
          <w:szCs w:val="25"/>
        </w:rPr>
        <w:t xml:space="preserve">Oppositions </w:t>
      </w:r>
      <w:r w:rsidR="00BB7EF9">
        <w:rPr>
          <w:rFonts w:ascii="Aptos" w:hAnsi="Aptos"/>
          <w:color w:val="000000" w:themeColor="text1"/>
          <w:sz w:val="25"/>
          <w:szCs w:val="25"/>
        </w:rPr>
        <w:t>thereto,</w:t>
      </w:r>
      <w:r w:rsidR="00A346A4">
        <w:rPr>
          <w:rFonts w:ascii="Aptos" w:hAnsi="Aptos"/>
          <w:color w:val="000000" w:themeColor="text1"/>
          <w:sz w:val="25"/>
          <w:szCs w:val="25"/>
        </w:rPr>
        <w:t xml:space="preserve"> </w:t>
      </w:r>
      <w:r w:rsidRPr="00F47331">
        <w:rPr>
          <w:rFonts w:ascii="Aptos" w:hAnsi="Aptos"/>
          <w:color w:val="000000" w:themeColor="text1"/>
          <w:sz w:val="25"/>
          <w:szCs w:val="25"/>
        </w:rPr>
        <w:t>I find that</w:t>
      </w:r>
      <w:r w:rsidR="002521BD">
        <w:rPr>
          <w:rFonts w:ascii="Aptos" w:hAnsi="Aptos"/>
          <w:color w:val="000000" w:themeColor="text1"/>
          <w:sz w:val="25"/>
          <w:szCs w:val="25"/>
        </w:rPr>
        <w:t xml:space="preserve"> Framingham has met its burden to demonstrate that any claims against FPS do not plausibly suggest an entitlement to relief. I find, further, that DESE has met its burden to demonstrate that Worcester’s </w:t>
      </w:r>
      <w:r w:rsidR="002521BD">
        <w:rPr>
          <w:rFonts w:ascii="Aptos" w:hAnsi="Aptos"/>
          <w:i/>
          <w:iCs/>
          <w:color w:val="000000" w:themeColor="text1"/>
          <w:sz w:val="25"/>
          <w:szCs w:val="25"/>
        </w:rPr>
        <w:t xml:space="preserve">Hearing Request </w:t>
      </w:r>
      <w:r w:rsidR="002521BD">
        <w:rPr>
          <w:rFonts w:ascii="Aptos" w:hAnsi="Aptos"/>
          <w:color w:val="000000" w:themeColor="text1"/>
          <w:sz w:val="25"/>
          <w:szCs w:val="25"/>
        </w:rPr>
        <w:t xml:space="preserve">does not plausibly suggest an entitlement to relief regarding the Department’s assignment of programmatic responsibility to Worcester. The Department has not, however, met its burden </w:t>
      </w:r>
      <w:proofErr w:type="gramStart"/>
      <w:r w:rsidR="002521BD">
        <w:rPr>
          <w:rFonts w:ascii="Aptos" w:hAnsi="Aptos"/>
          <w:color w:val="000000" w:themeColor="text1"/>
          <w:sz w:val="25"/>
          <w:szCs w:val="25"/>
        </w:rPr>
        <w:t>with regard to</w:t>
      </w:r>
      <w:proofErr w:type="gramEnd"/>
      <w:r w:rsidR="002521BD">
        <w:rPr>
          <w:rFonts w:ascii="Aptos" w:hAnsi="Aptos"/>
          <w:color w:val="000000" w:themeColor="text1"/>
          <w:sz w:val="25"/>
          <w:szCs w:val="25"/>
        </w:rPr>
        <w:t xml:space="preserve"> its assignment of financial responsibility for Student to Worcester.</w:t>
      </w:r>
      <w:r w:rsidR="00363A12">
        <w:rPr>
          <w:rStyle w:val="FootnoteReference"/>
          <w:rFonts w:ascii="Aptos" w:hAnsi="Aptos"/>
          <w:color w:val="000000" w:themeColor="text1"/>
          <w:sz w:val="25"/>
          <w:szCs w:val="25"/>
        </w:rPr>
        <w:footnoteReference w:id="58"/>
      </w:r>
      <w:r w:rsidR="002521BD">
        <w:rPr>
          <w:rFonts w:ascii="Aptos" w:hAnsi="Aptos"/>
          <w:color w:val="000000" w:themeColor="text1"/>
          <w:sz w:val="25"/>
          <w:szCs w:val="25"/>
        </w:rPr>
        <w:t xml:space="preserve"> </w:t>
      </w:r>
      <w:r w:rsidRPr="00F47331">
        <w:rPr>
          <w:rFonts w:ascii="Aptos" w:hAnsi="Aptos"/>
          <w:color w:val="000000" w:themeColor="text1"/>
          <w:sz w:val="25"/>
          <w:szCs w:val="25"/>
        </w:rPr>
        <w:t xml:space="preserve"> </w:t>
      </w:r>
    </w:p>
    <w:p w14:paraId="57BAB9E3" w14:textId="5BFABD7E" w:rsidR="00363A12" w:rsidRPr="00363A12" w:rsidRDefault="00F66C64" w:rsidP="00363A12">
      <w:pPr>
        <w:pStyle w:val="NormalWeb"/>
        <w:rPr>
          <w:rFonts w:ascii="Aptos" w:hAnsi="Aptos"/>
          <w:color w:val="000000" w:themeColor="text1"/>
          <w:sz w:val="25"/>
          <w:szCs w:val="25"/>
        </w:rPr>
      </w:pPr>
      <w:r w:rsidRPr="00F47331">
        <w:rPr>
          <w:rFonts w:ascii="Aptos" w:hAnsi="Aptos"/>
          <w:b/>
          <w:bCs/>
          <w:color w:val="000000" w:themeColor="text1"/>
          <w:sz w:val="25"/>
          <w:szCs w:val="25"/>
        </w:rPr>
        <w:t>ORDER</w:t>
      </w:r>
    </w:p>
    <w:p w14:paraId="0988C02F" w14:textId="05011A61" w:rsidR="00AC50A2" w:rsidRPr="00363A12" w:rsidRDefault="00363A12" w:rsidP="00F66C64">
      <w:pPr>
        <w:pStyle w:val="NormalWeb"/>
        <w:rPr>
          <w:rFonts w:ascii="Aptos" w:hAnsi="Aptos"/>
          <w:color w:val="000000" w:themeColor="text1"/>
          <w:sz w:val="25"/>
          <w:szCs w:val="25"/>
        </w:rPr>
      </w:pPr>
      <w:r>
        <w:rPr>
          <w:rFonts w:ascii="Aptos" w:hAnsi="Aptos"/>
          <w:color w:val="000000" w:themeColor="text1"/>
          <w:sz w:val="25"/>
          <w:szCs w:val="25"/>
        </w:rPr>
        <w:t xml:space="preserve">Framingham’s </w:t>
      </w:r>
      <w:r>
        <w:rPr>
          <w:rFonts w:ascii="Aptos" w:hAnsi="Aptos"/>
          <w:i/>
          <w:iCs/>
          <w:color w:val="000000" w:themeColor="text1"/>
          <w:sz w:val="25"/>
          <w:szCs w:val="25"/>
        </w:rPr>
        <w:t xml:space="preserve">Motion to Dismiss </w:t>
      </w:r>
      <w:r>
        <w:rPr>
          <w:rFonts w:ascii="Aptos" w:hAnsi="Aptos"/>
          <w:color w:val="000000" w:themeColor="text1"/>
          <w:sz w:val="25"/>
          <w:szCs w:val="25"/>
        </w:rPr>
        <w:t>is hereby ALLOWED. Framingham is hereby dismissed as a party.</w:t>
      </w:r>
    </w:p>
    <w:p w14:paraId="4903E852" w14:textId="52A37939" w:rsidR="00F66C64" w:rsidRPr="00F47331" w:rsidRDefault="00363A12" w:rsidP="00F66C64">
      <w:pPr>
        <w:pStyle w:val="NormalWeb"/>
        <w:rPr>
          <w:rFonts w:ascii="Aptos" w:hAnsi="Aptos"/>
          <w:color w:val="000000" w:themeColor="text1"/>
          <w:sz w:val="25"/>
          <w:szCs w:val="25"/>
        </w:rPr>
      </w:pPr>
      <w:r>
        <w:rPr>
          <w:rFonts w:ascii="Aptos" w:hAnsi="Aptos"/>
          <w:color w:val="000000" w:themeColor="text1"/>
          <w:sz w:val="25"/>
          <w:szCs w:val="25"/>
        </w:rPr>
        <w:t>DESE’s</w:t>
      </w:r>
      <w:r w:rsidR="00F66C64" w:rsidRPr="00F47331">
        <w:rPr>
          <w:rFonts w:ascii="Aptos" w:hAnsi="Aptos"/>
          <w:color w:val="000000" w:themeColor="text1"/>
          <w:sz w:val="25"/>
          <w:szCs w:val="25"/>
        </w:rPr>
        <w:t xml:space="preserve"> </w:t>
      </w:r>
      <w:r w:rsidR="00F66C64" w:rsidRPr="00F47331">
        <w:rPr>
          <w:rFonts w:ascii="Aptos" w:hAnsi="Aptos"/>
          <w:i/>
          <w:iCs/>
          <w:color w:val="000000" w:themeColor="text1"/>
          <w:sz w:val="25"/>
          <w:szCs w:val="25"/>
        </w:rPr>
        <w:t>Motion</w:t>
      </w:r>
      <w:r>
        <w:rPr>
          <w:rFonts w:ascii="Aptos" w:hAnsi="Aptos"/>
          <w:i/>
          <w:iCs/>
          <w:color w:val="000000" w:themeColor="text1"/>
          <w:sz w:val="25"/>
          <w:szCs w:val="25"/>
        </w:rPr>
        <w:t xml:space="preserve"> to Dismiss</w:t>
      </w:r>
      <w:r w:rsidR="00F66C64" w:rsidRPr="00F47331">
        <w:rPr>
          <w:rFonts w:ascii="Aptos" w:hAnsi="Aptos"/>
          <w:color w:val="000000" w:themeColor="text1"/>
          <w:sz w:val="25"/>
          <w:szCs w:val="25"/>
        </w:rPr>
        <w:t xml:space="preserve"> is hereby </w:t>
      </w:r>
      <w:r>
        <w:rPr>
          <w:rFonts w:ascii="Aptos" w:hAnsi="Aptos"/>
          <w:color w:val="000000" w:themeColor="text1"/>
          <w:sz w:val="25"/>
          <w:szCs w:val="25"/>
        </w:rPr>
        <w:t>ALLOWED as to programmatic responsibility but DENIED as to fiscal responsibility</w:t>
      </w:r>
      <w:r w:rsidR="00F66C64" w:rsidRPr="00F47331">
        <w:rPr>
          <w:rFonts w:ascii="Aptos" w:hAnsi="Aptos"/>
          <w:color w:val="000000" w:themeColor="text1"/>
          <w:sz w:val="25"/>
          <w:szCs w:val="25"/>
        </w:rPr>
        <w:t>.</w:t>
      </w:r>
    </w:p>
    <w:p w14:paraId="6A381516" w14:textId="3FE9BCE9" w:rsidR="00506104" w:rsidRPr="00363A12" w:rsidRDefault="00363A12" w:rsidP="00BB7EF9">
      <w:pPr>
        <w:pStyle w:val="NormalWeb"/>
        <w:rPr>
          <w:rFonts w:ascii="Aptos" w:hAnsi="Aptos"/>
          <w:color w:val="000000" w:themeColor="text1"/>
          <w:sz w:val="25"/>
          <w:szCs w:val="25"/>
        </w:rPr>
      </w:pPr>
      <w:r>
        <w:rPr>
          <w:rFonts w:ascii="Aptos" w:hAnsi="Aptos"/>
          <w:color w:val="000000" w:themeColor="text1"/>
          <w:sz w:val="25"/>
          <w:szCs w:val="25"/>
        </w:rPr>
        <w:t xml:space="preserve">Quabbin and Springfield are hereby dismissed as parties to Worcester’s </w:t>
      </w:r>
      <w:r>
        <w:rPr>
          <w:rFonts w:ascii="Aptos" w:hAnsi="Aptos"/>
          <w:i/>
          <w:iCs/>
          <w:color w:val="000000" w:themeColor="text1"/>
          <w:sz w:val="25"/>
          <w:szCs w:val="25"/>
        </w:rPr>
        <w:t>Hearing Request</w:t>
      </w:r>
      <w:r>
        <w:rPr>
          <w:rFonts w:ascii="Aptos" w:hAnsi="Aptos"/>
          <w:color w:val="000000" w:themeColor="text1"/>
          <w:sz w:val="25"/>
          <w:szCs w:val="25"/>
        </w:rPr>
        <w:t>.</w:t>
      </w:r>
    </w:p>
    <w:p w14:paraId="52BD7540" w14:textId="77777777" w:rsidR="00506104" w:rsidRDefault="00506104" w:rsidP="00C27FC0">
      <w:pPr>
        <w:pStyle w:val="NoSpacing"/>
        <w:rPr>
          <w:rFonts w:ascii="Aptos" w:hAnsi="Aptos" w:cs="Times New Roman"/>
          <w:sz w:val="25"/>
          <w:szCs w:val="25"/>
        </w:rPr>
      </w:pPr>
    </w:p>
    <w:p w14:paraId="37C1D808" w14:textId="0E336713" w:rsidR="00C27FC0" w:rsidRDefault="00C27FC0" w:rsidP="00BB7EF9">
      <w:pPr>
        <w:pStyle w:val="NoSpacing"/>
        <w:rPr>
          <w:rFonts w:ascii="Aptos" w:hAnsi="Aptos" w:cs="Times New Roman"/>
          <w:sz w:val="25"/>
          <w:szCs w:val="25"/>
        </w:rPr>
      </w:pPr>
      <w:r w:rsidRPr="00F47331">
        <w:rPr>
          <w:rFonts w:ascii="Aptos" w:hAnsi="Aptos" w:cs="Times New Roman"/>
          <w:sz w:val="25"/>
          <w:szCs w:val="25"/>
        </w:rPr>
        <w:t>By the Hearing Officer:</w:t>
      </w:r>
    </w:p>
    <w:p w14:paraId="31B94CDC" w14:textId="77777777" w:rsidR="00BB7EF9" w:rsidRPr="00BB7EF9" w:rsidRDefault="00BB7EF9" w:rsidP="00BB7EF9">
      <w:pPr>
        <w:pStyle w:val="NoSpacing"/>
        <w:rPr>
          <w:rFonts w:ascii="Aptos" w:hAnsi="Aptos" w:cs="Times New Roman"/>
          <w:sz w:val="25"/>
          <w:szCs w:val="25"/>
        </w:rPr>
      </w:pPr>
    </w:p>
    <w:p w14:paraId="228985A6" w14:textId="77777777" w:rsidR="00C27FC0" w:rsidRPr="00F47331" w:rsidRDefault="00C27FC0" w:rsidP="00C27FC0">
      <w:pPr>
        <w:rPr>
          <w:rFonts w:ascii="Aptos" w:hAnsi="Aptos"/>
          <w:sz w:val="25"/>
          <w:u w:val="single"/>
        </w:rPr>
      </w:pPr>
      <w:r w:rsidRPr="00F47331">
        <w:rPr>
          <w:rFonts w:ascii="Aptos" w:hAnsi="Aptos"/>
          <w:sz w:val="25"/>
          <w:u w:val="single"/>
        </w:rPr>
        <w:t xml:space="preserve">  /s/  </w:t>
      </w:r>
      <w:r w:rsidRPr="002A3944">
        <w:rPr>
          <w:rFonts w:ascii="Lucida Handwriting" w:hAnsi="Lucida Handwriting"/>
          <w:sz w:val="32"/>
          <w:szCs w:val="32"/>
          <w:u w:val="single"/>
        </w:rPr>
        <w:t>Amy Reichbach</w:t>
      </w:r>
      <w:r w:rsidRPr="002A3944">
        <w:rPr>
          <w:rFonts w:ascii="Lucida Handwriting" w:hAnsi="Lucida Handwriting" w:cs="Times New Roman"/>
          <w:sz w:val="25"/>
          <w:szCs w:val="25"/>
        </w:rPr>
        <w:tab/>
      </w:r>
      <w:r w:rsidRPr="00F47331">
        <w:rPr>
          <w:rFonts w:ascii="Aptos" w:hAnsi="Aptos" w:cs="Times New Roman"/>
          <w:sz w:val="25"/>
          <w:szCs w:val="25"/>
        </w:rPr>
        <w:tab/>
      </w:r>
      <w:r w:rsidRPr="00F47331">
        <w:rPr>
          <w:rFonts w:ascii="Aptos" w:hAnsi="Aptos" w:cs="Times New Roman"/>
          <w:sz w:val="25"/>
          <w:szCs w:val="25"/>
        </w:rPr>
        <w:tab/>
      </w:r>
      <w:r w:rsidRPr="00F47331">
        <w:rPr>
          <w:rFonts w:ascii="Aptos" w:hAnsi="Aptos" w:cs="Times New Roman"/>
          <w:sz w:val="25"/>
          <w:szCs w:val="25"/>
        </w:rPr>
        <w:tab/>
      </w:r>
      <w:r w:rsidRPr="00F47331">
        <w:rPr>
          <w:rFonts w:ascii="Aptos" w:hAnsi="Aptos" w:cs="Times New Roman"/>
          <w:sz w:val="25"/>
          <w:szCs w:val="25"/>
        </w:rPr>
        <w:tab/>
      </w:r>
      <w:r w:rsidRPr="00F47331">
        <w:rPr>
          <w:rFonts w:ascii="Aptos" w:hAnsi="Aptos" w:cs="Times New Roman"/>
          <w:sz w:val="25"/>
          <w:szCs w:val="25"/>
        </w:rPr>
        <w:tab/>
      </w:r>
      <w:r w:rsidRPr="00F47331">
        <w:rPr>
          <w:rFonts w:ascii="Aptos" w:hAnsi="Aptos" w:cs="Times New Roman"/>
          <w:sz w:val="25"/>
          <w:szCs w:val="25"/>
        </w:rPr>
        <w:tab/>
      </w:r>
    </w:p>
    <w:p w14:paraId="10D8E383" w14:textId="77777777" w:rsidR="00C27FC0" w:rsidRPr="00F47331" w:rsidRDefault="00C27FC0" w:rsidP="00C27FC0">
      <w:pPr>
        <w:pStyle w:val="NoSpacing"/>
        <w:rPr>
          <w:rFonts w:ascii="Aptos" w:hAnsi="Aptos" w:cs="Times New Roman"/>
          <w:sz w:val="25"/>
          <w:szCs w:val="25"/>
        </w:rPr>
      </w:pPr>
      <w:r w:rsidRPr="00F47331">
        <w:rPr>
          <w:rFonts w:ascii="Aptos" w:hAnsi="Aptos" w:cs="Times New Roman"/>
          <w:sz w:val="25"/>
          <w:szCs w:val="25"/>
        </w:rPr>
        <w:t>Amy M. Reichbach</w:t>
      </w:r>
    </w:p>
    <w:p w14:paraId="6B9CC086" w14:textId="0B6A85BD" w:rsidR="00C27FC0" w:rsidRDefault="00C27FC0" w:rsidP="00C27FC0">
      <w:pPr>
        <w:pStyle w:val="NoSpacing"/>
        <w:rPr>
          <w:rFonts w:ascii="Aptos" w:hAnsi="Aptos" w:cs="Times New Roman"/>
          <w:sz w:val="25"/>
          <w:szCs w:val="25"/>
        </w:rPr>
      </w:pPr>
      <w:r w:rsidRPr="00F47331">
        <w:rPr>
          <w:rFonts w:ascii="Aptos" w:hAnsi="Aptos" w:cs="Times New Roman"/>
          <w:sz w:val="25"/>
          <w:szCs w:val="25"/>
        </w:rPr>
        <w:t>Dated:</w:t>
      </w:r>
      <w:r w:rsidR="00A346A4">
        <w:rPr>
          <w:rFonts w:ascii="Aptos" w:hAnsi="Aptos" w:cs="Times New Roman"/>
          <w:sz w:val="25"/>
          <w:szCs w:val="25"/>
        </w:rPr>
        <w:t xml:space="preserve">  March 2, 2026</w:t>
      </w:r>
    </w:p>
    <w:p w14:paraId="1445A91B" w14:textId="77777777" w:rsidR="00704CA3" w:rsidRDefault="00704CA3" w:rsidP="00C27FC0">
      <w:pPr>
        <w:pStyle w:val="NoSpacing"/>
        <w:rPr>
          <w:rFonts w:ascii="Aptos" w:hAnsi="Aptos" w:cs="Times New Roman"/>
          <w:sz w:val="25"/>
          <w:szCs w:val="25"/>
        </w:rPr>
      </w:pPr>
    </w:p>
    <w:p w14:paraId="5F7EADD7" w14:textId="69360D83" w:rsidR="00704CA3" w:rsidRPr="00F47331" w:rsidRDefault="00704CA3" w:rsidP="00C27FC0">
      <w:pPr>
        <w:pStyle w:val="NoSpacing"/>
        <w:rPr>
          <w:rFonts w:ascii="Aptos" w:hAnsi="Aptos" w:cs="Times New Roman"/>
          <w:sz w:val="25"/>
          <w:szCs w:val="25"/>
        </w:rPr>
      </w:pPr>
    </w:p>
    <w:p w14:paraId="018F94EA" w14:textId="77777777" w:rsidR="00C27FC0" w:rsidRPr="00F47331" w:rsidRDefault="00C27FC0" w:rsidP="00F66C64">
      <w:pPr>
        <w:rPr>
          <w:rFonts w:ascii="Aptos" w:hAnsi="Aptos"/>
          <w:sz w:val="25"/>
          <w:szCs w:val="25"/>
        </w:rPr>
      </w:pPr>
    </w:p>
    <w:p w14:paraId="55A519D9" w14:textId="53FBF9A8" w:rsidR="00B73E08" w:rsidRDefault="00B73E08">
      <w:pPr>
        <w:rPr>
          <w:rFonts w:ascii="Aptos" w:hAnsi="Aptos"/>
          <w:sz w:val="25"/>
          <w:szCs w:val="25"/>
        </w:rPr>
      </w:pPr>
      <w:r>
        <w:rPr>
          <w:rFonts w:ascii="Aptos" w:hAnsi="Aptos"/>
          <w:sz w:val="25"/>
          <w:szCs w:val="25"/>
        </w:rPr>
        <w:br w:type="page"/>
      </w:r>
    </w:p>
    <w:p w14:paraId="64AA8BF2" w14:textId="77777777" w:rsidR="00B73E08" w:rsidRDefault="00B73E08" w:rsidP="00B73E08">
      <w:pPr>
        <w:jc w:val="center"/>
        <w:rPr>
          <w:rFonts w:eastAsia="Times New Roman" w:cs="Times New Roman"/>
          <w:b/>
          <w:bCs/>
          <w:color w:val="000000"/>
          <w:kern w:val="0"/>
          <w:sz w:val="28"/>
          <w:szCs w:val="28"/>
          <w14:ligatures w14:val="none"/>
        </w:rPr>
      </w:pPr>
      <w:r w:rsidRPr="003E019C">
        <w:rPr>
          <w:rFonts w:eastAsia="Times New Roman" w:cs="Times New Roman"/>
          <w:b/>
          <w:bCs/>
          <w:color w:val="000000"/>
          <w:kern w:val="0"/>
          <w:sz w:val="28"/>
          <w:szCs w:val="28"/>
          <w14:ligatures w14:val="none"/>
        </w:rPr>
        <w:lastRenderedPageBreak/>
        <w:t>COMMONWEALTH OF MASSACHUSETTS</w:t>
      </w:r>
    </w:p>
    <w:p w14:paraId="7DC7A524" w14:textId="77777777" w:rsidR="00B73E08" w:rsidRPr="004C49CB" w:rsidRDefault="00B73E08" w:rsidP="00B73E08">
      <w:pPr>
        <w:jc w:val="center"/>
        <w:rPr>
          <w:rFonts w:eastAsia="Times New Roman" w:cs="Times New Roman"/>
          <w:b/>
          <w:bCs/>
          <w:color w:val="000000"/>
          <w:kern w:val="0"/>
          <w:sz w:val="28"/>
          <w:szCs w:val="28"/>
          <w14:ligatures w14:val="none"/>
        </w:rPr>
      </w:pPr>
      <w:r w:rsidRPr="004C49CB">
        <w:rPr>
          <w:rFonts w:eastAsia="Times New Roman" w:cs="Times New Roman"/>
          <w:b/>
          <w:bCs/>
          <w:color w:val="000000"/>
          <w:kern w:val="0"/>
          <w:sz w:val="28"/>
          <w:szCs w:val="28"/>
          <w14:ligatures w14:val="none"/>
        </w:rPr>
        <w:t>BUREAU OF SPECIAL EDUCATION APPEALS</w:t>
      </w:r>
    </w:p>
    <w:p w14:paraId="6F175B4C" w14:textId="77777777" w:rsidR="00B73E08" w:rsidRDefault="00B73E08" w:rsidP="00B73E08">
      <w:pPr>
        <w:jc w:val="center"/>
        <w:rPr>
          <w:rFonts w:eastAsia="Times New Roman" w:cs="Times New Roman"/>
          <w:b/>
          <w:bCs/>
          <w:color w:val="000000"/>
          <w:kern w:val="0"/>
          <w:sz w:val="26"/>
          <w:szCs w:val="26"/>
          <w:u w:val="single" w:color="000000"/>
          <w14:ligatures w14:val="none"/>
        </w:rPr>
      </w:pPr>
      <w:r w:rsidRPr="003E019C">
        <w:rPr>
          <w:rFonts w:eastAsia="Times New Roman" w:cs="Times New Roman"/>
          <w:b/>
          <w:bCs/>
          <w:color w:val="000000"/>
          <w:kern w:val="0"/>
          <w:sz w:val="26"/>
          <w:szCs w:val="26"/>
          <w:u w:val="single" w:color="000000"/>
          <w14:ligatures w14:val="none"/>
        </w:rPr>
        <w:t>EFFECT OF FINAL BSEA ACTIONS AND RIGHTS OF APPEAL</w:t>
      </w:r>
    </w:p>
    <w:p w14:paraId="6E167150" w14:textId="77777777" w:rsidR="00B73E08" w:rsidRPr="003E019C" w:rsidRDefault="00B73E08" w:rsidP="00B73E08">
      <w:pPr>
        <w:tabs>
          <w:tab w:val="center" w:pos="440"/>
          <w:tab w:val="center" w:pos="4627"/>
        </w:tabs>
        <w:jc w:val="center"/>
        <w:rPr>
          <w:rFonts w:eastAsia="Times New Roman" w:cs="Times New Roman"/>
          <w:b/>
          <w:bCs/>
          <w:color w:val="000000"/>
          <w:kern w:val="0"/>
          <w:sz w:val="26"/>
          <w:szCs w:val="26"/>
          <w14:ligatures w14:val="none"/>
        </w:rPr>
      </w:pPr>
    </w:p>
    <w:p w14:paraId="6E05E9E5" w14:textId="77777777" w:rsidR="00B73E08" w:rsidRPr="003E019C" w:rsidRDefault="00B73E08" w:rsidP="00B73E08">
      <w:pPr>
        <w:keepNext/>
        <w:keepLines/>
        <w:outlineLvl w:val="0"/>
        <w:rPr>
          <w:rFonts w:eastAsia="Times New Roman" w:cs="Times New Roman"/>
          <w:b/>
          <w:bCs/>
          <w:color w:val="000000"/>
          <w:kern w:val="0"/>
          <w:u w:val="single" w:color="000000"/>
          <w14:ligatures w14:val="none"/>
        </w:rPr>
      </w:pPr>
      <w:r w:rsidRPr="003E019C">
        <w:rPr>
          <w:rFonts w:eastAsia="Times New Roman" w:cs="Times New Roman"/>
          <w:b/>
          <w:bCs/>
          <w:color w:val="000000"/>
          <w:kern w:val="0"/>
          <w:u w:val="single" w:color="000000"/>
          <w14:ligatures w14:val="none"/>
        </w:rPr>
        <w:t>Effect of BSEA Decision, Dismissal with Prejudice and Allowance of Motion for Summary Judgment</w:t>
      </w:r>
    </w:p>
    <w:p w14:paraId="73EADC51" w14:textId="77777777" w:rsidR="00B73E08" w:rsidRPr="003E019C" w:rsidRDefault="00B73E08" w:rsidP="00B73E08">
      <w:pPr>
        <w:spacing w:after="312" w:line="250" w:lineRule="auto"/>
        <w:ind w:left="43" w:firstLine="5"/>
        <w:rPr>
          <w:rFonts w:eastAsia="Times New Roman" w:cs="Times New Roman"/>
          <w:color w:val="000000"/>
          <w:kern w:val="0"/>
          <w14:ligatures w14:val="none"/>
        </w:rPr>
      </w:pPr>
      <w:r w:rsidRPr="003E019C">
        <w:rPr>
          <w:rFonts w:eastAsia="Times New Roman" w:cs="Times New Roman"/>
          <w:color w:val="000000"/>
          <w:kern w:val="0"/>
          <w14:ligatures w14:val="none"/>
        </w:rPr>
        <w:t xml:space="preserve">20 U.S.C. s. 1415(i)(1)(B) requires that a decision of the Bureau of Special Education Appeals be final and subject to no further agency review. Similarly, </w:t>
      </w:r>
      <w:proofErr w:type="gramStart"/>
      <w:r w:rsidRPr="003E019C">
        <w:rPr>
          <w:rFonts w:eastAsia="Times New Roman" w:cs="Times New Roman"/>
          <w:color w:val="000000"/>
          <w:kern w:val="0"/>
          <w14:ligatures w14:val="none"/>
        </w:rPr>
        <w:t>a Ruling</w:t>
      </w:r>
      <w:proofErr w:type="gramEnd"/>
      <w:r w:rsidRPr="003E019C">
        <w:rPr>
          <w:rFonts w:eastAsia="Times New Roman" w:cs="Times New Roman"/>
          <w:color w:val="000000"/>
          <w:kern w:val="0"/>
          <w14:ligatures w14:val="none"/>
        </w:rPr>
        <w:t xml:space="preserve"> Dismissing a Matter with Prejudice and </w:t>
      </w:r>
      <w:proofErr w:type="gramStart"/>
      <w:r w:rsidRPr="003E019C">
        <w:rPr>
          <w:rFonts w:eastAsia="Times New Roman" w:cs="Times New Roman"/>
          <w:color w:val="000000"/>
          <w:kern w:val="0"/>
          <w14:ligatures w14:val="none"/>
        </w:rPr>
        <w:t>a Ruling</w:t>
      </w:r>
      <w:proofErr w:type="gramEnd"/>
      <w:r w:rsidRPr="003E019C">
        <w:rPr>
          <w:rFonts w:eastAsia="Times New Roman" w:cs="Times New Roman"/>
          <w:color w:val="000000"/>
          <w:kern w:val="0"/>
          <w14:ligatures w14:val="none"/>
        </w:rPr>
        <w:t xml:space="preserve">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1412FF72" w14:textId="77777777" w:rsidR="00B73E08" w:rsidRPr="003E019C" w:rsidRDefault="00B73E08" w:rsidP="00B73E08">
      <w:pPr>
        <w:spacing w:after="312" w:line="250" w:lineRule="auto"/>
        <w:ind w:left="43" w:firstLine="5"/>
        <w:rPr>
          <w:rFonts w:eastAsia="Times New Roman" w:cs="Times New Roman"/>
          <w:color w:val="000000"/>
          <w:kern w:val="0"/>
          <w14:ligatures w14:val="none"/>
        </w:rPr>
      </w:pPr>
      <w:r w:rsidRPr="003E019C">
        <w:rPr>
          <w:rFonts w:eastAsia="Times New Roman" w:cs="Times New Roman"/>
          <w:color w:val="000000"/>
          <w:kern w:val="0"/>
          <w14:ligatures w14:val="none"/>
        </w:rPr>
        <w:t>Accordingly</w:t>
      </w:r>
      <w:r w:rsidRPr="003E019C">
        <w:rPr>
          <w:rFonts w:eastAsia="Times New Roman" w:cs="Times New Roman"/>
          <w:strike/>
          <w:color w:val="000000"/>
          <w:kern w:val="0"/>
          <w14:ligatures w14:val="none"/>
        </w:rPr>
        <w:t>,</w:t>
      </w:r>
      <w:r w:rsidRPr="003E019C">
        <w:rPr>
          <w:rFonts w:eastAsia="Times New Roman" w:cs="Times New Roman"/>
          <w:color w:val="000000"/>
          <w:kern w:val="0"/>
          <w14:ligatures w14:val="none"/>
        </w:rPr>
        <w:t xml:space="preserve"> the Bureau cannot permit motions to reconsider or to re-open either a Bureau decision or the Rulings set forth above once they have issued. They are final subject only to judicial (court) review.</w:t>
      </w:r>
    </w:p>
    <w:p w14:paraId="37DE812C" w14:textId="77777777" w:rsidR="00B73E08" w:rsidRPr="003E019C" w:rsidRDefault="00B73E08" w:rsidP="00B73E08">
      <w:pPr>
        <w:spacing w:after="292" w:line="243" w:lineRule="auto"/>
        <w:ind w:left="19" w:right="62"/>
        <w:jc w:val="both"/>
        <w:rPr>
          <w:rFonts w:eastAsia="Times New Roman" w:cs="Times New Roman"/>
          <w:color w:val="000000"/>
          <w:kern w:val="0"/>
          <w14:ligatures w14:val="none"/>
        </w:rPr>
      </w:pPr>
      <w:r w:rsidRPr="003E019C">
        <w:rPr>
          <w:rFonts w:eastAsia="Times New Roman" w:cs="Times New Roman"/>
          <w:color w:val="000000"/>
          <w:kern w:val="0"/>
          <w14:ligatures w14:val="none"/>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6E0E36C5" w14:textId="77777777" w:rsidR="00B73E08" w:rsidRPr="003E019C" w:rsidRDefault="00B73E08" w:rsidP="00B73E08">
      <w:pPr>
        <w:spacing w:after="292" w:line="243" w:lineRule="auto"/>
        <w:ind w:left="19" w:right="62"/>
        <w:jc w:val="both"/>
        <w:rPr>
          <w:rFonts w:eastAsia="Times New Roman" w:cs="Times New Roman"/>
          <w:color w:val="000000"/>
          <w:kern w:val="0"/>
          <w14:ligatures w14:val="none"/>
        </w:rPr>
      </w:pPr>
      <w:r w:rsidRPr="003E019C">
        <w:rPr>
          <w:rFonts w:eastAsia="Times New Roman" w:cs="Times New Roman"/>
          <w:color w:val="000000"/>
          <w:kern w:val="0"/>
          <w14:ligatures w14:val="none"/>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32580FD7" w14:textId="77777777" w:rsidR="00B73E08" w:rsidRDefault="00B73E08" w:rsidP="00B73E08">
      <w:pPr>
        <w:spacing w:line="243" w:lineRule="auto"/>
        <w:ind w:left="19" w:right="62"/>
        <w:jc w:val="both"/>
        <w:rPr>
          <w:rFonts w:eastAsia="Times New Roman" w:cs="Times New Roman"/>
          <w:color w:val="000000"/>
          <w:kern w:val="0"/>
          <w14:ligatures w14:val="none"/>
        </w:rPr>
      </w:pPr>
      <w:r w:rsidRPr="003E019C">
        <w:rPr>
          <w:rFonts w:eastAsia="Times New Roman" w:cs="Times New Roman"/>
          <w:color w:val="000000"/>
          <w:kern w:val="0"/>
          <w14:ligatures w14:val="none"/>
        </w:rPr>
        <w:t xml:space="preserve">Therefore, where the Bureau has ordered the public school to place the child in a new placement, and the parents or guardian agree with that order, the public school shall immediately implement the placement ordered by the Bureau.  </w:t>
      </w:r>
      <w:r w:rsidRPr="003E019C">
        <w:rPr>
          <w:rFonts w:eastAsia="Times New Roman" w:cs="Times New Roman"/>
          <w:i/>
          <w:iCs/>
          <w:color w:val="000000"/>
          <w:kern w:val="0"/>
          <w14:ligatures w14:val="none"/>
        </w:rPr>
        <w:t>School Committee of Burlington v. Massachusetts Department of Education</w:t>
      </w:r>
      <w:r w:rsidRPr="003E019C">
        <w:rPr>
          <w:rFonts w:eastAsia="Times New Roman" w:cs="Times New Roman"/>
          <w:color w:val="000000"/>
          <w:kern w:val="0"/>
          <w14:ligatures w14:val="none"/>
        </w:rPr>
        <w:t xml:space="preserve">, 471 U.S. 359 (1985).  Otherwise, a party seeking to change the child’s placement while judicial proceedings are pending must ask the court </w:t>
      </w:r>
      <w:proofErr w:type="gramStart"/>
      <w:r w:rsidRPr="003E019C">
        <w:rPr>
          <w:rFonts w:eastAsia="Times New Roman" w:cs="Times New Roman"/>
          <w:color w:val="000000"/>
          <w:kern w:val="0"/>
          <w14:ligatures w14:val="none"/>
        </w:rPr>
        <w:t>having</w:t>
      </w:r>
      <w:proofErr w:type="gramEnd"/>
      <w:r w:rsidRPr="003E019C">
        <w:rPr>
          <w:rFonts w:eastAsia="Times New Roman" w:cs="Times New Roman"/>
          <w:color w:val="000000"/>
          <w:kern w:val="0"/>
          <w14:ligatures w14:val="none"/>
        </w:rPr>
        <w:t xml:space="preserve"> jurisdiction over the appeal to grant a preliminary injunction ordering such a change in placement. </w:t>
      </w:r>
      <w:r w:rsidRPr="003E019C">
        <w:rPr>
          <w:rFonts w:eastAsia="Times New Roman" w:cs="Times New Roman"/>
          <w:i/>
          <w:iCs/>
          <w:color w:val="000000"/>
          <w:kern w:val="0"/>
          <w14:ligatures w14:val="none"/>
        </w:rPr>
        <w:t>Honig v. Doe</w:t>
      </w:r>
      <w:r w:rsidRPr="003E019C">
        <w:rPr>
          <w:rFonts w:eastAsia="Times New Roman" w:cs="Times New Roman"/>
          <w:color w:val="000000"/>
          <w:kern w:val="0"/>
          <w14:ligatures w14:val="none"/>
        </w:rPr>
        <w:t xml:space="preserve">, 484 U.S. 305 (1988); </w:t>
      </w:r>
      <w:r w:rsidRPr="003E019C">
        <w:rPr>
          <w:rFonts w:eastAsia="Times New Roman" w:cs="Times New Roman"/>
          <w:i/>
          <w:iCs/>
          <w:color w:val="000000"/>
          <w:kern w:val="0"/>
          <w14:ligatures w14:val="none"/>
        </w:rPr>
        <w:t>Doe v. Brookline</w:t>
      </w:r>
      <w:r w:rsidRPr="003E019C">
        <w:rPr>
          <w:rFonts w:eastAsia="Times New Roman" w:cs="Times New Roman"/>
          <w:color w:val="000000"/>
          <w:kern w:val="0"/>
          <w14:ligatures w14:val="none"/>
        </w:rPr>
        <w:t>, 722 F.2d 910 (1</w:t>
      </w:r>
      <w:r w:rsidRPr="003E019C">
        <w:rPr>
          <w:rFonts w:eastAsia="Times New Roman" w:cs="Times New Roman"/>
          <w:color w:val="000000"/>
          <w:kern w:val="0"/>
          <w:vertAlign w:val="superscript"/>
          <w14:ligatures w14:val="none"/>
        </w:rPr>
        <w:t>st</w:t>
      </w:r>
      <w:r w:rsidRPr="003E019C">
        <w:rPr>
          <w:rFonts w:eastAsia="Times New Roman" w:cs="Times New Roman"/>
          <w:color w:val="000000"/>
          <w:kern w:val="0"/>
          <w14:ligatures w14:val="none"/>
        </w:rPr>
        <w:t xml:space="preserve"> Cir. 1983).</w:t>
      </w:r>
    </w:p>
    <w:p w14:paraId="776470B6" w14:textId="77777777" w:rsidR="00B73E08" w:rsidRPr="003E019C" w:rsidRDefault="00B73E08" w:rsidP="00B73E08">
      <w:pPr>
        <w:spacing w:line="243" w:lineRule="auto"/>
        <w:ind w:left="19" w:right="62"/>
        <w:jc w:val="both"/>
        <w:rPr>
          <w:rFonts w:eastAsia="Times New Roman" w:cs="Times New Roman"/>
          <w:color w:val="000000"/>
          <w:kern w:val="0"/>
          <w14:ligatures w14:val="none"/>
        </w:rPr>
      </w:pPr>
    </w:p>
    <w:p w14:paraId="6344EC81" w14:textId="77777777" w:rsidR="00B73E08" w:rsidRPr="003E019C" w:rsidRDefault="00B73E08" w:rsidP="00B73E08">
      <w:pPr>
        <w:keepNext/>
        <w:keepLines/>
        <w:ind w:hanging="10"/>
        <w:outlineLvl w:val="0"/>
        <w:rPr>
          <w:rFonts w:eastAsia="Times New Roman" w:cs="Times New Roman"/>
          <w:b/>
          <w:bCs/>
          <w:color w:val="000000"/>
          <w:kern w:val="0"/>
          <w:u w:val="single" w:color="000000"/>
          <w14:ligatures w14:val="none"/>
        </w:rPr>
      </w:pPr>
      <w:r w:rsidRPr="003E019C">
        <w:rPr>
          <w:rFonts w:eastAsia="Times New Roman" w:cs="Times New Roman"/>
          <w:b/>
          <w:bCs/>
          <w:color w:val="000000"/>
          <w:kern w:val="0"/>
          <w:u w:val="single" w:color="000000"/>
          <w14:ligatures w14:val="none"/>
        </w:rPr>
        <w:t>Compliance</w:t>
      </w:r>
    </w:p>
    <w:p w14:paraId="6631EA67" w14:textId="77777777" w:rsidR="00B73E08" w:rsidRDefault="00B73E08" w:rsidP="00B73E08">
      <w:pPr>
        <w:spacing w:line="243" w:lineRule="auto"/>
        <w:ind w:left="19" w:right="172"/>
        <w:jc w:val="both"/>
        <w:rPr>
          <w:rFonts w:eastAsia="Times New Roman" w:cs="Times New Roman"/>
          <w:color w:val="000000"/>
          <w:kern w:val="0"/>
          <w14:ligatures w14:val="none"/>
        </w:rPr>
      </w:pPr>
      <w:r w:rsidRPr="003E019C">
        <w:rPr>
          <w:rFonts w:eastAsia="Times New Roman" w:cs="Times New Roman"/>
          <w:color w:val="000000"/>
          <w:kern w:val="0"/>
          <w14:ligatures w14:val="none"/>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w:t>
      </w:r>
      <w:r w:rsidRPr="003E019C">
        <w:rPr>
          <w:rFonts w:eastAsia="Times New Roman" w:cs="Times New Roman"/>
          <w:color w:val="000000"/>
          <w:kern w:val="0"/>
          <w14:ligatures w14:val="none"/>
        </w:rPr>
        <w:lastRenderedPageBreak/>
        <w:t xml:space="preserve">Hearing Officer may convene a hearing at which the scope of the inquiry shall be limited to the facts on the issue of compliance, facts of </w:t>
      </w:r>
      <w:proofErr w:type="gramStart"/>
      <w:r w:rsidRPr="003E019C">
        <w:rPr>
          <w:rFonts w:eastAsia="Times New Roman" w:cs="Times New Roman"/>
          <w:color w:val="000000"/>
          <w:kern w:val="0"/>
          <w14:ligatures w14:val="none"/>
        </w:rPr>
        <w:t>such a</w:t>
      </w:r>
      <w:proofErr w:type="gramEnd"/>
      <w:r w:rsidRPr="003E019C">
        <w:rPr>
          <w:rFonts w:eastAsia="Times New Roman" w:cs="Times New Roman"/>
          <w:color w:val="000000"/>
          <w:kern w:val="0"/>
          <w14:ligatures w14:val="none"/>
        </w:rPr>
        <w:t xml:space="preserve"> nature as to excuse performance, and facts bearing on a remedy. Upon </w:t>
      </w:r>
      <w:proofErr w:type="gramStart"/>
      <w:r w:rsidRPr="003E019C">
        <w:rPr>
          <w:rFonts w:eastAsia="Times New Roman" w:cs="Times New Roman"/>
          <w:color w:val="000000"/>
          <w:kern w:val="0"/>
          <w14:ligatures w14:val="none"/>
        </w:rPr>
        <w:t>a finding of</w:t>
      </w:r>
      <w:proofErr w:type="gramEnd"/>
      <w:r w:rsidRPr="003E019C">
        <w:rPr>
          <w:rFonts w:eastAsia="Times New Roman" w:cs="Times New Roman"/>
          <w:color w:val="000000"/>
          <w:kern w:val="0"/>
          <w14:ligatures w14:val="none"/>
        </w:rPr>
        <w:t xml:space="preserve"> non-compliance, the Hearing Officer may fashion appropriate relief, including referral of the matter to the Legal Office of the Department of Elementary and Secondary Education or other office for appropriate enforcement action. 603 CMR 28.08(6)(b).</w:t>
      </w:r>
    </w:p>
    <w:p w14:paraId="23FA4D95" w14:textId="77777777" w:rsidR="00B73E08" w:rsidRPr="003E019C" w:rsidRDefault="00B73E08" w:rsidP="00B73E08">
      <w:pPr>
        <w:spacing w:line="243" w:lineRule="auto"/>
        <w:ind w:left="19" w:right="172"/>
        <w:jc w:val="both"/>
        <w:rPr>
          <w:rFonts w:eastAsia="Times New Roman" w:cs="Times New Roman"/>
          <w:color w:val="000000"/>
          <w:kern w:val="0"/>
          <w14:ligatures w14:val="none"/>
        </w:rPr>
      </w:pPr>
    </w:p>
    <w:p w14:paraId="547F10A3" w14:textId="77777777" w:rsidR="00B73E08" w:rsidRPr="003E019C" w:rsidRDefault="00B73E08" w:rsidP="00B73E08">
      <w:pPr>
        <w:keepNext/>
        <w:keepLines/>
        <w:ind w:left="-5" w:hanging="10"/>
        <w:outlineLvl w:val="0"/>
        <w:rPr>
          <w:rFonts w:eastAsia="Times New Roman" w:cs="Times New Roman"/>
          <w:b/>
          <w:bCs/>
          <w:color w:val="000000"/>
          <w:kern w:val="0"/>
          <w:u w:val="single" w:color="000000"/>
          <w14:ligatures w14:val="none"/>
        </w:rPr>
      </w:pPr>
      <w:r w:rsidRPr="003E019C">
        <w:rPr>
          <w:rFonts w:eastAsia="Times New Roman" w:cs="Times New Roman"/>
          <w:b/>
          <w:bCs/>
          <w:color w:val="000000"/>
          <w:kern w:val="0"/>
          <w:u w:val="single" w:color="000000"/>
          <w14:ligatures w14:val="none"/>
        </w:rPr>
        <w:t>Rights of Appeal</w:t>
      </w:r>
    </w:p>
    <w:p w14:paraId="29AE304E" w14:textId="77777777" w:rsidR="00B73E08" w:rsidRPr="003E019C" w:rsidRDefault="00B73E08" w:rsidP="00B73E08">
      <w:pPr>
        <w:spacing w:after="292" w:line="243" w:lineRule="auto"/>
        <w:ind w:left="19" w:right="172"/>
        <w:jc w:val="both"/>
        <w:rPr>
          <w:rFonts w:eastAsia="Times New Roman" w:cs="Times New Roman"/>
          <w:color w:val="000000"/>
          <w:kern w:val="0"/>
          <w14:ligatures w14:val="none"/>
        </w:rPr>
      </w:pPr>
      <w:r w:rsidRPr="003E019C">
        <w:rPr>
          <w:rFonts w:eastAsia="Times New Roman" w:cs="Times New Roman"/>
          <w:color w:val="000000"/>
          <w:kern w:val="0"/>
          <w14:ligatures w14:val="none"/>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1A7FFA2D" w14:textId="77777777" w:rsidR="00B73E08" w:rsidRDefault="00B73E08" w:rsidP="00B73E08">
      <w:pPr>
        <w:spacing w:line="243" w:lineRule="auto"/>
        <w:ind w:left="19" w:right="172"/>
        <w:jc w:val="both"/>
        <w:rPr>
          <w:rFonts w:eastAsia="Times New Roman" w:cs="Times New Roman"/>
          <w:color w:val="000000"/>
          <w:kern w:val="0"/>
          <w14:ligatures w14:val="none"/>
        </w:rPr>
      </w:pPr>
      <w:r w:rsidRPr="003E019C">
        <w:rPr>
          <w:rFonts w:eastAsia="Times New Roman" w:cs="Times New Roman"/>
          <w:color w:val="000000"/>
          <w:kern w:val="0"/>
          <w14:ligatures w14:val="none"/>
        </w:rPr>
        <w:t>An appeal of a Bureau decision to state superior court or to federal district court must be filed within ninety (90) days from the date of the decision. 20 U.S.C. s. 1415(i)(2)(B).</w:t>
      </w:r>
    </w:p>
    <w:p w14:paraId="3AAD6205" w14:textId="77777777" w:rsidR="00B73E08" w:rsidRPr="003E019C" w:rsidRDefault="00B73E08" w:rsidP="00B73E08">
      <w:pPr>
        <w:spacing w:line="243" w:lineRule="auto"/>
        <w:ind w:left="19" w:right="172"/>
        <w:jc w:val="both"/>
        <w:rPr>
          <w:rFonts w:eastAsia="Times New Roman" w:cs="Times New Roman"/>
          <w:color w:val="000000"/>
          <w:kern w:val="0"/>
          <w14:ligatures w14:val="none"/>
        </w:rPr>
      </w:pPr>
    </w:p>
    <w:p w14:paraId="28963335" w14:textId="77777777" w:rsidR="00B73E08" w:rsidRPr="003E019C" w:rsidRDefault="00B73E08" w:rsidP="00B73E08">
      <w:pPr>
        <w:keepNext/>
        <w:keepLines/>
        <w:ind w:left="-5" w:hanging="10"/>
        <w:outlineLvl w:val="0"/>
        <w:rPr>
          <w:rFonts w:eastAsia="Times New Roman" w:cs="Times New Roman"/>
          <w:b/>
          <w:bCs/>
          <w:color w:val="000000"/>
          <w:kern w:val="0"/>
          <w:u w:val="single" w:color="000000"/>
          <w14:ligatures w14:val="none"/>
        </w:rPr>
      </w:pPr>
      <w:r w:rsidRPr="003E019C">
        <w:rPr>
          <w:rFonts w:eastAsia="Times New Roman" w:cs="Times New Roman"/>
          <w:b/>
          <w:bCs/>
          <w:color w:val="000000"/>
          <w:kern w:val="0"/>
          <w:u w:val="single" w:color="000000"/>
          <w14:ligatures w14:val="none"/>
        </w:rPr>
        <w:t>Confidentiality</w:t>
      </w:r>
    </w:p>
    <w:p w14:paraId="2537467B" w14:textId="77777777" w:rsidR="00B73E08" w:rsidRDefault="00B73E08" w:rsidP="00B73E08">
      <w:pPr>
        <w:spacing w:line="243" w:lineRule="auto"/>
        <w:ind w:left="19" w:right="34"/>
        <w:jc w:val="both"/>
        <w:rPr>
          <w:rFonts w:eastAsia="Times New Roman" w:cs="Times New Roman"/>
          <w:color w:val="000000"/>
          <w:kern w:val="0"/>
          <w14:ligatures w14:val="none"/>
        </w:rPr>
      </w:pPr>
      <w:r w:rsidRPr="003E019C">
        <w:rPr>
          <w:rFonts w:eastAsia="Times New Roman" w:cs="Times New Roman"/>
          <w:color w:val="000000"/>
          <w:kern w:val="0"/>
          <w14:ligatures w14:val="none"/>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3E019C">
        <w:rPr>
          <w:rFonts w:eastAsia="Times New Roman" w:cs="Times New Roman"/>
          <w:i/>
          <w:iCs/>
          <w:color w:val="000000"/>
          <w:kern w:val="0"/>
          <w14:ligatures w14:val="none"/>
        </w:rPr>
        <w:t>Webster Grove</w:t>
      </w:r>
      <w:r>
        <w:rPr>
          <w:rFonts w:eastAsia="Times New Roman" w:cs="Times New Roman"/>
          <w:i/>
          <w:iCs/>
          <w:color w:val="000000"/>
          <w:kern w:val="0"/>
          <w14:ligatures w14:val="none"/>
        </w:rPr>
        <w:t xml:space="preserve"> </w:t>
      </w:r>
      <w:r w:rsidRPr="003E019C">
        <w:rPr>
          <w:rFonts w:eastAsia="Times New Roman" w:cs="Times New Roman"/>
          <w:i/>
          <w:iCs/>
          <w:color w:val="000000"/>
          <w:kern w:val="0"/>
          <w14:ligatures w14:val="none"/>
        </w:rPr>
        <w:t>School District v. Pulitzer Publishing</w:t>
      </w:r>
      <w:r>
        <w:rPr>
          <w:rFonts w:eastAsia="Times New Roman" w:cs="Times New Roman"/>
          <w:i/>
          <w:iCs/>
          <w:color w:val="000000"/>
          <w:kern w:val="0"/>
          <w14:ligatures w14:val="none"/>
        </w:rPr>
        <w:t xml:space="preserve"> </w:t>
      </w:r>
      <w:r w:rsidRPr="003E019C">
        <w:rPr>
          <w:rFonts w:eastAsia="Times New Roman" w:cs="Times New Roman"/>
          <w:i/>
          <w:iCs/>
          <w:color w:val="000000"/>
          <w:kern w:val="0"/>
          <w14:ligatures w14:val="none"/>
        </w:rPr>
        <w:t>Company</w:t>
      </w:r>
      <w:r w:rsidRPr="003E019C">
        <w:rPr>
          <w:rFonts w:eastAsia="Times New Roman" w:cs="Times New Roman"/>
          <w:color w:val="000000"/>
          <w:kern w:val="0"/>
          <w14:ligatures w14:val="none"/>
        </w:rPr>
        <w:t>, 898 F.2d 1371 (8th. Cir. 1990). If the appealing party does not seek to impound the documents, the Bureau of Special Education Appeals, through the Attorney General's Office, may move to impound the documents.</w:t>
      </w:r>
    </w:p>
    <w:p w14:paraId="5497A86F" w14:textId="77777777" w:rsidR="00B73E08" w:rsidRPr="003E019C" w:rsidRDefault="00B73E08" w:rsidP="00B73E08">
      <w:pPr>
        <w:spacing w:line="243" w:lineRule="auto"/>
        <w:ind w:left="19" w:right="34"/>
        <w:jc w:val="both"/>
        <w:rPr>
          <w:rFonts w:eastAsia="Times New Roman" w:cs="Times New Roman"/>
          <w:color w:val="000000"/>
          <w:kern w:val="0"/>
          <w14:ligatures w14:val="none"/>
        </w:rPr>
      </w:pPr>
    </w:p>
    <w:p w14:paraId="59259CAA" w14:textId="77777777" w:rsidR="00B73E08" w:rsidRPr="003E019C" w:rsidRDefault="00B73E08" w:rsidP="00B73E08">
      <w:pPr>
        <w:ind w:left="62"/>
        <w:rPr>
          <w:rFonts w:eastAsia="Times New Roman" w:cs="Times New Roman"/>
          <w:b/>
          <w:bCs/>
          <w:color w:val="000000"/>
          <w:kern w:val="0"/>
          <w:u w:val="single"/>
          <w14:ligatures w14:val="none"/>
        </w:rPr>
      </w:pPr>
      <w:r w:rsidRPr="003E019C">
        <w:rPr>
          <w:rFonts w:eastAsia="Times New Roman" w:cs="Times New Roman"/>
          <w:b/>
          <w:bCs/>
          <w:color w:val="000000"/>
          <w:kern w:val="0"/>
          <w:u w:val="single"/>
          <w14:ligatures w14:val="none"/>
        </w:rPr>
        <w:t>Record of the Hearing</w:t>
      </w:r>
    </w:p>
    <w:p w14:paraId="12F806A5" w14:textId="77777777" w:rsidR="00B73E08" w:rsidRDefault="00B73E08" w:rsidP="00B73E08">
      <w:pPr>
        <w:spacing w:after="292" w:line="243" w:lineRule="auto"/>
        <w:ind w:left="19" w:right="172"/>
        <w:jc w:val="both"/>
      </w:pPr>
      <w:r w:rsidRPr="003E019C">
        <w:rPr>
          <w:rFonts w:eastAsia="Times New Roman" w:cs="Times New Roman"/>
          <w:color w:val="000000"/>
          <w:kern w:val="0"/>
          <w14:ligatures w14:val="none"/>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50239619" w14:textId="77777777" w:rsidR="00B73E08" w:rsidRDefault="00B73E08" w:rsidP="00B73E08">
      <w:pPr>
        <w:ind w:left="360"/>
      </w:pPr>
    </w:p>
    <w:p w14:paraId="04A58B16" w14:textId="77777777" w:rsidR="00850FB0" w:rsidRPr="00F47331" w:rsidRDefault="00850FB0">
      <w:pPr>
        <w:rPr>
          <w:rFonts w:ascii="Aptos" w:hAnsi="Aptos"/>
          <w:sz w:val="25"/>
          <w:szCs w:val="25"/>
        </w:rPr>
      </w:pPr>
    </w:p>
    <w:sectPr w:rsidR="00850FB0" w:rsidRPr="00F47331" w:rsidSect="0083557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43F8C" w14:textId="77777777" w:rsidR="00F43010" w:rsidRDefault="00F43010" w:rsidP="004353A4">
      <w:r>
        <w:separator/>
      </w:r>
    </w:p>
  </w:endnote>
  <w:endnote w:type="continuationSeparator" w:id="0">
    <w:p w14:paraId="6E3AB71B" w14:textId="77777777" w:rsidR="00F43010" w:rsidRDefault="00F43010" w:rsidP="0043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Lucida Handwriting">
    <w:panose1 w:val="03010101010101010101"/>
    <w:charset w:val="00"/>
    <w:family w:val="script"/>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77653"/>
      <w:docPartObj>
        <w:docPartGallery w:val="Page Numbers (Bottom of Page)"/>
        <w:docPartUnique/>
      </w:docPartObj>
    </w:sdtPr>
    <w:sdtEndPr>
      <w:rPr>
        <w:rStyle w:val="PageNumber"/>
      </w:rPr>
    </w:sdtEndPr>
    <w:sdtContent>
      <w:p w14:paraId="3F4DF144" w14:textId="6BA5A678" w:rsidR="006C6078" w:rsidRDefault="006C6078" w:rsidP="000152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7583CC" w14:textId="77777777" w:rsidR="006C6078" w:rsidRDefault="006C6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1968150"/>
      <w:docPartObj>
        <w:docPartGallery w:val="Page Numbers (Bottom of Page)"/>
        <w:docPartUnique/>
      </w:docPartObj>
    </w:sdtPr>
    <w:sdtEndPr>
      <w:rPr>
        <w:rStyle w:val="PageNumber"/>
      </w:rPr>
    </w:sdtEndPr>
    <w:sdtContent>
      <w:p w14:paraId="552A0CD3" w14:textId="7E78CFA2" w:rsidR="006C6078" w:rsidRDefault="006C6078" w:rsidP="000152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9682F1" w14:textId="77777777" w:rsidR="006C6078" w:rsidRDefault="006C6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AADF1" w14:textId="77777777" w:rsidR="00F43010" w:rsidRDefault="00F43010" w:rsidP="004353A4">
      <w:r>
        <w:separator/>
      </w:r>
    </w:p>
  </w:footnote>
  <w:footnote w:type="continuationSeparator" w:id="0">
    <w:p w14:paraId="296779E1" w14:textId="77777777" w:rsidR="00F43010" w:rsidRDefault="00F43010" w:rsidP="004353A4">
      <w:r>
        <w:continuationSeparator/>
      </w:r>
    </w:p>
  </w:footnote>
  <w:footnote w:id="1">
    <w:p w14:paraId="2F7112EE" w14:textId="1A5A0A86" w:rsidR="004C2F54" w:rsidRPr="00CC4DCE" w:rsidRDefault="004C2F54">
      <w:pPr>
        <w:pStyle w:val="FootnoteText"/>
        <w:rPr>
          <w:rFonts w:ascii="Aptos" w:hAnsi="Aptos"/>
        </w:rPr>
      </w:pPr>
      <w:r w:rsidRPr="00CC4DCE">
        <w:rPr>
          <w:rStyle w:val="FootnoteReference"/>
          <w:rFonts w:ascii="Aptos" w:hAnsi="Aptos"/>
        </w:rPr>
        <w:footnoteRef/>
      </w:r>
      <w:r w:rsidRPr="00CC4DCE">
        <w:rPr>
          <w:rFonts w:ascii="Aptos" w:hAnsi="Aptos"/>
        </w:rPr>
        <w:t xml:space="preserve"> Worcester withdrew all claims against Acton on February 13, 2026, and APS was subsequently dismissed as a party.</w:t>
      </w:r>
      <w:r w:rsidR="007145AC" w:rsidRPr="00CC4DCE">
        <w:rPr>
          <w:rFonts w:ascii="Aptos" w:hAnsi="Aptos"/>
        </w:rPr>
        <w:t xml:space="preserve"> As such, I need not address Acton Public Schools’ </w:t>
      </w:r>
      <w:r w:rsidR="007145AC" w:rsidRPr="00CC4DCE">
        <w:rPr>
          <w:rFonts w:ascii="Aptos" w:hAnsi="Aptos"/>
          <w:i/>
          <w:iCs/>
        </w:rPr>
        <w:t>Support of DESE’s Motion to Dismiss and Motion to Dismiss</w:t>
      </w:r>
      <w:r w:rsidR="007145AC" w:rsidRPr="00CC4DCE">
        <w:rPr>
          <w:rFonts w:ascii="Aptos" w:hAnsi="Aptos"/>
        </w:rPr>
        <w:t>, filed on February 5, 2026.</w:t>
      </w:r>
    </w:p>
  </w:footnote>
  <w:footnote w:id="2">
    <w:p w14:paraId="78E75D21" w14:textId="45514FD8" w:rsidR="00AB292A" w:rsidRPr="00CC4DCE" w:rsidRDefault="00AB292A">
      <w:pPr>
        <w:pStyle w:val="FootnoteText"/>
        <w:rPr>
          <w:rFonts w:ascii="Aptos" w:hAnsi="Aptos"/>
        </w:rPr>
      </w:pPr>
      <w:r w:rsidRPr="00CC4DCE">
        <w:rPr>
          <w:rStyle w:val="FootnoteReference"/>
          <w:rFonts w:ascii="Aptos" w:hAnsi="Aptos"/>
        </w:rPr>
        <w:footnoteRef/>
      </w:r>
      <w:r w:rsidRPr="00CC4DCE">
        <w:rPr>
          <w:rFonts w:ascii="Aptos" w:hAnsi="Aptos"/>
        </w:rPr>
        <w:t xml:space="preserve"> The remainder of DESE’s pleading, which defends the Department’s LEA Assignment, serves as its </w:t>
      </w:r>
      <w:r w:rsidRPr="00CC4DCE">
        <w:rPr>
          <w:rFonts w:ascii="Aptos" w:hAnsi="Aptos"/>
          <w:i/>
          <w:iCs/>
        </w:rPr>
        <w:t>Response</w:t>
      </w:r>
      <w:r w:rsidRPr="00CC4DCE">
        <w:rPr>
          <w:rFonts w:ascii="Aptos" w:hAnsi="Aptos"/>
        </w:rPr>
        <w:t xml:space="preserve"> to Worcester’s </w:t>
      </w:r>
      <w:r w:rsidRPr="00CC4DCE">
        <w:rPr>
          <w:rFonts w:ascii="Aptos" w:hAnsi="Aptos"/>
          <w:i/>
          <w:iCs/>
        </w:rPr>
        <w:t>Hearing Request</w:t>
      </w:r>
      <w:r w:rsidRPr="00CC4DCE">
        <w:rPr>
          <w:rFonts w:ascii="Aptos" w:hAnsi="Aptos"/>
        </w:rPr>
        <w:t>.</w:t>
      </w:r>
    </w:p>
  </w:footnote>
  <w:footnote w:id="3">
    <w:p w14:paraId="195056B6" w14:textId="7FC2FB82" w:rsidR="00AB292A" w:rsidRPr="00CC4DCE" w:rsidRDefault="00AB292A">
      <w:pPr>
        <w:pStyle w:val="FootnoteText"/>
        <w:rPr>
          <w:rFonts w:ascii="Aptos" w:hAnsi="Aptos"/>
        </w:rPr>
      </w:pPr>
      <w:r w:rsidRPr="00CC4DCE">
        <w:rPr>
          <w:rStyle w:val="FootnoteReference"/>
          <w:rFonts w:ascii="Aptos" w:hAnsi="Aptos"/>
        </w:rPr>
        <w:footnoteRef/>
      </w:r>
      <w:r w:rsidRPr="00CC4DCE">
        <w:rPr>
          <w:rFonts w:ascii="Aptos" w:hAnsi="Aptos"/>
        </w:rPr>
        <w:t xml:space="preserve"> </w:t>
      </w:r>
      <w:r w:rsidR="00B4057C" w:rsidRPr="00CC4DCE">
        <w:rPr>
          <w:rFonts w:ascii="Aptos" w:hAnsi="Aptos"/>
        </w:rPr>
        <w:t>In the</w:t>
      </w:r>
      <w:r w:rsidRPr="00CC4DCE">
        <w:rPr>
          <w:rFonts w:ascii="Aptos" w:hAnsi="Aptos"/>
        </w:rPr>
        <w:t xml:space="preserve"> remainder of L</w:t>
      </w:r>
      <w:r w:rsidR="00B4057C" w:rsidRPr="00CC4DCE">
        <w:rPr>
          <w:rFonts w:ascii="Aptos" w:hAnsi="Aptos"/>
        </w:rPr>
        <w:t>PS</w:t>
      </w:r>
      <w:r w:rsidRPr="00CC4DCE">
        <w:rPr>
          <w:rFonts w:ascii="Aptos" w:hAnsi="Aptos"/>
        </w:rPr>
        <w:t>’s pleading,</w:t>
      </w:r>
      <w:r w:rsidR="00B4057C" w:rsidRPr="00CC4DCE">
        <w:rPr>
          <w:rFonts w:ascii="Aptos" w:hAnsi="Aptos"/>
        </w:rPr>
        <w:t xml:space="preserve"> which serves as its </w:t>
      </w:r>
      <w:r w:rsidR="00B4057C" w:rsidRPr="00CC4DCE">
        <w:rPr>
          <w:rFonts w:ascii="Aptos" w:hAnsi="Aptos"/>
          <w:i/>
          <w:iCs/>
        </w:rPr>
        <w:t>Response</w:t>
      </w:r>
      <w:r w:rsidR="00B4057C" w:rsidRPr="00CC4DCE">
        <w:rPr>
          <w:rFonts w:ascii="Aptos" w:hAnsi="Aptos"/>
        </w:rPr>
        <w:t xml:space="preserve"> to Worcester’s </w:t>
      </w:r>
      <w:r w:rsidR="00B4057C" w:rsidRPr="00CC4DCE">
        <w:rPr>
          <w:rFonts w:ascii="Aptos" w:hAnsi="Aptos"/>
          <w:i/>
          <w:iCs/>
        </w:rPr>
        <w:t>Hearing Request</w:t>
      </w:r>
      <w:r w:rsidR="00B4057C" w:rsidRPr="00CC4DCE">
        <w:rPr>
          <w:rFonts w:ascii="Aptos" w:hAnsi="Aptos"/>
        </w:rPr>
        <w:t>, Lowell</w:t>
      </w:r>
      <w:r w:rsidRPr="00CC4DCE">
        <w:rPr>
          <w:rFonts w:ascii="Aptos" w:hAnsi="Aptos"/>
        </w:rPr>
        <w:t xml:space="preserve"> assert</w:t>
      </w:r>
      <w:r w:rsidR="00B4057C" w:rsidRPr="00CC4DCE">
        <w:rPr>
          <w:rFonts w:ascii="Aptos" w:hAnsi="Aptos"/>
        </w:rPr>
        <w:t>s</w:t>
      </w:r>
      <w:r w:rsidRPr="00CC4DCE">
        <w:rPr>
          <w:rFonts w:ascii="Aptos" w:hAnsi="Aptos"/>
        </w:rPr>
        <w:t xml:space="preserve"> that Worcester failed to make any </w:t>
      </w:r>
      <w:r w:rsidR="00B4057C" w:rsidRPr="00CC4DCE">
        <w:rPr>
          <w:rFonts w:ascii="Aptos" w:hAnsi="Aptos"/>
        </w:rPr>
        <w:t>a</w:t>
      </w:r>
      <w:r w:rsidRPr="00CC4DCE">
        <w:rPr>
          <w:rFonts w:ascii="Aptos" w:hAnsi="Aptos"/>
        </w:rPr>
        <w:t>ssertions against Lowell and/or make any offers of evidence</w:t>
      </w:r>
      <w:r w:rsidR="00B4057C" w:rsidRPr="00CC4DCE">
        <w:rPr>
          <w:rFonts w:ascii="Aptos" w:hAnsi="Aptos"/>
        </w:rPr>
        <w:t xml:space="preserve"> beyond referencing a suspected address “plucked” from email correspondence between Worcester and a DCF</w:t>
      </w:r>
      <w:r w:rsidR="000D305B" w:rsidRPr="00CC4DCE">
        <w:rPr>
          <w:rFonts w:ascii="Aptos" w:hAnsi="Aptos"/>
        </w:rPr>
        <w:t xml:space="preserve"> </w:t>
      </w:r>
      <w:r w:rsidR="00B4057C" w:rsidRPr="00CC4DCE">
        <w:rPr>
          <w:rFonts w:ascii="Aptos" w:hAnsi="Aptos"/>
        </w:rPr>
        <w:t>social worker.</w:t>
      </w:r>
    </w:p>
  </w:footnote>
  <w:footnote w:id="4">
    <w:p w14:paraId="7AB3769D" w14:textId="62575006" w:rsidR="00B4057C" w:rsidRPr="00CC4DCE" w:rsidRDefault="00B4057C">
      <w:pPr>
        <w:pStyle w:val="FootnoteText"/>
        <w:rPr>
          <w:rFonts w:ascii="Aptos" w:hAnsi="Aptos"/>
        </w:rPr>
      </w:pPr>
      <w:r w:rsidRPr="00CC4DCE">
        <w:rPr>
          <w:rStyle w:val="FootnoteReference"/>
          <w:rFonts w:ascii="Aptos" w:hAnsi="Aptos"/>
        </w:rPr>
        <w:footnoteRef/>
      </w:r>
      <w:r w:rsidRPr="00CC4DCE">
        <w:rPr>
          <w:rFonts w:ascii="Aptos" w:hAnsi="Aptos"/>
        </w:rPr>
        <w:t xml:space="preserve"> In its </w:t>
      </w:r>
      <w:r w:rsidRPr="00CC4DCE">
        <w:rPr>
          <w:rFonts w:ascii="Aptos" w:hAnsi="Aptos"/>
          <w:i/>
          <w:iCs/>
        </w:rPr>
        <w:t>Response</w:t>
      </w:r>
      <w:r w:rsidRPr="00CC4DCE">
        <w:rPr>
          <w:rFonts w:ascii="Aptos" w:hAnsi="Aptos"/>
        </w:rPr>
        <w:t xml:space="preserve"> to Worcester’s </w:t>
      </w:r>
      <w:r w:rsidRPr="00CC4DCE">
        <w:rPr>
          <w:rFonts w:ascii="Aptos" w:hAnsi="Aptos"/>
          <w:i/>
          <w:iCs/>
        </w:rPr>
        <w:t>Hearing Request</w:t>
      </w:r>
      <w:r w:rsidRPr="00CC4DCE">
        <w:rPr>
          <w:rFonts w:ascii="Aptos" w:hAnsi="Aptos"/>
        </w:rPr>
        <w:t>, Springfield contends that its responsibility for Student terminated in February 2025, when DCF placed him in foster care in Worcester, Massachusetts and chose to enroll him in WPS.</w:t>
      </w:r>
    </w:p>
  </w:footnote>
  <w:footnote w:id="5">
    <w:p w14:paraId="570DFA7B" w14:textId="5141AF63" w:rsidR="008A09D8" w:rsidRPr="00CC4DCE" w:rsidRDefault="008A09D8">
      <w:pPr>
        <w:pStyle w:val="FootnoteText"/>
        <w:rPr>
          <w:rFonts w:ascii="Aptos" w:hAnsi="Aptos"/>
        </w:rPr>
      </w:pPr>
      <w:r w:rsidRPr="00CC4DCE">
        <w:rPr>
          <w:rStyle w:val="FootnoteReference"/>
          <w:rFonts w:ascii="Aptos" w:hAnsi="Aptos"/>
        </w:rPr>
        <w:footnoteRef/>
      </w:r>
      <w:r w:rsidRPr="00CC4DCE">
        <w:rPr>
          <w:rFonts w:ascii="Aptos" w:hAnsi="Aptos"/>
        </w:rPr>
        <w:t xml:space="preserve"> In the Supplemental Response section of its pleading, Springfield clarifies the role of an individual listed incorrectly as “Parent” on several individualized education programs (IEPs) developed by SPS for Student.</w:t>
      </w:r>
      <w:r w:rsidR="007145AC" w:rsidRPr="00CC4DCE">
        <w:rPr>
          <w:rFonts w:ascii="Aptos" w:hAnsi="Aptos"/>
        </w:rPr>
        <w:t xml:space="preserve"> </w:t>
      </w:r>
    </w:p>
  </w:footnote>
  <w:footnote w:id="6">
    <w:p w14:paraId="34E7A8C5" w14:textId="77D64EAC" w:rsidR="00F1659F" w:rsidRPr="00CC4DCE" w:rsidRDefault="00F1659F">
      <w:pPr>
        <w:pStyle w:val="FootnoteText"/>
        <w:rPr>
          <w:rFonts w:ascii="Aptos" w:hAnsi="Aptos"/>
        </w:rPr>
      </w:pPr>
      <w:r w:rsidRPr="00CC4DCE">
        <w:rPr>
          <w:rStyle w:val="FootnoteReference"/>
          <w:rFonts w:ascii="Aptos" w:hAnsi="Aptos"/>
        </w:rPr>
        <w:footnoteRef/>
      </w:r>
      <w:r w:rsidRPr="00CC4DCE">
        <w:rPr>
          <w:rFonts w:ascii="Aptos" w:hAnsi="Aptos"/>
        </w:rPr>
        <w:t xml:space="preserve"> Worcester requested an extension to file its </w:t>
      </w:r>
      <w:r w:rsidRPr="00CC4DCE">
        <w:rPr>
          <w:rFonts w:ascii="Aptos" w:hAnsi="Aptos"/>
          <w:i/>
          <w:iCs/>
        </w:rPr>
        <w:t>Opposition</w:t>
      </w:r>
      <w:r w:rsidRPr="00CC4DCE">
        <w:rPr>
          <w:rFonts w:ascii="Aptos" w:hAnsi="Aptos"/>
        </w:rPr>
        <w:t xml:space="preserve"> to the parties’ </w:t>
      </w:r>
      <w:r w:rsidRPr="00CC4DCE">
        <w:rPr>
          <w:rFonts w:ascii="Aptos" w:hAnsi="Aptos"/>
          <w:i/>
          <w:iCs/>
        </w:rPr>
        <w:t>Motions to Dismiss</w:t>
      </w:r>
      <w:r w:rsidRPr="00CC4DCE">
        <w:rPr>
          <w:rFonts w:ascii="Aptos" w:hAnsi="Aptos"/>
        </w:rPr>
        <w:t>, which was allowed with the assent of all parties.</w:t>
      </w:r>
    </w:p>
  </w:footnote>
  <w:footnote w:id="7">
    <w:p w14:paraId="00AE6DC7" w14:textId="6D2437B2" w:rsidR="008E27ED" w:rsidRPr="00CC4DCE" w:rsidRDefault="008E27ED">
      <w:pPr>
        <w:pStyle w:val="FootnoteText"/>
        <w:rPr>
          <w:rFonts w:ascii="Aptos" w:hAnsi="Aptos"/>
        </w:rPr>
      </w:pPr>
      <w:r w:rsidRPr="00CC4DCE">
        <w:rPr>
          <w:rStyle w:val="FootnoteReference"/>
          <w:rFonts w:ascii="Aptos" w:hAnsi="Aptos"/>
        </w:rPr>
        <w:footnoteRef/>
      </w:r>
      <w:r w:rsidRPr="00CC4DCE">
        <w:rPr>
          <w:rFonts w:ascii="Aptos" w:hAnsi="Aptos"/>
        </w:rPr>
        <w:t xml:space="preserve"> In </w:t>
      </w:r>
      <w:r w:rsidR="00CC4DCE" w:rsidRPr="00CC4DCE">
        <w:rPr>
          <w:rFonts w:ascii="Aptos" w:hAnsi="Aptos"/>
        </w:rPr>
        <w:t>this</w:t>
      </w:r>
      <w:r w:rsidRPr="00CC4DCE">
        <w:rPr>
          <w:rFonts w:ascii="Aptos" w:hAnsi="Aptos"/>
        </w:rPr>
        <w:t xml:space="preserve"> </w:t>
      </w:r>
      <w:r w:rsidRPr="00CC4DCE">
        <w:rPr>
          <w:rFonts w:ascii="Aptos" w:hAnsi="Aptos"/>
          <w:i/>
          <w:iCs/>
        </w:rPr>
        <w:t>Opposition to DESE</w:t>
      </w:r>
      <w:r w:rsidRPr="00CC4DCE">
        <w:rPr>
          <w:rFonts w:ascii="Aptos" w:hAnsi="Aptos"/>
        </w:rPr>
        <w:t xml:space="preserve">, Worcester asserts that the Lowell address with which Parents were associated from 10/3/2019 to 11/25/2019 is an apartment through the Lowell Housing Authority, and WPS distinguishes this from the address in Ashland with which Parents were associated from 11/15/2019 to 1/27/20, which was reported in the Exhibits submitted with the </w:t>
      </w:r>
      <w:r w:rsidRPr="00CC4DCE">
        <w:rPr>
          <w:rFonts w:ascii="Aptos" w:hAnsi="Aptos"/>
          <w:i/>
          <w:iCs/>
        </w:rPr>
        <w:t xml:space="preserve">Hearing Request </w:t>
      </w:r>
      <w:r w:rsidRPr="00CC4DCE">
        <w:rPr>
          <w:rFonts w:ascii="Aptos" w:hAnsi="Aptos"/>
        </w:rPr>
        <w:t>to be a homeless shelter.</w:t>
      </w:r>
    </w:p>
  </w:footnote>
  <w:footnote w:id="8">
    <w:p w14:paraId="40572792" w14:textId="750290C3" w:rsidR="009159CF" w:rsidRPr="00CC4DCE" w:rsidRDefault="009159CF">
      <w:pPr>
        <w:pStyle w:val="FootnoteText"/>
        <w:rPr>
          <w:rFonts w:ascii="Aptos" w:hAnsi="Aptos"/>
        </w:rPr>
      </w:pPr>
      <w:r w:rsidRPr="00CC4DCE">
        <w:rPr>
          <w:rStyle w:val="FootnoteReference"/>
          <w:rFonts w:ascii="Aptos" w:hAnsi="Aptos"/>
        </w:rPr>
        <w:footnoteRef/>
      </w:r>
      <w:r w:rsidRPr="00CC4DCE">
        <w:rPr>
          <w:rFonts w:ascii="Aptos" w:hAnsi="Aptos"/>
        </w:rPr>
        <w:t xml:space="preserve"> The email from a DCF social worker listing addresses associated with Parents contains overlapping dates for Lowell and Ashland.</w:t>
      </w:r>
      <w:r w:rsidR="002021B6" w:rsidRPr="00CC4DCE">
        <w:rPr>
          <w:rFonts w:ascii="Aptos" w:hAnsi="Aptos"/>
        </w:rPr>
        <w:t xml:space="preserve"> See note 11, </w:t>
      </w:r>
      <w:r w:rsidR="002021B6" w:rsidRPr="00CC4DCE">
        <w:rPr>
          <w:rFonts w:ascii="Aptos" w:hAnsi="Aptos"/>
          <w:i/>
          <w:iCs/>
        </w:rPr>
        <w:t>infra</w:t>
      </w:r>
      <w:r w:rsidR="002021B6" w:rsidRPr="00CC4DCE">
        <w:rPr>
          <w:rFonts w:ascii="Aptos" w:hAnsi="Aptos"/>
        </w:rPr>
        <w:t>.</w:t>
      </w:r>
    </w:p>
  </w:footnote>
  <w:footnote w:id="9">
    <w:p w14:paraId="62DAB9B2" w14:textId="2C3EAB01" w:rsidR="009D31A4" w:rsidRPr="00CC4DCE" w:rsidRDefault="009D31A4">
      <w:pPr>
        <w:pStyle w:val="FootnoteText"/>
        <w:rPr>
          <w:rFonts w:ascii="Aptos" w:hAnsi="Aptos"/>
        </w:rPr>
      </w:pPr>
      <w:r w:rsidRPr="00CC4DCE">
        <w:rPr>
          <w:rStyle w:val="FootnoteReference"/>
          <w:rFonts w:ascii="Aptos" w:hAnsi="Aptos"/>
        </w:rPr>
        <w:footnoteRef/>
      </w:r>
      <w:r w:rsidRPr="00CC4DCE">
        <w:rPr>
          <w:rFonts w:ascii="Aptos" w:hAnsi="Aptos"/>
        </w:rPr>
        <w:t xml:space="preserve"> Worcester also suggests that the BSEA “should consider exercising its discretionary authority to order a cost-sharing agreement between Framingham and Quabbin,” because the residential school Student attends is located within the geographic boundaries of Quabbin.</w:t>
      </w:r>
    </w:p>
  </w:footnote>
  <w:footnote w:id="10">
    <w:p w14:paraId="1128A3F4" w14:textId="75F24BCC" w:rsidR="004C2F54" w:rsidRPr="00CC4DCE" w:rsidRDefault="004C2F54">
      <w:pPr>
        <w:pStyle w:val="FootnoteText"/>
        <w:rPr>
          <w:rFonts w:ascii="Aptos" w:hAnsi="Aptos"/>
        </w:rPr>
      </w:pPr>
      <w:r w:rsidRPr="00CC4DCE">
        <w:rPr>
          <w:rStyle w:val="FootnoteReference"/>
          <w:rFonts w:ascii="Aptos" w:hAnsi="Aptos"/>
        </w:rPr>
        <w:footnoteRef/>
      </w:r>
      <w:r w:rsidRPr="00CC4DCE">
        <w:rPr>
          <w:rFonts w:ascii="Aptos" w:hAnsi="Aptos"/>
        </w:rPr>
        <w:t xml:space="preserve"> The following facts are drawn from the pleadings. They may be subject to change in further proceedings.</w:t>
      </w:r>
    </w:p>
  </w:footnote>
  <w:footnote w:id="11">
    <w:p w14:paraId="7A594B56" w14:textId="34D2D696" w:rsidR="00A6079E" w:rsidRPr="00CC4DCE" w:rsidRDefault="00A6079E">
      <w:pPr>
        <w:pStyle w:val="FootnoteText"/>
        <w:rPr>
          <w:rFonts w:ascii="Aptos" w:hAnsi="Aptos"/>
        </w:rPr>
      </w:pPr>
      <w:r w:rsidRPr="00CC4DCE">
        <w:rPr>
          <w:rStyle w:val="FootnoteReference"/>
          <w:rFonts w:ascii="Aptos" w:hAnsi="Aptos"/>
        </w:rPr>
        <w:footnoteRef/>
      </w:r>
      <w:r w:rsidRPr="00CC4DCE">
        <w:rPr>
          <w:rFonts w:ascii="Aptos" w:hAnsi="Aptos"/>
        </w:rPr>
        <w:t xml:space="preserve"> </w:t>
      </w:r>
      <w:r w:rsidR="009C70CC" w:rsidRPr="00CC4DCE">
        <w:rPr>
          <w:rFonts w:ascii="Aptos" w:hAnsi="Aptos"/>
        </w:rPr>
        <w:t xml:space="preserve">These addresses are taken from an email sent by a DCF social worker to Worcester in or about September 2025, which was submitted with the </w:t>
      </w:r>
      <w:r w:rsidR="009C70CC" w:rsidRPr="00CC4DCE">
        <w:rPr>
          <w:rFonts w:ascii="Aptos" w:hAnsi="Aptos"/>
          <w:i/>
          <w:iCs/>
        </w:rPr>
        <w:t>Hearing Request</w:t>
      </w:r>
      <w:r w:rsidR="009C70CC" w:rsidRPr="00CC4DCE">
        <w:rPr>
          <w:rFonts w:ascii="Aptos" w:hAnsi="Aptos"/>
        </w:rPr>
        <w:t xml:space="preserve"> as Exhibit 4.</w:t>
      </w:r>
    </w:p>
  </w:footnote>
  <w:footnote w:id="12">
    <w:p w14:paraId="16D307B4" w14:textId="1A31C863" w:rsidR="00A6079E" w:rsidRPr="00CC4DCE" w:rsidRDefault="00A6079E">
      <w:pPr>
        <w:pStyle w:val="FootnoteText"/>
        <w:rPr>
          <w:rFonts w:ascii="Aptos" w:hAnsi="Aptos"/>
        </w:rPr>
      </w:pPr>
      <w:r w:rsidRPr="00CC4DCE">
        <w:rPr>
          <w:rStyle w:val="FootnoteReference"/>
          <w:rFonts w:ascii="Aptos" w:hAnsi="Aptos"/>
        </w:rPr>
        <w:footnoteRef/>
      </w:r>
      <w:r w:rsidRPr="00CC4DCE">
        <w:rPr>
          <w:rFonts w:ascii="Aptos" w:hAnsi="Aptos"/>
        </w:rPr>
        <w:t xml:space="preserve"> Street addresses are redacted to preserve the confidentiality of Student and Parents.</w:t>
      </w:r>
    </w:p>
  </w:footnote>
  <w:footnote w:id="13">
    <w:p w14:paraId="61BEF0CD" w14:textId="1CC11EE6" w:rsidR="005D0F11" w:rsidRPr="00CC4DCE" w:rsidRDefault="005D0F11" w:rsidP="005D0F11">
      <w:pPr>
        <w:pStyle w:val="FootnoteText"/>
        <w:rPr>
          <w:rFonts w:ascii="Aptos" w:hAnsi="Aptos"/>
        </w:rPr>
      </w:pPr>
      <w:r w:rsidRPr="00CC4DCE">
        <w:rPr>
          <w:rStyle w:val="FootnoteReference"/>
          <w:rFonts w:ascii="Aptos" w:hAnsi="Aptos"/>
        </w:rPr>
        <w:footnoteRef/>
      </w:r>
      <w:r w:rsidRPr="00CC4DCE">
        <w:rPr>
          <w:rFonts w:ascii="Aptos" w:hAnsi="Aptos"/>
        </w:rPr>
        <w:t xml:space="preserve"> Springfield’s </w:t>
      </w:r>
      <w:r w:rsidRPr="00CC4DCE">
        <w:rPr>
          <w:rFonts w:ascii="Aptos" w:hAnsi="Aptos"/>
          <w:i/>
          <w:iCs/>
        </w:rPr>
        <w:t>Response</w:t>
      </w:r>
      <w:r w:rsidRPr="00CC4DCE">
        <w:rPr>
          <w:rFonts w:ascii="Aptos" w:hAnsi="Aptos"/>
        </w:rPr>
        <w:t xml:space="preserve"> to Worcester’s </w:t>
      </w:r>
      <w:r w:rsidRPr="00CC4DCE">
        <w:rPr>
          <w:rFonts w:ascii="Aptos" w:hAnsi="Aptos"/>
          <w:i/>
          <w:iCs/>
        </w:rPr>
        <w:t>Hearing Request</w:t>
      </w:r>
      <w:r w:rsidRPr="00CC4DCE">
        <w:rPr>
          <w:rFonts w:ascii="Aptos" w:hAnsi="Aptos"/>
        </w:rPr>
        <w:t xml:space="preserve"> suggests that Student came to SPS on an IEP developed by FPS.</w:t>
      </w:r>
    </w:p>
  </w:footnote>
  <w:footnote w:id="14">
    <w:p w14:paraId="60DB05B0" w14:textId="38A792E0" w:rsidR="005A7A90" w:rsidRPr="00CC4DCE" w:rsidRDefault="005A7A90" w:rsidP="005A7A90">
      <w:pPr>
        <w:pStyle w:val="FootnoteText"/>
        <w:rPr>
          <w:rFonts w:ascii="Aptos" w:hAnsi="Aptos"/>
        </w:rPr>
      </w:pPr>
      <w:r w:rsidRPr="00CC4DCE">
        <w:rPr>
          <w:rStyle w:val="FootnoteReference"/>
          <w:rFonts w:ascii="Aptos" w:hAnsi="Aptos"/>
        </w:rPr>
        <w:footnoteRef/>
      </w:r>
      <w:r w:rsidRPr="00CC4DCE">
        <w:rPr>
          <w:rFonts w:ascii="Aptos" w:hAnsi="Aptos"/>
        </w:rPr>
        <w:t xml:space="preserve"> I use initials in place of names and </w:t>
      </w:r>
      <w:r w:rsidR="00CA1327" w:rsidRPr="00CC4DCE">
        <w:rPr>
          <w:rFonts w:ascii="Aptos" w:hAnsi="Aptos"/>
        </w:rPr>
        <w:t xml:space="preserve">omit </w:t>
      </w:r>
      <w:r w:rsidRPr="00CC4DCE">
        <w:rPr>
          <w:rFonts w:ascii="Aptos" w:hAnsi="Aptos"/>
        </w:rPr>
        <w:t>street addresses to protect the confidentiality of Student and other individuals who were, or may have been, involved in his case. None of the initials used are the initials of either biological parent.</w:t>
      </w:r>
    </w:p>
  </w:footnote>
  <w:footnote w:id="15">
    <w:p w14:paraId="03868638" w14:textId="490BD640" w:rsidR="00A1157A" w:rsidRPr="00CC4DCE" w:rsidRDefault="00A1157A" w:rsidP="00A1157A">
      <w:pPr>
        <w:pStyle w:val="FootnoteText"/>
        <w:rPr>
          <w:rFonts w:ascii="Aptos" w:hAnsi="Aptos"/>
        </w:rPr>
      </w:pPr>
      <w:r w:rsidRPr="00CC4DCE">
        <w:rPr>
          <w:rStyle w:val="FootnoteReference"/>
          <w:rFonts w:ascii="Aptos" w:hAnsi="Aptos"/>
        </w:rPr>
        <w:footnoteRef/>
      </w:r>
      <w:r w:rsidRPr="00CC4DCE">
        <w:rPr>
          <w:rFonts w:ascii="Aptos" w:hAnsi="Aptos"/>
        </w:rPr>
        <w:t xml:space="preserve"> To the best of SPS’s knowledge, RS was mistakenly entered into Springfield’s data system as a parent when he enrolled Student in school in Springfield.</w:t>
      </w:r>
    </w:p>
  </w:footnote>
  <w:footnote w:id="16">
    <w:p w14:paraId="1331F1C1" w14:textId="10013BD3" w:rsidR="004C2F54" w:rsidRPr="00CC4DCE" w:rsidRDefault="004C2F54">
      <w:pPr>
        <w:pStyle w:val="FootnoteText"/>
        <w:rPr>
          <w:rFonts w:ascii="Aptos" w:hAnsi="Aptos"/>
        </w:rPr>
      </w:pPr>
      <w:r w:rsidRPr="00CC4DCE">
        <w:rPr>
          <w:rStyle w:val="FootnoteReference"/>
          <w:rFonts w:ascii="Aptos" w:hAnsi="Aptos"/>
        </w:rPr>
        <w:footnoteRef/>
      </w:r>
      <w:r w:rsidRPr="00CC4DCE">
        <w:rPr>
          <w:rFonts w:ascii="Aptos" w:hAnsi="Aptos"/>
        </w:rPr>
        <w:t xml:space="preserve"> The name of the school </w:t>
      </w:r>
      <w:r w:rsidR="002021B6" w:rsidRPr="00CC4DCE">
        <w:rPr>
          <w:rFonts w:ascii="Aptos" w:hAnsi="Aptos"/>
        </w:rPr>
        <w:t>and the town in which it is located are</w:t>
      </w:r>
      <w:r w:rsidRPr="00CC4DCE">
        <w:rPr>
          <w:rFonts w:ascii="Aptos" w:hAnsi="Aptos"/>
        </w:rPr>
        <w:t xml:space="preserve"> withheld to preserve Student’s confidentiality.</w:t>
      </w:r>
    </w:p>
  </w:footnote>
  <w:footnote w:id="17">
    <w:p w14:paraId="31346F16" w14:textId="77777777" w:rsidR="00BA1893" w:rsidRPr="00CC4DCE" w:rsidRDefault="00BA1893" w:rsidP="00BA1893">
      <w:pPr>
        <w:pStyle w:val="FootnoteText"/>
        <w:rPr>
          <w:rFonts w:ascii="Aptos" w:hAnsi="Aptos" w:cs="Times New Roman"/>
        </w:rPr>
      </w:pPr>
      <w:r w:rsidRPr="00CC4DCE">
        <w:rPr>
          <w:rStyle w:val="FootnoteReference"/>
          <w:rFonts w:ascii="Aptos" w:hAnsi="Aptos" w:cs="Times New Roman"/>
        </w:rPr>
        <w:footnoteRef/>
      </w:r>
      <w:r w:rsidRPr="00CC4DCE">
        <w:rPr>
          <w:rFonts w:ascii="Aptos" w:hAnsi="Aptos" w:cs="Times New Roman"/>
        </w:rPr>
        <w:t xml:space="preserve"> </w:t>
      </w:r>
      <w:r w:rsidRPr="00CC4DCE">
        <w:rPr>
          <w:rFonts w:ascii="Aptos" w:hAnsi="Aptos" w:cs="Times New Roman"/>
          <w:i/>
        </w:rPr>
        <w:t>Iannocchino v. Ford Motor Co.</w:t>
      </w:r>
      <w:r w:rsidRPr="00CC4DCE">
        <w:rPr>
          <w:rFonts w:ascii="Aptos" w:hAnsi="Aptos" w:cs="Times New Roman"/>
        </w:rPr>
        <w:t xml:space="preserve">, 451 Mass. 623, 636 (2008) (quoting </w:t>
      </w:r>
      <w:r w:rsidRPr="00CC4DCE">
        <w:rPr>
          <w:rFonts w:ascii="Aptos" w:hAnsi="Aptos" w:cs="Times New Roman"/>
          <w:i/>
        </w:rPr>
        <w:t>Twombly</w:t>
      </w:r>
      <w:r w:rsidRPr="00CC4DCE">
        <w:rPr>
          <w:rFonts w:ascii="Aptos" w:hAnsi="Aptos" w:cs="Times New Roman"/>
        </w:rPr>
        <w:t xml:space="preserve">, 550 U.S. at 557).   </w:t>
      </w:r>
    </w:p>
  </w:footnote>
  <w:footnote w:id="18">
    <w:p w14:paraId="7BD7B561" w14:textId="35B677B5" w:rsidR="00BA1893" w:rsidRPr="00CC4DCE" w:rsidRDefault="00BA1893" w:rsidP="00BA1893">
      <w:pPr>
        <w:pStyle w:val="FootnoteText"/>
        <w:tabs>
          <w:tab w:val="left" w:pos="7200"/>
        </w:tabs>
        <w:rPr>
          <w:rFonts w:ascii="Aptos" w:hAnsi="Aptos" w:cs="Times New Roman"/>
        </w:rPr>
      </w:pPr>
      <w:r w:rsidRPr="00CC4DCE">
        <w:rPr>
          <w:rStyle w:val="FootnoteReference"/>
          <w:rFonts w:ascii="Aptos" w:hAnsi="Aptos" w:cs="Times New Roman"/>
        </w:rPr>
        <w:footnoteRef/>
      </w:r>
      <w:r w:rsidRPr="00CC4DCE">
        <w:rPr>
          <w:rFonts w:ascii="Aptos" w:hAnsi="Aptos" w:cs="Times New Roman"/>
        </w:rPr>
        <w:t xml:space="preserve"> </w:t>
      </w:r>
      <w:r w:rsidRPr="00CC4DCE">
        <w:rPr>
          <w:rFonts w:ascii="Aptos" w:hAnsi="Aptos" w:cs="Times New Roman"/>
          <w:i/>
        </w:rPr>
        <w:t>Blank</w:t>
      </w:r>
      <w:r w:rsidR="0092020D" w:rsidRPr="00CC4DCE">
        <w:rPr>
          <w:rFonts w:ascii="Aptos" w:hAnsi="Aptos" w:cs="Times New Roman"/>
          <w:i/>
        </w:rPr>
        <w:t xml:space="preserve"> v. Chelmsford Ob/Gyn, P.C.</w:t>
      </w:r>
      <w:r w:rsidRPr="00CC4DCE">
        <w:rPr>
          <w:rFonts w:ascii="Aptos" w:hAnsi="Aptos" w:cs="Times New Roman"/>
          <w:i/>
        </w:rPr>
        <w:t>,</w:t>
      </w:r>
      <w:r w:rsidRPr="00CC4DCE">
        <w:rPr>
          <w:rFonts w:ascii="Aptos" w:hAnsi="Aptos" w:cs="Times New Roman"/>
        </w:rPr>
        <w:t xml:space="preserve"> 420 Mass. </w:t>
      </w:r>
      <w:r w:rsidR="0092020D" w:rsidRPr="00CC4DCE">
        <w:rPr>
          <w:rFonts w:ascii="Aptos" w:hAnsi="Aptos" w:cs="Times New Roman"/>
        </w:rPr>
        <w:t>404,</w:t>
      </w:r>
      <w:r w:rsidRPr="00CC4DCE">
        <w:rPr>
          <w:rFonts w:ascii="Aptos" w:hAnsi="Aptos" w:cs="Times New Roman"/>
        </w:rPr>
        <w:t xml:space="preserve"> 407</w:t>
      </w:r>
      <w:r w:rsidR="0092020D" w:rsidRPr="00CC4DCE">
        <w:rPr>
          <w:rFonts w:ascii="Aptos" w:hAnsi="Aptos" w:cs="Times New Roman"/>
        </w:rPr>
        <w:t xml:space="preserve"> (1995).</w:t>
      </w:r>
      <w:r w:rsidRPr="00CC4DCE">
        <w:rPr>
          <w:rFonts w:ascii="Aptos" w:hAnsi="Aptos" w:cs="Times New Roman"/>
        </w:rPr>
        <w:tab/>
      </w:r>
    </w:p>
  </w:footnote>
  <w:footnote w:id="19">
    <w:p w14:paraId="1D564473" w14:textId="7DD18A63" w:rsidR="00BA1893" w:rsidRPr="00CC4DCE" w:rsidRDefault="00BA1893" w:rsidP="00BA1893">
      <w:pPr>
        <w:pStyle w:val="FootnoteText"/>
        <w:rPr>
          <w:rFonts w:ascii="Aptos" w:hAnsi="Aptos"/>
        </w:rPr>
      </w:pPr>
      <w:r w:rsidRPr="00CC4DCE">
        <w:rPr>
          <w:rStyle w:val="FootnoteReference"/>
          <w:rFonts w:ascii="Aptos" w:hAnsi="Aptos" w:cs="Times New Roman"/>
        </w:rPr>
        <w:footnoteRef/>
      </w:r>
      <w:r w:rsidRPr="00CC4DCE">
        <w:rPr>
          <w:rFonts w:ascii="Aptos" w:hAnsi="Aptos" w:cs="Times New Roman"/>
        </w:rPr>
        <w:t xml:space="preserve"> </w:t>
      </w:r>
      <w:r w:rsidRPr="00CC4DCE">
        <w:rPr>
          <w:rFonts w:ascii="Aptos" w:hAnsi="Aptos" w:cs="Times New Roman"/>
          <w:i/>
        </w:rPr>
        <w:t>Golchin v. Liberty Mut. Ins. Co.</w:t>
      </w:r>
      <w:r w:rsidRPr="00CC4DCE">
        <w:rPr>
          <w:rFonts w:ascii="Aptos" w:hAnsi="Aptos" w:cs="Times New Roman"/>
        </w:rPr>
        <w:t xml:space="preserve">, 460 Mass. 222, 223 (2011) (internal quotation marks and citations omitted); see </w:t>
      </w:r>
      <w:r w:rsidRPr="00CC4DCE">
        <w:rPr>
          <w:rFonts w:ascii="Aptos" w:hAnsi="Aptos" w:cs="Times New Roman"/>
          <w:i/>
          <w:iCs/>
        </w:rPr>
        <w:t>Ocasio-Hernandez</w:t>
      </w:r>
      <w:r w:rsidR="0092020D" w:rsidRPr="00CC4DCE">
        <w:rPr>
          <w:rFonts w:ascii="Aptos" w:hAnsi="Aptos" w:cs="Times New Roman"/>
          <w:i/>
          <w:iCs/>
        </w:rPr>
        <w:t xml:space="preserve"> </w:t>
      </w:r>
      <w:r w:rsidR="0092020D" w:rsidRPr="00CC4DCE">
        <w:rPr>
          <w:rFonts w:ascii="Aptos" w:hAnsi="Aptos"/>
          <w:i/>
          <w:iCs/>
        </w:rPr>
        <w:t>v. Fortuno-Burset</w:t>
      </w:r>
      <w:r w:rsidR="0092020D" w:rsidRPr="00CC4DCE">
        <w:rPr>
          <w:rFonts w:ascii="Aptos" w:hAnsi="Aptos"/>
        </w:rPr>
        <w:t>, 640 F.3d 1, 12 (1st Cir. 2011).</w:t>
      </w:r>
    </w:p>
  </w:footnote>
  <w:footnote w:id="20">
    <w:p w14:paraId="534B76C2" w14:textId="77777777" w:rsidR="00BA1893" w:rsidRPr="00CC4DCE" w:rsidRDefault="00BA1893" w:rsidP="00BA1893">
      <w:pPr>
        <w:pStyle w:val="FootnoteText"/>
        <w:rPr>
          <w:rFonts w:ascii="Aptos" w:hAnsi="Aptos"/>
        </w:rPr>
      </w:pPr>
      <w:r w:rsidRPr="00CC4DCE">
        <w:rPr>
          <w:rStyle w:val="FootnoteReference"/>
          <w:rFonts w:ascii="Aptos" w:eastAsiaTheme="majorEastAsia" w:hAnsi="Aptos"/>
        </w:rPr>
        <w:footnoteRef/>
      </w:r>
      <w:r w:rsidRPr="00CC4DCE">
        <w:rPr>
          <w:rFonts w:ascii="Aptos" w:hAnsi="Aptos"/>
        </w:rPr>
        <w:t xml:space="preserve"> 20 U.S.C. § 1415(b)(6).</w:t>
      </w:r>
    </w:p>
  </w:footnote>
  <w:footnote w:id="21">
    <w:p w14:paraId="1117C885" w14:textId="77777777" w:rsidR="00BA1893" w:rsidRPr="00CC4DCE" w:rsidRDefault="00BA1893" w:rsidP="00BA1893">
      <w:pPr>
        <w:pStyle w:val="FootnoteText"/>
        <w:rPr>
          <w:rFonts w:ascii="Aptos" w:hAnsi="Aptos"/>
        </w:rPr>
      </w:pPr>
      <w:r w:rsidRPr="00CC4DCE">
        <w:rPr>
          <w:rStyle w:val="FootnoteReference"/>
          <w:rFonts w:ascii="Aptos" w:eastAsiaTheme="majorEastAsia" w:hAnsi="Aptos"/>
        </w:rPr>
        <w:footnoteRef/>
      </w:r>
      <w:r w:rsidRPr="00CC4DCE">
        <w:rPr>
          <w:rFonts w:ascii="Aptos" w:hAnsi="Aptos"/>
        </w:rPr>
        <w:t xml:space="preserve"> 603 CMR 28.08(3)(a). Sections 3(c) and 3(d) of 603 CMR 28.08 contain certain exceptions that do not apply here.</w:t>
      </w:r>
    </w:p>
  </w:footnote>
  <w:footnote w:id="22">
    <w:p w14:paraId="58745A33" w14:textId="77777777" w:rsidR="00BA1893" w:rsidRPr="00CC4DCE" w:rsidRDefault="00BA1893" w:rsidP="00BA1893">
      <w:pPr>
        <w:pStyle w:val="FootnoteText"/>
        <w:rPr>
          <w:rFonts w:ascii="Aptos" w:hAnsi="Aptos"/>
        </w:rPr>
      </w:pPr>
      <w:r w:rsidRPr="00CC4DCE">
        <w:rPr>
          <w:rStyle w:val="FootnoteReference"/>
          <w:rFonts w:ascii="Aptos" w:hAnsi="Aptos"/>
        </w:rPr>
        <w:footnoteRef/>
      </w:r>
      <w:r w:rsidRPr="00CC4DCE">
        <w:rPr>
          <w:rFonts w:ascii="Aptos" w:hAnsi="Aptos"/>
        </w:rPr>
        <w:t xml:space="preserve"> See 603 CMR 28.10(9).</w:t>
      </w:r>
    </w:p>
  </w:footnote>
  <w:footnote w:id="23">
    <w:p w14:paraId="02B5461A" w14:textId="7DFE1D24" w:rsidR="00BA1893" w:rsidRPr="00CC4DCE" w:rsidRDefault="00BA1893" w:rsidP="00BA1893">
      <w:pPr>
        <w:pStyle w:val="FootnoteText"/>
        <w:rPr>
          <w:rFonts w:ascii="Aptos" w:hAnsi="Aptos"/>
        </w:rPr>
      </w:pPr>
      <w:r w:rsidRPr="00CC4DCE">
        <w:rPr>
          <w:rStyle w:val="FootnoteReference"/>
          <w:rFonts w:ascii="Aptos" w:hAnsi="Aptos"/>
        </w:rPr>
        <w:footnoteRef/>
      </w:r>
      <w:r w:rsidRPr="00CC4DCE">
        <w:rPr>
          <w:rFonts w:ascii="Aptos" w:hAnsi="Aptos"/>
        </w:rPr>
        <w:t xml:space="preserve"> </w:t>
      </w:r>
      <w:r w:rsidR="005D5C21" w:rsidRPr="00CC4DCE">
        <w:rPr>
          <w:rFonts w:ascii="Aptos" w:hAnsi="Aptos"/>
          <w:i/>
          <w:iCs/>
        </w:rPr>
        <w:t>In Re: Foxborough Public Schools, Norwood Public Schools, the Department of Elementary and Secondary Education, &amp; Student</w:t>
      </w:r>
      <w:r w:rsidR="005D5C21" w:rsidRPr="00CC4DCE">
        <w:rPr>
          <w:rFonts w:ascii="Aptos" w:hAnsi="Aptos"/>
        </w:rPr>
        <w:t>, BSEA # 2600283 (Reichbach, 2026 (quoting</w:t>
      </w:r>
      <w:r w:rsidRPr="00CC4DCE">
        <w:rPr>
          <w:rFonts w:ascii="Aptos" w:hAnsi="Aptos"/>
        </w:rPr>
        <w:t xml:space="preserve"> M.G.L. c. 71B, § 2A (establishing the BSEA</w:t>
      </w:r>
      <w:r w:rsidR="005D5C21" w:rsidRPr="00CC4DCE">
        <w:rPr>
          <w:rFonts w:ascii="Aptos" w:hAnsi="Aptos"/>
        </w:rPr>
        <w:t>))</w:t>
      </w:r>
      <w:r w:rsidRPr="00CC4DCE">
        <w:rPr>
          <w:rFonts w:ascii="Aptos" w:hAnsi="Aptos"/>
        </w:rPr>
        <w:t>).</w:t>
      </w:r>
    </w:p>
  </w:footnote>
  <w:footnote w:id="24">
    <w:p w14:paraId="544D7767" w14:textId="61501386" w:rsidR="00CD4445" w:rsidRPr="00CC4DCE" w:rsidRDefault="00CD4445">
      <w:pPr>
        <w:pStyle w:val="FootnoteText"/>
        <w:rPr>
          <w:rFonts w:ascii="Aptos" w:hAnsi="Aptos"/>
        </w:rPr>
      </w:pPr>
      <w:r w:rsidRPr="00CC4DCE">
        <w:rPr>
          <w:rStyle w:val="FootnoteReference"/>
          <w:rFonts w:ascii="Aptos" w:hAnsi="Aptos"/>
        </w:rPr>
        <w:footnoteRef/>
      </w:r>
      <w:r w:rsidRPr="00CC4DCE">
        <w:rPr>
          <w:rFonts w:ascii="Aptos" w:hAnsi="Aptos"/>
        </w:rPr>
        <w:t xml:space="preserve"> See </w:t>
      </w:r>
      <w:r w:rsidRPr="00CC4DCE">
        <w:rPr>
          <w:rFonts w:ascii="Aptos" w:hAnsi="Aptos"/>
          <w:i/>
          <w:iCs/>
        </w:rPr>
        <w:t>id</w:t>
      </w:r>
      <w:r w:rsidRPr="00CC4DCE">
        <w:rPr>
          <w:rFonts w:ascii="Aptos" w:hAnsi="Aptos"/>
        </w:rPr>
        <w:t>.</w:t>
      </w:r>
    </w:p>
  </w:footnote>
  <w:footnote w:id="25">
    <w:p w14:paraId="127B2C6E" w14:textId="46D60817" w:rsidR="00CA1327" w:rsidRPr="00CC4DCE" w:rsidRDefault="00CA1327">
      <w:pPr>
        <w:pStyle w:val="FootnoteText"/>
        <w:rPr>
          <w:rFonts w:ascii="Aptos" w:hAnsi="Aptos"/>
        </w:rPr>
      </w:pPr>
      <w:r w:rsidRPr="00CC4DCE">
        <w:rPr>
          <w:rStyle w:val="FootnoteReference"/>
          <w:rFonts w:ascii="Aptos" w:hAnsi="Aptos"/>
        </w:rPr>
        <w:footnoteRef/>
      </w:r>
      <w:r w:rsidRPr="00CC4DCE">
        <w:rPr>
          <w:rFonts w:ascii="Aptos" w:hAnsi="Aptos"/>
        </w:rPr>
        <w:t xml:space="preserve"> See M.G.L. c. 76, § 5 (“Every person shall have a right to attend the public schools of the town where he </w:t>
      </w:r>
      <w:proofErr w:type="gramStart"/>
      <w:r w:rsidRPr="00CC4DCE">
        <w:rPr>
          <w:rFonts w:ascii="Aptos" w:hAnsi="Aptos"/>
        </w:rPr>
        <w:t>actually resides</w:t>
      </w:r>
      <w:proofErr w:type="gramEnd"/>
      <w:r w:rsidRPr="00CC4DCE">
        <w:rPr>
          <w:rFonts w:ascii="Aptos" w:hAnsi="Aptos"/>
        </w:rPr>
        <w:t xml:space="preserve"> . . . </w:t>
      </w:r>
      <w:r w:rsidR="00A0588E" w:rsidRPr="00CC4DCE">
        <w:rPr>
          <w:rFonts w:ascii="Aptos" w:hAnsi="Aptos"/>
        </w:rPr>
        <w:t xml:space="preserve">. </w:t>
      </w:r>
      <w:r w:rsidRPr="00CC4DCE">
        <w:rPr>
          <w:rFonts w:ascii="Aptos" w:hAnsi="Aptos"/>
        </w:rPr>
        <w:t>No school committee is required to enroll a person who does not actually reside in the town unless said enrollment is authorized by law or by the school committee”).</w:t>
      </w:r>
    </w:p>
  </w:footnote>
  <w:footnote w:id="26">
    <w:p w14:paraId="0673BBC4" w14:textId="57994688" w:rsidR="00CA1327" w:rsidRPr="00CC4DCE" w:rsidRDefault="00CA1327">
      <w:pPr>
        <w:pStyle w:val="FootnoteText"/>
        <w:rPr>
          <w:rFonts w:ascii="Aptos" w:hAnsi="Aptos"/>
        </w:rPr>
      </w:pPr>
      <w:r w:rsidRPr="00CC4DCE">
        <w:rPr>
          <w:rStyle w:val="FootnoteReference"/>
          <w:rFonts w:ascii="Aptos" w:hAnsi="Aptos"/>
        </w:rPr>
        <w:footnoteRef/>
      </w:r>
      <w:r w:rsidRPr="00CC4DCE">
        <w:rPr>
          <w:rFonts w:ascii="Aptos" w:hAnsi="Aptos"/>
        </w:rPr>
        <w:t xml:space="preserve"> See </w:t>
      </w:r>
      <w:r w:rsidRPr="00CC4DCE">
        <w:rPr>
          <w:rFonts w:ascii="Aptos" w:hAnsi="Aptos"/>
          <w:i/>
          <w:iCs/>
        </w:rPr>
        <w:t>Salem v. Bureau of Special Educ. Appeals</w:t>
      </w:r>
      <w:r w:rsidRPr="00CC4DCE">
        <w:rPr>
          <w:rFonts w:ascii="Aptos" w:hAnsi="Aptos"/>
        </w:rPr>
        <w:t xml:space="preserve">, 444 Mass. 476, 482 (2005); </w:t>
      </w:r>
      <w:r w:rsidRPr="00CC4DCE">
        <w:rPr>
          <w:rFonts w:ascii="Aptos" w:hAnsi="Aptos"/>
          <w:i/>
          <w:iCs/>
        </w:rPr>
        <w:t>Walker Home for Children, Inc. v. Franklin</w:t>
      </w:r>
      <w:r w:rsidRPr="00CC4DCE">
        <w:rPr>
          <w:rFonts w:ascii="Aptos" w:hAnsi="Aptos"/>
        </w:rPr>
        <w:t>, 416 Mass. 291, 295 (1993).</w:t>
      </w:r>
    </w:p>
  </w:footnote>
  <w:footnote w:id="27">
    <w:p w14:paraId="67B0D460" w14:textId="77777777" w:rsidR="00BA1893" w:rsidRPr="00CC4DCE" w:rsidRDefault="00BA1893" w:rsidP="00BA1893">
      <w:pPr>
        <w:pStyle w:val="FootnoteText"/>
        <w:rPr>
          <w:rFonts w:ascii="Aptos" w:hAnsi="Aptos"/>
        </w:rPr>
      </w:pPr>
      <w:r w:rsidRPr="00CC4DCE">
        <w:rPr>
          <w:rStyle w:val="FootnoteReference"/>
          <w:rFonts w:ascii="Aptos" w:hAnsi="Aptos"/>
        </w:rPr>
        <w:footnoteRef/>
      </w:r>
      <w:r w:rsidRPr="00CC4DCE">
        <w:rPr>
          <w:rFonts w:ascii="Aptos" w:hAnsi="Aptos"/>
        </w:rPr>
        <w:t xml:space="preserve"> See </w:t>
      </w:r>
      <w:r w:rsidRPr="00CC4DCE">
        <w:rPr>
          <w:rFonts w:ascii="Aptos" w:hAnsi="Aptos"/>
          <w:i/>
          <w:iCs/>
        </w:rPr>
        <w:t xml:space="preserve">Massachusetts Hosp. Assoc. v. </w:t>
      </w:r>
      <w:proofErr w:type="spellStart"/>
      <w:r w:rsidRPr="00CC4DCE">
        <w:rPr>
          <w:rFonts w:ascii="Aptos" w:hAnsi="Aptos"/>
          <w:i/>
          <w:iCs/>
        </w:rPr>
        <w:t>Dep’t</w:t>
      </w:r>
      <w:proofErr w:type="spellEnd"/>
      <w:r w:rsidRPr="00CC4DCE">
        <w:rPr>
          <w:rFonts w:ascii="Aptos" w:hAnsi="Aptos"/>
          <w:i/>
          <w:iCs/>
        </w:rPr>
        <w:t xml:space="preserve"> of Med. Sec.</w:t>
      </w:r>
      <w:r w:rsidRPr="00CC4DCE">
        <w:rPr>
          <w:rFonts w:ascii="Aptos" w:hAnsi="Aptos"/>
        </w:rPr>
        <w:t xml:space="preserve">, 412 Mass. 340, 342 (1992); </w:t>
      </w:r>
      <w:r w:rsidRPr="00CC4DCE">
        <w:rPr>
          <w:rFonts w:ascii="Aptos" w:hAnsi="Aptos"/>
          <w:i/>
          <w:iCs/>
        </w:rPr>
        <w:t>Walker Home</w:t>
      </w:r>
      <w:r w:rsidRPr="00CC4DCE">
        <w:rPr>
          <w:rFonts w:ascii="Aptos" w:hAnsi="Aptos"/>
        </w:rPr>
        <w:t>, 416 Mass. at 296.</w:t>
      </w:r>
    </w:p>
  </w:footnote>
  <w:footnote w:id="28">
    <w:p w14:paraId="6D406C9E" w14:textId="32D5C012" w:rsidR="00154AE0" w:rsidRPr="00CC4DCE" w:rsidRDefault="00154AE0">
      <w:pPr>
        <w:pStyle w:val="FootnoteText"/>
        <w:rPr>
          <w:rFonts w:ascii="Aptos" w:hAnsi="Aptos"/>
        </w:rPr>
      </w:pPr>
      <w:r w:rsidRPr="00CC4DCE">
        <w:rPr>
          <w:rStyle w:val="FootnoteReference"/>
          <w:rFonts w:ascii="Aptos" w:hAnsi="Aptos"/>
        </w:rPr>
        <w:footnoteRef/>
      </w:r>
      <w:r w:rsidRPr="00CC4DCE">
        <w:rPr>
          <w:rFonts w:ascii="Aptos" w:hAnsi="Aptos"/>
        </w:rPr>
        <w:t xml:space="preserve"> See 603 CMR 28.10(2)(a)(2).</w:t>
      </w:r>
    </w:p>
  </w:footnote>
  <w:footnote w:id="29">
    <w:p w14:paraId="7B602206" w14:textId="301F8718" w:rsidR="00154AE0" w:rsidRPr="00CC4DCE" w:rsidRDefault="00154AE0">
      <w:pPr>
        <w:pStyle w:val="FootnoteText"/>
        <w:rPr>
          <w:rFonts w:ascii="Aptos" w:hAnsi="Aptos"/>
        </w:rPr>
      </w:pPr>
      <w:r w:rsidRPr="00CC4DCE">
        <w:rPr>
          <w:rStyle w:val="FootnoteReference"/>
          <w:rFonts w:ascii="Aptos" w:hAnsi="Aptos"/>
        </w:rPr>
        <w:footnoteRef/>
      </w:r>
      <w:r w:rsidRPr="00CC4DCE">
        <w:rPr>
          <w:rFonts w:ascii="Aptos" w:hAnsi="Aptos"/>
        </w:rPr>
        <w:t xml:space="preserve"> </w:t>
      </w:r>
      <w:r w:rsidR="0092020D" w:rsidRPr="00CC4DCE">
        <w:rPr>
          <w:rFonts w:ascii="Aptos" w:hAnsi="Aptos"/>
        </w:rPr>
        <w:t xml:space="preserve">See </w:t>
      </w:r>
      <w:r w:rsidRPr="00CC4DCE">
        <w:rPr>
          <w:rFonts w:ascii="Aptos" w:hAnsi="Aptos"/>
        </w:rPr>
        <w:t>603 CMR 28.10(3)(b).</w:t>
      </w:r>
    </w:p>
  </w:footnote>
  <w:footnote w:id="30">
    <w:p w14:paraId="18F4986E" w14:textId="298A0FBD" w:rsidR="000C43B8" w:rsidRPr="00CC4DCE" w:rsidRDefault="000C43B8">
      <w:pPr>
        <w:pStyle w:val="FootnoteText"/>
        <w:rPr>
          <w:rFonts w:ascii="Aptos" w:hAnsi="Aptos"/>
        </w:rPr>
      </w:pPr>
      <w:r w:rsidRPr="00CC4DCE">
        <w:rPr>
          <w:rStyle w:val="FootnoteReference"/>
          <w:rFonts w:ascii="Aptos" w:hAnsi="Aptos"/>
        </w:rPr>
        <w:footnoteRef/>
      </w:r>
      <w:r w:rsidRPr="00CC4DCE">
        <w:rPr>
          <w:rFonts w:ascii="Aptos" w:hAnsi="Aptos"/>
        </w:rPr>
        <w:t xml:space="preserve"> See 603 CMR 28.10(5)(b)(2).</w:t>
      </w:r>
    </w:p>
  </w:footnote>
  <w:footnote w:id="31">
    <w:p w14:paraId="4D5E6EBE" w14:textId="696D3A1D" w:rsidR="000C43B8" w:rsidRPr="00CC4DCE" w:rsidRDefault="00424E30">
      <w:pPr>
        <w:pStyle w:val="FootnoteText"/>
        <w:rPr>
          <w:rFonts w:ascii="Aptos" w:hAnsi="Aptos"/>
        </w:rPr>
      </w:pPr>
      <w:r w:rsidRPr="00CC4DCE">
        <w:rPr>
          <w:rStyle w:val="FootnoteReference"/>
          <w:rFonts w:ascii="Aptos" w:hAnsi="Aptos"/>
        </w:rPr>
        <w:footnoteRef/>
      </w:r>
      <w:r w:rsidRPr="00CC4DCE">
        <w:rPr>
          <w:rFonts w:ascii="Aptos" w:hAnsi="Aptos"/>
        </w:rPr>
        <w:t xml:space="preserve"> 603 CMR 28.10(5)(b)(3).</w:t>
      </w:r>
    </w:p>
  </w:footnote>
  <w:footnote w:id="32">
    <w:p w14:paraId="336C3538" w14:textId="209236FF" w:rsidR="00424E30" w:rsidRPr="00CC4DCE" w:rsidRDefault="00424E30">
      <w:pPr>
        <w:pStyle w:val="FootnoteText"/>
        <w:rPr>
          <w:rFonts w:ascii="Aptos" w:hAnsi="Aptos"/>
        </w:rPr>
      </w:pPr>
      <w:r w:rsidRPr="00CC4DCE">
        <w:rPr>
          <w:rStyle w:val="FootnoteReference"/>
          <w:rFonts w:ascii="Aptos" w:hAnsi="Aptos"/>
        </w:rPr>
        <w:footnoteRef/>
      </w:r>
      <w:r w:rsidRPr="00CC4DCE">
        <w:rPr>
          <w:rFonts w:ascii="Aptos" w:hAnsi="Aptos"/>
        </w:rPr>
        <w:t xml:space="preserve"> See 603 CMR 28.10(8)(a)(1).</w:t>
      </w:r>
    </w:p>
  </w:footnote>
  <w:footnote w:id="33">
    <w:p w14:paraId="6BFE981C" w14:textId="24DC4A1E" w:rsidR="00A6079E" w:rsidRPr="00CC4DCE" w:rsidRDefault="00A6079E">
      <w:pPr>
        <w:pStyle w:val="FootnoteText"/>
        <w:rPr>
          <w:rFonts w:ascii="Aptos" w:hAnsi="Aptos"/>
          <w:i/>
          <w:iCs/>
        </w:rPr>
      </w:pPr>
      <w:r w:rsidRPr="00CC4DCE">
        <w:rPr>
          <w:rStyle w:val="FootnoteReference"/>
          <w:rFonts w:ascii="Aptos" w:hAnsi="Aptos"/>
        </w:rPr>
        <w:footnoteRef/>
      </w:r>
      <w:r w:rsidRPr="00CC4DCE">
        <w:rPr>
          <w:rFonts w:ascii="Aptos" w:hAnsi="Aptos"/>
        </w:rPr>
        <w:t xml:space="preserve"> 603 CMR 28.10(8)(b).</w:t>
      </w:r>
    </w:p>
  </w:footnote>
  <w:footnote w:id="34">
    <w:p w14:paraId="11AD1FDF" w14:textId="2272C2DA" w:rsidR="00A6079E" w:rsidRPr="00CC4DCE" w:rsidRDefault="00A6079E">
      <w:pPr>
        <w:pStyle w:val="FootnoteText"/>
        <w:rPr>
          <w:rFonts w:ascii="Aptos" w:hAnsi="Aptos"/>
        </w:rPr>
      </w:pPr>
      <w:r w:rsidRPr="00CC4DCE">
        <w:rPr>
          <w:rStyle w:val="FootnoteReference"/>
          <w:rFonts w:ascii="Aptos" w:hAnsi="Aptos"/>
        </w:rPr>
        <w:footnoteRef/>
      </w:r>
      <w:r w:rsidRPr="00CC4DCE">
        <w:rPr>
          <w:rFonts w:ascii="Aptos" w:hAnsi="Aptos"/>
        </w:rPr>
        <w:t xml:space="preserve"> 603 CMR 28.10(8)(c)(1).</w:t>
      </w:r>
    </w:p>
  </w:footnote>
  <w:footnote w:id="35">
    <w:p w14:paraId="103BAC44" w14:textId="0FD0F4DA" w:rsidR="009C70CC" w:rsidRPr="00CC4DCE" w:rsidRDefault="009C70CC">
      <w:pPr>
        <w:pStyle w:val="FootnoteText"/>
        <w:rPr>
          <w:rFonts w:ascii="Aptos" w:hAnsi="Aptos"/>
        </w:rPr>
      </w:pPr>
      <w:r w:rsidRPr="00CC4DCE">
        <w:rPr>
          <w:rStyle w:val="FootnoteReference"/>
          <w:rFonts w:ascii="Aptos" w:hAnsi="Aptos"/>
        </w:rPr>
        <w:footnoteRef/>
      </w:r>
      <w:r w:rsidRPr="00CC4DCE">
        <w:rPr>
          <w:rFonts w:ascii="Aptos" w:hAnsi="Aptos"/>
        </w:rPr>
        <w:t xml:space="preserve"> See 603 CMR 28.10(8)(c)(3).</w:t>
      </w:r>
    </w:p>
  </w:footnote>
  <w:footnote w:id="36">
    <w:p w14:paraId="2C8EB652" w14:textId="549479B9" w:rsidR="009C70CC" w:rsidRPr="00CC4DCE" w:rsidRDefault="009C70CC">
      <w:pPr>
        <w:pStyle w:val="FootnoteText"/>
        <w:rPr>
          <w:rFonts w:ascii="Aptos" w:hAnsi="Aptos"/>
        </w:rPr>
      </w:pPr>
      <w:r w:rsidRPr="00CC4DCE">
        <w:rPr>
          <w:rStyle w:val="FootnoteReference"/>
          <w:rFonts w:ascii="Aptos" w:hAnsi="Aptos"/>
        </w:rPr>
        <w:footnoteRef/>
      </w:r>
      <w:r w:rsidRPr="00CC4DCE">
        <w:rPr>
          <w:rFonts w:ascii="Aptos" w:hAnsi="Aptos"/>
        </w:rPr>
        <w:t xml:space="preserve"> 603 CMR 28.10(8)(c)(4).</w:t>
      </w:r>
    </w:p>
  </w:footnote>
  <w:footnote w:id="37">
    <w:p w14:paraId="19A866E6" w14:textId="7F2B347E" w:rsidR="009C70CC" w:rsidRPr="00CC4DCE" w:rsidRDefault="009C70CC">
      <w:pPr>
        <w:pStyle w:val="FootnoteText"/>
        <w:rPr>
          <w:rFonts w:ascii="Aptos" w:hAnsi="Aptos"/>
        </w:rPr>
      </w:pPr>
      <w:r w:rsidRPr="00CC4DCE">
        <w:rPr>
          <w:rStyle w:val="FootnoteReference"/>
          <w:rFonts w:ascii="Aptos" w:hAnsi="Aptos"/>
        </w:rPr>
        <w:footnoteRef/>
      </w:r>
      <w:r w:rsidRPr="00CC4DCE">
        <w:rPr>
          <w:rFonts w:ascii="Aptos" w:hAnsi="Aptos"/>
        </w:rPr>
        <w:t xml:space="preserve"> 603 CMR 28.10(8)(c)(7).</w:t>
      </w:r>
    </w:p>
  </w:footnote>
  <w:footnote w:id="38">
    <w:p w14:paraId="59D91CEF" w14:textId="057F490C" w:rsidR="003758D3" w:rsidRPr="00CC4DCE" w:rsidRDefault="003758D3">
      <w:pPr>
        <w:pStyle w:val="FootnoteText"/>
        <w:rPr>
          <w:rFonts w:ascii="Aptos" w:hAnsi="Aptos"/>
        </w:rPr>
      </w:pPr>
      <w:r w:rsidRPr="00CC4DCE">
        <w:rPr>
          <w:rStyle w:val="FootnoteReference"/>
          <w:rFonts w:ascii="Aptos" w:hAnsi="Aptos"/>
        </w:rPr>
        <w:footnoteRef/>
      </w:r>
      <w:r w:rsidRPr="00CC4DCE">
        <w:rPr>
          <w:rFonts w:ascii="Aptos" w:hAnsi="Aptos"/>
        </w:rPr>
        <w:t xml:space="preserve"> </w:t>
      </w:r>
      <w:r w:rsidR="000F1220" w:rsidRPr="00CC4DCE">
        <w:rPr>
          <w:rFonts w:ascii="Aptos" w:hAnsi="Aptos"/>
        </w:rPr>
        <w:t xml:space="preserve">See </w:t>
      </w:r>
      <w:r w:rsidRPr="00CC4DCE">
        <w:rPr>
          <w:rFonts w:ascii="Aptos" w:hAnsi="Aptos"/>
        </w:rPr>
        <w:t>603 CMR 28.10(8)(d).</w:t>
      </w:r>
    </w:p>
  </w:footnote>
  <w:footnote w:id="39">
    <w:p w14:paraId="12B7AB25" w14:textId="077BD159" w:rsidR="003758D3" w:rsidRPr="00CC4DCE" w:rsidRDefault="003758D3">
      <w:pPr>
        <w:pStyle w:val="FootnoteText"/>
        <w:rPr>
          <w:rFonts w:ascii="Aptos" w:hAnsi="Aptos"/>
        </w:rPr>
      </w:pPr>
      <w:r w:rsidRPr="00CC4DCE">
        <w:rPr>
          <w:rStyle w:val="FootnoteReference"/>
          <w:rFonts w:ascii="Aptos" w:hAnsi="Aptos"/>
        </w:rPr>
        <w:footnoteRef/>
      </w:r>
      <w:r w:rsidRPr="00CC4DCE">
        <w:rPr>
          <w:rFonts w:ascii="Aptos" w:hAnsi="Aptos"/>
        </w:rPr>
        <w:t xml:space="preserve"> 603 CMR 28.10(7).</w:t>
      </w:r>
    </w:p>
  </w:footnote>
  <w:footnote w:id="40">
    <w:p w14:paraId="4FD733DE" w14:textId="28AC2FAC" w:rsidR="00424E30" w:rsidRPr="00CC4DCE" w:rsidRDefault="00424E30">
      <w:pPr>
        <w:pStyle w:val="FootnoteText"/>
        <w:rPr>
          <w:rFonts w:ascii="Aptos" w:hAnsi="Aptos"/>
        </w:rPr>
      </w:pPr>
      <w:r w:rsidRPr="00CC4DCE">
        <w:rPr>
          <w:rStyle w:val="FootnoteReference"/>
          <w:rFonts w:ascii="Aptos" w:hAnsi="Aptos"/>
        </w:rPr>
        <w:footnoteRef/>
      </w:r>
      <w:r w:rsidRPr="00CC4DCE">
        <w:rPr>
          <w:rFonts w:ascii="Aptos" w:hAnsi="Aptos"/>
        </w:rPr>
        <w:t xml:space="preserve"> See </w:t>
      </w:r>
      <w:r w:rsidR="003758D3" w:rsidRPr="00CC4DCE">
        <w:rPr>
          <w:rFonts w:ascii="Aptos" w:hAnsi="Aptos"/>
          <w:i/>
          <w:iCs/>
        </w:rPr>
        <w:t>id</w:t>
      </w:r>
      <w:r w:rsidR="003758D3" w:rsidRPr="00CC4DCE">
        <w:rPr>
          <w:rFonts w:ascii="Aptos" w:hAnsi="Aptos"/>
        </w:rPr>
        <w:t>.</w:t>
      </w:r>
    </w:p>
  </w:footnote>
  <w:footnote w:id="41">
    <w:p w14:paraId="200E5699" w14:textId="579CCBDF" w:rsidR="00725000" w:rsidRPr="00CC4DCE" w:rsidRDefault="00725000">
      <w:pPr>
        <w:pStyle w:val="FootnoteText"/>
        <w:rPr>
          <w:rFonts w:ascii="Aptos" w:hAnsi="Aptos"/>
        </w:rPr>
      </w:pPr>
      <w:r w:rsidRPr="00CC4DCE">
        <w:rPr>
          <w:rStyle w:val="FootnoteReference"/>
          <w:rFonts w:ascii="Aptos" w:hAnsi="Aptos"/>
        </w:rPr>
        <w:footnoteRef/>
      </w:r>
      <w:r w:rsidRPr="00CC4DCE">
        <w:rPr>
          <w:rFonts w:ascii="Aptos" w:hAnsi="Aptos"/>
        </w:rPr>
        <w:t xml:space="preserve"> 603 CMR 28.10(8)(f).</w:t>
      </w:r>
    </w:p>
  </w:footnote>
  <w:footnote w:id="42">
    <w:p w14:paraId="6B880C93" w14:textId="4E1E8A3D" w:rsidR="000F123D" w:rsidRPr="00CC4DCE" w:rsidRDefault="000F123D">
      <w:pPr>
        <w:pStyle w:val="FootnoteText"/>
        <w:rPr>
          <w:rFonts w:ascii="Aptos" w:hAnsi="Aptos"/>
        </w:rPr>
      </w:pPr>
      <w:r w:rsidRPr="00CC4DCE">
        <w:rPr>
          <w:rStyle w:val="FootnoteReference"/>
          <w:rFonts w:ascii="Aptos" w:hAnsi="Aptos"/>
        </w:rPr>
        <w:footnoteRef/>
      </w:r>
      <w:r w:rsidRPr="00CC4DCE">
        <w:rPr>
          <w:rFonts w:ascii="Aptos" w:hAnsi="Aptos"/>
        </w:rPr>
        <w:t xml:space="preserve"> 603 CMR 28.10(9)(b)(1).</w:t>
      </w:r>
    </w:p>
  </w:footnote>
  <w:footnote w:id="43">
    <w:p w14:paraId="27FC4102" w14:textId="0054B8C4" w:rsidR="000F123D" w:rsidRPr="00CC4DCE" w:rsidRDefault="000F123D">
      <w:pPr>
        <w:pStyle w:val="FootnoteText"/>
        <w:rPr>
          <w:rFonts w:ascii="Aptos" w:hAnsi="Aptos"/>
          <w:i/>
          <w:iCs/>
        </w:rPr>
      </w:pPr>
      <w:r w:rsidRPr="00CC4DCE">
        <w:rPr>
          <w:rStyle w:val="FootnoteReference"/>
          <w:rFonts w:ascii="Aptos" w:hAnsi="Aptos"/>
        </w:rPr>
        <w:footnoteRef/>
      </w:r>
      <w:r w:rsidRPr="00CC4DCE">
        <w:rPr>
          <w:rFonts w:ascii="Aptos" w:hAnsi="Aptos"/>
        </w:rPr>
        <w:t xml:space="preserve"> 603 CMR 28.10(9)(b)(2)-(3).</w:t>
      </w:r>
    </w:p>
  </w:footnote>
  <w:footnote w:id="44">
    <w:p w14:paraId="4C44803B" w14:textId="4B848DE8" w:rsidR="000F123D" w:rsidRPr="00CC4DCE" w:rsidRDefault="000F123D">
      <w:pPr>
        <w:pStyle w:val="FootnoteText"/>
        <w:rPr>
          <w:rFonts w:ascii="Aptos" w:hAnsi="Aptos"/>
        </w:rPr>
      </w:pPr>
      <w:r w:rsidRPr="00CC4DCE">
        <w:rPr>
          <w:rStyle w:val="FootnoteReference"/>
          <w:rFonts w:ascii="Aptos" w:hAnsi="Aptos"/>
        </w:rPr>
        <w:footnoteRef/>
      </w:r>
      <w:r w:rsidRPr="00CC4DCE">
        <w:rPr>
          <w:rFonts w:ascii="Aptos" w:hAnsi="Aptos"/>
        </w:rPr>
        <w:t xml:space="preserve"> 603 CMR 28.10(9)(b)(4).</w:t>
      </w:r>
    </w:p>
  </w:footnote>
  <w:footnote w:id="45">
    <w:p w14:paraId="0B10822F" w14:textId="249354E0" w:rsidR="00934085" w:rsidRPr="00CC4DCE" w:rsidRDefault="00934085">
      <w:pPr>
        <w:pStyle w:val="FootnoteText"/>
        <w:rPr>
          <w:rFonts w:ascii="Aptos" w:hAnsi="Aptos"/>
        </w:rPr>
      </w:pPr>
      <w:r w:rsidRPr="00CC4DCE">
        <w:rPr>
          <w:rStyle w:val="FootnoteReference"/>
          <w:rFonts w:ascii="Aptos" w:hAnsi="Aptos"/>
        </w:rPr>
        <w:footnoteRef/>
      </w:r>
      <w:r w:rsidRPr="00CC4DCE">
        <w:rPr>
          <w:rFonts w:ascii="Aptos" w:hAnsi="Aptos"/>
        </w:rPr>
        <w:t xml:space="preserve"> See </w:t>
      </w:r>
      <w:r w:rsidRPr="00CC4DCE">
        <w:rPr>
          <w:rFonts w:ascii="Aptos" w:hAnsi="Aptos"/>
          <w:i/>
          <w:iCs/>
        </w:rPr>
        <w:t>Blank</w:t>
      </w:r>
      <w:r w:rsidRPr="00CC4DCE">
        <w:rPr>
          <w:rFonts w:ascii="Aptos" w:hAnsi="Aptos"/>
        </w:rPr>
        <w:t>, 420 Mass. at 407.</w:t>
      </w:r>
    </w:p>
  </w:footnote>
  <w:footnote w:id="46">
    <w:p w14:paraId="66F18539" w14:textId="77777777" w:rsidR="00725000" w:rsidRPr="00CC4DCE" w:rsidRDefault="00725000" w:rsidP="00725000">
      <w:pPr>
        <w:pStyle w:val="FootnoteText"/>
        <w:rPr>
          <w:rFonts w:ascii="Aptos" w:hAnsi="Aptos"/>
          <w:i/>
          <w:iCs/>
        </w:rPr>
      </w:pPr>
      <w:r w:rsidRPr="00CC4DCE">
        <w:rPr>
          <w:rStyle w:val="FootnoteReference"/>
          <w:rFonts w:ascii="Aptos" w:hAnsi="Aptos"/>
        </w:rPr>
        <w:footnoteRef/>
      </w:r>
      <w:r w:rsidRPr="00CC4DCE">
        <w:rPr>
          <w:rFonts w:ascii="Aptos" w:hAnsi="Aptos"/>
        </w:rPr>
        <w:t xml:space="preserve"> See </w:t>
      </w:r>
      <w:r w:rsidRPr="00CC4DCE">
        <w:rPr>
          <w:rFonts w:ascii="Aptos" w:hAnsi="Aptos"/>
          <w:i/>
          <w:iCs/>
        </w:rPr>
        <w:t>Twombly,</w:t>
      </w:r>
      <w:r w:rsidRPr="00CC4DCE">
        <w:rPr>
          <w:rFonts w:ascii="Aptos" w:hAnsi="Aptos"/>
        </w:rPr>
        <w:t xml:space="preserve"> 550 U.S. at 557</w:t>
      </w:r>
      <w:r w:rsidRPr="00CC4DCE">
        <w:rPr>
          <w:rFonts w:ascii="Aptos" w:hAnsi="Aptos"/>
          <w:i/>
          <w:iCs/>
        </w:rPr>
        <w:t>.</w:t>
      </w:r>
    </w:p>
  </w:footnote>
  <w:footnote w:id="47">
    <w:p w14:paraId="35404C5D" w14:textId="3E513CD7" w:rsidR="002E5E7B" w:rsidRPr="00CC4DCE" w:rsidRDefault="002E5E7B">
      <w:pPr>
        <w:pStyle w:val="FootnoteText"/>
        <w:rPr>
          <w:rFonts w:ascii="Aptos" w:hAnsi="Aptos"/>
        </w:rPr>
      </w:pPr>
      <w:r w:rsidRPr="00CC4DCE">
        <w:rPr>
          <w:rStyle w:val="FootnoteReference"/>
          <w:rFonts w:ascii="Aptos" w:hAnsi="Aptos"/>
        </w:rPr>
        <w:footnoteRef/>
      </w:r>
      <w:r w:rsidRPr="00CC4DCE">
        <w:rPr>
          <w:rFonts w:ascii="Aptos" w:hAnsi="Aptos"/>
        </w:rPr>
        <w:t xml:space="preserve"> This statement</w:t>
      </w:r>
      <w:r w:rsidR="000F1220" w:rsidRPr="00CC4DCE">
        <w:rPr>
          <w:rFonts w:ascii="Aptos" w:hAnsi="Aptos"/>
        </w:rPr>
        <w:t>, contained</w:t>
      </w:r>
      <w:r w:rsidRPr="00CC4DCE">
        <w:rPr>
          <w:rFonts w:ascii="Aptos" w:hAnsi="Aptos"/>
        </w:rPr>
        <w:t xml:space="preserve"> in </w:t>
      </w:r>
      <w:r w:rsidR="00ED67AC" w:rsidRPr="00CC4DCE">
        <w:rPr>
          <w:rFonts w:ascii="Aptos" w:hAnsi="Aptos"/>
        </w:rPr>
        <w:t>DESE’s Assignment of School District Responsibility</w:t>
      </w:r>
      <w:r w:rsidR="000F1220" w:rsidRPr="00CC4DCE">
        <w:rPr>
          <w:rFonts w:ascii="Aptos" w:hAnsi="Aptos"/>
        </w:rPr>
        <w:t>,</w:t>
      </w:r>
      <w:r w:rsidR="00ED67AC" w:rsidRPr="00CC4DCE">
        <w:rPr>
          <w:rFonts w:ascii="Aptos" w:hAnsi="Aptos"/>
        </w:rPr>
        <w:t xml:space="preserve"> supports my conclusion, above, that when a </w:t>
      </w:r>
      <w:r w:rsidR="000F1220" w:rsidRPr="00CC4DCE">
        <w:rPr>
          <w:rFonts w:ascii="Aptos" w:hAnsi="Aptos"/>
        </w:rPr>
        <w:t>s</w:t>
      </w:r>
      <w:r w:rsidR="00ED67AC" w:rsidRPr="00CC4DCE">
        <w:rPr>
          <w:rFonts w:ascii="Aptos" w:hAnsi="Aptos"/>
        </w:rPr>
        <w:t>tudent is in DCF’s custody, DCF may be considered his guardian for some purposes, but this does not provide a basis for assignment of school district responsibility associated with the location of a DCF office or social worker.</w:t>
      </w:r>
    </w:p>
  </w:footnote>
  <w:footnote w:id="48">
    <w:p w14:paraId="30EE03CB" w14:textId="155693D2" w:rsidR="002A66D8" w:rsidRPr="002F3DC7" w:rsidRDefault="002A66D8">
      <w:pPr>
        <w:pStyle w:val="FootnoteText"/>
        <w:rPr>
          <w:rFonts w:ascii="Aptos" w:hAnsi="Aptos"/>
        </w:rPr>
      </w:pPr>
      <w:r w:rsidRPr="002F3DC7">
        <w:rPr>
          <w:rStyle w:val="FootnoteReference"/>
          <w:rFonts w:ascii="Aptos" w:hAnsi="Aptos"/>
        </w:rPr>
        <w:footnoteRef/>
      </w:r>
      <w:r w:rsidRPr="002F3DC7">
        <w:rPr>
          <w:rFonts w:ascii="Aptos" w:hAnsi="Aptos"/>
        </w:rPr>
        <w:t xml:space="preserve"> See 603 CMR 28.10(8)(c)(4).</w:t>
      </w:r>
    </w:p>
  </w:footnote>
  <w:footnote w:id="49">
    <w:p w14:paraId="62B8C025" w14:textId="4373C592" w:rsidR="002F3DC7" w:rsidRPr="002F3DC7" w:rsidRDefault="002F3DC7">
      <w:pPr>
        <w:pStyle w:val="FootnoteText"/>
        <w:rPr>
          <w:rFonts w:ascii="Aptos" w:hAnsi="Aptos"/>
        </w:rPr>
      </w:pPr>
      <w:r w:rsidRPr="002F3DC7">
        <w:rPr>
          <w:rStyle w:val="FootnoteReference"/>
          <w:rFonts w:ascii="Aptos" w:hAnsi="Aptos"/>
        </w:rPr>
        <w:footnoteRef/>
      </w:r>
      <w:r w:rsidRPr="002F3DC7">
        <w:rPr>
          <w:rFonts w:ascii="Aptos" w:hAnsi="Aptos"/>
        </w:rPr>
        <w:t xml:space="preserve"> Worcester does not specify whether the Framingham address provided for </w:t>
      </w:r>
      <w:r>
        <w:rPr>
          <w:rFonts w:ascii="Aptos" w:hAnsi="Aptos"/>
        </w:rPr>
        <w:t>Student’s</w:t>
      </w:r>
      <w:r w:rsidRPr="002F3DC7">
        <w:rPr>
          <w:rFonts w:ascii="Aptos" w:hAnsi="Aptos"/>
        </w:rPr>
        <w:t xml:space="preserve"> ESP</w:t>
      </w:r>
      <w:r w:rsidR="005547AC">
        <w:rPr>
          <w:rFonts w:ascii="Aptos" w:hAnsi="Aptos"/>
        </w:rPr>
        <w:t xml:space="preserve">, SM, and for WA, </w:t>
      </w:r>
      <w:r w:rsidRPr="002F3DC7">
        <w:rPr>
          <w:rFonts w:ascii="Aptos" w:hAnsi="Aptos"/>
        </w:rPr>
        <w:t>is residential or professional</w:t>
      </w:r>
      <w:r w:rsidR="005547AC">
        <w:rPr>
          <w:rFonts w:ascii="Aptos" w:hAnsi="Aptos"/>
        </w:rPr>
        <w:t>.</w:t>
      </w:r>
    </w:p>
  </w:footnote>
  <w:footnote w:id="50">
    <w:p w14:paraId="4C623329" w14:textId="66B21F43" w:rsidR="003210EF" w:rsidRPr="00CC4DCE" w:rsidRDefault="003210EF">
      <w:pPr>
        <w:pStyle w:val="FootnoteText"/>
        <w:rPr>
          <w:rFonts w:ascii="Aptos" w:hAnsi="Aptos"/>
        </w:rPr>
      </w:pPr>
      <w:r w:rsidRPr="002F3DC7">
        <w:rPr>
          <w:rStyle w:val="FootnoteReference"/>
          <w:rFonts w:ascii="Aptos" w:hAnsi="Aptos"/>
        </w:rPr>
        <w:footnoteRef/>
      </w:r>
      <w:r w:rsidRPr="002F3DC7">
        <w:rPr>
          <w:rFonts w:ascii="Aptos" w:hAnsi="Aptos"/>
        </w:rPr>
        <w:t xml:space="preserve"> See 603 CMR 28.10(5)(b)(2) (providing </w:t>
      </w:r>
      <w:r w:rsidR="000F1220" w:rsidRPr="002F3DC7">
        <w:rPr>
          <w:rFonts w:ascii="Aptos" w:hAnsi="Aptos"/>
        </w:rPr>
        <w:t xml:space="preserve">that </w:t>
      </w:r>
      <w:r w:rsidRPr="002F3DC7">
        <w:rPr>
          <w:rFonts w:ascii="Aptos" w:hAnsi="Aptos" w:cs="Times New Roman"/>
        </w:rPr>
        <w:t>where a student changes schools when his foster care setting changes, such that he enrolls in the district where his foster care setting is located, the school district where he is enrolled bears programmatic responsibility, while fiscal responsibility is with the district where his parent</w:t>
      </w:r>
      <w:r w:rsidR="000F1220" w:rsidRPr="002F3DC7">
        <w:rPr>
          <w:rFonts w:ascii="Aptos" w:hAnsi="Aptos" w:cs="Times New Roman"/>
        </w:rPr>
        <w:t>(s)</w:t>
      </w:r>
      <w:r w:rsidRPr="002F3DC7">
        <w:rPr>
          <w:rFonts w:ascii="Aptos" w:hAnsi="Aptos" w:cs="Times New Roman"/>
        </w:rPr>
        <w:t xml:space="preserve"> or legal guardian resides)</w:t>
      </w:r>
      <w:r w:rsidR="00A0588E" w:rsidRPr="002F3DC7">
        <w:rPr>
          <w:rFonts w:ascii="Aptos" w:hAnsi="Aptos" w:cs="Times New Roman"/>
        </w:rPr>
        <w:t>.</w:t>
      </w:r>
    </w:p>
  </w:footnote>
  <w:footnote w:id="51">
    <w:p w14:paraId="4E1E834A" w14:textId="44716E74" w:rsidR="00A85BCE" w:rsidRPr="00CC4DCE" w:rsidRDefault="00A85BCE">
      <w:pPr>
        <w:pStyle w:val="FootnoteText"/>
        <w:rPr>
          <w:rFonts w:ascii="Aptos" w:hAnsi="Aptos"/>
        </w:rPr>
      </w:pPr>
      <w:r w:rsidRPr="00CC4DCE">
        <w:rPr>
          <w:rStyle w:val="FootnoteReference"/>
          <w:rFonts w:ascii="Aptos" w:hAnsi="Aptos"/>
        </w:rPr>
        <w:footnoteRef/>
      </w:r>
      <w:r w:rsidRPr="00CC4DCE">
        <w:rPr>
          <w:rFonts w:ascii="Aptos" w:hAnsi="Aptos"/>
        </w:rPr>
        <w:t xml:space="preserve"> </w:t>
      </w:r>
      <w:r w:rsidR="005547AC">
        <w:rPr>
          <w:rFonts w:ascii="Aptos" w:hAnsi="Aptos"/>
        </w:rPr>
        <w:t xml:space="preserve">See </w:t>
      </w:r>
      <w:r w:rsidR="00DB06E9" w:rsidRPr="00CC4DCE">
        <w:rPr>
          <w:rFonts w:ascii="Aptos" w:hAnsi="Aptos"/>
          <w:i/>
          <w:iCs/>
        </w:rPr>
        <w:t>Golchin</w:t>
      </w:r>
      <w:r w:rsidR="00DB06E9" w:rsidRPr="00CC4DCE">
        <w:rPr>
          <w:rFonts w:ascii="Aptos" w:hAnsi="Aptos"/>
        </w:rPr>
        <w:t>, 460 Mass. at 223; s</w:t>
      </w:r>
      <w:r w:rsidRPr="00CC4DCE">
        <w:rPr>
          <w:rFonts w:ascii="Aptos" w:hAnsi="Aptos"/>
        </w:rPr>
        <w:t xml:space="preserve">ee </w:t>
      </w:r>
      <w:r w:rsidR="00DB06E9" w:rsidRPr="00CC4DCE">
        <w:rPr>
          <w:rFonts w:ascii="Aptos" w:hAnsi="Aptos"/>
          <w:i/>
          <w:iCs/>
        </w:rPr>
        <w:t>Ocasio-Hernandez</w:t>
      </w:r>
      <w:r w:rsidR="00DB06E9" w:rsidRPr="00CC4DCE">
        <w:rPr>
          <w:rFonts w:ascii="Aptos" w:hAnsi="Aptos"/>
        </w:rPr>
        <w:t>, 640 F.3d</w:t>
      </w:r>
      <w:r w:rsidR="0092020D" w:rsidRPr="00CC4DCE">
        <w:rPr>
          <w:rFonts w:ascii="Aptos" w:hAnsi="Aptos"/>
        </w:rPr>
        <w:t xml:space="preserve"> at</w:t>
      </w:r>
      <w:r w:rsidR="00DB06E9" w:rsidRPr="00CC4DCE">
        <w:rPr>
          <w:rFonts w:ascii="Aptos" w:hAnsi="Aptos"/>
        </w:rPr>
        <w:t xml:space="preserve"> 12.</w:t>
      </w:r>
    </w:p>
  </w:footnote>
  <w:footnote w:id="52">
    <w:p w14:paraId="5B1C5369" w14:textId="5054E4E1" w:rsidR="00E807E2" w:rsidRPr="00CC4DCE" w:rsidRDefault="00E807E2">
      <w:pPr>
        <w:pStyle w:val="FootnoteText"/>
        <w:rPr>
          <w:rFonts w:ascii="Aptos" w:hAnsi="Aptos"/>
        </w:rPr>
      </w:pPr>
      <w:r w:rsidRPr="00CC4DCE">
        <w:rPr>
          <w:rStyle w:val="FootnoteReference"/>
          <w:rFonts w:ascii="Aptos" w:hAnsi="Aptos"/>
        </w:rPr>
        <w:footnoteRef/>
      </w:r>
      <w:r w:rsidRPr="00CC4DCE">
        <w:rPr>
          <w:rFonts w:ascii="Aptos" w:hAnsi="Aptos"/>
        </w:rPr>
        <w:t xml:space="preserve"> See </w:t>
      </w:r>
      <w:r w:rsidRPr="00CC4DCE">
        <w:rPr>
          <w:rFonts w:ascii="Aptos" w:hAnsi="Aptos"/>
          <w:i/>
          <w:iCs/>
        </w:rPr>
        <w:t>Twombly</w:t>
      </w:r>
      <w:r w:rsidRPr="00CC4DCE">
        <w:rPr>
          <w:rFonts w:ascii="Aptos" w:hAnsi="Aptos"/>
        </w:rPr>
        <w:t xml:space="preserve">, 550 U.S. at 557; </w:t>
      </w:r>
      <w:r w:rsidRPr="00CC4DCE">
        <w:rPr>
          <w:rFonts w:ascii="Aptos" w:hAnsi="Aptos"/>
          <w:i/>
          <w:iCs/>
        </w:rPr>
        <w:t>Iannocchino</w:t>
      </w:r>
      <w:r w:rsidRPr="00CC4DCE">
        <w:rPr>
          <w:rFonts w:ascii="Aptos" w:hAnsi="Aptos"/>
        </w:rPr>
        <w:t xml:space="preserve">, 451 Mass. at 623; </w:t>
      </w:r>
      <w:r w:rsidRPr="00CC4DCE">
        <w:rPr>
          <w:rFonts w:ascii="Aptos" w:hAnsi="Aptos"/>
          <w:i/>
          <w:iCs/>
        </w:rPr>
        <w:t>Blank</w:t>
      </w:r>
      <w:r w:rsidRPr="00CC4DCE">
        <w:rPr>
          <w:rFonts w:ascii="Aptos" w:hAnsi="Aptos"/>
        </w:rPr>
        <w:t>, 420 Mass. at 407.</w:t>
      </w:r>
    </w:p>
  </w:footnote>
  <w:footnote w:id="53">
    <w:p w14:paraId="7EBDEE4E" w14:textId="43BCC710" w:rsidR="009B31BC" w:rsidRPr="00CC4DCE" w:rsidRDefault="009B31BC">
      <w:pPr>
        <w:pStyle w:val="FootnoteText"/>
        <w:rPr>
          <w:rFonts w:ascii="Aptos" w:hAnsi="Aptos"/>
        </w:rPr>
      </w:pPr>
      <w:r w:rsidRPr="00CC4DCE">
        <w:rPr>
          <w:rStyle w:val="FootnoteReference"/>
          <w:rFonts w:ascii="Aptos" w:hAnsi="Aptos"/>
        </w:rPr>
        <w:footnoteRef/>
      </w:r>
      <w:r w:rsidRPr="00CC4DCE">
        <w:rPr>
          <w:rFonts w:ascii="Aptos" w:hAnsi="Aptos"/>
        </w:rPr>
        <w:t xml:space="preserve"> See </w:t>
      </w:r>
      <w:r w:rsidRPr="00CC4DCE">
        <w:rPr>
          <w:rFonts w:ascii="Aptos" w:hAnsi="Aptos"/>
          <w:i/>
          <w:iCs/>
        </w:rPr>
        <w:t>Iannocchino</w:t>
      </w:r>
      <w:r w:rsidRPr="00CC4DCE">
        <w:rPr>
          <w:rFonts w:ascii="Aptos" w:hAnsi="Aptos"/>
        </w:rPr>
        <w:t xml:space="preserve">, 451 Mass. at 623; see also </w:t>
      </w:r>
      <w:r w:rsidRPr="00CC4DCE">
        <w:rPr>
          <w:rFonts w:ascii="Aptos" w:hAnsi="Aptos"/>
          <w:i/>
          <w:iCs/>
        </w:rPr>
        <w:t>Ashcroft v. Iqbal</w:t>
      </w:r>
      <w:r w:rsidRPr="00CC4DCE">
        <w:rPr>
          <w:rFonts w:ascii="Aptos" w:hAnsi="Aptos"/>
        </w:rPr>
        <w:t>, 556 U.S. 662, 678 (2009) (plaintiff must plead “factual content that allows the court to draw the reasonable inference that the defendant is liable”); 603 CMR 28.19(9)(b)(3) (“request for appeal shall identify the district(s) that the appealing district claims should have been assigned responsibility”).</w:t>
      </w:r>
    </w:p>
  </w:footnote>
  <w:footnote w:id="54">
    <w:p w14:paraId="7C112412" w14:textId="2FE977AD" w:rsidR="009B31BC" w:rsidRPr="00CC4DCE" w:rsidRDefault="009B31BC">
      <w:pPr>
        <w:pStyle w:val="FootnoteText"/>
        <w:rPr>
          <w:rFonts w:ascii="Aptos" w:hAnsi="Aptos"/>
        </w:rPr>
      </w:pPr>
      <w:r w:rsidRPr="00CC4DCE">
        <w:rPr>
          <w:rStyle w:val="FootnoteReference"/>
          <w:rFonts w:ascii="Aptos" w:hAnsi="Aptos"/>
        </w:rPr>
        <w:footnoteRef/>
      </w:r>
      <w:r w:rsidRPr="00CC4DCE">
        <w:rPr>
          <w:rFonts w:ascii="Aptos" w:hAnsi="Aptos"/>
        </w:rPr>
        <w:t xml:space="preserve"> See </w:t>
      </w:r>
      <w:r w:rsidR="00CE757D" w:rsidRPr="00CC4DCE">
        <w:rPr>
          <w:rFonts w:ascii="Aptos" w:hAnsi="Aptos" w:cs="Times New Roman"/>
        </w:rPr>
        <w:t>603 CMR 28.10(5)(</w:t>
      </w:r>
      <w:r w:rsidR="001754D3" w:rsidRPr="00CC4DCE">
        <w:rPr>
          <w:rFonts w:ascii="Aptos" w:hAnsi="Aptos" w:cs="Times New Roman"/>
        </w:rPr>
        <w:t>b</w:t>
      </w:r>
      <w:r w:rsidR="00CE757D" w:rsidRPr="00CC4DCE">
        <w:rPr>
          <w:rFonts w:ascii="Aptos" w:hAnsi="Aptos" w:cs="Times New Roman"/>
        </w:rPr>
        <w:t>)(3).</w:t>
      </w:r>
    </w:p>
  </w:footnote>
  <w:footnote w:id="55">
    <w:p w14:paraId="355C5548" w14:textId="1110613E" w:rsidR="001754D3" w:rsidRPr="00CC4DCE" w:rsidRDefault="001754D3">
      <w:pPr>
        <w:pStyle w:val="FootnoteText"/>
        <w:rPr>
          <w:rFonts w:ascii="Aptos" w:hAnsi="Aptos"/>
        </w:rPr>
      </w:pPr>
      <w:r w:rsidRPr="00CC4DCE">
        <w:rPr>
          <w:rStyle w:val="FootnoteReference"/>
          <w:rFonts w:ascii="Aptos" w:hAnsi="Aptos"/>
        </w:rPr>
        <w:footnoteRef/>
      </w:r>
      <w:r w:rsidRPr="00CC4DCE">
        <w:rPr>
          <w:rFonts w:ascii="Aptos" w:hAnsi="Aptos"/>
        </w:rPr>
        <w:t xml:space="preserve"> See </w:t>
      </w:r>
      <w:r w:rsidR="00A346B6" w:rsidRPr="00CC4DCE">
        <w:rPr>
          <w:rFonts w:ascii="Aptos" w:hAnsi="Aptos"/>
        </w:rPr>
        <w:t>603 CMR 28.10(9)(b)(1).</w:t>
      </w:r>
    </w:p>
  </w:footnote>
  <w:footnote w:id="56">
    <w:p w14:paraId="12F5FA58" w14:textId="174FF87E" w:rsidR="002521BD" w:rsidRPr="00CC4DCE" w:rsidRDefault="002521BD">
      <w:pPr>
        <w:pStyle w:val="FootnoteText"/>
        <w:rPr>
          <w:rFonts w:ascii="Aptos" w:hAnsi="Aptos"/>
        </w:rPr>
      </w:pPr>
      <w:r w:rsidRPr="00CC4DCE">
        <w:rPr>
          <w:rStyle w:val="FootnoteReference"/>
          <w:rFonts w:ascii="Aptos" w:hAnsi="Aptos"/>
        </w:rPr>
        <w:footnoteRef/>
      </w:r>
      <w:r w:rsidRPr="00CC4DCE">
        <w:rPr>
          <w:rFonts w:ascii="Aptos" w:hAnsi="Aptos"/>
        </w:rPr>
        <w:t xml:space="preserve"> See </w:t>
      </w:r>
      <w:r w:rsidRPr="00CC4DCE">
        <w:rPr>
          <w:rFonts w:ascii="Aptos" w:hAnsi="Aptos"/>
          <w:i/>
          <w:iCs/>
        </w:rPr>
        <w:t xml:space="preserve">Iannocchino, </w:t>
      </w:r>
      <w:r w:rsidRPr="00CC4DCE">
        <w:rPr>
          <w:rFonts w:ascii="Aptos" w:hAnsi="Aptos"/>
        </w:rPr>
        <w:t xml:space="preserve">451 Mass. at 636; </w:t>
      </w:r>
      <w:r w:rsidRPr="00CC4DCE">
        <w:rPr>
          <w:rFonts w:ascii="Aptos" w:hAnsi="Aptos"/>
          <w:i/>
          <w:iCs/>
        </w:rPr>
        <w:t>Blank</w:t>
      </w:r>
      <w:r w:rsidRPr="00CC4DCE">
        <w:rPr>
          <w:rFonts w:ascii="Aptos" w:hAnsi="Aptos"/>
        </w:rPr>
        <w:t>, 420 Mass. at 407.</w:t>
      </w:r>
    </w:p>
  </w:footnote>
  <w:footnote w:id="57">
    <w:p w14:paraId="7F794F22" w14:textId="72C24743" w:rsidR="00A346B6" w:rsidRPr="00CC4DCE" w:rsidRDefault="00A346B6">
      <w:pPr>
        <w:pStyle w:val="FootnoteText"/>
        <w:rPr>
          <w:rFonts w:ascii="Aptos" w:hAnsi="Aptos"/>
        </w:rPr>
      </w:pPr>
      <w:r w:rsidRPr="00CC4DCE">
        <w:rPr>
          <w:rStyle w:val="FootnoteReference"/>
          <w:rFonts w:ascii="Aptos" w:hAnsi="Aptos"/>
        </w:rPr>
        <w:footnoteRef/>
      </w:r>
      <w:r w:rsidRPr="00CC4DCE">
        <w:rPr>
          <w:rFonts w:ascii="Aptos" w:hAnsi="Aptos"/>
        </w:rPr>
        <w:t xml:space="preserve"> See </w:t>
      </w:r>
      <w:r w:rsidR="00BB7EF9" w:rsidRPr="00CC4DCE">
        <w:rPr>
          <w:rFonts w:ascii="Aptos" w:hAnsi="Aptos"/>
        </w:rPr>
        <w:t>603 CMR 28.10(8)(f).</w:t>
      </w:r>
      <w:r w:rsidR="00CA72CB" w:rsidRPr="00CC4DCE">
        <w:rPr>
          <w:rFonts w:ascii="Aptos" w:hAnsi="Aptos"/>
        </w:rPr>
        <w:t xml:space="preserve"> I note that in the circumstances of this case, where Parents’ parental rights were terminated almost five years ago and Student has been in DCF custody for even longer</w:t>
      </w:r>
      <w:r w:rsidR="00A346A4" w:rsidRPr="00CC4DCE">
        <w:rPr>
          <w:rFonts w:ascii="Aptos" w:hAnsi="Aptos"/>
        </w:rPr>
        <w:t>; where Parents’ whereabouts are unknown and</w:t>
      </w:r>
      <w:r w:rsidR="00CA72CB" w:rsidRPr="00CC4DCE">
        <w:rPr>
          <w:rFonts w:ascii="Aptos" w:hAnsi="Aptos"/>
        </w:rPr>
        <w:t xml:space="preserve"> it is difficult, if not impossible, for the school districts that may be found responsible for Student’s special education to obtain information regarding </w:t>
      </w:r>
      <w:r w:rsidR="00A346A4" w:rsidRPr="00CC4DCE">
        <w:rPr>
          <w:rFonts w:ascii="Aptos" w:hAnsi="Aptos"/>
        </w:rPr>
        <w:t>Parents’ former residences, it may be advisable for DESE and DCF to share pertinent information while respecting the important privacy interests at stake.</w:t>
      </w:r>
    </w:p>
  </w:footnote>
  <w:footnote w:id="58">
    <w:p w14:paraId="3467CEA1" w14:textId="7DC1F41B" w:rsidR="00363A12" w:rsidRPr="00363A12" w:rsidRDefault="00363A12">
      <w:pPr>
        <w:pStyle w:val="FootnoteText"/>
      </w:pPr>
      <w:r w:rsidRPr="00CC4DCE">
        <w:rPr>
          <w:rStyle w:val="FootnoteReference"/>
          <w:rFonts w:ascii="Aptos" w:hAnsi="Aptos"/>
        </w:rPr>
        <w:footnoteRef/>
      </w:r>
      <w:r w:rsidRPr="00CC4DCE">
        <w:rPr>
          <w:rFonts w:ascii="Aptos" w:hAnsi="Aptos"/>
        </w:rPr>
        <w:t xml:space="preserve"> As discussed above, Worcester did identify Lowell as a district that may be fiscally responsible for Student’s special education. I need not address, therefore, the argument made by multiple parties that the </w:t>
      </w:r>
      <w:r w:rsidRPr="00CC4DCE">
        <w:rPr>
          <w:rFonts w:ascii="Aptos" w:hAnsi="Aptos"/>
          <w:i/>
          <w:iCs/>
        </w:rPr>
        <w:t xml:space="preserve">Hearing Request </w:t>
      </w:r>
      <w:r w:rsidRPr="00CC4DCE">
        <w:rPr>
          <w:rFonts w:ascii="Aptos" w:hAnsi="Aptos"/>
        </w:rPr>
        <w:t>should be dismissed for failure to identify the school district(s) that should have been assigned responsibility for Student.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84E84"/>
    <w:multiLevelType w:val="hybridMultilevel"/>
    <w:tmpl w:val="3EDE4732"/>
    <w:lvl w:ilvl="0" w:tplc="04090013">
      <w:start w:val="1"/>
      <w:numFmt w:val="upperRoman"/>
      <w:lvlText w:val="%1."/>
      <w:lvlJc w:val="right"/>
      <w:pPr>
        <w:ind w:left="1440" w:hanging="360"/>
      </w:pPr>
      <w:rPr>
        <w:rFonts w:hint="default"/>
        <w:i w:val="0"/>
        <w:i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F57EE6"/>
    <w:multiLevelType w:val="multilevel"/>
    <w:tmpl w:val="FE68A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374331"/>
    <w:multiLevelType w:val="hybridMultilevel"/>
    <w:tmpl w:val="DD86EAE6"/>
    <w:lvl w:ilvl="0" w:tplc="04090013">
      <w:start w:val="1"/>
      <w:numFmt w:val="upperRoman"/>
      <w:lvlText w:val="%1."/>
      <w:lvlJc w:val="right"/>
      <w:pPr>
        <w:ind w:left="720" w:hanging="360"/>
      </w:pPr>
    </w:lvl>
    <w:lvl w:ilvl="1" w:tplc="1E4A7664">
      <w:start w:val="1"/>
      <w:numFmt w:val="upperLetter"/>
      <w:lvlText w:val="%2."/>
      <w:lvlJc w:val="left"/>
      <w:pPr>
        <w:ind w:left="1440" w:hanging="360"/>
      </w:pPr>
      <w:rPr>
        <w:i w:val="0"/>
        <w:iCs w:val="0"/>
      </w:rPr>
    </w:lvl>
    <w:lvl w:ilvl="2" w:tplc="1EC014E8">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50C86"/>
    <w:multiLevelType w:val="hybridMultilevel"/>
    <w:tmpl w:val="A53A5598"/>
    <w:lvl w:ilvl="0" w:tplc="F2A066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CA77E2"/>
    <w:multiLevelType w:val="hybridMultilevel"/>
    <w:tmpl w:val="DEC0017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0E27062"/>
    <w:multiLevelType w:val="hybridMultilevel"/>
    <w:tmpl w:val="71AC43C0"/>
    <w:lvl w:ilvl="0" w:tplc="5F20BB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3221B4"/>
    <w:multiLevelType w:val="hybridMultilevel"/>
    <w:tmpl w:val="3698F04E"/>
    <w:lvl w:ilvl="0" w:tplc="4858CC7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9591A88"/>
    <w:multiLevelType w:val="hybridMultilevel"/>
    <w:tmpl w:val="A5183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F16915"/>
    <w:multiLevelType w:val="hybridMultilevel"/>
    <w:tmpl w:val="DEC0017C"/>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5077336B"/>
    <w:multiLevelType w:val="hybridMultilevel"/>
    <w:tmpl w:val="998E8D20"/>
    <w:lvl w:ilvl="0" w:tplc="A644F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F0425E"/>
    <w:multiLevelType w:val="hybridMultilevel"/>
    <w:tmpl w:val="EDDA55DA"/>
    <w:lvl w:ilvl="0" w:tplc="122EC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D62CBC"/>
    <w:multiLevelType w:val="hybridMultilevel"/>
    <w:tmpl w:val="3A182850"/>
    <w:lvl w:ilvl="0" w:tplc="1F40408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9735F80"/>
    <w:multiLevelType w:val="multilevel"/>
    <w:tmpl w:val="6C8A8012"/>
    <w:styleLink w:val="CurrentList1"/>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0DC0027"/>
    <w:multiLevelType w:val="multilevel"/>
    <w:tmpl w:val="DC70640E"/>
    <w:lvl w:ilvl="0">
      <w:start w:val="1"/>
      <w:numFmt w:val="decimal"/>
      <w:lvlText w:val="%1."/>
      <w:lvlJc w:val="left"/>
      <w:pPr>
        <w:tabs>
          <w:tab w:val="num" w:pos="720"/>
        </w:tabs>
        <w:ind w:left="720" w:hanging="360"/>
      </w:pPr>
      <w:rPr>
        <w:b w:val="0"/>
        <w:bCs w:val="0"/>
        <w:i w:val="0"/>
        <w:iCs w:val="0"/>
      </w:rPr>
    </w:lvl>
    <w:lvl w:ilvl="1">
      <w:start w:val="2004"/>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left"/>
      <w:pPr>
        <w:ind w:left="2520" w:hanging="720"/>
      </w:pPr>
      <w:rPr>
        <w:rFonts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8D70A8"/>
    <w:multiLevelType w:val="hybridMultilevel"/>
    <w:tmpl w:val="47EC7DD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9CA7E3F"/>
    <w:multiLevelType w:val="hybridMultilevel"/>
    <w:tmpl w:val="8602606C"/>
    <w:lvl w:ilvl="0" w:tplc="9962C72C">
      <w:start w:val="1"/>
      <w:numFmt w:val="upp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62621986">
    <w:abstractNumId w:val="13"/>
  </w:num>
  <w:num w:numId="2" w16cid:durableId="2014607479">
    <w:abstractNumId w:val="12"/>
  </w:num>
  <w:num w:numId="3" w16cid:durableId="295375473">
    <w:abstractNumId w:val="0"/>
  </w:num>
  <w:num w:numId="4" w16cid:durableId="1118837253">
    <w:abstractNumId w:val="14"/>
  </w:num>
  <w:num w:numId="5" w16cid:durableId="1258095705">
    <w:abstractNumId w:val="2"/>
  </w:num>
  <w:num w:numId="6" w16cid:durableId="149102357">
    <w:abstractNumId w:val="4"/>
  </w:num>
  <w:num w:numId="7" w16cid:durableId="1771124027">
    <w:abstractNumId w:val="15"/>
  </w:num>
  <w:num w:numId="8" w16cid:durableId="1337265611">
    <w:abstractNumId w:val="7"/>
  </w:num>
  <w:num w:numId="9" w16cid:durableId="1026829227">
    <w:abstractNumId w:val="3"/>
  </w:num>
  <w:num w:numId="10" w16cid:durableId="1817604080">
    <w:abstractNumId w:val="6"/>
  </w:num>
  <w:num w:numId="11" w16cid:durableId="251282799">
    <w:abstractNumId w:val="10"/>
  </w:num>
  <w:num w:numId="12" w16cid:durableId="391392237">
    <w:abstractNumId w:val="8"/>
  </w:num>
  <w:num w:numId="13" w16cid:durableId="2052538016">
    <w:abstractNumId w:val="5"/>
  </w:num>
  <w:num w:numId="14" w16cid:durableId="107551975">
    <w:abstractNumId w:val="11"/>
  </w:num>
  <w:num w:numId="15" w16cid:durableId="1437870494">
    <w:abstractNumId w:val="1"/>
  </w:num>
  <w:num w:numId="16" w16cid:durableId="21425784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CF"/>
    <w:rsid w:val="00001AA9"/>
    <w:rsid w:val="0001091A"/>
    <w:rsid w:val="00010D03"/>
    <w:rsid w:val="00021F99"/>
    <w:rsid w:val="000271E5"/>
    <w:rsid w:val="0003304B"/>
    <w:rsid w:val="000338B0"/>
    <w:rsid w:val="00041732"/>
    <w:rsid w:val="00052476"/>
    <w:rsid w:val="00057984"/>
    <w:rsid w:val="00060F06"/>
    <w:rsid w:val="00065F76"/>
    <w:rsid w:val="000709E8"/>
    <w:rsid w:val="0007319D"/>
    <w:rsid w:val="00074480"/>
    <w:rsid w:val="000867F4"/>
    <w:rsid w:val="000A35E0"/>
    <w:rsid w:val="000A5C49"/>
    <w:rsid w:val="000B5266"/>
    <w:rsid w:val="000B66A4"/>
    <w:rsid w:val="000C3599"/>
    <w:rsid w:val="000C43B8"/>
    <w:rsid w:val="000C48BD"/>
    <w:rsid w:val="000C4B07"/>
    <w:rsid w:val="000D305B"/>
    <w:rsid w:val="000E0159"/>
    <w:rsid w:val="000E7411"/>
    <w:rsid w:val="000F1220"/>
    <w:rsid w:val="000F123D"/>
    <w:rsid w:val="000F3F1D"/>
    <w:rsid w:val="000F4BC8"/>
    <w:rsid w:val="0011394B"/>
    <w:rsid w:val="00124855"/>
    <w:rsid w:val="0013133B"/>
    <w:rsid w:val="001425AB"/>
    <w:rsid w:val="00154AE0"/>
    <w:rsid w:val="001719C6"/>
    <w:rsid w:val="00173738"/>
    <w:rsid w:val="00173A62"/>
    <w:rsid w:val="001754D3"/>
    <w:rsid w:val="00183E3C"/>
    <w:rsid w:val="0018797F"/>
    <w:rsid w:val="00190CF5"/>
    <w:rsid w:val="001972ED"/>
    <w:rsid w:val="001C27EE"/>
    <w:rsid w:val="001C5514"/>
    <w:rsid w:val="001D1267"/>
    <w:rsid w:val="001D468F"/>
    <w:rsid w:val="001D722A"/>
    <w:rsid w:val="001E5616"/>
    <w:rsid w:val="001F0659"/>
    <w:rsid w:val="001F132A"/>
    <w:rsid w:val="001F49E6"/>
    <w:rsid w:val="0020144B"/>
    <w:rsid w:val="002021B6"/>
    <w:rsid w:val="002034C3"/>
    <w:rsid w:val="002166B8"/>
    <w:rsid w:val="002407FC"/>
    <w:rsid w:val="00241459"/>
    <w:rsid w:val="00243554"/>
    <w:rsid w:val="002521BD"/>
    <w:rsid w:val="002556E1"/>
    <w:rsid w:val="00264C45"/>
    <w:rsid w:val="00265742"/>
    <w:rsid w:val="002658FF"/>
    <w:rsid w:val="00273B09"/>
    <w:rsid w:val="00277D3B"/>
    <w:rsid w:val="002839E0"/>
    <w:rsid w:val="00284BEB"/>
    <w:rsid w:val="0028547D"/>
    <w:rsid w:val="002915E9"/>
    <w:rsid w:val="002957A1"/>
    <w:rsid w:val="0029714B"/>
    <w:rsid w:val="002A3944"/>
    <w:rsid w:val="002A4773"/>
    <w:rsid w:val="002A66D8"/>
    <w:rsid w:val="002A7FD1"/>
    <w:rsid w:val="002B2168"/>
    <w:rsid w:val="002C0235"/>
    <w:rsid w:val="002C43D1"/>
    <w:rsid w:val="002D32B3"/>
    <w:rsid w:val="002D50A9"/>
    <w:rsid w:val="002D703F"/>
    <w:rsid w:val="002E2561"/>
    <w:rsid w:val="002E35AF"/>
    <w:rsid w:val="002E49D7"/>
    <w:rsid w:val="002E5E7B"/>
    <w:rsid w:val="002F1B14"/>
    <w:rsid w:val="002F3533"/>
    <w:rsid w:val="002F3DC7"/>
    <w:rsid w:val="00314971"/>
    <w:rsid w:val="00317EF8"/>
    <w:rsid w:val="003210EF"/>
    <w:rsid w:val="003300DF"/>
    <w:rsid w:val="00330980"/>
    <w:rsid w:val="00333608"/>
    <w:rsid w:val="0033651F"/>
    <w:rsid w:val="003404D5"/>
    <w:rsid w:val="00343605"/>
    <w:rsid w:val="00346656"/>
    <w:rsid w:val="0035114F"/>
    <w:rsid w:val="00352B6E"/>
    <w:rsid w:val="00361783"/>
    <w:rsid w:val="003620A1"/>
    <w:rsid w:val="00363A12"/>
    <w:rsid w:val="00365B55"/>
    <w:rsid w:val="00366CAE"/>
    <w:rsid w:val="00374D24"/>
    <w:rsid w:val="003758D3"/>
    <w:rsid w:val="00376118"/>
    <w:rsid w:val="00386FDB"/>
    <w:rsid w:val="003923E9"/>
    <w:rsid w:val="00394ADD"/>
    <w:rsid w:val="003A5154"/>
    <w:rsid w:val="003A7F62"/>
    <w:rsid w:val="003B3662"/>
    <w:rsid w:val="003B4C44"/>
    <w:rsid w:val="003C7CE7"/>
    <w:rsid w:val="003D77F7"/>
    <w:rsid w:val="003E0083"/>
    <w:rsid w:val="003E1DFB"/>
    <w:rsid w:val="003F399A"/>
    <w:rsid w:val="00402D74"/>
    <w:rsid w:val="00403807"/>
    <w:rsid w:val="00416065"/>
    <w:rsid w:val="00424E30"/>
    <w:rsid w:val="00430203"/>
    <w:rsid w:val="00431329"/>
    <w:rsid w:val="004353A4"/>
    <w:rsid w:val="004357D8"/>
    <w:rsid w:val="00452AE1"/>
    <w:rsid w:val="00454369"/>
    <w:rsid w:val="00470DEF"/>
    <w:rsid w:val="00474B8C"/>
    <w:rsid w:val="00483226"/>
    <w:rsid w:val="00496E19"/>
    <w:rsid w:val="004A0393"/>
    <w:rsid w:val="004A2CA4"/>
    <w:rsid w:val="004A2DC8"/>
    <w:rsid w:val="004A44F4"/>
    <w:rsid w:val="004A6698"/>
    <w:rsid w:val="004C05EB"/>
    <w:rsid w:val="004C067A"/>
    <w:rsid w:val="004C2F54"/>
    <w:rsid w:val="004D0734"/>
    <w:rsid w:val="004E29F4"/>
    <w:rsid w:val="004E5CF0"/>
    <w:rsid w:val="004F57F2"/>
    <w:rsid w:val="00504352"/>
    <w:rsid w:val="00504874"/>
    <w:rsid w:val="00506104"/>
    <w:rsid w:val="005129FB"/>
    <w:rsid w:val="00517988"/>
    <w:rsid w:val="00517DF5"/>
    <w:rsid w:val="00520E88"/>
    <w:rsid w:val="00530642"/>
    <w:rsid w:val="00537961"/>
    <w:rsid w:val="00542326"/>
    <w:rsid w:val="005502F6"/>
    <w:rsid w:val="005547AC"/>
    <w:rsid w:val="0056133B"/>
    <w:rsid w:val="005647B9"/>
    <w:rsid w:val="00564CE2"/>
    <w:rsid w:val="00571EA3"/>
    <w:rsid w:val="005723FC"/>
    <w:rsid w:val="0057440B"/>
    <w:rsid w:val="00580EA7"/>
    <w:rsid w:val="005818C2"/>
    <w:rsid w:val="005A69F8"/>
    <w:rsid w:val="005A783C"/>
    <w:rsid w:val="005A7A90"/>
    <w:rsid w:val="005C07DD"/>
    <w:rsid w:val="005C7FF8"/>
    <w:rsid w:val="005D0F11"/>
    <w:rsid w:val="005D5C21"/>
    <w:rsid w:val="005E1307"/>
    <w:rsid w:val="005E5498"/>
    <w:rsid w:val="005E7A76"/>
    <w:rsid w:val="00602981"/>
    <w:rsid w:val="00610F82"/>
    <w:rsid w:val="00611FF1"/>
    <w:rsid w:val="00622381"/>
    <w:rsid w:val="00627B42"/>
    <w:rsid w:val="00631C99"/>
    <w:rsid w:val="0064250F"/>
    <w:rsid w:val="00650C95"/>
    <w:rsid w:val="00656C8F"/>
    <w:rsid w:val="006572B9"/>
    <w:rsid w:val="0066449D"/>
    <w:rsid w:val="0066700C"/>
    <w:rsid w:val="00670957"/>
    <w:rsid w:val="00676543"/>
    <w:rsid w:val="00691C73"/>
    <w:rsid w:val="00692EAA"/>
    <w:rsid w:val="006940FD"/>
    <w:rsid w:val="006955CA"/>
    <w:rsid w:val="006956AE"/>
    <w:rsid w:val="006A1E97"/>
    <w:rsid w:val="006B2FCB"/>
    <w:rsid w:val="006B3FEC"/>
    <w:rsid w:val="006C08C9"/>
    <w:rsid w:val="006C1411"/>
    <w:rsid w:val="006C2F51"/>
    <w:rsid w:val="006C4D07"/>
    <w:rsid w:val="006C6078"/>
    <w:rsid w:val="006D064E"/>
    <w:rsid w:val="006D09D5"/>
    <w:rsid w:val="006D43FB"/>
    <w:rsid w:val="006D4DA8"/>
    <w:rsid w:val="006D76DF"/>
    <w:rsid w:val="006E17AA"/>
    <w:rsid w:val="006E1FFE"/>
    <w:rsid w:val="006E2B46"/>
    <w:rsid w:val="006F5AFA"/>
    <w:rsid w:val="007023CF"/>
    <w:rsid w:val="00704B4D"/>
    <w:rsid w:val="00704CA3"/>
    <w:rsid w:val="007145AC"/>
    <w:rsid w:val="00724B94"/>
    <w:rsid w:val="00724CBC"/>
    <w:rsid w:val="00725000"/>
    <w:rsid w:val="0072501E"/>
    <w:rsid w:val="00734437"/>
    <w:rsid w:val="00734F1C"/>
    <w:rsid w:val="007520F5"/>
    <w:rsid w:val="00757E40"/>
    <w:rsid w:val="00771081"/>
    <w:rsid w:val="00780652"/>
    <w:rsid w:val="00782AC7"/>
    <w:rsid w:val="007933E2"/>
    <w:rsid w:val="007A108B"/>
    <w:rsid w:val="007A1B0B"/>
    <w:rsid w:val="007B5BBE"/>
    <w:rsid w:val="007C08F6"/>
    <w:rsid w:val="007C79A9"/>
    <w:rsid w:val="007C7EE8"/>
    <w:rsid w:val="007D49DA"/>
    <w:rsid w:val="007D4FFF"/>
    <w:rsid w:val="007E5B82"/>
    <w:rsid w:val="007E6303"/>
    <w:rsid w:val="007E7B19"/>
    <w:rsid w:val="007F1C7D"/>
    <w:rsid w:val="007F46CD"/>
    <w:rsid w:val="007F5733"/>
    <w:rsid w:val="007F6BCF"/>
    <w:rsid w:val="007F6F40"/>
    <w:rsid w:val="00800254"/>
    <w:rsid w:val="00800BD7"/>
    <w:rsid w:val="00801654"/>
    <w:rsid w:val="00802F3F"/>
    <w:rsid w:val="00806A1A"/>
    <w:rsid w:val="0081047C"/>
    <w:rsid w:val="0082207B"/>
    <w:rsid w:val="00832245"/>
    <w:rsid w:val="0083557E"/>
    <w:rsid w:val="00850FB0"/>
    <w:rsid w:val="00852A17"/>
    <w:rsid w:val="00855A0A"/>
    <w:rsid w:val="00857B75"/>
    <w:rsid w:val="0086522A"/>
    <w:rsid w:val="00866FB3"/>
    <w:rsid w:val="00874187"/>
    <w:rsid w:val="00882762"/>
    <w:rsid w:val="00885BEB"/>
    <w:rsid w:val="008A09D8"/>
    <w:rsid w:val="008A2F10"/>
    <w:rsid w:val="008A72B2"/>
    <w:rsid w:val="008B1B83"/>
    <w:rsid w:val="008B1EF2"/>
    <w:rsid w:val="008B1FCE"/>
    <w:rsid w:val="008B34AA"/>
    <w:rsid w:val="008B3FBF"/>
    <w:rsid w:val="008B650D"/>
    <w:rsid w:val="008C4113"/>
    <w:rsid w:val="008C6C36"/>
    <w:rsid w:val="008D0F24"/>
    <w:rsid w:val="008D1BF4"/>
    <w:rsid w:val="008E27ED"/>
    <w:rsid w:val="008E3841"/>
    <w:rsid w:val="008E3B09"/>
    <w:rsid w:val="008F3D99"/>
    <w:rsid w:val="008F5988"/>
    <w:rsid w:val="00901DC9"/>
    <w:rsid w:val="00905027"/>
    <w:rsid w:val="0090688B"/>
    <w:rsid w:val="00911422"/>
    <w:rsid w:val="009159CF"/>
    <w:rsid w:val="0092020D"/>
    <w:rsid w:val="00934085"/>
    <w:rsid w:val="00934AA6"/>
    <w:rsid w:val="0093634F"/>
    <w:rsid w:val="009422AF"/>
    <w:rsid w:val="00945711"/>
    <w:rsid w:val="00970C43"/>
    <w:rsid w:val="00983626"/>
    <w:rsid w:val="00986A46"/>
    <w:rsid w:val="00995D14"/>
    <w:rsid w:val="009A14F9"/>
    <w:rsid w:val="009A1D44"/>
    <w:rsid w:val="009A499F"/>
    <w:rsid w:val="009A6860"/>
    <w:rsid w:val="009B31BC"/>
    <w:rsid w:val="009B3683"/>
    <w:rsid w:val="009C70CC"/>
    <w:rsid w:val="009D31A4"/>
    <w:rsid w:val="00A02B1F"/>
    <w:rsid w:val="00A03E8C"/>
    <w:rsid w:val="00A0588E"/>
    <w:rsid w:val="00A06215"/>
    <w:rsid w:val="00A07AED"/>
    <w:rsid w:val="00A1157A"/>
    <w:rsid w:val="00A202E5"/>
    <w:rsid w:val="00A2498A"/>
    <w:rsid w:val="00A253B7"/>
    <w:rsid w:val="00A315D5"/>
    <w:rsid w:val="00A33543"/>
    <w:rsid w:val="00A346A4"/>
    <w:rsid w:val="00A346B6"/>
    <w:rsid w:val="00A4435D"/>
    <w:rsid w:val="00A44369"/>
    <w:rsid w:val="00A576D4"/>
    <w:rsid w:val="00A6079E"/>
    <w:rsid w:val="00A66C2D"/>
    <w:rsid w:val="00A710FB"/>
    <w:rsid w:val="00A7410B"/>
    <w:rsid w:val="00A85BCE"/>
    <w:rsid w:val="00A90269"/>
    <w:rsid w:val="00A9038F"/>
    <w:rsid w:val="00A95AAA"/>
    <w:rsid w:val="00AA2837"/>
    <w:rsid w:val="00AB0F1C"/>
    <w:rsid w:val="00AB292A"/>
    <w:rsid w:val="00AB4FDF"/>
    <w:rsid w:val="00AB60EA"/>
    <w:rsid w:val="00AC0E08"/>
    <w:rsid w:val="00AC4E35"/>
    <w:rsid w:val="00AC50A2"/>
    <w:rsid w:val="00AD0B3D"/>
    <w:rsid w:val="00AD0D6A"/>
    <w:rsid w:val="00AD15D7"/>
    <w:rsid w:val="00AD7CEE"/>
    <w:rsid w:val="00AD7F42"/>
    <w:rsid w:val="00AE07BA"/>
    <w:rsid w:val="00AE7F00"/>
    <w:rsid w:val="00B10D5D"/>
    <w:rsid w:val="00B14686"/>
    <w:rsid w:val="00B20757"/>
    <w:rsid w:val="00B20C24"/>
    <w:rsid w:val="00B36654"/>
    <w:rsid w:val="00B4029B"/>
    <w:rsid w:val="00B4057C"/>
    <w:rsid w:val="00B56F3C"/>
    <w:rsid w:val="00B65434"/>
    <w:rsid w:val="00B66397"/>
    <w:rsid w:val="00B700FD"/>
    <w:rsid w:val="00B73E08"/>
    <w:rsid w:val="00B76B6B"/>
    <w:rsid w:val="00B84C84"/>
    <w:rsid w:val="00B85AFB"/>
    <w:rsid w:val="00B91BD6"/>
    <w:rsid w:val="00B92BAE"/>
    <w:rsid w:val="00BA1893"/>
    <w:rsid w:val="00BA4825"/>
    <w:rsid w:val="00BA4B6C"/>
    <w:rsid w:val="00BB7EF9"/>
    <w:rsid w:val="00BB7F90"/>
    <w:rsid w:val="00BC4086"/>
    <w:rsid w:val="00BD0AAF"/>
    <w:rsid w:val="00BD3299"/>
    <w:rsid w:val="00C05E64"/>
    <w:rsid w:val="00C14B41"/>
    <w:rsid w:val="00C167EB"/>
    <w:rsid w:val="00C20134"/>
    <w:rsid w:val="00C27FC0"/>
    <w:rsid w:val="00C35E14"/>
    <w:rsid w:val="00C74B16"/>
    <w:rsid w:val="00C77D43"/>
    <w:rsid w:val="00C924F5"/>
    <w:rsid w:val="00C947B5"/>
    <w:rsid w:val="00C95076"/>
    <w:rsid w:val="00CA1327"/>
    <w:rsid w:val="00CA33DF"/>
    <w:rsid w:val="00CA3ECC"/>
    <w:rsid w:val="00CA72CB"/>
    <w:rsid w:val="00CB329C"/>
    <w:rsid w:val="00CB4630"/>
    <w:rsid w:val="00CC0A19"/>
    <w:rsid w:val="00CC4DCE"/>
    <w:rsid w:val="00CD4445"/>
    <w:rsid w:val="00CD71F8"/>
    <w:rsid w:val="00CD7B24"/>
    <w:rsid w:val="00CE757D"/>
    <w:rsid w:val="00CF3E22"/>
    <w:rsid w:val="00CF7D94"/>
    <w:rsid w:val="00D032C8"/>
    <w:rsid w:val="00D03647"/>
    <w:rsid w:val="00D07D22"/>
    <w:rsid w:val="00D07D86"/>
    <w:rsid w:val="00D12A02"/>
    <w:rsid w:val="00D166A1"/>
    <w:rsid w:val="00D222F0"/>
    <w:rsid w:val="00D23CD1"/>
    <w:rsid w:val="00D2761E"/>
    <w:rsid w:val="00D37CB3"/>
    <w:rsid w:val="00D40DD7"/>
    <w:rsid w:val="00D429A8"/>
    <w:rsid w:val="00D474AA"/>
    <w:rsid w:val="00D50BED"/>
    <w:rsid w:val="00D54147"/>
    <w:rsid w:val="00D60B04"/>
    <w:rsid w:val="00D66049"/>
    <w:rsid w:val="00D67810"/>
    <w:rsid w:val="00D720CF"/>
    <w:rsid w:val="00D72E55"/>
    <w:rsid w:val="00D74CF9"/>
    <w:rsid w:val="00D75726"/>
    <w:rsid w:val="00D75728"/>
    <w:rsid w:val="00D76555"/>
    <w:rsid w:val="00D77988"/>
    <w:rsid w:val="00D77C42"/>
    <w:rsid w:val="00D91FCC"/>
    <w:rsid w:val="00D978AD"/>
    <w:rsid w:val="00DA7413"/>
    <w:rsid w:val="00DA7F46"/>
    <w:rsid w:val="00DB06E9"/>
    <w:rsid w:val="00DB636D"/>
    <w:rsid w:val="00DC1C44"/>
    <w:rsid w:val="00DC6EFF"/>
    <w:rsid w:val="00DD2297"/>
    <w:rsid w:val="00DE1E8D"/>
    <w:rsid w:val="00DE59FA"/>
    <w:rsid w:val="00DF03B3"/>
    <w:rsid w:val="00E00696"/>
    <w:rsid w:val="00E177D9"/>
    <w:rsid w:val="00E17899"/>
    <w:rsid w:val="00E21279"/>
    <w:rsid w:val="00E2180A"/>
    <w:rsid w:val="00E37317"/>
    <w:rsid w:val="00E4512E"/>
    <w:rsid w:val="00E45C13"/>
    <w:rsid w:val="00E47A92"/>
    <w:rsid w:val="00E70618"/>
    <w:rsid w:val="00E807E2"/>
    <w:rsid w:val="00E81562"/>
    <w:rsid w:val="00E857E9"/>
    <w:rsid w:val="00E905ED"/>
    <w:rsid w:val="00E92A67"/>
    <w:rsid w:val="00E939D6"/>
    <w:rsid w:val="00E96E8B"/>
    <w:rsid w:val="00E974EF"/>
    <w:rsid w:val="00EA3CAC"/>
    <w:rsid w:val="00EA484B"/>
    <w:rsid w:val="00EA5136"/>
    <w:rsid w:val="00EA7110"/>
    <w:rsid w:val="00EB5931"/>
    <w:rsid w:val="00EC3D8C"/>
    <w:rsid w:val="00EC4890"/>
    <w:rsid w:val="00EC6269"/>
    <w:rsid w:val="00ED4EE3"/>
    <w:rsid w:val="00ED4F9D"/>
    <w:rsid w:val="00ED67AC"/>
    <w:rsid w:val="00ED7EEF"/>
    <w:rsid w:val="00EE45E0"/>
    <w:rsid w:val="00EF08BA"/>
    <w:rsid w:val="00EF0CAD"/>
    <w:rsid w:val="00EF14BF"/>
    <w:rsid w:val="00EF2400"/>
    <w:rsid w:val="00EF43A9"/>
    <w:rsid w:val="00F001A9"/>
    <w:rsid w:val="00F020A6"/>
    <w:rsid w:val="00F1659F"/>
    <w:rsid w:val="00F26050"/>
    <w:rsid w:val="00F314D0"/>
    <w:rsid w:val="00F42D67"/>
    <w:rsid w:val="00F43010"/>
    <w:rsid w:val="00F47320"/>
    <w:rsid w:val="00F47331"/>
    <w:rsid w:val="00F534CF"/>
    <w:rsid w:val="00F53FFF"/>
    <w:rsid w:val="00F5746A"/>
    <w:rsid w:val="00F607A8"/>
    <w:rsid w:val="00F615D6"/>
    <w:rsid w:val="00F66C64"/>
    <w:rsid w:val="00F705A8"/>
    <w:rsid w:val="00F87C77"/>
    <w:rsid w:val="00F9503B"/>
    <w:rsid w:val="00F95F0C"/>
    <w:rsid w:val="00F96432"/>
    <w:rsid w:val="00F9799C"/>
    <w:rsid w:val="00FA000D"/>
    <w:rsid w:val="00FA10F6"/>
    <w:rsid w:val="00FA5F6E"/>
    <w:rsid w:val="00FA6812"/>
    <w:rsid w:val="00FB12F3"/>
    <w:rsid w:val="00FB4702"/>
    <w:rsid w:val="00FB74A1"/>
    <w:rsid w:val="00FC77B1"/>
    <w:rsid w:val="00FD0A0F"/>
    <w:rsid w:val="00FD1973"/>
    <w:rsid w:val="00FE0570"/>
    <w:rsid w:val="00FE6F90"/>
    <w:rsid w:val="00FE7C3C"/>
    <w:rsid w:val="00FF11C6"/>
    <w:rsid w:val="00FF32C0"/>
    <w:rsid w:val="00FF5C57"/>
    <w:rsid w:val="00FF68E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3C718"/>
  <w15:chartTrackingRefBased/>
  <w15:docId w15:val="{1FA73768-B4E5-DF43-93A9-2D94C266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279"/>
  </w:style>
  <w:style w:type="paragraph" w:styleId="Heading1">
    <w:name w:val="heading 1"/>
    <w:basedOn w:val="NoSpacing"/>
    <w:next w:val="Normal"/>
    <w:link w:val="Heading1Char"/>
    <w:uiPriority w:val="9"/>
    <w:qFormat/>
    <w:rsid w:val="00DC1C44"/>
    <w:pPr>
      <w:jc w:val="center"/>
      <w:outlineLvl w:val="0"/>
    </w:pPr>
    <w:rPr>
      <w:rFonts w:ascii="Aptos" w:hAnsi="Aptos" w:cs="Times New Roman"/>
      <w:b/>
      <w:bCs/>
      <w:color w:val="000000" w:themeColor="text1"/>
      <w:sz w:val="25"/>
      <w:szCs w:val="25"/>
    </w:rPr>
  </w:style>
  <w:style w:type="paragraph" w:styleId="Heading4">
    <w:name w:val="heading 4"/>
    <w:basedOn w:val="Normal"/>
    <w:next w:val="Normal"/>
    <w:link w:val="Heading4Char"/>
    <w:uiPriority w:val="9"/>
    <w:semiHidden/>
    <w:unhideWhenUsed/>
    <w:qFormat/>
    <w:rsid w:val="00A4436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34CF"/>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F534CF"/>
    <w:rPr>
      <w:sz w:val="16"/>
      <w:szCs w:val="16"/>
    </w:rPr>
  </w:style>
  <w:style w:type="paragraph" w:styleId="CommentText">
    <w:name w:val="annotation text"/>
    <w:basedOn w:val="Normal"/>
    <w:link w:val="CommentTextChar"/>
    <w:uiPriority w:val="99"/>
    <w:semiHidden/>
    <w:unhideWhenUsed/>
    <w:rsid w:val="00F534CF"/>
    <w:rPr>
      <w:sz w:val="20"/>
      <w:szCs w:val="20"/>
    </w:rPr>
  </w:style>
  <w:style w:type="character" w:customStyle="1" w:styleId="CommentTextChar">
    <w:name w:val="Comment Text Char"/>
    <w:basedOn w:val="DefaultParagraphFont"/>
    <w:link w:val="CommentText"/>
    <w:uiPriority w:val="99"/>
    <w:semiHidden/>
    <w:rsid w:val="00F534CF"/>
    <w:rPr>
      <w:sz w:val="20"/>
      <w:szCs w:val="20"/>
    </w:rPr>
  </w:style>
  <w:style w:type="paragraph" w:styleId="CommentSubject">
    <w:name w:val="annotation subject"/>
    <w:basedOn w:val="CommentText"/>
    <w:next w:val="CommentText"/>
    <w:link w:val="CommentSubjectChar"/>
    <w:uiPriority w:val="99"/>
    <w:semiHidden/>
    <w:unhideWhenUsed/>
    <w:rsid w:val="00F534CF"/>
    <w:rPr>
      <w:b/>
      <w:bCs/>
    </w:rPr>
  </w:style>
  <w:style w:type="character" w:customStyle="1" w:styleId="CommentSubjectChar">
    <w:name w:val="Comment Subject Char"/>
    <w:basedOn w:val="CommentTextChar"/>
    <w:link w:val="CommentSubject"/>
    <w:uiPriority w:val="99"/>
    <w:semiHidden/>
    <w:rsid w:val="00F534CF"/>
    <w:rPr>
      <w:b/>
      <w:bCs/>
      <w:sz w:val="20"/>
      <w:szCs w:val="20"/>
    </w:rPr>
  </w:style>
  <w:style w:type="paragraph" w:styleId="FootnoteText">
    <w:name w:val="footnote text"/>
    <w:basedOn w:val="Normal"/>
    <w:link w:val="FootnoteTextChar"/>
    <w:unhideWhenUsed/>
    <w:rsid w:val="004353A4"/>
    <w:rPr>
      <w:sz w:val="20"/>
      <w:szCs w:val="20"/>
    </w:rPr>
  </w:style>
  <w:style w:type="character" w:customStyle="1" w:styleId="FootnoteTextChar">
    <w:name w:val="Footnote Text Char"/>
    <w:basedOn w:val="DefaultParagraphFont"/>
    <w:link w:val="FootnoteText"/>
    <w:rsid w:val="004353A4"/>
    <w:rPr>
      <w:sz w:val="20"/>
      <w:szCs w:val="20"/>
    </w:rPr>
  </w:style>
  <w:style w:type="character" w:styleId="FootnoteReference">
    <w:name w:val="footnote reference"/>
    <w:basedOn w:val="DefaultParagraphFont"/>
    <w:unhideWhenUsed/>
    <w:rsid w:val="004353A4"/>
    <w:rPr>
      <w:vertAlign w:val="superscript"/>
    </w:rPr>
  </w:style>
  <w:style w:type="paragraph" w:styleId="NoSpacing">
    <w:name w:val="No Spacing"/>
    <w:link w:val="NoSpacingChar"/>
    <w:uiPriority w:val="1"/>
    <w:qFormat/>
    <w:rsid w:val="00ED4F9D"/>
    <w:rPr>
      <w:kern w:val="0"/>
      <w:sz w:val="22"/>
      <w:szCs w:val="22"/>
      <w14:ligatures w14:val="none"/>
    </w:rPr>
  </w:style>
  <w:style w:type="character" w:customStyle="1" w:styleId="apple-converted-space">
    <w:name w:val="apple-converted-space"/>
    <w:basedOn w:val="DefaultParagraphFont"/>
    <w:rsid w:val="00ED4F9D"/>
  </w:style>
  <w:style w:type="character" w:styleId="Emphasis">
    <w:name w:val="Emphasis"/>
    <w:basedOn w:val="DefaultParagraphFont"/>
    <w:uiPriority w:val="20"/>
    <w:qFormat/>
    <w:rsid w:val="00ED4F9D"/>
    <w:rPr>
      <w:i/>
      <w:iCs/>
    </w:rPr>
  </w:style>
  <w:style w:type="character" w:customStyle="1" w:styleId="NoSpacingChar">
    <w:name w:val="No Spacing Char"/>
    <w:basedOn w:val="DefaultParagraphFont"/>
    <w:link w:val="NoSpacing"/>
    <w:uiPriority w:val="1"/>
    <w:rsid w:val="00ED4F9D"/>
    <w:rPr>
      <w:kern w:val="0"/>
      <w:sz w:val="22"/>
      <w:szCs w:val="22"/>
      <w14:ligatures w14:val="none"/>
    </w:rPr>
  </w:style>
  <w:style w:type="numbering" w:customStyle="1" w:styleId="CurrentList1">
    <w:name w:val="Current List1"/>
    <w:uiPriority w:val="99"/>
    <w:rsid w:val="006C6078"/>
    <w:pPr>
      <w:numPr>
        <w:numId w:val="2"/>
      </w:numPr>
    </w:pPr>
  </w:style>
  <w:style w:type="paragraph" w:styleId="ListParagraph">
    <w:name w:val="List Paragraph"/>
    <w:basedOn w:val="Normal"/>
    <w:uiPriority w:val="34"/>
    <w:qFormat/>
    <w:rsid w:val="006C6078"/>
    <w:pPr>
      <w:ind w:left="720"/>
      <w:contextualSpacing/>
    </w:pPr>
  </w:style>
  <w:style w:type="paragraph" w:styleId="Footer">
    <w:name w:val="footer"/>
    <w:basedOn w:val="Normal"/>
    <w:link w:val="FooterChar"/>
    <w:uiPriority w:val="99"/>
    <w:unhideWhenUsed/>
    <w:rsid w:val="006C6078"/>
    <w:pPr>
      <w:tabs>
        <w:tab w:val="center" w:pos="4680"/>
        <w:tab w:val="right" w:pos="9360"/>
      </w:tabs>
    </w:pPr>
  </w:style>
  <w:style w:type="character" w:customStyle="1" w:styleId="FooterChar">
    <w:name w:val="Footer Char"/>
    <w:basedOn w:val="DefaultParagraphFont"/>
    <w:link w:val="Footer"/>
    <w:uiPriority w:val="99"/>
    <w:rsid w:val="006C6078"/>
  </w:style>
  <w:style w:type="character" w:styleId="PageNumber">
    <w:name w:val="page number"/>
    <w:basedOn w:val="DefaultParagraphFont"/>
    <w:uiPriority w:val="99"/>
    <w:semiHidden/>
    <w:unhideWhenUsed/>
    <w:rsid w:val="006C6078"/>
  </w:style>
  <w:style w:type="character" w:customStyle="1" w:styleId="coconcept4349">
    <w:name w:val="co_concept_43_49"/>
    <w:basedOn w:val="DefaultParagraphFont"/>
    <w:rsid w:val="006B3FEC"/>
  </w:style>
  <w:style w:type="character" w:customStyle="1" w:styleId="coconcept5158">
    <w:name w:val="co_concept_51_58"/>
    <w:basedOn w:val="DefaultParagraphFont"/>
    <w:rsid w:val="006B3FEC"/>
  </w:style>
  <w:style w:type="paragraph" w:customStyle="1" w:styleId="s7">
    <w:name w:val="s7"/>
    <w:basedOn w:val="Normal"/>
    <w:rsid w:val="0082207B"/>
    <w:pPr>
      <w:spacing w:before="100" w:beforeAutospacing="1" w:after="100" w:afterAutospacing="1"/>
    </w:pPr>
    <w:rPr>
      <w:rFonts w:ascii="Times New Roman" w:eastAsia="Times New Roman" w:hAnsi="Times New Roman" w:cs="Times New Roman"/>
      <w:kern w:val="0"/>
      <w14:ligatures w14:val="none"/>
    </w:rPr>
  </w:style>
  <w:style w:type="character" w:customStyle="1" w:styleId="s8">
    <w:name w:val="s8"/>
    <w:basedOn w:val="DefaultParagraphFont"/>
    <w:rsid w:val="0082207B"/>
  </w:style>
  <w:style w:type="character" w:styleId="Hyperlink">
    <w:name w:val="Hyperlink"/>
    <w:basedOn w:val="DefaultParagraphFont"/>
    <w:uiPriority w:val="99"/>
    <w:unhideWhenUsed/>
    <w:rsid w:val="00850FB0"/>
    <w:rPr>
      <w:color w:val="0563C1" w:themeColor="hyperlink"/>
      <w:u w:val="single"/>
    </w:rPr>
  </w:style>
  <w:style w:type="character" w:styleId="UnresolvedMention">
    <w:name w:val="Unresolved Mention"/>
    <w:basedOn w:val="DefaultParagraphFont"/>
    <w:uiPriority w:val="99"/>
    <w:semiHidden/>
    <w:unhideWhenUsed/>
    <w:rsid w:val="00850FB0"/>
    <w:rPr>
      <w:color w:val="605E5C"/>
      <w:shd w:val="clear" w:color="auto" w:fill="E1DFDD"/>
    </w:rPr>
  </w:style>
  <w:style w:type="character" w:styleId="FollowedHyperlink">
    <w:name w:val="FollowedHyperlink"/>
    <w:basedOn w:val="DefaultParagraphFont"/>
    <w:uiPriority w:val="99"/>
    <w:semiHidden/>
    <w:unhideWhenUsed/>
    <w:rsid w:val="00850FB0"/>
    <w:rPr>
      <w:color w:val="954F72" w:themeColor="followedHyperlink"/>
      <w:u w:val="single"/>
    </w:rPr>
  </w:style>
  <w:style w:type="paragraph" w:styleId="Header">
    <w:name w:val="header"/>
    <w:basedOn w:val="Normal"/>
    <w:link w:val="HeaderChar"/>
    <w:uiPriority w:val="99"/>
    <w:unhideWhenUsed/>
    <w:rsid w:val="006C08C9"/>
    <w:pPr>
      <w:tabs>
        <w:tab w:val="center" w:pos="4680"/>
        <w:tab w:val="right" w:pos="9360"/>
      </w:tabs>
    </w:pPr>
  </w:style>
  <w:style w:type="character" w:customStyle="1" w:styleId="HeaderChar">
    <w:name w:val="Header Char"/>
    <w:basedOn w:val="DefaultParagraphFont"/>
    <w:link w:val="Header"/>
    <w:uiPriority w:val="99"/>
    <w:rsid w:val="006C08C9"/>
  </w:style>
  <w:style w:type="character" w:customStyle="1" w:styleId="Heading1Char">
    <w:name w:val="Heading 1 Char"/>
    <w:basedOn w:val="DefaultParagraphFont"/>
    <w:link w:val="Heading1"/>
    <w:uiPriority w:val="9"/>
    <w:rsid w:val="00DC1C44"/>
    <w:rPr>
      <w:rFonts w:ascii="Aptos" w:hAnsi="Aptos" w:cs="Times New Roman"/>
      <w:b/>
      <w:bCs/>
      <w:color w:val="000000" w:themeColor="text1"/>
      <w:kern w:val="0"/>
      <w:sz w:val="25"/>
      <w:szCs w:val="25"/>
      <w14:ligatures w14:val="none"/>
    </w:rPr>
  </w:style>
  <w:style w:type="paragraph" w:styleId="Revision">
    <w:name w:val="Revision"/>
    <w:hidden/>
    <w:uiPriority w:val="99"/>
    <w:semiHidden/>
    <w:rsid w:val="00571EA3"/>
  </w:style>
  <w:style w:type="character" w:customStyle="1" w:styleId="Heading4Char">
    <w:name w:val="Heading 4 Char"/>
    <w:basedOn w:val="DefaultParagraphFont"/>
    <w:link w:val="Heading4"/>
    <w:uiPriority w:val="9"/>
    <w:semiHidden/>
    <w:rsid w:val="00A44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8307">
      <w:bodyDiv w:val="1"/>
      <w:marLeft w:val="0"/>
      <w:marRight w:val="0"/>
      <w:marTop w:val="0"/>
      <w:marBottom w:val="0"/>
      <w:divBdr>
        <w:top w:val="none" w:sz="0" w:space="0" w:color="auto"/>
        <w:left w:val="none" w:sz="0" w:space="0" w:color="auto"/>
        <w:bottom w:val="none" w:sz="0" w:space="0" w:color="auto"/>
        <w:right w:val="none" w:sz="0" w:space="0" w:color="auto"/>
      </w:divBdr>
      <w:divsChild>
        <w:div w:id="319820506">
          <w:marLeft w:val="620"/>
          <w:marRight w:val="0"/>
          <w:marTop w:val="0"/>
          <w:marBottom w:val="0"/>
          <w:divBdr>
            <w:top w:val="none" w:sz="0" w:space="0" w:color="auto"/>
            <w:left w:val="none" w:sz="0" w:space="0" w:color="auto"/>
            <w:bottom w:val="none" w:sz="0" w:space="0" w:color="auto"/>
            <w:right w:val="none" w:sz="0" w:space="0" w:color="auto"/>
          </w:divBdr>
        </w:div>
        <w:div w:id="1221134053">
          <w:marLeft w:val="620"/>
          <w:marRight w:val="0"/>
          <w:marTop w:val="0"/>
          <w:marBottom w:val="0"/>
          <w:divBdr>
            <w:top w:val="none" w:sz="0" w:space="0" w:color="auto"/>
            <w:left w:val="none" w:sz="0" w:space="0" w:color="auto"/>
            <w:bottom w:val="none" w:sz="0" w:space="0" w:color="auto"/>
            <w:right w:val="none" w:sz="0" w:space="0" w:color="auto"/>
          </w:divBdr>
        </w:div>
      </w:divsChild>
    </w:div>
    <w:div w:id="123353742">
      <w:bodyDiv w:val="1"/>
      <w:marLeft w:val="0"/>
      <w:marRight w:val="0"/>
      <w:marTop w:val="0"/>
      <w:marBottom w:val="0"/>
      <w:divBdr>
        <w:top w:val="none" w:sz="0" w:space="0" w:color="auto"/>
        <w:left w:val="none" w:sz="0" w:space="0" w:color="auto"/>
        <w:bottom w:val="none" w:sz="0" w:space="0" w:color="auto"/>
        <w:right w:val="none" w:sz="0" w:space="0" w:color="auto"/>
      </w:divBdr>
      <w:divsChild>
        <w:div w:id="831456547">
          <w:marLeft w:val="0"/>
          <w:marRight w:val="0"/>
          <w:marTop w:val="0"/>
          <w:marBottom w:val="0"/>
          <w:divBdr>
            <w:top w:val="none" w:sz="0" w:space="0" w:color="auto"/>
            <w:left w:val="none" w:sz="0" w:space="0" w:color="auto"/>
            <w:bottom w:val="none" w:sz="0" w:space="0" w:color="auto"/>
            <w:right w:val="none" w:sz="0" w:space="0" w:color="auto"/>
          </w:divBdr>
          <w:divsChild>
            <w:div w:id="880365518">
              <w:marLeft w:val="0"/>
              <w:marRight w:val="0"/>
              <w:marTop w:val="0"/>
              <w:marBottom w:val="0"/>
              <w:divBdr>
                <w:top w:val="none" w:sz="0" w:space="0" w:color="auto"/>
                <w:left w:val="none" w:sz="0" w:space="0" w:color="auto"/>
                <w:bottom w:val="none" w:sz="0" w:space="0" w:color="auto"/>
                <w:right w:val="none" w:sz="0" w:space="0" w:color="auto"/>
              </w:divBdr>
              <w:divsChild>
                <w:div w:id="11060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6765">
      <w:bodyDiv w:val="1"/>
      <w:marLeft w:val="0"/>
      <w:marRight w:val="0"/>
      <w:marTop w:val="0"/>
      <w:marBottom w:val="0"/>
      <w:divBdr>
        <w:top w:val="none" w:sz="0" w:space="0" w:color="auto"/>
        <w:left w:val="none" w:sz="0" w:space="0" w:color="auto"/>
        <w:bottom w:val="none" w:sz="0" w:space="0" w:color="auto"/>
        <w:right w:val="none" w:sz="0" w:space="0" w:color="auto"/>
      </w:divBdr>
    </w:div>
    <w:div w:id="366831455">
      <w:bodyDiv w:val="1"/>
      <w:marLeft w:val="0"/>
      <w:marRight w:val="0"/>
      <w:marTop w:val="0"/>
      <w:marBottom w:val="0"/>
      <w:divBdr>
        <w:top w:val="none" w:sz="0" w:space="0" w:color="auto"/>
        <w:left w:val="none" w:sz="0" w:space="0" w:color="auto"/>
        <w:bottom w:val="none" w:sz="0" w:space="0" w:color="auto"/>
        <w:right w:val="none" w:sz="0" w:space="0" w:color="auto"/>
      </w:divBdr>
      <w:divsChild>
        <w:div w:id="1546287039">
          <w:marLeft w:val="0"/>
          <w:marRight w:val="0"/>
          <w:marTop w:val="0"/>
          <w:marBottom w:val="0"/>
          <w:divBdr>
            <w:top w:val="none" w:sz="0" w:space="0" w:color="auto"/>
            <w:left w:val="none" w:sz="0" w:space="0" w:color="auto"/>
            <w:bottom w:val="none" w:sz="0" w:space="0" w:color="auto"/>
            <w:right w:val="none" w:sz="0" w:space="0" w:color="auto"/>
          </w:divBdr>
          <w:divsChild>
            <w:div w:id="1832139622">
              <w:marLeft w:val="0"/>
              <w:marRight w:val="0"/>
              <w:marTop w:val="0"/>
              <w:marBottom w:val="0"/>
              <w:divBdr>
                <w:top w:val="none" w:sz="0" w:space="0" w:color="auto"/>
                <w:left w:val="none" w:sz="0" w:space="0" w:color="auto"/>
                <w:bottom w:val="none" w:sz="0" w:space="0" w:color="auto"/>
                <w:right w:val="none" w:sz="0" w:space="0" w:color="auto"/>
              </w:divBdr>
              <w:divsChild>
                <w:div w:id="64162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63995">
      <w:bodyDiv w:val="1"/>
      <w:marLeft w:val="0"/>
      <w:marRight w:val="0"/>
      <w:marTop w:val="0"/>
      <w:marBottom w:val="0"/>
      <w:divBdr>
        <w:top w:val="none" w:sz="0" w:space="0" w:color="auto"/>
        <w:left w:val="none" w:sz="0" w:space="0" w:color="auto"/>
        <w:bottom w:val="none" w:sz="0" w:space="0" w:color="auto"/>
        <w:right w:val="none" w:sz="0" w:space="0" w:color="auto"/>
      </w:divBdr>
      <w:divsChild>
        <w:div w:id="1268544485">
          <w:marLeft w:val="620"/>
          <w:marRight w:val="0"/>
          <w:marTop w:val="0"/>
          <w:marBottom w:val="0"/>
          <w:divBdr>
            <w:top w:val="none" w:sz="0" w:space="0" w:color="auto"/>
            <w:left w:val="none" w:sz="0" w:space="0" w:color="auto"/>
            <w:bottom w:val="none" w:sz="0" w:space="0" w:color="auto"/>
            <w:right w:val="none" w:sz="0" w:space="0" w:color="auto"/>
          </w:divBdr>
        </w:div>
        <w:div w:id="889195435">
          <w:marLeft w:val="620"/>
          <w:marRight w:val="0"/>
          <w:marTop w:val="0"/>
          <w:marBottom w:val="0"/>
          <w:divBdr>
            <w:top w:val="none" w:sz="0" w:space="0" w:color="auto"/>
            <w:left w:val="none" w:sz="0" w:space="0" w:color="auto"/>
            <w:bottom w:val="none" w:sz="0" w:space="0" w:color="auto"/>
            <w:right w:val="none" w:sz="0" w:space="0" w:color="auto"/>
          </w:divBdr>
        </w:div>
      </w:divsChild>
    </w:div>
    <w:div w:id="540169404">
      <w:bodyDiv w:val="1"/>
      <w:marLeft w:val="0"/>
      <w:marRight w:val="0"/>
      <w:marTop w:val="0"/>
      <w:marBottom w:val="0"/>
      <w:divBdr>
        <w:top w:val="none" w:sz="0" w:space="0" w:color="auto"/>
        <w:left w:val="none" w:sz="0" w:space="0" w:color="auto"/>
        <w:bottom w:val="none" w:sz="0" w:space="0" w:color="auto"/>
        <w:right w:val="none" w:sz="0" w:space="0" w:color="auto"/>
      </w:divBdr>
      <w:divsChild>
        <w:div w:id="1577588477">
          <w:marLeft w:val="0"/>
          <w:marRight w:val="0"/>
          <w:marTop w:val="0"/>
          <w:marBottom w:val="0"/>
          <w:divBdr>
            <w:top w:val="none" w:sz="0" w:space="0" w:color="auto"/>
            <w:left w:val="none" w:sz="0" w:space="0" w:color="auto"/>
            <w:bottom w:val="none" w:sz="0" w:space="0" w:color="auto"/>
            <w:right w:val="none" w:sz="0" w:space="0" w:color="auto"/>
          </w:divBdr>
          <w:divsChild>
            <w:div w:id="911965922">
              <w:marLeft w:val="0"/>
              <w:marRight w:val="0"/>
              <w:marTop w:val="0"/>
              <w:marBottom w:val="0"/>
              <w:divBdr>
                <w:top w:val="none" w:sz="0" w:space="0" w:color="auto"/>
                <w:left w:val="none" w:sz="0" w:space="0" w:color="auto"/>
                <w:bottom w:val="none" w:sz="0" w:space="0" w:color="auto"/>
                <w:right w:val="none" w:sz="0" w:space="0" w:color="auto"/>
              </w:divBdr>
              <w:divsChild>
                <w:div w:id="1287353317">
                  <w:marLeft w:val="0"/>
                  <w:marRight w:val="0"/>
                  <w:marTop w:val="0"/>
                  <w:marBottom w:val="0"/>
                  <w:divBdr>
                    <w:top w:val="single" w:sz="6" w:space="0" w:color="F0F0F0"/>
                    <w:left w:val="none" w:sz="0" w:space="0" w:color="auto"/>
                    <w:bottom w:val="none" w:sz="0" w:space="0" w:color="auto"/>
                    <w:right w:val="none" w:sz="0" w:space="0" w:color="auto"/>
                  </w:divBdr>
                  <w:divsChild>
                    <w:div w:id="415978657">
                      <w:marLeft w:val="0"/>
                      <w:marRight w:val="0"/>
                      <w:marTop w:val="0"/>
                      <w:marBottom w:val="0"/>
                      <w:divBdr>
                        <w:top w:val="none" w:sz="0" w:space="0" w:color="auto"/>
                        <w:left w:val="none" w:sz="0" w:space="0" w:color="auto"/>
                        <w:bottom w:val="single" w:sz="12" w:space="0" w:color="F0F0F0"/>
                        <w:right w:val="none" w:sz="0" w:space="0" w:color="auto"/>
                      </w:divBdr>
                      <w:divsChild>
                        <w:div w:id="1553077640">
                          <w:marLeft w:val="0"/>
                          <w:marRight w:val="0"/>
                          <w:marTop w:val="0"/>
                          <w:marBottom w:val="0"/>
                          <w:divBdr>
                            <w:top w:val="none" w:sz="0" w:space="0" w:color="auto"/>
                            <w:left w:val="none" w:sz="0" w:space="0" w:color="auto"/>
                            <w:bottom w:val="none" w:sz="0" w:space="0" w:color="auto"/>
                            <w:right w:val="none" w:sz="0" w:space="0" w:color="auto"/>
                          </w:divBdr>
                          <w:divsChild>
                            <w:div w:id="186792347">
                              <w:marLeft w:val="0"/>
                              <w:marRight w:val="0"/>
                              <w:marTop w:val="0"/>
                              <w:marBottom w:val="0"/>
                              <w:divBdr>
                                <w:top w:val="none" w:sz="0" w:space="0" w:color="auto"/>
                                <w:left w:val="none" w:sz="0" w:space="0" w:color="auto"/>
                                <w:bottom w:val="none" w:sz="0" w:space="0" w:color="auto"/>
                                <w:right w:val="none" w:sz="0" w:space="0" w:color="auto"/>
                              </w:divBdr>
                            </w:div>
                            <w:div w:id="2145350859">
                              <w:marLeft w:val="0"/>
                              <w:marRight w:val="0"/>
                              <w:marTop w:val="0"/>
                              <w:marBottom w:val="0"/>
                              <w:divBdr>
                                <w:top w:val="none" w:sz="0" w:space="0" w:color="auto"/>
                                <w:left w:val="none" w:sz="0" w:space="0" w:color="auto"/>
                                <w:bottom w:val="none" w:sz="0" w:space="0" w:color="auto"/>
                                <w:right w:val="none" w:sz="0" w:space="0" w:color="auto"/>
                              </w:divBdr>
                            </w:div>
                            <w:div w:id="1723092784">
                              <w:marLeft w:val="0"/>
                              <w:marRight w:val="0"/>
                              <w:marTop w:val="0"/>
                              <w:marBottom w:val="0"/>
                              <w:divBdr>
                                <w:top w:val="none" w:sz="0" w:space="0" w:color="auto"/>
                                <w:left w:val="none" w:sz="0" w:space="0" w:color="auto"/>
                                <w:bottom w:val="none" w:sz="0" w:space="0" w:color="auto"/>
                                <w:right w:val="none" w:sz="0" w:space="0" w:color="auto"/>
                              </w:divBdr>
                            </w:div>
                            <w:div w:id="388841161">
                              <w:marLeft w:val="0"/>
                              <w:marRight w:val="0"/>
                              <w:marTop w:val="0"/>
                              <w:marBottom w:val="0"/>
                              <w:divBdr>
                                <w:top w:val="none" w:sz="0" w:space="0" w:color="auto"/>
                                <w:left w:val="none" w:sz="0" w:space="0" w:color="auto"/>
                                <w:bottom w:val="none" w:sz="0" w:space="0" w:color="auto"/>
                                <w:right w:val="none" w:sz="0" w:space="0" w:color="auto"/>
                              </w:divBdr>
                            </w:div>
                            <w:div w:id="1290435675">
                              <w:marLeft w:val="0"/>
                              <w:marRight w:val="0"/>
                              <w:marTop w:val="0"/>
                              <w:marBottom w:val="0"/>
                              <w:divBdr>
                                <w:top w:val="single" w:sz="6" w:space="0" w:color="DADADA"/>
                                <w:left w:val="single" w:sz="6" w:space="0" w:color="DADADA"/>
                                <w:bottom w:val="single" w:sz="6" w:space="0" w:color="DADADA"/>
                                <w:right w:val="single" w:sz="6" w:space="0" w:color="DADADA"/>
                              </w:divBdr>
                            </w:div>
                            <w:div w:id="1605190937">
                              <w:marLeft w:val="0"/>
                              <w:marRight w:val="0"/>
                              <w:marTop w:val="0"/>
                              <w:marBottom w:val="0"/>
                              <w:divBdr>
                                <w:top w:val="none" w:sz="0" w:space="0" w:color="auto"/>
                                <w:left w:val="none" w:sz="0" w:space="0" w:color="auto"/>
                                <w:bottom w:val="none" w:sz="0" w:space="0" w:color="auto"/>
                                <w:right w:val="none" w:sz="0" w:space="0" w:color="auto"/>
                              </w:divBdr>
                            </w:div>
                            <w:div w:id="1356273564">
                              <w:marLeft w:val="0"/>
                              <w:marRight w:val="0"/>
                              <w:marTop w:val="0"/>
                              <w:marBottom w:val="0"/>
                              <w:divBdr>
                                <w:top w:val="none" w:sz="0" w:space="0" w:color="auto"/>
                                <w:left w:val="none" w:sz="0" w:space="0" w:color="auto"/>
                                <w:bottom w:val="none" w:sz="0" w:space="0" w:color="auto"/>
                                <w:right w:val="none" w:sz="0" w:space="0" w:color="auto"/>
                              </w:divBdr>
                              <w:divsChild>
                                <w:div w:id="17329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305837">
          <w:marLeft w:val="0"/>
          <w:marRight w:val="0"/>
          <w:marTop w:val="0"/>
          <w:marBottom w:val="0"/>
          <w:divBdr>
            <w:top w:val="none" w:sz="0" w:space="0" w:color="auto"/>
            <w:left w:val="none" w:sz="0" w:space="0" w:color="auto"/>
            <w:bottom w:val="none" w:sz="0" w:space="0" w:color="auto"/>
            <w:right w:val="none" w:sz="0" w:space="0" w:color="auto"/>
          </w:divBdr>
          <w:divsChild>
            <w:div w:id="110327642">
              <w:marLeft w:val="0"/>
              <w:marRight w:val="0"/>
              <w:marTop w:val="0"/>
              <w:marBottom w:val="0"/>
              <w:divBdr>
                <w:top w:val="none" w:sz="0" w:space="0" w:color="auto"/>
                <w:left w:val="none" w:sz="0" w:space="0" w:color="auto"/>
                <w:bottom w:val="none" w:sz="0" w:space="0" w:color="auto"/>
                <w:right w:val="none" w:sz="0" w:space="0" w:color="auto"/>
              </w:divBdr>
              <w:divsChild>
                <w:div w:id="1385325982">
                  <w:marLeft w:val="0"/>
                  <w:marRight w:val="0"/>
                  <w:marTop w:val="0"/>
                  <w:marBottom w:val="0"/>
                  <w:divBdr>
                    <w:top w:val="none" w:sz="0" w:space="0" w:color="auto"/>
                    <w:left w:val="none" w:sz="0" w:space="0" w:color="auto"/>
                    <w:bottom w:val="none" w:sz="0" w:space="0" w:color="auto"/>
                    <w:right w:val="none" w:sz="0" w:space="0" w:color="auto"/>
                  </w:divBdr>
                  <w:divsChild>
                    <w:div w:id="1858039971">
                      <w:marLeft w:val="660"/>
                      <w:marRight w:val="660"/>
                      <w:marTop w:val="0"/>
                      <w:marBottom w:val="0"/>
                      <w:divBdr>
                        <w:top w:val="none" w:sz="0" w:space="0" w:color="auto"/>
                        <w:left w:val="none" w:sz="0" w:space="0" w:color="auto"/>
                        <w:bottom w:val="none" w:sz="0" w:space="0" w:color="auto"/>
                        <w:right w:val="none" w:sz="0" w:space="0" w:color="auto"/>
                      </w:divBdr>
                      <w:divsChild>
                        <w:div w:id="2089692160">
                          <w:marLeft w:val="0"/>
                          <w:marRight w:val="0"/>
                          <w:marTop w:val="0"/>
                          <w:marBottom w:val="0"/>
                          <w:divBdr>
                            <w:top w:val="none" w:sz="0" w:space="0" w:color="auto"/>
                            <w:left w:val="none" w:sz="0" w:space="0" w:color="auto"/>
                            <w:bottom w:val="none" w:sz="0" w:space="0" w:color="auto"/>
                            <w:right w:val="none" w:sz="0" w:space="0" w:color="auto"/>
                          </w:divBdr>
                          <w:divsChild>
                            <w:div w:id="1778524502">
                              <w:marLeft w:val="0"/>
                              <w:marRight w:val="0"/>
                              <w:marTop w:val="0"/>
                              <w:marBottom w:val="0"/>
                              <w:divBdr>
                                <w:top w:val="single" w:sz="6" w:space="0" w:color="F0F0F0"/>
                                <w:left w:val="single" w:sz="6" w:space="0" w:color="F0F0F0"/>
                                <w:bottom w:val="single" w:sz="6" w:space="0" w:color="F0F0F0"/>
                                <w:right w:val="single" w:sz="6" w:space="0" w:color="F0F0F0"/>
                              </w:divBdr>
                              <w:divsChild>
                                <w:div w:id="1914391857">
                                  <w:marLeft w:val="0"/>
                                  <w:marRight w:val="0"/>
                                  <w:marTop w:val="0"/>
                                  <w:marBottom w:val="0"/>
                                  <w:divBdr>
                                    <w:top w:val="none" w:sz="0" w:space="0" w:color="auto"/>
                                    <w:left w:val="none" w:sz="0" w:space="0" w:color="auto"/>
                                    <w:bottom w:val="none" w:sz="0" w:space="0" w:color="auto"/>
                                    <w:right w:val="none" w:sz="0" w:space="0" w:color="auto"/>
                                  </w:divBdr>
                                  <w:divsChild>
                                    <w:div w:id="226234098">
                                      <w:marLeft w:val="0"/>
                                      <w:marRight w:val="0"/>
                                      <w:marTop w:val="0"/>
                                      <w:marBottom w:val="0"/>
                                      <w:divBdr>
                                        <w:top w:val="none" w:sz="0" w:space="0" w:color="auto"/>
                                        <w:left w:val="none" w:sz="0" w:space="0" w:color="auto"/>
                                        <w:bottom w:val="none" w:sz="0" w:space="0" w:color="auto"/>
                                        <w:right w:val="none" w:sz="0" w:space="0" w:color="auto"/>
                                      </w:divBdr>
                                      <w:divsChild>
                                        <w:div w:id="618953663">
                                          <w:marLeft w:val="0"/>
                                          <w:marRight w:val="0"/>
                                          <w:marTop w:val="0"/>
                                          <w:marBottom w:val="0"/>
                                          <w:divBdr>
                                            <w:top w:val="none" w:sz="0" w:space="0" w:color="auto"/>
                                            <w:left w:val="none" w:sz="0" w:space="0" w:color="auto"/>
                                            <w:bottom w:val="none" w:sz="0" w:space="0" w:color="auto"/>
                                            <w:right w:val="none" w:sz="0" w:space="0" w:color="auto"/>
                                          </w:divBdr>
                                          <w:divsChild>
                                            <w:div w:id="1799105099">
                                              <w:marLeft w:val="0"/>
                                              <w:marRight w:val="0"/>
                                              <w:marTop w:val="0"/>
                                              <w:marBottom w:val="0"/>
                                              <w:divBdr>
                                                <w:top w:val="none" w:sz="0" w:space="0" w:color="auto"/>
                                                <w:left w:val="none" w:sz="0" w:space="0" w:color="auto"/>
                                                <w:bottom w:val="none" w:sz="0" w:space="0" w:color="auto"/>
                                                <w:right w:val="none" w:sz="0" w:space="0" w:color="auto"/>
                                              </w:divBdr>
                                              <w:divsChild>
                                                <w:div w:id="692726112">
                                                  <w:marLeft w:val="0"/>
                                                  <w:marRight w:val="0"/>
                                                  <w:marTop w:val="0"/>
                                                  <w:marBottom w:val="0"/>
                                                  <w:divBdr>
                                                    <w:top w:val="none" w:sz="0" w:space="0" w:color="auto"/>
                                                    <w:left w:val="none" w:sz="0" w:space="0" w:color="auto"/>
                                                    <w:bottom w:val="none" w:sz="0" w:space="0" w:color="auto"/>
                                                    <w:right w:val="none" w:sz="0" w:space="0" w:color="auto"/>
                                                  </w:divBdr>
                                                  <w:divsChild>
                                                    <w:div w:id="15869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905881">
                          <w:marLeft w:val="0"/>
                          <w:marRight w:val="0"/>
                          <w:marTop w:val="240"/>
                          <w:marBottom w:val="0"/>
                          <w:divBdr>
                            <w:top w:val="none" w:sz="0" w:space="0" w:color="auto"/>
                            <w:left w:val="none" w:sz="0" w:space="0" w:color="auto"/>
                            <w:bottom w:val="none" w:sz="0" w:space="0" w:color="auto"/>
                            <w:right w:val="none" w:sz="0" w:space="0" w:color="auto"/>
                          </w:divBdr>
                          <w:divsChild>
                            <w:div w:id="1477186319">
                              <w:marLeft w:val="0"/>
                              <w:marRight w:val="0"/>
                              <w:marTop w:val="0"/>
                              <w:marBottom w:val="0"/>
                              <w:divBdr>
                                <w:top w:val="none" w:sz="0" w:space="0" w:color="auto"/>
                                <w:left w:val="none" w:sz="0" w:space="0" w:color="auto"/>
                                <w:bottom w:val="none" w:sz="0" w:space="0" w:color="auto"/>
                                <w:right w:val="none" w:sz="0" w:space="0" w:color="auto"/>
                              </w:divBdr>
                              <w:divsChild>
                                <w:div w:id="1869949160">
                                  <w:marLeft w:val="0"/>
                                  <w:marRight w:val="0"/>
                                  <w:marTop w:val="0"/>
                                  <w:marBottom w:val="0"/>
                                  <w:divBdr>
                                    <w:top w:val="none" w:sz="0" w:space="0" w:color="auto"/>
                                    <w:left w:val="none" w:sz="0" w:space="0" w:color="auto"/>
                                    <w:bottom w:val="none" w:sz="0" w:space="0" w:color="auto"/>
                                    <w:right w:val="none" w:sz="0" w:space="0" w:color="auto"/>
                                  </w:divBdr>
                                  <w:divsChild>
                                    <w:div w:id="1664971998">
                                      <w:marLeft w:val="0"/>
                                      <w:marRight w:val="0"/>
                                      <w:marTop w:val="0"/>
                                      <w:marBottom w:val="0"/>
                                      <w:divBdr>
                                        <w:top w:val="none" w:sz="0" w:space="0" w:color="auto"/>
                                        <w:left w:val="none" w:sz="0" w:space="0" w:color="auto"/>
                                        <w:bottom w:val="none" w:sz="0" w:space="0" w:color="auto"/>
                                        <w:right w:val="none" w:sz="0" w:space="0" w:color="auto"/>
                                      </w:divBdr>
                                      <w:divsChild>
                                        <w:div w:id="2119448679">
                                          <w:marLeft w:val="0"/>
                                          <w:marRight w:val="0"/>
                                          <w:marTop w:val="0"/>
                                          <w:marBottom w:val="0"/>
                                          <w:divBdr>
                                            <w:top w:val="none" w:sz="0" w:space="0" w:color="auto"/>
                                            <w:left w:val="none" w:sz="0" w:space="0" w:color="auto"/>
                                            <w:bottom w:val="none" w:sz="0" w:space="0" w:color="auto"/>
                                            <w:right w:val="none" w:sz="0" w:space="0" w:color="auto"/>
                                          </w:divBdr>
                                        </w:div>
                                      </w:divsChild>
                                    </w:div>
                                    <w:div w:id="1631085999">
                                      <w:marLeft w:val="0"/>
                                      <w:marRight w:val="0"/>
                                      <w:marTop w:val="0"/>
                                      <w:marBottom w:val="0"/>
                                      <w:divBdr>
                                        <w:top w:val="none" w:sz="0" w:space="0" w:color="auto"/>
                                        <w:left w:val="none" w:sz="0" w:space="0" w:color="auto"/>
                                        <w:bottom w:val="none" w:sz="0" w:space="0" w:color="auto"/>
                                        <w:right w:val="none" w:sz="0" w:space="0" w:color="auto"/>
                                      </w:divBdr>
                                      <w:divsChild>
                                        <w:div w:id="773595104">
                                          <w:marLeft w:val="0"/>
                                          <w:marRight w:val="0"/>
                                          <w:marTop w:val="0"/>
                                          <w:marBottom w:val="0"/>
                                          <w:divBdr>
                                            <w:top w:val="none" w:sz="0" w:space="0" w:color="auto"/>
                                            <w:left w:val="none" w:sz="0" w:space="0" w:color="auto"/>
                                            <w:bottom w:val="none" w:sz="0" w:space="0" w:color="auto"/>
                                            <w:right w:val="none" w:sz="0" w:space="0" w:color="auto"/>
                                          </w:divBdr>
                                          <w:divsChild>
                                            <w:div w:id="55936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5305">
                                      <w:marLeft w:val="0"/>
                                      <w:marRight w:val="0"/>
                                      <w:marTop w:val="0"/>
                                      <w:marBottom w:val="0"/>
                                      <w:divBdr>
                                        <w:top w:val="none" w:sz="0" w:space="0" w:color="auto"/>
                                        <w:left w:val="none" w:sz="0" w:space="0" w:color="auto"/>
                                        <w:bottom w:val="none" w:sz="0" w:space="0" w:color="auto"/>
                                        <w:right w:val="none" w:sz="0" w:space="0" w:color="auto"/>
                                      </w:divBdr>
                                      <w:divsChild>
                                        <w:div w:id="1058283587">
                                          <w:marLeft w:val="0"/>
                                          <w:marRight w:val="0"/>
                                          <w:marTop w:val="0"/>
                                          <w:marBottom w:val="0"/>
                                          <w:divBdr>
                                            <w:top w:val="none" w:sz="0" w:space="0" w:color="auto"/>
                                            <w:left w:val="none" w:sz="0" w:space="0" w:color="auto"/>
                                            <w:bottom w:val="none" w:sz="0" w:space="0" w:color="auto"/>
                                            <w:right w:val="none" w:sz="0" w:space="0" w:color="auto"/>
                                          </w:divBdr>
                                          <w:divsChild>
                                            <w:div w:id="21292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0118345">
      <w:bodyDiv w:val="1"/>
      <w:marLeft w:val="0"/>
      <w:marRight w:val="0"/>
      <w:marTop w:val="0"/>
      <w:marBottom w:val="0"/>
      <w:divBdr>
        <w:top w:val="none" w:sz="0" w:space="0" w:color="auto"/>
        <w:left w:val="none" w:sz="0" w:space="0" w:color="auto"/>
        <w:bottom w:val="none" w:sz="0" w:space="0" w:color="auto"/>
        <w:right w:val="none" w:sz="0" w:space="0" w:color="auto"/>
      </w:divBdr>
      <w:divsChild>
        <w:div w:id="185145764">
          <w:marLeft w:val="0"/>
          <w:marRight w:val="0"/>
          <w:marTop w:val="0"/>
          <w:marBottom w:val="0"/>
          <w:divBdr>
            <w:top w:val="none" w:sz="0" w:space="0" w:color="auto"/>
            <w:left w:val="none" w:sz="0" w:space="0" w:color="auto"/>
            <w:bottom w:val="none" w:sz="0" w:space="0" w:color="auto"/>
            <w:right w:val="none" w:sz="0" w:space="0" w:color="auto"/>
          </w:divBdr>
          <w:divsChild>
            <w:div w:id="1145317192">
              <w:marLeft w:val="0"/>
              <w:marRight w:val="0"/>
              <w:marTop w:val="0"/>
              <w:marBottom w:val="0"/>
              <w:divBdr>
                <w:top w:val="none" w:sz="0" w:space="0" w:color="auto"/>
                <w:left w:val="none" w:sz="0" w:space="0" w:color="auto"/>
                <w:bottom w:val="none" w:sz="0" w:space="0" w:color="auto"/>
                <w:right w:val="none" w:sz="0" w:space="0" w:color="auto"/>
              </w:divBdr>
              <w:divsChild>
                <w:div w:id="11425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434629">
      <w:bodyDiv w:val="1"/>
      <w:marLeft w:val="0"/>
      <w:marRight w:val="0"/>
      <w:marTop w:val="0"/>
      <w:marBottom w:val="0"/>
      <w:divBdr>
        <w:top w:val="none" w:sz="0" w:space="0" w:color="auto"/>
        <w:left w:val="none" w:sz="0" w:space="0" w:color="auto"/>
        <w:bottom w:val="none" w:sz="0" w:space="0" w:color="auto"/>
        <w:right w:val="none" w:sz="0" w:space="0" w:color="auto"/>
      </w:divBdr>
    </w:div>
    <w:div w:id="1004090219">
      <w:bodyDiv w:val="1"/>
      <w:marLeft w:val="0"/>
      <w:marRight w:val="0"/>
      <w:marTop w:val="0"/>
      <w:marBottom w:val="0"/>
      <w:divBdr>
        <w:top w:val="none" w:sz="0" w:space="0" w:color="auto"/>
        <w:left w:val="none" w:sz="0" w:space="0" w:color="auto"/>
        <w:bottom w:val="none" w:sz="0" w:space="0" w:color="auto"/>
        <w:right w:val="none" w:sz="0" w:space="0" w:color="auto"/>
      </w:divBdr>
      <w:divsChild>
        <w:div w:id="675152881">
          <w:marLeft w:val="0"/>
          <w:marRight w:val="0"/>
          <w:marTop w:val="0"/>
          <w:marBottom w:val="0"/>
          <w:divBdr>
            <w:top w:val="none" w:sz="0" w:space="0" w:color="auto"/>
            <w:left w:val="none" w:sz="0" w:space="0" w:color="auto"/>
            <w:bottom w:val="none" w:sz="0" w:space="0" w:color="auto"/>
            <w:right w:val="none" w:sz="0" w:space="0" w:color="auto"/>
          </w:divBdr>
          <w:divsChild>
            <w:div w:id="542060208">
              <w:marLeft w:val="0"/>
              <w:marRight w:val="0"/>
              <w:marTop w:val="0"/>
              <w:marBottom w:val="0"/>
              <w:divBdr>
                <w:top w:val="none" w:sz="0" w:space="0" w:color="auto"/>
                <w:left w:val="none" w:sz="0" w:space="0" w:color="auto"/>
                <w:bottom w:val="none" w:sz="0" w:space="0" w:color="auto"/>
                <w:right w:val="none" w:sz="0" w:space="0" w:color="auto"/>
              </w:divBdr>
              <w:divsChild>
                <w:div w:id="7231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5434">
      <w:bodyDiv w:val="1"/>
      <w:marLeft w:val="0"/>
      <w:marRight w:val="0"/>
      <w:marTop w:val="0"/>
      <w:marBottom w:val="0"/>
      <w:divBdr>
        <w:top w:val="none" w:sz="0" w:space="0" w:color="auto"/>
        <w:left w:val="none" w:sz="0" w:space="0" w:color="auto"/>
        <w:bottom w:val="none" w:sz="0" w:space="0" w:color="auto"/>
        <w:right w:val="none" w:sz="0" w:space="0" w:color="auto"/>
      </w:divBdr>
      <w:divsChild>
        <w:div w:id="1156066802">
          <w:marLeft w:val="620"/>
          <w:marRight w:val="0"/>
          <w:marTop w:val="0"/>
          <w:marBottom w:val="0"/>
          <w:divBdr>
            <w:top w:val="none" w:sz="0" w:space="0" w:color="auto"/>
            <w:left w:val="none" w:sz="0" w:space="0" w:color="auto"/>
            <w:bottom w:val="none" w:sz="0" w:space="0" w:color="auto"/>
            <w:right w:val="none" w:sz="0" w:space="0" w:color="auto"/>
          </w:divBdr>
        </w:div>
        <w:div w:id="595209157">
          <w:marLeft w:val="620"/>
          <w:marRight w:val="0"/>
          <w:marTop w:val="0"/>
          <w:marBottom w:val="0"/>
          <w:divBdr>
            <w:top w:val="none" w:sz="0" w:space="0" w:color="auto"/>
            <w:left w:val="none" w:sz="0" w:space="0" w:color="auto"/>
            <w:bottom w:val="none" w:sz="0" w:space="0" w:color="auto"/>
            <w:right w:val="none" w:sz="0" w:space="0" w:color="auto"/>
          </w:divBdr>
        </w:div>
      </w:divsChild>
    </w:div>
    <w:div w:id="1075474478">
      <w:bodyDiv w:val="1"/>
      <w:marLeft w:val="0"/>
      <w:marRight w:val="0"/>
      <w:marTop w:val="0"/>
      <w:marBottom w:val="0"/>
      <w:divBdr>
        <w:top w:val="none" w:sz="0" w:space="0" w:color="auto"/>
        <w:left w:val="none" w:sz="0" w:space="0" w:color="auto"/>
        <w:bottom w:val="none" w:sz="0" w:space="0" w:color="auto"/>
        <w:right w:val="none" w:sz="0" w:space="0" w:color="auto"/>
      </w:divBdr>
      <w:divsChild>
        <w:div w:id="536166159">
          <w:marLeft w:val="0"/>
          <w:marRight w:val="0"/>
          <w:marTop w:val="0"/>
          <w:marBottom w:val="0"/>
          <w:divBdr>
            <w:top w:val="none" w:sz="0" w:space="0" w:color="auto"/>
            <w:left w:val="none" w:sz="0" w:space="0" w:color="auto"/>
            <w:bottom w:val="none" w:sz="0" w:space="0" w:color="auto"/>
            <w:right w:val="none" w:sz="0" w:space="0" w:color="auto"/>
          </w:divBdr>
          <w:divsChild>
            <w:div w:id="1625036529">
              <w:marLeft w:val="0"/>
              <w:marRight w:val="0"/>
              <w:marTop w:val="0"/>
              <w:marBottom w:val="0"/>
              <w:divBdr>
                <w:top w:val="none" w:sz="0" w:space="0" w:color="auto"/>
                <w:left w:val="none" w:sz="0" w:space="0" w:color="auto"/>
                <w:bottom w:val="none" w:sz="0" w:space="0" w:color="auto"/>
                <w:right w:val="none" w:sz="0" w:space="0" w:color="auto"/>
              </w:divBdr>
              <w:divsChild>
                <w:div w:id="2240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1706">
      <w:bodyDiv w:val="1"/>
      <w:marLeft w:val="0"/>
      <w:marRight w:val="0"/>
      <w:marTop w:val="0"/>
      <w:marBottom w:val="0"/>
      <w:divBdr>
        <w:top w:val="none" w:sz="0" w:space="0" w:color="auto"/>
        <w:left w:val="none" w:sz="0" w:space="0" w:color="auto"/>
        <w:bottom w:val="none" w:sz="0" w:space="0" w:color="auto"/>
        <w:right w:val="none" w:sz="0" w:space="0" w:color="auto"/>
      </w:divBdr>
    </w:div>
    <w:div w:id="1345591552">
      <w:bodyDiv w:val="1"/>
      <w:marLeft w:val="0"/>
      <w:marRight w:val="0"/>
      <w:marTop w:val="0"/>
      <w:marBottom w:val="0"/>
      <w:divBdr>
        <w:top w:val="none" w:sz="0" w:space="0" w:color="auto"/>
        <w:left w:val="none" w:sz="0" w:space="0" w:color="auto"/>
        <w:bottom w:val="none" w:sz="0" w:space="0" w:color="auto"/>
        <w:right w:val="none" w:sz="0" w:space="0" w:color="auto"/>
      </w:divBdr>
    </w:div>
    <w:div w:id="1438259671">
      <w:bodyDiv w:val="1"/>
      <w:marLeft w:val="0"/>
      <w:marRight w:val="0"/>
      <w:marTop w:val="0"/>
      <w:marBottom w:val="0"/>
      <w:divBdr>
        <w:top w:val="none" w:sz="0" w:space="0" w:color="auto"/>
        <w:left w:val="none" w:sz="0" w:space="0" w:color="auto"/>
        <w:bottom w:val="none" w:sz="0" w:space="0" w:color="auto"/>
        <w:right w:val="none" w:sz="0" w:space="0" w:color="auto"/>
      </w:divBdr>
      <w:divsChild>
        <w:div w:id="1610893116">
          <w:marLeft w:val="0"/>
          <w:marRight w:val="0"/>
          <w:marTop w:val="0"/>
          <w:marBottom w:val="0"/>
          <w:divBdr>
            <w:top w:val="none" w:sz="0" w:space="0" w:color="auto"/>
            <w:left w:val="none" w:sz="0" w:space="0" w:color="auto"/>
            <w:bottom w:val="none" w:sz="0" w:space="0" w:color="auto"/>
            <w:right w:val="none" w:sz="0" w:space="0" w:color="auto"/>
          </w:divBdr>
          <w:divsChild>
            <w:div w:id="1250962177">
              <w:marLeft w:val="0"/>
              <w:marRight w:val="0"/>
              <w:marTop w:val="0"/>
              <w:marBottom w:val="0"/>
              <w:divBdr>
                <w:top w:val="none" w:sz="0" w:space="0" w:color="auto"/>
                <w:left w:val="none" w:sz="0" w:space="0" w:color="auto"/>
                <w:bottom w:val="none" w:sz="0" w:space="0" w:color="auto"/>
                <w:right w:val="none" w:sz="0" w:space="0" w:color="auto"/>
              </w:divBdr>
              <w:divsChild>
                <w:div w:id="24041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28166">
      <w:bodyDiv w:val="1"/>
      <w:marLeft w:val="0"/>
      <w:marRight w:val="0"/>
      <w:marTop w:val="0"/>
      <w:marBottom w:val="0"/>
      <w:divBdr>
        <w:top w:val="none" w:sz="0" w:space="0" w:color="auto"/>
        <w:left w:val="none" w:sz="0" w:space="0" w:color="auto"/>
        <w:bottom w:val="none" w:sz="0" w:space="0" w:color="auto"/>
        <w:right w:val="none" w:sz="0" w:space="0" w:color="auto"/>
      </w:divBdr>
    </w:div>
    <w:div w:id="1499612100">
      <w:bodyDiv w:val="1"/>
      <w:marLeft w:val="0"/>
      <w:marRight w:val="0"/>
      <w:marTop w:val="0"/>
      <w:marBottom w:val="0"/>
      <w:divBdr>
        <w:top w:val="none" w:sz="0" w:space="0" w:color="auto"/>
        <w:left w:val="none" w:sz="0" w:space="0" w:color="auto"/>
        <w:bottom w:val="none" w:sz="0" w:space="0" w:color="auto"/>
        <w:right w:val="none" w:sz="0" w:space="0" w:color="auto"/>
      </w:divBdr>
      <w:divsChild>
        <w:div w:id="388191891">
          <w:marLeft w:val="0"/>
          <w:marRight w:val="0"/>
          <w:marTop w:val="0"/>
          <w:marBottom w:val="0"/>
          <w:divBdr>
            <w:top w:val="none" w:sz="0" w:space="0" w:color="auto"/>
            <w:left w:val="none" w:sz="0" w:space="0" w:color="auto"/>
            <w:bottom w:val="none" w:sz="0" w:space="0" w:color="auto"/>
            <w:right w:val="none" w:sz="0" w:space="0" w:color="auto"/>
          </w:divBdr>
          <w:divsChild>
            <w:div w:id="1532063542">
              <w:marLeft w:val="0"/>
              <w:marRight w:val="0"/>
              <w:marTop w:val="0"/>
              <w:marBottom w:val="0"/>
              <w:divBdr>
                <w:top w:val="none" w:sz="0" w:space="0" w:color="auto"/>
                <w:left w:val="none" w:sz="0" w:space="0" w:color="auto"/>
                <w:bottom w:val="none" w:sz="0" w:space="0" w:color="auto"/>
                <w:right w:val="none" w:sz="0" w:space="0" w:color="auto"/>
              </w:divBdr>
              <w:divsChild>
                <w:div w:id="112049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76133">
      <w:bodyDiv w:val="1"/>
      <w:marLeft w:val="0"/>
      <w:marRight w:val="0"/>
      <w:marTop w:val="0"/>
      <w:marBottom w:val="0"/>
      <w:divBdr>
        <w:top w:val="none" w:sz="0" w:space="0" w:color="auto"/>
        <w:left w:val="none" w:sz="0" w:space="0" w:color="auto"/>
        <w:bottom w:val="none" w:sz="0" w:space="0" w:color="auto"/>
        <w:right w:val="none" w:sz="0" w:space="0" w:color="auto"/>
      </w:divBdr>
      <w:divsChild>
        <w:div w:id="1665355001">
          <w:marLeft w:val="620"/>
          <w:marRight w:val="0"/>
          <w:marTop w:val="0"/>
          <w:marBottom w:val="0"/>
          <w:divBdr>
            <w:top w:val="none" w:sz="0" w:space="0" w:color="auto"/>
            <w:left w:val="none" w:sz="0" w:space="0" w:color="auto"/>
            <w:bottom w:val="none" w:sz="0" w:space="0" w:color="auto"/>
            <w:right w:val="none" w:sz="0" w:space="0" w:color="auto"/>
          </w:divBdr>
        </w:div>
        <w:div w:id="229996748">
          <w:marLeft w:val="620"/>
          <w:marRight w:val="0"/>
          <w:marTop w:val="0"/>
          <w:marBottom w:val="0"/>
          <w:divBdr>
            <w:top w:val="none" w:sz="0" w:space="0" w:color="auto"/>
            <w:left w:val="none" w:sz="0" w:space="0" w:color="auto"/>
            <w:bottom w:val="none" w:sz="0" w:space="0" w:color="auto"/>
            <w:right w:val="none" w:sz="0" w:space="0" w:color="auto"/>
          </w:divBdr>
        </w:div>
      </w:divsChild>
    </w:div>
    <w:div w:id="1725180390">
      <w:bodyDiv w:val="1"/>
      <w:marLeft w:val="0"/>
      <w:marRight w:val="0"/>
      <w:marTop w:val="0"/>
      <w:marBottom w:val="0"/>
      <w:divBdr>
        <w:top w:val="none" w:sz="0" w:space="0" w:color="auto"/>
        <w:left w:val="none" w:sz="0" w:space="0" w:color="auto"/>
        <w:bottom w:val="none" w:sz="0" w:space="0" w:color="auto"/>
        <w:right w:val="none" w:sz="0" w:space="0" w:color="auto"/>
      </w:divBdr>
    </w:div>
    <w:div w:id="1762069164">
      <w:bodyDiv w:val="1"/>
      <w:marLeft w:val="0"/>
      <w:marRight w:val="0"/>
      <w:marTop w:val="0"/>
      <w:marBottom w:val="0"/>
      <w:divBdr>
        <w:top w:val="none" w:sz="0" w:space="0" w:color="auto"/>
        <w:left w:val="none" w:sz="0" w:space="0" w:color="auto"/>
        <w:bottom w:val="none" w:sz="0" w:space="0" w:color="auto"/>
        <w:right w:val="none" w:sz="0" w:space="0" w:color="auto"/>
      </w:divBdr>
      <w:divsChild>
        <w:div w:id="2088652318">
          <w:marLeft w:val="0"/>
          <w:marRight w:val="0"/>
          <w:marTop w:val="0"/>
          <w:marBottom w:val="0"/>
          <w:divBdr>
            <w:top w:val="none" w:sz="0" w:space="0" w:color="auto"/>
            <w:left w:val="none" w:sz="0" w:space="0" w:color="auto"/>
            <w:bottom w:val="none" w:sz="0" w:space="0" w:color="auto"/>
            <w:right w:val="none" w:sz="0" w:space="0" w:color="auto"/>
          </w:divBdr>
          <w:divsChild>
            <w:div w:id="2004236115">
              <w:marLeft w:val="0"/>
              <w:marRight w:val="0"/>
              <w:marTop w:val="0"/>
              <w:marBottom w:val="0"/>
              <w:divBdr>
                <w:top w:val="none" w:sz="0" w:space="0" w:color="auto"/>
                <w:left w:val="none" w:sz="0" w:space="0" w:color="auto"/>
                <w:bottom w:val="none" w:sz="0" w:space="0" w:color="auto"/>
                <w:right w:val="none" w:sz="0" w:space="0" w:color="auto"/>
              </w:divBdr>
              <w:divsChild>
                <w:div w:id="85951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15728">
      <w:bodyDiv w:val="1"/>
      <w:marLeft w:val="0"/>
      <w:marRight w:val="0"/>
      <w:marTop w:val="0"/>
      <w:marBottom w:val="0"/>
      <w:divBdr>
        <w:top w:val="none" w:sz="0" w:space="0" w:color="auto"/>
        <w:left w:val="none" w:sz="0" w:space="0" w:color="auto"/>
        <w:bottom w:val="none" w:sz="0" w:space="0" w:color="auto"/>
        <w:right w:val="none" w:sz="0" w:space="0" w:color="auto"/>
      </w:divBdr>
      <w:divsChild>
        <w:div w:id="330253236">
          <w:marLeft w:val="0"/>
          <w:marRight w:val="0"/>
          <w:marTop w:val="0"/>
          <w:marBottom w:val="0"/>
          <w:divBdr>
            <w:top w:val="none" w:sz="0" w:space="0" w:color="auto"/>
            <w:left w:val="none" w:sz="0" w:space="0" w:color="auto"/>
            <w:bottom w:val="none" w:sz="0" w:space="0" w:color="auto"/>
            <w:right w:val="none" w:sz="0" w:space="0" w:color="auto"/>
          </w:divBdr>
          <w:divsChild>
            <w:div w:id="1105029835">
              <w:marLeft w:val="0"/>
              <w:marRight w:val="0"/>
              <w:marTop w:val="0"/>
              <w:marBottom w:val="0"/>
              <w:divBdr>
                <w:top w:val="none" w:sz="0" w:space="0" w:color="auto"/>
                <w:left w:val="none" w:sz="0" w:space="0" w:color="auto"/>
                <w:bottom w:val="none" w:sz="0" w:space="0" w:color="auto"/>
                <w:right w:val="none" w:sz="0" w:space="0" w:color="auto"/>
              </w:divBdr>
              <w:divsChild>
                <w:div w:id="359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7784">
      <w:bodyDiv w:val="1"/>
      <w:marLeft w:val="0"/>
      <w:marRight w:val="0"/>
      <w:marTop w:val="0"/>
      <w:marBottom w:val="0"/>
      <w:divBdr>
        <w:top w:val="none" w:sz="0" w:space="0" w:color="auto"/>
        <w:left w:val="none" w:sz="0" w:space="0" w:color="auto"/>
        <w:bottom w:val="none" w:sz="0" w:space="0" w:color="auto"/>
        <w:right w:val="none" w:sz="0" w:space="0" w:color="auto"/>
      </w:divBdr>
    </w:div>
    <w:div w:id="1951736867">
      <w:bodyDiv w:val="1"/>
      <w:marLeft w:val="0"/>
      <w:marRight w:val="0"/>
      <w:marTop w:val="0"/>
      <w:marBottom w:val="0"/>
      <w:divBdr>
        <w:top w:val="none" w:sz="0" w:space="0" w:color="auto"/>
        <w:left w:val="none" w:sz="0" w:space="0" w:color="auto"/>
        <w:bottom w:val="none" w:sz="0" w:space="0" w:color="auto"/>
        <w:right w:val="none" w:sz="0" w:space="0" w:color="auto"/>
      </w:divBdr>
      <w:divsChild>
        <w:div w:id="293098965">
          <w:marLeft w:val="0"/>
          <w:marRight w:val="0"/>
          <w:marTop w:val="0"/>
          <w:marBottom w:val="0"/>
          <w:divBdr>
            <w:top w:val="none" w:sz="0" w:space="0" w:color="auto"/>
            <w:left w:val="none" w:sz="0" w:space="0" w:color="auto"/>
            <w:bottom w:val="none" w:sz="0" w:space="0" w:color="auto"/>
            <w:right w:val="none" w:sz="0" w:space="0" w:color="auto"/>
          </w:divBdr>
          <w:divsChild>
            <w:div w:id="1690639005">
              <w:marLeft w:val="0"/>
              <w:marRight w:val="0"/>
              <w:marTop w:val="0"/>
              <w:marBottom w:val="0"/>
              <w:divBdr>
                <w:top w:val="none" w:sz="0" w:space="0" w:color="auto"/>
                <w:left w:val="none" w:sz="0" w:space="0" w:color="auto"/>
                <w:bottom w:val="none" w:sz="0" w:space="0" w:color="auto"/>
                <w:right w:val="none" w:sz="0" w:space="0" w:color="auto"/>
              </w:divBdr>
              <w:divsChild>
                <w:div w:id="72610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83761">
      <w:bodyDiv w:val="1"/>
      <w:marLeft w:val="0"/>
      <w:marRight w:val="0"/>
      <w:marTop w:val="0"/>
      <w:marBottom w:val="0"/>
      <w:divBdr>
        <w:top w:val="none" w:sz="0" w:space="0" w:color="auto"/>
        <w:left w:val="none" w:sz="0" w:space="0" w:color="auto"/>
        <w:bottom w:val="none" w:sz="0" w:space="0" w:color="auto"/>
        <w:right w:val="none" w:sz="0" w:space="0" w:color="auto"/>
      </w:divBdr>
    </w:div>
    <w:div w:id="2075084978">
      <w:bodyDiv w:val="1"/>
      <w:marLeft w:val="0"/>
      <w:marRight w:val="0"/>
      <w:marTop w:val="0"/>
      <w:marBottom w:val="0"/>
      <w:divBdr>
        <w:top w:val="none" w:sz="0" w:space="0" w:color="auto"/>
        <w:left w:val="none" w:sz="0" w:space="0" w:color="auto"/>
        <w:bottom w:val="none" w:sz="0" w:space="0" w:color="auto"/>
        <w:right w:val="none" w:sz="0" w:space="0" w:color="auto"/>
      </w:divBdr>
    </w:div>
    <w:div w:id="209161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9E05F-86FB-4D96-B8E7-D5FB3EED3F7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6236</Words>
  <Characters>35546</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Reichbach</dc:creator>
  <cp:keywords/>
  <dc:description/>
  <cp:lastModifiedBy>Erlichman, Reece (ALA)</cp:lastModifiedBy>
  <cp:revision>2</cp:revision>
  <cp:lastPrinted>2026-03-02T21:47:00Z</cp:lastPrinted>
  <dcterms:created xsi:type="dcterms:W3CDTF">2026-03-05T13:57:00Z</dcterms:created>
  <dcterms:modified xsi:type="dcterms:W3CDTF">2026-03-05T13:57:00Z</dcterms:modified>
</cp:coreProperties>
</file>