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D58" w14:textId="0BFD792D" w:rsidR="001B4DFD" w:rsidRPr="005877E0" w:rsidRDefault="001B4DFD" w:rsidP="005877E0">
      <w:pPr>
        <w:pStyle w:val="Heading1"/>
        <w:rPr>
          <w:rFonts w:ascii="Aptos" w:hAnsi="Aptos"/>
          <w:u w:val="none"/>
        </w:rPr>
      </w:pPr>
      <w:r w:rsidRPr="005877E0">
        <w:rPr>
          <w:rFonts w:ascii="Aptos" w:hAnsi="Aptos"/>
          <w:u w:val="none"/>
        </w:rPr>
        <w:t>COMMONWEALTH OF MASSACHUSETTS</w:t>
      </w:r>
    </w:p>
    <w:p w14:paraId="240D9614" w14:textId="77777777" w:rsidR="001B4DFD" w:rsidRPr="00695602" w:rsidRDefault="001B4DFD" w:rsidP="00EB33B8">
      <w:pPr>
        <w:jc w:val="center"/>
        <w:rPr>
          <w:rFonts w:ascii="Aptos" w:hAnsi="Aptos"/>
          <w:b/>
          <w:color w:val="000000" w:themeColor="text1"/>
        </w:rPr>
      </w:pPr>
      <w:r w:rsidRPr="00695602">
        <w:rPr>
          <w:rFonts w:ascii="Aptos" w:hAnsi="Aptos"/>
          <w:b/>
          <w:color w:val="000000" w:themeColor="text1"/>
        </w:rPr>
        <w:t>DIVISION OF ADMINISTRATIVE LAW APPEALS</w:t>
      </w:r>
    </w:p>
    <w:p w14:paraId="38433E14" w14:textId="77777777" w:rsidR="001B4DFD" w:rsidRPr="00695602" w:rsidRDefault="001B4DFD" w:rsidP="00EB33B8">
      <w:pPr>
        <w:jc w:val="center"/>
        <w:rPr>
          <w:rFonts w:ascii="Aptos" w:hAnsi="Aptos"/>
          <w:b/>
          <w:color w:val="000000" w:themeColor="text1"/>
        </w:rPr>
      </w:pPr>
      <w:r w:rsidRPr="00695602">
        <w:rPr>
          <w:rFonts w:ascii="Aptos" w:hAnsi="Aptos"/>
          <w:b/>
          <w:color w:val="000000" w:themeColor="text1"/>
        </w:rPr>
        <w:t>BUREAU OF SPECIAL EDUCATION APPEALS</w:t>
      </w:r>
    </w:p>
    <w:p w14:paraId="3548EBAF" w14:textId="77777777" w:rsidR="00E4777B" w:rsidRPr="00695602" w:rsidRDefault="00E4777B" w:rsidP="00EB33B8">
      <w:pPr>
        <w:tabs>
          <w:tab w:val="left" w:pos="8400"/>
        </w:tabs>
        <w:rPr>
          <w:rFonts w:ascii="Aptos" w:hAnsi="Aptos"/>
          <w:b/>
          <w:color w:val="000000" w:themeColor="text1"/>
        </w:rPr>
      </w:pPr>
    </w:p>
    <w:p w14:paraId="4BBE66FF" w14:textId="10B9C4D8" w:rsidR="00CE6EA1" w:rsidRPr="00695602" w:rsidRDefault="00E4777B" w:rsidP="00EB33B8">
      <w:pPr>
        <w:tabs>
          <w:tab w:val="left" w:pos="8400"/>
        </w:tabs>
        <w:rPr>
          <w:rFonts w:ascii="Aptos" w:hAnsi="Aptos"/>
          <w:b/>
          <w:bCs/>
          <w:color w:val="000000" w:themeColor="text1"/>
        </w:rPr>
      </w:pPr>
      <w:r w:rsidRPr="00695602">
        <w:rPr>
          <w:rFonts w:ascii="Aptos" w:hAnsi="Aptos"/>
          <w:b/>
          <w:color w:val="000000" w:themeColor="text1"/>
        </w:rPr>
        <w:t xml:space="preserve">In </w:t>
      </w:r>
      <w:r w:rsidRPr="00695602">
        <w:rPr>
          <w:rFonts w:ascii="Aptos" w:hAnsi="Aptos"/>
          <w:b/>
          <w:bCs/>
          <w:color w:val="000000" w:themeColor="text1"/>
        </w:rPr>
        <w:t xml:space="preserve">Re: </w:t>
      </w:r>
      <w:r w:rsidR="004A0583" w:rsidRPr="00695602">
        <w:rPr>
          <w:rFonts w:ascii="Aptos" w:hAnsi="Aptos"/>
          <w:b/>
          <w:bCs/>
          <w:color w:val="000000" w:themeColor="text1"/>
        </w:rPr>
        <w:t xml:space="preserve">Student </w:t>
      </w:r>
      <w:r w:rsidR="009F3674" w:rsidRPr="00695602">
        <w:rPr>
          <w:rFonts w:ascii="Aptos" w:hAnsi="Aptos"/>
          <w:b/>
          <w:bCs/>
          <w:color w:val="000000" w:themeColor="text1"/>
        </w:rPr>
        <w:t xml:space="preserve">v. Barnstable Public Schools                                     </w:t>
      </w:r>
      <w:r w:rsidR="009D72D7">
        <w:rPr>
          <w:rFonts w:ascii="Aptos" w:hAnsi="Aptos"/>
          <w:b/>
          <w:bCs/>
          <w:color w:val="000000" w:themeColor="text1"/>
        </w:rPr>
        <w:t xml:space="preserve">    </w:t>
      </w:r>
      <w:r w:rsidR="009F3674" w:rsidRPr="00695602">
        <w:rPr>
          <w:rFonts w:ascii="Aptos" w:hAnsi="Aptos"/>
          <w:b/>
          <w:bCs/>
          <w:color w:val="000000" w:themeColor="text1"/>
        </w:rPr>
        <w:t>BSEA # 2608126</w:t>
      </w:r>
    </w:p>
    <w:p w14:paraId="13D98A75" w14:textId="77777777" w:rsidR="008262E3" w:rsidRPr="00695602" w:rsidRDefault="008262E3" w:rsidP="00EB33B8">
      <w:pPr>
        <w:tabs>
          <w:tab w:val="left" w:pos="8400"/>
        </w:tabs>
        <w:jc w:val="center"/>
        <w:rPr>
          <w:rFonts w:ascii="Aptos" w:hAnsi="Aptos"/>
          <w:b/>
          <w:color w:val="000000" w:themeColor="text1"/>
          <w:u w:val="single"/>
        </w:rPr>
      </w:pPr>
    </w:p>
    <w:p w14:paraId="0FD724CE" w14:textId="2B68E911" w:rsidR="00AB046A" w:rsidRPr="00695602" w:rsidRDefault="00E04C70" w:rsidP="00EB33B8">
      <w:pPr>
        <w:tabs>
          <w:tab w:val="left" w:pos="8400"/>
        </w:tabs>
        <w:jc w:val="center"/>
        <w:rPr>
          <w:rFonts w:ascii="Aptos" w:hAnsi="Aptos"/>
          <w:b/>
          <w:color w:val="000000" w:themeColor="text1"/>
          <w:u w:val="single"/>
        </w:rPr>
      </w:pPr>
      <w:r w:rsidRPr="00695602">
        <w:rPr>
          <w:rFonts w:ascii="Aptos" w:hAnsi="Aptos"/>
          <w:b/>
          <w:color w:val="000000" w:themeColor="text1"/>
          <w:u w:val="single"/>
        </w:rPr>
        <w:t xml:space="preserve">RULING ON </w:t>
      </w:r>
      <w:r w:rsidR="00E45D80" w:rsidRPr="00695602">
        <w:rPr>
          <w:rFonts w:ascii="Aptos" w:hAnsi="Aptos"/>
          <w:b/>
          <w:color w:val="000000" w:themeColor="text1"/>
          <w:u w:val="single"/>
        </w:rPr>
        <w:t>THE BARNSTABLE PUBLIC SCHOOLS’ MOTION FOR PARTIAL SUMMARY JUDGMENT</w:t>
      </w:r>
    </w:p>
    <w:p w14:paraId="68676D07" w14:textId="07BE3352" w:rsidR="00502706" w:rsidRPr="00695602" w:rsidRDefault="009F3674" w:rsidP="00EB33B8">
      <w:pPr>
        <w:tabs>
          <w:tab w:val="left" w:pos="8400"/>
        </w:tabs>
        <w:jc w:val="center"/>
        <w:rPr>
          <w:rFonts w:ascii="Aptos" w:hAnsi="Aptos"/>
          <w:b/>
          <w:color w:val="000000" w:themeColor="text1"/>
          <w:u w:val="single"/>
        </w:rPr>
      </w:pPr>
      <w:r w:rsidRPr="00695602">
        <w:rPr>
          <w:rFonts w:ascii="Aptos" w:hAnsi="Aptos"/>
          <w:b/>
          <w:color w:val="000000" w:themeColor="text1"/>
          <w:u w:val="single"/>
        </w:rPr>
        <w:t xml:space="preserve"> </w:t>
      </w:r>
    </w:p>
    <w:p w14:paraId="26473782" w14:textId="5113C575" w:rsidR="0097773B" w:rsidRPr="00695602" w:rsidRDefault="00A2232C" w:rsidP="00EB33B8">
      <w:pPr>
        <w:rPr>
          <w:rFonts w:ascii="Aptos" w:hAnsi="Aptos"/>
          <w:bCs/>
          <w:color w:val="000000" w:themeColor="text1"/>
        </w:rPr>
      </w:pPr>
      <w:r w:rsidRPr="00695602">
        <w:rPr>
          <w:rFonts w:ascii="Aptos" w:hAnsi="Aptos"/>
          <w:bCs/>
          <w:color w:val="000000" w:themeColor="text1"/>
        </w:rPr>
        <w:t xml:space="preserve">On </w:t>
      </w:r>
      <w:r w:rsidR="009F3674" w:rsidRPr="00695602">
        <w:rPr>
          <w:rFonts w:ascii="Aptos" w:hAnsi="Aptos"/>
          <w:bCs/>
          <w:color w:val="000000" w:themeColor="text1"/>
        </w:rPr>
        <w:t>February</w:t>
      </w:r>
      <w:r w:rsidR="004A0583" w:rsidRPr="00695602">
        <w:rPr>
          <w:rFonts w:ascii="Aptos" w:hAnsi="Aptos"/>
          <w:bCs/>
          <w:color w:val="000000" w:themeColor="text1"/>
        </w:rPr>
        <w:t xml:space="preserve"> </w:t>
      </w:r>
      <w:r w:rsidR="008262E3" w:rsidRPr="00695602">
        <w:rPr>
          <w:rFonts w:ascii="Aptos" w:hAnsi="Aptos"/>
          <w:bCs/>
          <w:color w:val="000000" w:themeColor="text1"/>
        </w:rPr>
        <w:t xml:space="preserve"> </w:t>
      </w:r>
      <w:r w:rsidR="00341BE7" w:rsidRPr="00695602">
        <w:rPr>
          <w:rFonts w:ascii="Aptos" w:hAnsi="Aptos"/>
          <w:bCs/>
          <w:color w:val="000000" w:themeColor="text1"/>
        </w:rPr>
        <w:t>2</w:t>
      </w:r>
      <w:r w:rsidR="009F3674" w:rsidRPr="00695602">
        <w:rPr>
          <w:rFonts w:ascii="Aptos" w:hAnsi="Aptos"/>
          <w:bCs/>
          <w:color w:val="000000" w:themeColor="text1"/>
        </w:rPr>
        <w:t>5</w:t>
      </w:r>
      <w:r w:rsidR="00341BE7" w:rsidRPr="00695602">
        <w:rPr>
          <w:rFonts w:ascii="Aptos" w:hAnsi="Aptos"/>
          <w:bCs/>
          <w:color w:val="000000" w:themeColor="text1"/>
        </w:rPr>
        <w:t>, 202</w:t>
      </w:r>
      <w:r w:rsidR="009F3674" w:rsidRPr="00695602">
        <w:rPr>
          <w:rFonts w:ascii="Aptos" w:hAnsi="Aptos"/>
          <w:bCs/>
          <w:color w:val="000000" w:themeColor="text1"/>
        </w:rPr>
        <w:t>6</w:t>
      </w:r>
      <w:r w:rsidR="00341BE7" w:rsidRPr="00695602">
        <w:rPr>
          <w:rFonts w:ascii="Aptos" w:hAnsi="Aptos"/>
          <w:bCs/>
          <w:color w:val="000000" w:themeColor="text1"/>
        </w:rPr>
        <w:t xml:space="preserve">, </w:t>
      </w:r>
      <w:r w:rsidR="009F3674" w:rsidRPr="00695602">
        <w:rPr>
          <w:rFonts w:ascii="Aptos" w:hAnsi="Aptos"/>
          <w:bCs/>
          <w:color w:val="000000" w:themeColor="text1"/>
        </w:rPr>
        <w:t>Barnstable</w:t>
      </w:r>
      <w:r w:rsidR="00341BE7" w:rsidRPr="00695602">
        <w:rPr>
          <w:rFonts w:ascii="Aptos" w:hAnsi="Aptos"/>
          <w:bCs/>
          <w:color w:val="000000" w:themeColor="text1"/>
        </w:rPr>
        <w:t xml:space="preserve"> Public Schools</w:t>
      </w:r>
      <w:r w:rsidR="00464F08" w:rsidRPr="00695602">
        <w:rPr>
          <w:rFonts w:ascii="Aptos" w:hAnsi="Aptos"/>
          <w:bCs/>
          <w:color w:val="000000" w:themeColor="text1"/>
        </w:rPr>
        <w:t xml:space="preserve"> (</w:t>
      </w:r>
      <w:r w:rsidR="009F3674" w:rsidRPr="00695602">
        <w:rPr>
          <w:rFonts w:ascii="Aptos" w:hAnsi="Aptos"/>
          <w:bCs/>
          <w:color w:val="000000" w:themeColor="text1"/>
        </w:rPr>
        <w:t>B</w:t>
      </w:r>
      <w:r w:rsidR="00496286" w:rsidRPr="00695602">
        <w:rPr>
          <w:rFonts w:ascii="Aptos" w:hAnsi="Aptos"/>
          <w:bCs/>
          <w:color w:val="000000" w:themeColor="text1"/>
        </w:rPr>
        <w:t>arn</w:t>
      </w:r>
      <w:r w:rsidR="009F3674" w:rsidRPr="00695602">
        <w:rPr>
          <w:rFonts w:ascii="Aptos" w:hAnsi="Aptos"/>
          <w:bCs/>
          <w:color w:val="000000" w:themeColor="text1"/>
        </w:rPr>
        <w:t>stable</w:t>
      </w:r>
      <w:r w:rsidR="00464F08" w:rsidRPr="00695602">
        <w:rPr>
          <w:rFonts w:ascii="Aptos" w:hAnsi="Aptos"/>
          <w:bCs/>
          <w:color w:val="000000" w:themeColor="text1"/>
        </w:rPr>
        <w:t xml:space="preserve"> or the District) filed a </w:t>
      </w:r>
      <w:r w:rsidR="00464F08" w:rsidRPr="00695602">
        <w:rPr>
          <w:rFonts w:ascii="Aptos" w:hAnsi="Aptos"/>
          <w:bCs/>
          <w:i/>
          <w:iCs/>
          <w:color w:val="000000" w:themeColor="text1"/>
        </w:rPr>
        <w:t xml:space="preserve">Motion for </w:t>
      </w:r>
      <w:r w:rsidR="00496286" w:rsidRPr="00695602">
        <w:rPr>
          <w:rFonts w:ascii="Aptos" w:hAnsi="Aptos"/>
          <w:bCs/>
          <w:i/>
          <w:iCs/>
          <w:color w:val="000000" w:themeColor="text1"/>
        </w:rPr>
        <w:t xml:space="preserve">Partial </w:t>
      </w:r>
      <w:r w:rsidR="00464F08" w:rsidRPr="00695602">
        <w:rPr>
          <w:rFonts w:ascii="Aptos" w:hAnsi="Aptos"/>
          <w:bCs/>
          <w:i/>
          <w:iCs/>
          <w:color w:val="000000" w:themeColor="text1"/>
        </w:rPr>
        <w:t xml:space="preserve">Summary </w:t>
      </w:r>
      <w:r w:rsidR="00496286" w:rsidRPr="00695602">
        <w:rPr>
          <w:rFonts w:ascii="Aptos" w:hAnsi="Aptos"/>
          <w:bCs/>
          <w:i/>
          <w:iCs/>
          <w:color w:val="000000" w:themeColor="text1"/>
        </w:rPr>
        <w:t>Judgment</w:t>
      </w:r>
      <w:r w:rsidR="00D47E8D" w:rsidRPr="00695602">
        <w:rPr>
          <w:rFonts w:ascii="Aptos" w:hAnsi="Aptos"/>
          <w:bCs/>
          <w:color w:val="000000" w:themeColor="text1"/>
        </w:rPr>
        <w:t xml:space="preserve"> (the </w:t>
      </w:r>
      <w:r w:rsidR="00D47E8D" w:rsidRPr="00695602">
        <w:rPr>
          <w:rFonts w:ascii="Aptos" w:hAnsi="Aptos"/>
          <w:bCs/>
          <w:i/>
          <w:iCs/>
          <w:color w:val="000000" w:themeColor="text1"/>
        </w:rPr>
        <w:t>Motion</w:t>
      </w:r>
      <w:r w:rsidR="00D47E8D" w:rsidRPr="00695602">
        <w:rPr>
          <w:rFonts w:ascii="Aptos" w:hAnsi="Aptos"/>
          <w:bCs/>
          <w:color w:val="000000" w:themeColor="text1"/>
        </w:rPr>
        <w:t>)</w:t>
      </w:r>
      <w:r w:rsidR="00464F08" w:rsidRPr="00695602">
        <w:rPr>
          <w:rFonts w:ascii="Aptos" w:hAnsi="Aptos"/>
          <w:bCs/>
          <w:color w:val="000000" w:themeColor="text1"/>
        </w:rPr>
        <w:t xml:space="preserve"> with the Bureau of Special Education Appeals (BSEA)</w:t>
      </w:r>
      <w:r w:rsidR="00496286" w:rsidRPr="00695602">
        <w:rPr>
          <w:rFonts w:ascii="Aptos" w:hAnsi="Aptos"/>
          <w:bCs/>
          <w:color w:val="000000" w:themeColor="text1"/>
        </w:rPr>
        <w:t>,</w:t>
      </w:r>
      <w:r w:rsidR="00464F08" w:rsidRPr="00695602">
        <w:rPr>
          <w:rFonts w:ascii="Aptos" w:hAnsi="Aptos"/>
          <w:bCs/>
          <w:color w:val="000000" w:themeColor="text1"/>
        </w:rPr>
        <w:t xml:space="preserve"> asserting </w:t>
      </w:r>
      <w:r w:rsidR="00391370" w:rsidRPr="00695602">
        <w:rPr>
          <w:rFonts w:ascii="Aptos" w:hAnsi="Aptos"/>
          <w:bCs/>
          <w:color w:val="000000" w:themeColor="text1"/>
        </w:rPr>
        <w:t>that</w:t>
      </w:r>
      <w:r w:rsidR="0097773B" w:rsidRPr="00695602">
        <w:rPr>
          <w:rFonts w:ascii="Aptos" w:hAnsi="Aptos"/>
          <w:bCs/>
          <w:color w:val="000000" w:themeColor="text1"/>
        </w:rPr>
        <w:t xml:space="preserve"> there is no genuine issue of material fact that Parents and the District executed a binding Settlement Agreement resolving disputes regarding Student’s placement at the Riverview School. That Agreement expressly limits the District’s financial responsibility for that placement to the 2020-2021 through 2024-</w:t>
      </w:r>
      <w:r w:rsidR="0097773B" w:rsidRPr="00037098">
        <w:rPr>
          <w:rFonts w:ascii="Aptos" w:hAnsi="Aptos"/>
          <w:bCs/>
          <w:color w:val="000000" w:themeColor="text1"/>
        </w:rPr>
        <w:t>2025</w:t>
      </w:r>
      <w:r w:rsidR="0097773B" w:rsidRPr="00695602">
        <w:rPr>
          <w:rFonts w:ascii="Aptos" w:hAnsi="Aptos"/>
          <w:bCs/>
          <w:color w:val="000000" w:themeColor="text1"/>
        </w:rPr>
        <w:t xml:space="preserve"> school years and expressly disclaims any obligation to fund Student’s attendance in Riverview’s transition program or any other program associated with the Riverview School thereafter. By its plain language, the Agreement leaves no room for doubt: the Parents cannot now, after the fact, demand reimbursement or prospective funding for Riverview or Riverview GROW, and any claim for tuition, costs, or continued placement beyond the settlement term is expressly foreclosed. Accordingly, </w:t>
      </w:r>
      <w:r w:rsidR="00414DCE" w:rsidRPr="00695602">
        <w:rPr>
          <w:rFonts w:ascii="Aptos" w:hAnsi="Aptos"/>
          <w:bCs/>
          <w:color w:val="000000" w:themeColor="text1"/>
        </w:rPr>
        <w:t xml:space="preserve">the District </w:t>
      </w:r>
      <w:r w:rsidR="00BB37BE" w:rsidRPr="00695602">
        <w:rPr>
          <w:rFonts w:ascii="Aptos" w:hAnsi="Aptos"/>
          <w:bCs/>
          <w:color w:val="000000" w:themeColor="text1"/>
        </w:rPr>
        <w:t xml:space="preserve">asserts that </w:t>
      </w:r>
      <w:r w:rsidR="0097773B" w:rsidRPr="00695602">
        <w:rPr>
          <w:rFonts w:ascii="Aptos" w:hAnsi="Aptos"/>
          <w:bCs/>
          <w:color w:val="000000" w:themeColor="text1"/>
        </w:rPr>
        <w:t>partial summary judgment is warranted to limit the scope of available relief in this matter. While Parents may pursue prospective claims regarding the appropriateness of the District’s proposed programming, the Hearing Officer lacks authority to order reimbursement for, or prospective placement at, Riverview or any program affiliated therewith beyond the temporal and financial parameters set forth in the Settlement Agreement.</w:t>
      </w:r>
    </w:p>
    <w:p w14:paraId="6927F620" w14:textId="77777777" w:rsidR="00496286" w:rsidRPr="00695602" w:rsidRDefault="00496286" w:rsidP="00EB33B8">
      <w:pPr>
        <w:rPr>
          <w:rFonts w:ascii="Aptos" w:hAnsi="Aptos"/>
          <w:bCs/>
          <w:color w:val="000000" w:themeColor="text1"/>
        </w:rPr>
      </w:pPr>
    </w:p>
    <w:p w14:paraId="466255FD" w14:textId="0276FA66" w:rsidR="00BB37BE" w:rsidRDefault="00BB37BE" w:rsidP="00EB33B8">
      <w:pPr>
        <w:rPr>
          <w:rFonts w:ascii="Aptos" w:hAnsi="Aptos"/>
          <w:bCs/>
          <w:color w:val="000000" w:themeColor="text1"/>
        </w:rPr>
      </w:pPr>
      <w:r w:rsidRPr="00695602">
        <w:rPr>
          <w:rFonts w:ascii="Aptos" w:hAnsi="Aptos"/>
          <w:bCs/>
          <w:color w:val="000000" w:themeColor="text1"/>
        </w:rPr>
        <w:t>On March 6, 2026, Parents file</w:t>
      </w:r>
      <w:r w:rsidR="009E345D" w:rsidRPr="00695602">
        <w:rPr>
          <w:rFonts w:ascii="Aptos" w:hAnsi="Aptos"/>
          <w:bCs/>
          <w:color w:val="000000" w:themeColor="text1"/>
        </w:rPr>
        <w:t xml:space="preserve">d </w:t>
      </w:r>
      <w:r w:rsidR="0095176D" w:rsidRPr="00695602">
        <w:rPr>
          <w:rFonts w:ascii="Aptos" w:hAnsi="Aptos"/>
          <w:bCs/>
          <w:i/>
          <w:iCs/>
          <w:color w:val="000000" w:themeColor="text1"/>
        </w:rPr>
        <w:t xml:space="preserve">Parent-Guardians' Opposition </w:t>
      </w:r>
      <w:proofErr w:type="spellStart"/>
      <w:r w:rsidR="0095176D" w:rsidRPr="00695602">
        <w:rPr>
          <w:rFonts w:ascii="Aptos" w:hAnsi="Aptos"/>
          <w:bCs/>
          <w:i/>
          <w:iCs/>
          <w:color w:val="000000" w:themeColor="text1"/>
        </w:rPr>
        <w:t>То</w:t>
      </w:r>
      <w:proofErr w:type="spellEnd"/>
      <w:r w:rsidR="0095176D" w:rsidRPr="00695602">
        <w:rPr>
          <w:rFonts w:ascii="Aptos" w:hAnsi="Aptos"/>
          <w:bCs/>
          <w:i/>
          <w:iCs/>
          <w:color w:val="000000" w:themeColor="text1"/>
        </w:rPr>
        <w:t xml:space="preserve"> </w:t>
      </w:r>
      <w:proofErr w:type="spellStart"/>
      <w:r w:rsidR="0095176D" w:rsidRPr="00695602">
        <w:rPr>
          <w:rFonts w:ascii="Aptos" w:hAnsi="Aptos"/>
          <w:bCs/>
          <w:i/>
          <w:iCs/>
          <w:color w:val="000000" w:themeColor="text1"/>
        </w:rPr>
        <w:t>Thе</w:t>
      </w:r>
      <w:proofErr w:type="spellEnd"/>
      <w:r w:rsidR="0095176D" w:rsidRPr="00695602">
        <w:rPr>
          <w:rFonts w:ascii="Aptos" w:hAnsi="Aptos"/>
          <w:bCs/>
          <w:i/>
          <w:iCs/>
          <w:color w:val="000000" w:themeColor="text1"/>
        </w:rPr>
        <w:t xml:space="preserve"> Barnstable Public Schools' Motion For Partial Summary Judgment With Incorporated Memorandum Of Law </w:t>
      </w:r>
      <w:r w:rsidR="0095176D" w:rsidRPr="00695602">
        <w:rPr>
          <w:rFonts w:ascii="Aptos" w:hAnsi="Aptos"/>
          <w:bCs/>
          <w:color w:val="000000" w:themeColor="text1"/>
        </w:rPr>
        <w:t>(With Appendix</w:t>
      </w:r>
      <w:r w:rsidR="006238F4" w:rsidRPr="00695602">
        <w:rPr>
          <w:rFonts w:ascii="Aptos" w:hAnsi="Aptos"/>
          <w:bCs/>
          <w:color w:val="000000" w:themeColor="text1"/>
        </w:rPr>
        <w:t xml:space="preserve"> and 13 supporting exhibits</w:t>
      </w:r>
      <w:r w:rsidR="0095176D" w:rsidRPr="00695602">
        <w:rPr>
          <w:rFonts w:ascii="Aptos" w:hAnsi="Aptos"/>
          <w:bCs/>
          <w:color w:val="000000" w:themeColor="text1"/>
        </w:rPr>
        <w:t>)</w:t>
      </w:r>
      <w:r w:rsidR="00D47E8D" w:rsidRPr="00695602">
        <w:rPr>
          <w:rFonts w:ascii="Aptos" w:hAnsi="Aptos"/>
          <w:bCs/>
          <w:color w:val="000000" w:themeColor="text1"/>
        </w:rPr>
        <w:t>,</w:t>
      </w:r>
      <w:r w:rsidR="00B2207D" w:rsidRPr="00695602">
        <w:rPr>
          <w:rFonts w:ascii="Aptos" w:hAnsi="Aptos"/>
          <w:bCs/>
          <w:color w:val="000000" w:themeColor="text1"/>
        </w:rPr>
        <w:t xml:space="preserve"> asserting that there is a genuine issue of material fact regarding the applicability of the</w:t>
      </w:r>
      <w:r w:rsidR="00F65F7D" w:rsidRPr="00695602">
        <w:rPr>
          <w:rFonts w:ascii="Aptos" w:hAnsi="Aptos"/>
          <w:bCs/>
          <w:color w:val="000000" w:themeColor="text1"/>
        </w:rPr>
        <w:t xml:space="preserve"> </w:t>
      </w:r>
      <w:r w:rsidR="00B2207D" w:rsidRPr="00695602">
        <w:rPr>
          <w:rFonts w:ascii="Aptos" w:hAnsi="Aptos"/>
          <w:bCs/>
          <w:color w:val="000000" w:themeColor="text1"/>
        </w:rPr>
        <w:t>2020 Settlement Agreement to the Parents’ claims related to the Riverview School.</w:t>
      </w:r>
      <w:r w:rsidR="00B25394" w:rsidRPr="00695602">
        <w:rPr>
          <w:rFonts w:ascii="Aptos" w:hAnsi="Aptos"/>
          <w:bCs/>
          <w:color w:val="000000" w:themeColor="text1"/>
        </w:rPr>
        <w:t xml:space="preserve"> </w:t>
      </w:r>
      <w:r w:rsidR="00B2207D" w:rsidRPr="00695602">
        <w:rPr>
          <w:rFonts w:ascii="Aptos" w:hAnsi="Aptos"/>
          <w:bCs/>
          <w:color w:val="000000" w:themeColor="text1"/>
        </w:rPr>
        <w:t xml:space="preserve">The terms of that agreement did not preclude Parents </w:t>
      </w:r>
      <w:r w:rsidR="00B2207D" w:rsidRPr="00A67E41">
        <w:rPr>
          <w:rFonts w:ascii="Aptos" w:hAnsi="Aptos"/>
          <w:bCs/>
          <w:color w:val="000000" w:themeColor="text1"/>
        </w:rPr>
        <w:t>from seeking placement and</w:t>
      </w:r>
      <w:r w:rsidR="00B25394" w:rsidRPr="00A67E41">
        <w:rPr>
          <w:rFonts w:ascii="Aptos" w:hAnsi="Aptos"/>
          <w:bCs/>
          <w:color w:val="000000" w:themeColor="text1"/>
        </w:rPr>
        <w:t xml:space="preserve"> </w:t>
      </w:r>
      <w:r w:rsidR="00B2207D" w:rsidRPr="00A67E41">
        <w:rPr>
          <w:rFonts w:ascii="Aptos" w:hAnsi="Aptos"/>
          <w:bCs/>
          <w:color w:val="000000" w:themeColor="text1"/>
        </w:rPr>
        <w:t>funding for the Riverview GROW residential school program after the 2024-25 school year,</w:t>
      </w:r>
      <w:r w:rsidR="00B2207D" w:rsidRPr="00695602">
        <w:rPr>
          <w:rFonts w:ascii="Aptos" w:hAnsi="Aptos"/>
          <w:bCs/>
          <w:color w:val="000000" w:themeColor="text1"/>
        </w:rPr>
        <w:t xml:space="preserve"> and</w:t>
      </w:r>
      <w:r w:rsidR="00B25394" w:rsidRPr="00695602">
        <w:rPr>
          <w:rFonts w:ascii="Aptos" w:hAnsi="Aptos"/>
          <w:bCs/>
          <w:color w:val="000000" w:themeColor="text1"/>
        </w:rPr>
        <w:t xml:space="preserve"> </w:t>
      </w:r>
      <w:r w:rsidR="00B2207D" w:rsidRPr="00695602">
        <w:rPr>
          <w:rFonts w:ascii="Aptos" w:hAnsi="Aptos"/>
          <w:bCs/>
          <w:color w:val="000000" w:themeColor="text1"/>
        </w:rPr>
        <w:t xml:space="preserve">Barnstable cannot attempt to use it now as a shield to avoid its responsibility to provide </w:t>
      </w:r>
      <w:r w:rsidR="00B25394" w:rsidRPr="00695602">
        <w:rPr>
          <w:rFonts w:ascii="Aptos" w:hAnsi="Aptos"/>
          <w:bCs/>
          <w:color w:val="000000" w:themeColor="text1"/>
        </w:rPr>
        <w:t>Student</w:t>
      </w:r>
      <w:r w:rsidR="00B2207D" w:rsidRPr="00695602">
        <w:rPr>
          <w:rFonts w:ascii="Aptos" w:hAnsi="Aptos"/>
          <w:bCs/>
          <w:color w:val="000000" w:themeColor="text1"/>
        </w:rPr>
        <w:t xml:space="preserve"> a</w:t>
      </w:r>
      <w:r w:rsidR="00B25394" w:rsidRPr="00695602">
        <w:rPr>
          <w:rFonts w:ascii="Aptos" w:hAnsi="Aptos"/>
          <w:bCs/>
          <w:color w:val="000000" w:themeColor="text1"/>
        </w:rPr>
        <w:t xml:space="preserve"> </w:t>
      </w:r>
      <w:r w:rsidR="00B2207D" w:rsidRPr="00695602">
        <w:rPr>
          <w:rFonts w:ascii="Aptos" w:hAnsi="Aptos"/>
          <w:bCs/>
          <w:color w:val="000000" w:themeColor="text1"/>
        </w:rPr>
        <w:t>FAPE, even if that means placement at and funding for the Riverview School</w:t>
      </w:r>
      <w:r w:rsidR="000B2D8C" w:rsidRPr="00695602">
        <w:rPr>
          <w:rFonts w:ascii="Aptos" w:hAnsi="Aptos"/>
          <w:bCs/>
          <w:color w:val="000000" w:themeColor="text1"/>
        </w:rPr>
        <w:t>.</w:t>
      </w:r>
    </w:p>
    <w:p w14:paraId="3FE531E7" w14:textId="77777777" w:rsidR="001C6239" w:rsidRDefault="001C6239" w:rsidP="00EB33B8">
      <w:pPr>
        <w:rPr>
          <w:rFonts w:ascii="Aptos" w:hAnsi="Aptos"/>
          <w:bCs/>
          <w:color w:val="000000" w:themeColor="text1"/>
        </w:rPr>
      </w:pPr>
    </w:p>
    <w:p w14:paraId="17682298" w14:textId="0B55C19C" w:rsidR="001C6239" w:rsidRDefault="001C6239" w:rsidP="00EB33B8">
      <w:pPr>
        <w:rPr>
          <w:rFonts w:ascii="Aptos" w:hAnsi="Aptos"/>
          <w:bCs/>
          <w:color w:val="000000" w:themeColor="text1"/>
        </w:rPr>
      </w:pPr>
      <w:r w:rsidRPr="001C6239">
        <w:rPr>
          <w:rFonts w:ascii="Aptos" w:hAnsi="Aptos"/>
          <w:bCs/>
          <w:color w:val="000000" w:themeColor="text1"/>
        </w:rPr>
        <w:t>Neither Party requested a Hearing on any of these pleadings. As neither testimony nor oral argument would advance the Hearing Officer's understanding of the issues involved, this Ruling is issued without a hearing pursuant to Hearing Rules for Special Education Appeals (Hearing Rules)</w:t>
      </w:r>
      <w:r>
        <w:rPr>
          <w:rFonts w:ascii="Aptos" w:hAnsi="Aptos"/>
          <w:bCs/>
          <w:color w:val="000000" w:themeColor="text1"/>
        </w:rPr>
        <w:t xml:space="preserve"> </w:t>
      </w:r>
      <w:r w:rsidRPr="001C6239">
        <w:rPr>
          <w:rFonts w:ascii="Aptos" w:hAnsi="Aptos"/>
          <w:bCs/>
          <w:color w:val="000000" w:themeColor="text1"/>
        </w:rPr>
        <w:t xml:space="preserve">Rule VI(D). </w:t>
      </w:r>
    </w:p>
    <w:p w14:paraId="5CCF6DA4" w14:textId="77777777" w:rsidR="001C6239" w:rsidRDefault="001C6239" w:rsidP="00EB33B8">
      <w:pPr>
        <w:rPr>
          <w:rFonts w:ascii="Aptos" w:hAnsi="Aptos"/>
          <w:bCs/>
          <w:color w:val="000000" w:themeColor="text1"/>
        </w:rPr>
      </w:pPr>
    </w:p>
    <w:p w14:paraId="761E790D" w14:textId="7424851A" w:rsidR="001C6239" w:rsidRPr="00695602" w:rsidRDefault="001C6239" w:rsidP="00EB33B8">
      <w:pPr>
        <w:rPr>
          <w:rFonts w:ascii="Aptos" w:hAnsi="Aptos"/>
          <w:bCs/>
          <w:color w:val="000000" w:themeColor="text1"/>
        </w:rPr>
      </w:pPr>
      <w:r w:rsidRPr="001C6239">
        <w:rPr>
          <w:rFonts w:ascii="Aptos" w:hAnsi="Aptos"/>
          <w:bCs/>
          <w:color w:val="000000" w:themeColor="text1"/>
        </w:rPr>
        <w:t xml:space="preserve">For the reasons set forth below, </w:t>
      </w:r>
      <w:r>
        <w:rPr>
          <w:rFonts w:ascii="Aptos" w:hAnsi="Aptos"/>
          <w:bCs/>
          <w:color w:val="000000" w:themeColor="text1"/>
        </w:rPr>
        <w:t xml:space="preserve">the District’s Motion </w:t>
      </w:r>
      <w:r w:rsidRPr="001C6239">
        <w:rPr>
          <w:rFonts w:ascii="Aptos" w:hAnsi="Aptos"/>
          <w:bCs/>
          <w:color w:val="000000" w:themeColor="text1"/>
        </w:rPr>
        <w:t>is DENIED.</w:t>
      </w:r>
    </w:p>
    <w:p w14:paraId="2D9B9485" w14:textId="77777777" w:rsidR="00496286" w:rsidRPr="00695602" w:rsidRDefault="00496286" w:rsidP="00EB33B8">
      <w:pPr>
        <w:rPr>
          <w:rFonts w:ascii="Aptos" w:hAnsi="Aptos"/>
          <w:bCs/>
          <w:color w:val="000000" w:themeColor="text1"/>
        </w:rPr>
      </w:pPr>
    </w:p>
    <w:p w14:paraId="1342E07B" w14:textId="0911C08C" w:rsidR="007F0A44" w:rsidRPr="00695602" w:rsidRDefault="007F0A44" w:rsidP="00EB33B8">
      <w:pPr>
        <w:rPr>
          <w:rFonts w:ascii="Aptos" w:hAnsi="Aptos"/>
          <w:b/>
          <w:color w:val="000000" w:themeColor="text1"/>
        </w:rPr>
      </w:pPr>
      <w:r w:rsidRPr="00695602">
        <w:rPr>
          <w:rFonts w:ascii="Aptos" w:hAnsi="Aptos"/>
          <w:b/>
          <w:color w:val="000000" w:themeColor="text1"/>
        </w:rPr>
        <w:lastRenderedPageBreak/>
        <w:t>RELEVANT FACTS:</w:t>
      </w:r>
      <w:r w:rsidRPr="00695602">
        <w:rPr>
          <w:rStyle w:val="FootnoteReference"/>
          <w:rFonts w:ascii="Aptos" w:hAnsi="Aptos"/>
          <w:b/>
          <w:color w:val="000000" w:themeColor="text1"/>
        </w:rPr>
        <w:footnoteReference w:id="1"/>
      </w:r>
    </w:p>
    <w:p w14:paraId="47130F24" w14:textId="77777777" w:rsidR="00666F66" w:rsidRPr="00695602" w:rsidRDefault="00666F66" w:rsidP="00EB33B8">
      <w:pPr>
        <w:rPr>
          <w:rFonts w:ascii="Aptos" w:hAnsi="Aptos"/>
          <w:b/>
          <w:color w:val="000000" w:themeColor="text1"/>
        </w:rPr>
      </w:pPr>
    </w:p>
    <w:p w14:paraId="35E083A0" w14:textId="384441BA" w:rsidR="00666F66" w:rsidRPr="00695602" w:rsidRDefault="00666F66" w:rsidP="00EB33B8">
      <w:pPr>
        <w:rPr>
          <w:rFonts w:ascii="Aptos" w:hAnsi="Aptos"/>
          <w:bCs/>
          <w:color w:val="000000" w:themeColor="text1"/>
        </w:rPr>
      </w:pPr>
      <w:r w:rsidRPr="00695602">
        <w:rPr>
          <w:rFonts w:ascii="Aptos" w:hAnsi="Aptos"/>
          <w:bCs/>
          <w:color w:val="000000" w:themeColor="text1"/>
        </w:rPr>
        <w:t>The following facts are derived from the pleadings and exhibits submitted by the parties and are taken as true for the purposes of this </w:t>
      </w:r>
      <w:r w:rsidRPr="00695602">
        <w:rPr>
          <w:rFonts w:ascii="Aptos" w:hAnsi="Aptos"/>
          <w:bCs/>
          <w:i/>
          <w:iCs/>
          <w:color w:val="000000" w:themeColor="text1"/>
        </w:rPr>
        <w:t>Ruling </w:t>
      </w:r>
      <w:r w:rsidRPr="00695602">
        <w:rPr>
          <w:rFonts w:ascii="Aptos" w:hAnsi="Aptos"/>
          <w:bCs/>
          <w:color w:val="000000" w:themeColor="text1"/>
        </w:rPr>
        <w:t>only. Where a factual dispute exists, I construe it in favor of Parents, as the party opposing summary judgment.</w:t>
      </w:r>
      <w:r w:rsidR="009A744B" w:rsidRPr="00695602">
        <w:rPr>
          <w:rStyle w:val="FootnoteReference"/>
          <w:rFonts w:ascii="Aptos" w:hAnsi="Aptos"/>
          <w:bCs/>
          <w:color w:val="000000" w:themeColor="text1"/>
        </w:rPr>
        <w:footnoteReference w:id="2"/>
      </w:r>
      <w:r w:rsidRPr="00695602">
        <w:rPr>
          <w:rFonts w:ascii="Aptos" w:hAnsi="Aptos"/>
          <w:bCs/>
          <w:color w:val="000000" w:themeColor="text1"/>
        </w:rPr>
        <w:t xml:space="preserve"> </w:t>
      </w:r>
    </w:p>
    <w:p w14:paraId="30DD4865" w14:textId="4B129DB3" w:rsidR="00165736" w:rsidRPr="00695602" w:rsidRDefault="00165736" w:rsidP="00EB33B8">
      <w:pPr>
        <w:pStyle w:val="Default"/>
        <w:rPr>
          <w:rFonts w:ascii="Aptos" w:hAnsi="Aptos"/>
        </w:rPr>
      </w:pPr>
    </w:p>
    <w:p w14:paraId="3DEBC9A5" w14:textId="30D367C1" w:rsidR="009921B9" w:rsidRPr="00695602" w:rsidRDefault="001876FF" w:rsidP="00EB33B8">
      <w:pPr>
        <w:pStyle w:val="Default"/>
        <w:numPr>
          <w:ilvl w:val="0"/>
          <w:numId w:val="37"/>
        </w:numPr>
        <w:rPr>
          <w:rFonts w:ascii="Aptos" w:hAnsi="Aptos"/>
        </w:rPr>
      </w:pPr>
      <w:r w:rsidRPr="00695602">
        <w:rPr>
          <w:rFonts w:ascii="Aptos" w:hAnsi="Aptos"/>
        </w:rPr>
        <w:t>Student</w:t>
      </w:r>
      <w:r w:rsidR="00165736" w:rsidRPr="00695602">
        <w:rPr>
          <w:rFonts w:ascii="Aptos" w:hAnsi="Aptos"/>
        </w:rPr>
        <w:t xml:space="preserve"> (“</w:t>
      </w:r>
      <w:r w:rsidRPr="00695602">
        <w:rPr>
          <w:rFonts w:ascii="Aptos" w:hAnsi="Aptos"/>
        </w:rPr>
        <w:t>Student</w:t>
      </w:r>
      <w:r w:rsidR="00165736" w:rsidRPr="00695602">
        <w:rPr>
          <w:rFonts w:ascii="Aptos" w:hAnsi="Aptos"/>
        </w:rPr>
        <w:t xml:space="preserve">”) is </w:t>
      </w:r>
      <w:r w:rsidR="009D72D7">
        <w:rPr>
          <w:rFonts w:ascii="Aptos" w:hAnsi="Aptos"/>
        </w:rPr>
        <w:t>a</w:t>
      </w:r>
      <w:r w:rsidR="00494D02">
        <w:rPr>
          <w:rFonts w:ascii="Aptos" w:hAnsi="Aptos"/>
        </w:rPr>
        <w:t xml:space="preserve"> </w:t>
      </w:r>
      <w:r w:rsidR="009D72D7">
        <w:rPr>
          <w:rFonts w:ascii="Aptos" w:hAnsi="Aptos"/>
        </w:rPr>
        <w:t>19-year-</w:t>
      </w:r>
      <w:r w:rsidR="00165736" w:rsidRPr="00695602">
        <w:rPr>
          <w:rFonts w:ascii="Aptos" w:hAnsi="Aptos"/>
        </w:rPr>
        <w:t>old</w:t>
      </w:r>
      <w:r w:rsidR="004D2BDC" w:rsidRPr="00695602">
        <w:rPr>
          <w:rFonts w:ascii="Aptos" w:hAnsi="Aptos"/>
        </w:rPr>
        <w:t xml:space="preserve"> resident of </w:t>
      </w:r>
      <w:r w:rsidR="00B87E56" w:rsidRPr="00695602">
        <w:rPr>
          <w:rFonts w:ascii="Aptos" w:hAnsi="Aptos"/>
        </w:rPr>
        <w:t>Barnstable, Massachusetts</w:t>
      </w:r>
      <w:r w:rsidR="00165736" w:rsidRPr="00695602">
        <w:rPr>
          <w:rFonts w:ascii="Aptos" w:hAnsi="Aptos"/>
        </w:rPr>
        <w:t>. He is a kind, social, funny, and active young man with diagnoses of Autism Spectrum Disorder and Intellectual Impairment. He also ha</w:t>
      </w:r>
      <w:r w:rsidR="00047B66">
        <w:rPr>
          <w:rFonts w:ascii="Aptos" w:hAnsi="Aptos"/>
        </w:rPr>
        <w:t>d</w:t>
      </w:r>
      <w:r w:rsidR="00165736" w:rsidRPr="00695602">
        <w:rPr>
          <w:rFonts w:ascii="Aptos" w:hAnsi="Aptos"/>
        </w:rPr>
        <w:t xml:space="preserve"> a significant cardiac history throughout his life, including four open-heart surgeries and an artificial heart valve requiring ongoing monitoring, weekly blood tests, and medical alert precautions. </w:t>
      </w:r>
      <w:r w:rsidR="004D2BDC" w:rsidRPr="00695602">
        <w:rPr>
          <w:rFonts w:ascii="Aptos" w:hAnsi="Aptos"/>
        </w:rPr>
        <w:t>(P-1, P-2)</w:t>
      </w:r>
      <w:r w:rsidR="004D2BDC" w:rsidRPr="00695602">
        <w:rPr>
          <w:rFonts w:ascii="Aptos" w:hAnsi="Aptos"/>
          <w:i/>
          <w:iCs/>
        </w:rPr>
        <w:t xml:space="preserve"> </w:t>
      </w:r>
      <w:r w:rsidR="00165736" w:rsidRPr="00695602">
        <w:rPr>
          <w:rFonts w:ascii="Aptos" w:hAnsi="Aptos"/>
          <w:i/>
          <w:iCs/>
        </w:rPr>
        <w:t xml:space="preserve"> </w:t>
      </w:r>
      <w:r w:rsidR="00B87E56" w:rsidRPr="00695602">
        <w:rPr>
          <w:rFonts w:ascii="Aptos" w:hAnsi="Aptos"/>
        </w:rPr>
        <w:t>Parents</w:t>
      </w:r>
      <w:r w:rsidR="00165736" w:rsidRPr="00695602">
        <w:rPr>
          <w:rFonts w:ascii="Aptos" w:hAnsi="Aptos"/>
        </w:rPr>
        <w:t xml:space="preserve"> are </w:t>
      </w:r>
      <w:r w:rsidR="00B87E56" w:rsidRPr="00695602">
        <w:rPr>
          <w:rFonts w:ascii="Aptos" w:hAnsi="Aptos"/>
        </w:rPr>
        <w:t>Student’s</w:t>
      </w:r>
      <w:r w:rsidR="00165736" w:rsidRPr="00695602">
        <w:rPr>
          <w:rFonts w:ascii="Aptos" w:hAnsi="Aptos"/>
        </w:rPr>
        <w:t xml:space="preserve"> court-appointed legal guardians. </w:t>
      </w:r>
      <w:r w:rsidR="00B87E56" w:rsidRPr="00695602">
        <w:rPr>
          <w:rFonts w:ascii="Aptos" w:hAnsi="Aptos"/>
        </w:rPr>
        <w:t xml:space="preserve">(P-1, P-10, P-14) </w:t>
      </w:r>
    </w:p>
    <w:p w14:paraId="10E3B9B4" w14:textId="77777777" w:rsidR="00661E41" w:rsidRPr="00695602" w:rsidRDefault="00661E41" w:rsidP="00661E41">
      <w:pPr>
        <w:pStyle w:val="Default"/>
        <w:ind w:left="720"/>
        <w:rPr>
          <w:rFonts w:ascii="Aptos" w:hAnsi="Aptos"/>
        </w:rPr>
      </w:pPr>
    </w:p>
    <w:p w14:paraId="6F725FF7" w14:textId="70BE506F" w:rsidR="009921B9" w:rsidRPr="00695602" w:rsidRDefault="009921B9" w:rsidP="00EB33B8">
      <w:pPr>
        <w:pStyle w:val="Default"/>
        <w:numPr>
          <w:ilvl w:val="0"/>
          <w:numId w:val="37"/>
        </w:numPr>
        <w:rPr>
          <w:rFonts w:ascii="Aptos" w:hAnsi="Aptos"/>
        </w:rPr>
      </w:pPr>
      <w:r w:rsidRPr="00695602">
        <w:rPr>
          <w:rFonts w:ascii="Aptos" w:hAnsi="Aptos"/>
        </w:rPr>
        <w:t>On or about September 30, 2020, Parents and Barnstable executed a Settlement Agreement covering the 2020-2021 through 2024-2025 school years, including Extended School Years (“ESY”) 2021-2024. The Agreement expressly limits the District’s obligation to fund Riverview beyond the 2024-2025 school year, stating</w:t>
      </w:r>
      <w:r w:rsidR="00132195" w:rsidRPr="00695602">
        <w:rPr>
          <w:rFonts w:ascii="Aptos" w:hAnsi="Aptos"/>
        </w:rPr>
        <w:t>, in relevant parts</w:t>
      </w:r>
      <w:r w:rsidRPr="00695602">
        <w:rPr>
          <w:rFonts w:ascii="Aptos" w:hAnsi="Aptos"/>
        </w:rPr>
        <w:t xml:space="preserve">: </w:t>
      </w:r>
    </w:p>
    <w:p w14:paraId="10A47FD9" w14:textId="0BA9B0DB" w:rsidR="00132195" w:rsidRPr="00695602" w:rsidRDefault="009921B9" w:rsidP="00FC0781">
      <w:pPr>
        <w:pStyle w:val="Default"/>
        <w:ind w:left="2160"/>
        <w:rPr>
          <w:rFonts w:ascii="Aptos" w:hAnsi="Aptos"/>
        </w:rPr>
      </w:pPr>
      <w:r w:rsidRPr="00695602">
        <w:rPr>
          <w:rFonts w:ascii="Aptos" w:hAnsi="Aptos"/>
        </w:rPr>
        <w:t>“</w:t>
      </w:r>
      <w:r w:rsidR="00FC0781" w:rsidRPr="00695602">
        <w:rPr>
          <w:rFonts w:ascii="Aptos" w:hAnsi="Aptos"/>
        </w:rPr>
        <w:t xml:space="preserve">1. </w:t>
      </w:r>
      <w:r w:rsidR="00132195" w:rsidRPr="00132195">
        <w:rPr>
          <w:rFonts w:ascii="Aptos" w:hAnsi="Aptos"/>
        </w:rPr>
        <w:t>This Agreement covers the regular 2020-2021, 2021-2022, 2022-2023, 2023-2024 and 2024-</w:t>
      </w:r>
      <w:r w:rsidR="00132195" w:rsidRPr="00695602">
        <w:rPr>
          <w:rFonts w:ascii="Aptos" w:hAnsi="Aptos"/>
        </w:rPr>
        <w:t xml:space="preserve">2025 school years and the Extended School Years ("ESY") for 2021, 2022, 2023 and 2024. This Agreement is entered into in full settlement of any and all claims the Parents and/or </w:t>
      </w:r>
      <w:r w:rsidR="00494D02" w:rsidRPr="00047B66">
        <w:rPr>
          <w:rFonts w:ascii="Aptos" w:hAnsi="Aptos"/>
        </w:rPr>
        <w:t>[Student]</w:t>
      </w:r>
      <w:r w:rsidR="00494D02">
        <w:rPr>
          <w:rFonts w:ascii="Aptos" w:hAnsi="Aptos"/>
        </w:rPr>
        <w:t xml:space="preserve"> </w:t>
      </w:r>
      <w:r w:rsidR="00132195" w:rsidRPr="00695602">
        <w:rPr>
          <w:rFonts w:ascii="Aptos" w:hAnsi="Aptos"/>
        </w:rPr>
        <w:t xml:space="preserve">have or may have or assert against Barnstable, its officers, both elected and appointed, its agents, employees, and/or attorneys pertaining to and/or arising out of any and all obligations Barnstable had or now has to </w:t>
      </w:r>
      <w:r w:rsidR="00132195" w:rsidRPr="00047B66">
        <w:rPr>
          <w:rFonts w:ascii="Aptos" w:hAnsi="Aptos"/>
        </w:rPr>
        <w:t xml:space="preserve">provide </w:t>
      </w:r>
      <w:r w:rsidR="00494D02" w:rsidRPr="00047B66">
        <w:rPr>
          <w:rFonts w:ascii="Aptos" w:hAnsi="Aptos"/>
        </w:rPr>
        <w:t>[Student]</w:t>
      </w:r>
      <w:r w:rsidR="00494D02">
        <w:rPr>
          <w:rFonts w:ascii="Aptos" w:hAnsi="Aptos"/>
        </w:rPr>
        <w:t xml:space="preserve"> </w:t>
      </w:r>
      <w:r w:rsidR="00132195" w:rsidRPr="00695602">
        <w:rPr>
          <w:rFonts w:ascii="Aptos" w:hAnsi="Aptos"/>
        </w:rPr>
        <w:t xml:space="preserve">a free appropriate public education, including but not limited to ESY services for the period covered by the Agreement, and the provision of regular and special education and/or related services, for any and all periods </w:t>
      </w:r>
      <w:r w:rsidR="00494D02" w:rsidRPr="00047B66">
        <w:rPr>
          <w:rFonts w:ascii="Aptos" w:hAnsi="Aptos"/>
        </w:rPr>
        <w:t>[Student]</w:t>
      </w:r>
      <w:r w:rsidR="00494D02">
        <w:rPr>
          <w:rFonts w:ascii="Aptos" w:hAnsi="Aptos"/>
        </w:rPr>
        <w:t xml:space="preserve"> </w:t>
      </w:r>
      <w:r w:rsidR="00132195" w:rsidRPr="00695602">
        <w:rPr>
          <w:rFonts w:ascii="Aptos" w:hAnsi="Aptos"/>
        </w:rPr>
        <w:t>has been enrolled in Barnstable up to the date of this Agreement</w:t>
      </w:r>
      <w:r w:rsidR="00FC0781" w:rsidRPr="00695602">
        <w:rPr>
          <w:rFonts w:ascii="Aptos" w:hAnsi="Aptos"/>
        </w:rPr>
        <w:t>….</w:t>
      </w:r>
    </w:p>
    <w:p w14:paraId="06A3817A" w14:textId="77777777" w:rsidR="00132195" w:rsidRPr="00695602" w:rsidRDefault="00132195" w:rsidP="00EB33B8">
      <w:pPr>
        <w:pStyle w:val="Default"/>
        <w:ind w:left="2160"/>
        <w:rPr>
          <w:rFonts w:ascii="Aptos" w:hAnsi="Aptos"/>
        </w:rPr>
      </w:pPr>
    </w:p>
    <w:p w14:paraId="77AE8FD6" w14:textId="77777777" w:rsidR="00661E41" w:rsidRPr="00695602" w:rsidRDefault="00FC0781" w:rsidP="00EB33B8">
      <w:pPr>
        <w:pStyle w:val="Default"/>
        <w:ind w:left="2160"/>
        <w:rPr>
          <w:rFonts w:ascii="Aptos" w:hAnsi="Aptos"/>
        </w:rPr>
      </w:pPr>
      <w:r w:rsidRPr="00695602">
        <w:rPr>
          <w:rFonts w:ascii="Aptos" w:hAnsi="Aptos"/>
        </w:rPr>
        <w:t xml:space="preserve">…4. </w:t>
      </w:r>
      <w:r w:rsidR="009921B9" w:rsidRPr="00695602">
        <w:rPr>
          <w:rFonts w:ascii="Aptos" w:hAnsi="Aptos"/>
        </w:rPr>
        <w:t xml:space="preserve">This Agreement shall not extend beyond the conclusion of the 2024-2025 school year. Barnstable shall have no liability for or obligation to continue Student in the Riverview transition program or any other program associated with the Riverview School. If, at that time, Student remains eligible for special education services, Student may enroll in the Barnstable transition program located at Barnstable High School and may remain in the program until he is 22 years old or no longer available for reasons other than age, whichever is sooner. </w:t>
      </w:r>
      <w:r w:rsidR="009921B9" w:rsidRPr="00695602">
        <w:rPr>
          <w:rFonts w:ascii="Aptos" w:hAnsi="Aptos"/>
        </w:rPr>
        <w:lastRenderedPageBreak/>
        <w:t>Parents shall provide Barnstable with notice of their intent to enroll Student in Barnstable's transition program by no later than January 15, 2025. The Barnstable transition program shall be considered Student's "stay-put" placement if any future disagreement arises between the parties regarding Student's programming beyond the conclusion of the 2024-2025 school year</w:t>
      </w:r>
      <w:r w:rsidR="00661E41" w:rsidRPr="00695602">
        <w:rPr>
          <w:rFonts w:ascii="Aptos" w:hAnsi="Aptos"/>
        </w:rPr>
        <w:t>….</w:t>
      </w:r>
    </w:p>
    <w:p w14:paraId="303F518D" w14:textId="77777777" w:rsidR="00661E41" w:rsidRPr="00695602" w:rsidRDefault="00661E41" w:rsidP="00EB33B8">
      <w:pPr>
        <w:pStyle w:val="Default"/>
        <w:ind w:left="2160"/>
        <w:rPr>
          <w:rFonts w:ascii="Aptos" w:hAnsi="Aptos"/>
        </w:rPr>
      </w:pPr>
    </w:p>
    <w:p w14:paraId="7FA4011D" w14:textId="07F280CD" w:rsidR="000E2B04" w:rsidRPr="00695602" w:rsidRDefault="00661E41" w:rsidP="00661E41">
      <w:pPr>
        <w:pStyle w:val="Default"/>
        <w:ind w:left="2160"/>
        <w:rPr>
          <w:rFonts w:ascii="Aptos" w:hAnsi="Aptos"/>
        </w:rPr>
      </w:pPr>
      <w:r w:rsidRPr="00695602">
        <w:rPr>
          <w:rFonts w:ascii="Aptos" w:hAnsi="Aptos"/>
        </w:rPr>
        <w:t xml:space="preserve">… 9. </w:t>
      </w:r>
      <w:r w:rsidRPr="00661E41">
        <w:rPr>
          <w:rFonts w:ascii="Aptos" w:hAnsi="Aptos"/>
        </w:rPr>
        <w:t xml:space="preserve">This Agreement is intended to and does settle any and all disputes which exist or may exist between the parties relating to </w:t>
      </w:r>
      <w:r w:rsidR="00494D02" w:rsidRPr="00047B66">
        <w:rPr>
          <w:rFonts w:ascii="Aptos" w:hAnsi="Aptos"/>
        </w:rPr>
        <w:t>[Student’s]</w:t>
      </w:r>
      <w:r w:rsidR="00494D02">
        <w:rPr>
          <w:rFonts w:ascii="Aptos" w:hAnsi="Aptos"/>
        </w:rPr>
        <w:t xml:space="preserve"> </w:t>
      </w:r>
      <w:r w:rsidRPr="00661E41">
        <w:rPr>
          <w:rFonts w:ascii="Aptos" w:hAnsi="Aptos"/>
        </w:rPr>
        <w:t>regular and special education and related services since he enrolled as a student in Barnstable through the date of this Agreement.</w:t>
      </w:r>
      <w:r w:rsidRPr="00695602">
        <w:rPr>
          <w:rFonts w:ascii="Aptos" w:hAnsi="Aptos"/>
        </w:rPr>
        <w:t>”</w:t>
      </w:r>
      <w:r w:rsidRPr="00661E41">
        <w:rPr>
          <w:rFonts w:ascii="Aptos" w:hAnsi="Aptos"/>
        </w:rPr>
        <w:t xml:space="preserve"> </w:t>
      </w:r>
      <w:r w:rsidR="009921B9" w:rsidRPr="00695602">
        <w:rPr>
          <w:rFonts w:ascii="Aptos" w:hAnsi="Aptos"/>
        </w:rPr>
        <w:t xml:space="preserve"> (S-1)</w:t>
      </w:r>
      <w:r w:rsidR="00B87E56" w:rsidRPr="00695602">
        <w:rPr>
          <w:rFonts w:ascii="Aptos" w:hAnsi="Aptos"/>
          <w:i/>
          <w:iCs/>
        </w:rPr>
        <w:t xml:space="preserve"> </w:t>
      </w:r>
    </w:p>
    <w:p w14:paraId="4416A39E" w14:textId="77777777" w:rsidR="00661E41" w:rsidRPr="00695602" w:rsidRDefault="00661E41" w:rsidP="00661E41">
      <w:pPr>
        <w:pStyle w:val="Default"/>
        <w:ind w:left="720"/>
        <w:rPr>
          <w:rFonts w:ascii="Aptos" w:hAnsi="Aptos"/>
          <w:i/>
          <w:iCs/>
        </w:rPr>
      </w:pPr>
    </w:p>
    <w:p w14:paraId="625E9E29" w14:textId="0B57D86E" w:rsidR="00E85B6F" w:rsidRPr="00695602" w:rsidRDefault="000E2B04" w:rsidP="00CB0145">
      <w:pPr>
        <w:pStyle w:val="Default"/>
        <w:numPr>
          <w:ilvl w:val="0"/>
          <w:numId w:val="37"/>
        </w:numPr>
        <w:rPr>
          <w:rFonts w:ascii="Aptos" w:hAnsi="Aptos"/>
          <w:i/>
          <w:iCs/>
        </w:rPr>
      </w:pPr>
      <w:r w:rsidRPr="00695602">
        <w:rPr>
          <w:rFonts w:ascii="Aptos" w:hAnsi="Aptos"/>
        </w:rPr>
        <w:t>At the time the 2020 Settlement Agreement was executed, Mother understood that Student would likely require special education services until age 22 due to his significant needs and believed the parties would revisit Student’s programming after the 2024–2025 school year. Although she understood that Barnstable was not committing to fund Riverview beyond that school year and that the Barnstable High School program would serve as the “stay put” placement in the event of a dispute, she did not understand the agreement to foreclose the possibility of requesting other services or placements in the future. Rather, she believed the agreement ensured that Student would have a program available while allowing the parties to reconvene later to determine what services would be appropriate based on Student’s needs at that time. Mother believed that the 2020 Settlement Agreement involved several compromises by the Parents, including contributing to Riverview day tuition costs, providing transportation, funding residential summer programming, and waiving legal claims through the date of the agreement, while recognizing that Barnstable’s financial contribution was limited to day placement and summer services. She understood that circumstances, including Student’s needs and available programming, could change over time, and did not believe the agreement permanently barred the Parents from seeking additional services or a different placement, including continued placement at Riverview, after the 2024–2025 school year. (P-1)</w:t>
      </w:r>
    </w:p>
    <w:p w14:paraId="48B6BC7C" w14:textId="77777777" w:rsidR="00661E41" w:rsidRPr="00695602" w:rsidRDefault="00661E41" w:rsidP="00661E41">
      <w:pPr>
        <w:pStyle w:val="Default"/>
        <w:ind w:left="720"/>
        <w:rPr>
          <w:rFonts w:ascii="Aptos" w:hAnsi="Aptos"/>
        </w:rPr>
      </w:pPr>
    </w:p>
    <w:p w14:paraId="0D578AFB" w14:textId="3DFDB287" w:rsidR="00165736" w:rsidRPr="00695602" w:rsidRDefault="001876FF" w:rsidP="00EB33B8">
      <w:pPr>
        <w:pStyle w:val="Default"/>
        <w:numPr>
          <w:ilvl w:val="0"/>
          <w:numId w:val="37"/>
        </w:numPr>
        <w:rPr>
          <w:rFonts w:ascii="Aptos" w:hAnsi="Aptos"/>
        </w:rPr>
      </w:pPr>
      <w:r w:rsidRPr="00695602">
        <w:rPr>
          <w:rFonts w:ascii="Aptos" w:hAnsi="Aptos"/>
        </w:rPr>
        <w:t>Student</w:t>
      </w:r>
      <w:r w:rsidR="00165736" w:rsidRPr="00695602">
        <w:rPr>
          <w:rFonts w:ascii="Aptos" w:hAnsi="Aptos"/>
        </w:rPr>
        <w:t xml:space="preserve"> has been attending the residential GROW Program at the Riverview School (Riverview), a D</w:t>
      </w:r>
      <w:r w:rsidR="00B87E56" w:rsidRPr="00695602">
        <w:rPr>
          <w:rFonts w:ascii="Aptos" w:hAnsi="Aptos"/>
        </w:rPr>
        <w:t xml:space="preserve">epartment of </w:t>
      </w:r>
      <w:r w:rsidR="00AD6689" w:rsidRPr="00695602">
        <w:rPr>
          <w:rFonts w:ascii="Aptos" w:hAnsi="Aptos"/>
        </w:rPr>
        <w:t>Elementary</w:t>
      </w:r>
      <w:r w:rsidR="00B87E56" w:rsidRPr="00695602">
        <w:rPr>
          <w:rFonts w:ascii="Aptos" w:hAnsi="Aptos"/>
        </w:rPr>
        <w:t xml:space="preserve"> and Secondary </w:t>
      </w:r>
      <w:r w:rsidR="00AD6689" w:rsidRPr="00695602">
        <w:rPr>
          <w:rFonts w:ascii="Aptos" w:hAnsi="Aptos"/>
        </w:rPr>
        <w:t>Education (D</w:t>
      </w:r>
      <w:r w:rsidR="00165736" w:rsidRPr="00695602">
        <w:rPr>
          <w:rFonts w:ascii="Aptos" w:hAnsi="Aptos"/>
        </w:rPr>
        <w:t>ESE</w:t>
      </w:r>
      <w:r w:rsidR="00AD6689" w:rsidRPr="00695602">
        <w:rPr>
          <w:rFonts w:ascii="Aptos" w:hAnsi="Aptos"/>
        </w:rPr>
        <w:t xml:space="preserve">) </w:t>
      </w:r>
      <w:r w:rsidR="00165736" w:rsidRPr="00695602">
        <w:rPr>
          <w:rFonts w:ascii="Aptos" w:hAnsi="Aptos"/>
        </w:rPr>
        <w:t xml:space="preserve">approved special education school in East Sandwich, Massachusetts for the </w:t>
      </w:r>
      <w:r w:rsidR="00AD6689" w:rsidRPr="00695602">
        <w:rPr>
          <w:rFonts w:ascii="Aptos" w:hAnsi="Aptos"/>
        </w:rPr>
        <w:t xml:space="preserve">summer of 2025 and the </w:t>
      </w:r>
      <w:r w:rsidR="00165736" w:rsidRPr="00695602">
        <w:rPr>
          <w:rFonts w:ascii="Aptos" w:hAnsi="Aptos"/>
        </w:rPr>
        <w:t>2025-26 school year</w:t>
      </w:r>
      <w:r w:rsidR="00AD6689" w:rsidRPr="00695602">
        <w:rPr>
          <w:rFonts w:ascii="Aptos" w:hAnsi="Aptos"/>
        </w:rPr>
        <w:t xml:space="preserve">. (P-1, P-4, P-5, P-9, P-11) </w:t>
      </w:r>
      <w:r w:rsidR="00AD6689" w:rsidRPr="00695602">
        <w:rPr>
          <w:rFonts w:ascii="Aptos" w:hAnsi="Aptos"/>
          <w:i/>
          <w:iCs/>
        </w:rPr>
        <w:t xml:space="preserve"> </w:t>
      </w:r>
    </w:p>
    <w:p w14:paraId="640E09D1" w14:textId="77777777" w:rsidR="00661E41" w:rsidRPr="00695602" w:rsidRDefault="00661E41" w:rsidP="00661E41">
      <w:pPr>
        <w:pStyle w:val="Default"/>
        <w:ind w:left="720"/>
        <w:rPr>
          <w:rFonts w:ascii="Aptos" w:hAnsi="Aptos"/>
        </w:rPr>
      </w:pPr>
    </w:p>
    <w:p w14:paraId="41B105BD" w14:textId="51B9C52D" w:rsidR="00C52421" w:rsidRPr="00695602" w:rsidRDefault="007354C6" w:rsidP="00EB33B8">
      <w:pPr>
        <w:pStyle w:val="Default"/>
        <w:numPr>
          <w:ilvl w:val="0"/>
          <w:numId w:val="37"/>
        </w:numPr>
        <w:rPr>
          <w:rFonts w:ascii="Aptos" w:hAnsi="Aptos"/>
        </w:rPr>
      </w:pPr>
      <w:r w:rsidRPr="00695602">
        <w:rPr>
          <w:rFonts w:ascii="Aptos" w:hAnsi="Aptos"/>
        </w:rPr>
        <w:t xml:space="preserve">In December 2024, licensed psychologist and developmental neuropsychologist Dr. Joseph Moldover conducted a comprehensive neuropsychological re-evaluation of Student, assessing cognitive ability, academic achievement, adaptive functioning, emotional and behavioral concerns, communication, and social pragmatics. He diagnosed Student with Autism Spectrum Disorder (with intellectual and language </w:t>
      </w:r>
      <w:r w:rsidRPr="00695602">
        <w:rPr>
          <w:rFonts w:ascii="Aptos" w:hAnsi="Aptos"/>
        </w:rPr>
        <w:lastRenderedPageBreak/>
        <w:t xml:space="preserve">impairment) and mild Intellectual Disability. Dr. </w:t>
      </w:r>
      <w:proofErr w:type="spellStart"/>
      <w:r w:rsidRPr="00695602">
        <w:rPr>
          <w:rFonts w:ascii="Aptos" w:hAnsi="Aptos"/>
        </w:rPr>
        <w:t>Moldover</w:t>
      </w:r>
      <w:proofErr w:type="spellEnd"/>
      <w:r w:rsidRPr="00695602">
        <w:rPr>
          <w:rFonts w:ascii="Aptos" w:hAnsi="Aptos"/>
        </w:rPr>
        <w:t xml:space="preserve"> recommended the continued provision of special education services as Student transitions into the post–high school years, with a focus on functional academics, social pragmatics, vocational skills, and independence in self-care, domestic activities, community navigation, and personal safety. Based on information from Student’s placement at Riverview School, </w:t>
      </w:r>
      <w:r w:rsidR="0071044F">
        <w:rPr>
          <w:rFonts w:ascii="Aptos" w:hAnsi="Aptos"/>
        </w:rPr>
        <w:t>reflecting</w:t>
      </w:r>
      <w:r w:rsidRPr="00695602">
        <w:rPr>
          <w:rFonts w:ascii="Aptos" w:hAnsi="Aptos"/>
        </w:rPr>
        <w:t xml:space="preserve"> progress, and his positive response to residential programming during summer sessions, Dr. </w:t>
      </w:r>
      <w:proofErr w:type="spellStart"/>
      <w:r w:rsidRPr="00695602">
        <w:rPr>
          <w:rFonts w:ascii="Aptos" w:hAnsi="Aptos"/>
        </w:rPr>
        <w:t>Moldover</w:t>
      </w:r>
      <w:proofErr w:type="spellEnd"/>
      <w:r w:rsidRPr="00695602">
        <w:rPr>
          <w:rFonts w:ascii="Aptos" w:hAnsi="Aptos"/>
        </w:rPr>
        <w:t xml:space="preserve"> concluded that residential programming in Student’s current environment would be appropriate during </w:t>
      </w:r>
      <w:r w:rsidR="0071044F">
        <w:rPr>
          <w:rFonts w:ascii="Aptos" w:hAnsi="Aptos"/>
        </w:rPr>
        <w:t>an</w:t>
      </w:r>
      <w:r w:rsidRPr="00695602">
        <w:rPr>
          <w:rFonts w:ascii="Aptos" w:hAnsi="Aptos"/>
        </w:rPr>
        <w:t xml:space="preserve"> 18–22 transition program to address his significant needs in self-care and independent functioning. (P-1, P-2, P-12, P-13)</w:t>
      </w:r>
    </w:p>
    <w:p w14:paraId="2D782766" w14:textId="77777777" w:rsidR="00661E41" w:rsidRPr="00695602" w:rsidRDefault="00661E41" w:rsidP="00661E41">
      <w:pPr>
        <w:pStyle w:val="Default"/>
        <w:ind w:left="720"/>
        <w:rPr>
          <w:rFonts w:ascii="Aptos" w:hAnsi="Aptos"/>
        </w:rPr>
      </w:pPr>
    </w:p>
    <w:p w14:paraId="36878B77" w14:textId="099B7F88" w:rsidR="00592305" w:rsidRPr="00695602" w:rsidRDefault="00527B29" w:rsidP="00EB33B8">
      <w:pPr>
        <w:pStyle w:val="Default"/>
        <w:numPr>
          <w:ilvl w:val="0"/>
          <w:numId w:val="37"/>
        </w:numPr>
        <w:rPr>
          <w:rFonts w:ascii="Aptos" w:hAnsi="Aptos"/>
        </w:rPr>
      </w:pPr>
      <w:r w:rsidRPr="00695602">
        <w:rPr>
          <w:rFonts w:ascii="Aptos" w:hAnsi="Aptos"/>
        </w:rPr>
        <w:t xml:space="preserve">On December 5, 2024, </w:t>
      </w:r>
      <w:r w:rsidR="00B4725C" w:rsidRPr="00695602">
        <w:rPr>
          <w:rFonts w:ascii="Aptos" w:hAnsi="Aptos"/>
        </w:rPr>
        <w:t>the</w:t>
      </w:r>
      <w:r w:rsidRPr="00695602">
        <w:rPr>
          <w:rFonts w:ascii="Aptos" w:hAnsi="Aptos"/>
        </w:rPr>
        <w:t xml:space="preserve"> Team met to review </w:t>
      </w:r>
      <w:r w:rsidR="001876FF" w:rsidRPr="00695602">
        <w:rPr>
          <w:rFonts w:ascii="Aptos" w:hAnsi="Aptos"/>
        </w:rPr>
        <w:t>Student</w:t>
      </w:r>
      <w:r w:rsidRPr="00695602">
        <w:rPr>
          <w:rFonts w:ascii="Aptos" w:hAnsi="Aptos"/>
        </w:rPr>
        <w:t>’s progress</w:t>
      </w:r>
      <w:r w:rsidR="00B4725C" w:rsidRPr="00695602">
        <w:rPr>
          <w:rFonts w:ascii="Aptos" w:hAnsi="Aptos"/>
        </w:rPr>
        <w:t xml:space="preserve">, </w:t>
      </w:r>
      <w:r w:rsidRPr="00695602">
        <w:rPr>
          <w:rFonts w:ascii="Aptos" w:hAnsi="Aptos"/>
        </w:rPr>
        <w:t>updat</w:t>
      </w:r>
      <w:r w:rsidR="00B4725C" w:rsidRPr="00695602">
        <w:rPr>
          <w:rFonts w:ascii="Aptos" w:hAnsi="Aptos"/>
        </w:rPr>
        <w:t>ing</w:t>
      </w:r>
      <w:r w:rsidRPr="00695602">
        <w:rPr>
          <w:rFonts w:ascii="Aptos" w:hAnsi="Aptos"/>
        </w:rPr>
        <w:t xml:space="preserve"> his IEP</w:t>
      </w:r>
      <w:r w:rsidR="00B4725C" w:rsidRPr="00695602">
        <w:rPr>
          <w:rFonts w:ascii="Aptos" w:hAnsi="Aptos"/>
        </w:rPr>
        <w:t xml:space="preserve"> </w:t>
      </w:r>
      <w:r w:rsidRPr="00695602">
        <w:rPr>
          <w:rFonts w:ascii="Aptos" w:hAnsi="Aptos"/>
        </w:rPr>
        <w:t xml:space="preserve">dated 12/5/2024 to 6/13/2025. Parents partially accepted and partially rejected the IEP, noting concerns about the end date, transition planning, extended school year, and type of programming, among other issues. Parents also requested that Barnstable place </w:t>
      </w:r>
      <w:r w:rsidR="001876FF" w:rsidRPr="00695602">
        <w:rPr>
          <w:rFonts w:ascii="Aptos" w:hAnsi="Aptos"/>
        </w:rPr>
        <w:t>Student</w:t>
      </w:r>
      <w:r w:rsidRPr="00695602">
        <w:rPr>
          <w:rFonts w:ascii="Aptos" w:hAnsi="Aptos"/>
        </w:rPr>
        <w:t xml:space="preserve"> at the Riverview </w:t>
      </w:r>
      <w:r w:rsidR="00AD0070" w:rsidRPr="00695602">
        <w:rPr>
          <w:rFonts w:ascii="Aptos" w:hAnsi="Aptos"/>
        </w:rPr>
        <w:t xml:space="preserve"> </w:t>
      </w:r>
      <w:r w:rsidRPr="00695602">
        <w:rPr>
          <w:rFonts w:ascii="Aptos" w:hAnsi="Aptos"/>
        </w:rPr>
        <w:t xml:space="preserve">School GROW Program as a residential student beginning July 2025. </w:t>
      </w:r>
      <w:r w:rsidR="00AD0070" w:rsidRPr="00695602">
        <w:rPr>
          <w:rFonts w:ascii="Aptos" w:hAnsi="Aptos"/>
        </w:rPr>
        <w:t>(P-6)</w:t>
      </w:r>
    </w:p>
    <w:p w14:paraId="21954760" w14:textId="77777777" w:rsidR="00661E41" w:rsidRPr="00695602" w:rsidRDefault="00661E41" w:rsidP="00661E41">
      <w:pPr>
        <w:pStyle w:val="Default"/>
        <w:ind w:left="720"/>
        <w:rPr>
          <w:rFonts w:ascii="Aptos" w:hAnsi="Aptos"/>
        </w:rPr>
      </w:pPr>
    </w:p>
    <w:p w14:paraId="58A0585A" w14:textId="302FD4EA" w:rsidR="00592305" w:rsidRPr="00695602" w:rsidRDefault="00592305" w:rsidP="00EB33B8">
      <w:pPr>
        <w:pStyle w:val="Default"/>
        <w:numPr>
          <w:ilvl w:val="0"/>
          <w:numId w:val="37"/>
        </w:numPr>
        <w:rPr>
          <w:rFonts w:ascii="Aptos" w:hAnsi="Aptos"/>
        </w:rPr>
      </w:pPr>
      <w:r w:rsidRPr="00695602">
        <w:rPr>
          <w:rFonts w:ascii="Aptos" w:hAnsi="Aptos"/>
        </w:rPr>
        <w:t xml:space="preserve">For the 2025-2026 school year, </w:t>
      </w:r>
      <w:r w:rsidR="00527B29" w:rsidRPr="00695602">
        <w:rPr>
          <w:rFonts w:ascii="Aptos" w:hAnsi="Aptos"/>
        </w:rPr>
        <w:t xml:space="preserve">Barnstable </w:t>
      </w:r>
      <w:r w:rsidRPr="00695602">
        <w:rPr>
          <w:rFonts w:ascii="Aptos" w:hAnsi="Aptos"/>
        </w:rPr>
        <w:t>proposed</w:t>
      </w:r>
      <w:r w:rsidR="00527B29" w:rsidRPr="00695602">
        <w:rPr>
          <w:rFonts w:ascii="Aptos" w:hAnsi="Aptos"/>
        </w:rPr>
        <w:t xml:space="preserve"> a transition program at Barnstable High School</w:t>
      </w:r>
      <w:r w:rsidRPr="00695602">
        <w:rPr>
          <w:rFonts w:ascii="Aptos" w:hAnsi="Aptos"/>
        </w:rPr>
        <w:t xml:space="preserve"> for Student</w:t>
      </w:r>
      <w:r w:rsidR="00527B29" w:rsidRPr="00695602">
        <w:rPr>
          <w:rFonts w:ascii="Aptos" w:hAnsi="Aptos"/>
        </w:rPr>
        <w:t xml:space="preserve">. Parents had visited the program in the spring of 2024 and in October 2024 and believed it to be not appropriate for </w:t>
      </w:r>
      <w:r w:rsidR="001876FF" w:rsidRPr="00695602">
        <w:rPr>
          <w:rFonts w:ascii="Aptos" w:hAnsi="Aptos"/>
        </w:rPr>
        <w:t>Student</w:t>
      </w:r>
      <w:r w:rsidR="00527B29" w:rsidRPr="00695602">
        <w:rPr>
          <w:rFonts w:ascii="Aptos" w:hAnsi="Aptos"/>
        </w:rPr>
        <w:t xml:space="preserve">. </w:t>
      </w:r>
      <w:r w:rsidRPr="00695602">
        <w:rPr>
          <w:rFonts w:ascii="Aptos" w:hAnsi="Aptos"/>
        </w:rPr>
        <w:t>Mother</w:t>
      </w:r>
      <w:r w:rsidR="00527B29" w:rsidRPr="00695602">
        <w:rPr>
          <w:rFonts w:ascii="Aptos" w:hAnsi="Aptos"/>
        </w:rPr>
        <w:t xml:space="preserve"> did not observe much interaction or camaraderie among students, the work observed appeared limited, </w:t>
      </w:r>
      <w:r w:rsidR="00B6658E">
        <w:rPr>
          <w:rFonts w:ascii="Aptos" w:hAnsi="Aptos"/>
        </w:rPr>
        <w:t xml:space="preserve">and </w:t>
      </w:r>
      <w:r w:rsidR="00527B29" w:rsidRPr="00695602">
        <w:rPr>
          <w:rFonts w:ascii="Aptos" w:hAnsi="Aptos"/>
        </w:rPr>
        <w:t xml:space="preserve">there were concerns about staffing levels and safety </w:t>
      </w:r>
      <w:r w:rsidR="00B6658E">
        <w:rPr>
          <w:rFonts w:ascii="Aptos" w:hAnsi="Aptos"/>
        </w:rPr>
        <w:t>(</w:t>
      </w:r>
      <w:r w:rsidR="00527B29" w:rsidRPr="00695602">
        <w:rPr>
          <w:rFonts w:ascii="Aptos" w:hAnsi="Aptos"/>
        </w:rPr>
        <w:t xml:space="preserve">nurses had limited experience with students on </w:t>
      </w:r>
      <w:r w:rsidR="001876FF" w:rsidRPr="00695602">
        <w:rPr>
          <w:rFonts w:ascii="Aptos" w:hAnsi="Aptos"/>
        </w:rPr>
        <w:t>Student</w:t>
      </w:r>
      <w:r w:rsidR="00527B29" w:rsidRPr="00695602">
        <w:rPr>
          <w:rFonts w:ascii="Aptos" w:hAnsi="Aptos"/>
        </w:rPr>
        <w:t>’s medication</w:t>
      </w:r>
      <w:r w:rsidR="00B6658E">
        <w:rPr>
          <w:rFonts w:ascii="Aptos" w:hAnsi="Aptos"/>
        </w:rPr>
        <w:t xml:space="preserve">). Further, </w:t>
      </w:r>
      <w:r w:rsidR="00527B29" w:rsidRPr="00695602">
        <w:rPr>
          <w:rFonts w:ascii="Aptos" w:hAnsi="Aptos"/>
        </w:rPr>
        <w:t>she was told</w:t>
      </w:r>
      <w:r w:rsidR="00B6658E">
        <w:rPr>
          <w:rFonts w:ascii="Aptos" w:hAnsi="Aptos"/>
        </w:rPr>
        <w:t xml:space="preserve"> by staff</w:t>
      </w:r>
      <w:r w:rsidR="00527B29" w:rsidRPr="00695602">
        <w:rPr>
          <w:rFonts w:ascii="Aptos" w:hAnsi="Aptos"/>
        </w:rPr>
        <w:t xml:space="preserve"> during a tour r that </w:t>
      </w:r>
      <w:r w:rsidR="001876FF" w:rsidRPr="00695602">
        <w:rPr>
          <w:rFonts w:ascii="Aptos" w:hAnsi="Aptos"/>
        </w:rPr>
        <w:t>Student</w:t>
      </w:r>
      <w:r w:rsidR="00527B29" w:rsidRPr="00695602">
        <w:rPr>
          <w:rFonts w:ascii="Aptos" w:hAnsi="Aptos"/>
        </w:rPr>
        <w:t xml:space="preserve"> should stay at Riverview.</w:t>
      </w:r>
      <w:r w:rsidRPr="00695602">
        <w:rPr>
          <w:rFonts w:ascii="Aptos" w:hAnsi="Aptos"/>
        </w:rPr>
        <w:t xml:space="preserve"> (P-1, P-7, P-12)</w:t>
      </w:r>
    </w:p>
    <w:p w14:paraId="08FFA6E7" w14:textId="77777777" w:rsidR="00661E41" w:rsidRPr="00695602" w:rsidRDefault="00661E41" w:rsidP="00661E41">
      <w:pPr>
        <w:pStyle w:val="Default"/>
        <w:ind w:left="720"/>
        <w:rPr>
          <w:rFonts w:ascii="Aptos" w:hAnsi="Aptos"/>
        </w:rPr>
      </w:pPr>
    </w:p>
    <w:p w14:paraId="6A9A7E02" w14:textId="76DFF67A" w:rsidR="009855DA" w:rsidRPr="00695602" w:rsidRDefault="00527B29" w:rsidP="00EB33B8">
      <w:pPr>
        <w:pStyle w:val="Default"/>
        <w:numPr>
          <w:ilvl w:val="0"/>
          <w:numId w:val="37"/>
        </w:numPr>
        <w:rPr>
          <w:rFonts w:ascii="Aptos" w:hAnsi="Aptos"/>
        </w:rPr>
      </w:pPr>
      <w:r w:rsidRPr="00695602">
        <w:rPr>
          <w:rFonts w:ascii="Aptos" w:hAnsi="Aptos"/>
        </w:rPr>
        <w:t xml:space="preserve">On January 10, 2025, Parents informed Barnstable that they did not plan to place </w:t>
      </w:r>
      <w:r w:rsidR="001876FF" w:rsidRPr="00695602">
        <w:rPr>
          <w:rFonts w:ascii="Aptos" w:hAnsi="Aptos"/>
        </w:rPr>
        <w:t>Student</w:t>
      </w:r>
      <w:r w:rsidRPr="00695602">
        <w:rPr>
          <w:rFonts w:ascii="Aptos" w:hAnsi="Aptos"/>
        </w:rPr>
        <w:t xml:space="preserve"> in the Barnstable High School transition program.</w:t>
      </w:r>
      <w:r w:rsidR="00A63275" w:rsidRPr="00695602">
        <w:rPr>
          <w:rFonts w:ascii="Aptos" w:hAnsi="Aptos"/>
        </w:rPr>
        <w:t xml:space="preserve"> </w:t>
      </w:r>
      <w:r w:rsidR="00592305" w:rsidRPr="00695602">
        <w:rPr>
          <w:rFonts w:ascii="Aptos" w:hAnsi="Aptos"/>
        </w:rPr>
        <w:t xml:space="preserve"> (P-7, P-12</w:t>
      </w:r>
      <w:r w:rsidR="000A09C6" w:rsidRPr="00695602">
        <w:rPr>
          <w:rFonts w:ascii="Aptos" w:hAnsi="Aptos"/>
        </w:rPr>
        <w:t>, S-2</w:t>
      </w:r>
      <w:r w:rsidR="00592305" w:rsidRPr="00695602">
        <w:rPr>
          <w:rFonts w:ascii="Aptos" w:hAnsi="Aptos"/>
        </w:rPr>
        <w:t>)</w:t>
      </w:r>
      <w:r w:rsidR="00592305" w:rsidRPr="00695602">
        <w:rPr>
          <w:rFonts w:ascii="Aptos" w:hAnsi="Aptos"/>
          <w:i/>
          <w:iCs/>
        </w:rPr>
        <w:t xml:space="preserve"> </w:t>
      </w:r>
      <w:r w:rsidRPr="00695602">
        <w:rPr>
          <w:rFonts w:ascii="Aptos" w:hAnsi="Aptos"/>
          <w:i/>
          <w:iCs/>
        </w:rPr>
        <w:t xml:space="preserve"> </w:t>
      </w:r>
    </w:p>
    <w:p w14:paraId="27D94B8A" w14:textId="77777777" w:rsidR="00661E41" w:rsidRPr="00695602" w:rsidRDefault="00661E41" w:rsidP="00661E41">
      <w:pPr>
        <w:pStyle w:val="Default"/>
        <w:ind w:left="720"/>
        <w:rPr>
          <w:rFonts w:ascii="Aptos" w:hAnsi="Aptos"/>
        </w:rPr>
      </w:pPr>
    </w:p>
    <w:p w14:paraId="36AF2367" w14:textId="52B293B4" w:rsidR="009855DA" w:rsidRPr="00695602" w:rsidRDefault="009855DA" w:rsidP="00EB33B8">
      <w:pPr>
        <w:pStyle w:val="Default"/>
        <w:numPr>
          <w:ilvl w:val="0"/>
          <w:numId w:val="37"/>
        </w:numPr>
        <w:rPr>
          <w:rFonts w:ascii="Aptos" w:hAnsi="Aptos"/>
        </w:rPr>
      </w:pPr>
      <w:r w:rsidRPr="009855DA">
        <w:rPr>
          <w:rFonts w:ascii="Aptos" w:hAnsi="Aptos"/>
        </w:rPr>
        <w:t xml:space="preserve">On February 5, 2025, Dr. </w:t>
      </w:r>
      <w:proofErr w:type="spellStart"/>
      <w:r w:rsidRPr="009855DA">
        <w:rPr>
          <w:rFonts w:ascii="Aptos" w:hAnsi="Aptos"/>
        </w:rPr>
        <w:t>Moldover</w:t>
      </w:r>
      <w:proofErr w:type="spellEnd"/>
      <w:r w:rsidRPr="009855DA">
        <w:rPr>
          <w:rFonts w:ascii="Aptos" w:hAnsi="Aptos"/>
        </w:rPr>
        <w:t xml:space="preserve"> observed Barnstable’s proposed transition program. He noted that the program served students who were not expected to live independently as adults or work in competitive employment, and that some students were non-verbal. Based on his observation, Dr. </w:t>
      </w:r>
      <w:proofErr w:type="spellStart"/>
      <w:r w:rsidRPr="009855DA">
        <w:rPr>
          <w:rFonts w:ascii="Aptos" w:hAnsi="Aptos"/>
        </w:rPr>
        <w:t>Moldover</w:t>
      </w:r>
      <w:proofErr w:type="spellEnd"/>
      <w:r w:rsidRPr="009855DA">
        <w:rPr>
          <w:rFonts w:ascii="Aptos" w:hAnsi="Aptos"/>
        </w:rPr>
        <w:t xml:space="preserve"> concluded that the program did not meet Student’s needs or provide sufficient programming for him. (</w:t>
      </w:r>
      <w:r w:rsidRPr="00695602">
        <w:rPr>
          <w:rFonts w:ascii="Aptos" w:hAnsi="Aptos"/>
        </w:rPr>
        <w:t>P-</w:t>
      </w:r>
      <w:r w:rsidRPr="009855DA">
        <w:rPr>
          <w:rFonts w:ascii="Aptos" w:hAnsi="Aptos"/>
        </w:rPr>
        <w:t>2)</w:t>
      </w:r>
    </w:p>
    <w:p w14:paraId="19EF60F2" w14:textId="77777777" w:rsidR="00661E41" w:rsidRPr="00695602" w:rsidRDefault="00661E41" w:rsidP="00661E41">
      <w:pPr>
        <w:pStyle w:val="Default"/>
        <w:ind w:left="720"/>
        <w:rPr>
          <w:rFonts w:ascii="Aptos" w:hAnsi="Aptos"/>
        </w:rPr>
      </w:pPr>
    </w:p>
    <w:p w14:paraId="2B06E5F6" w14:textId="3607D1B3" w:rsidR="00527B29" w:rsidRPr="00695602" w:rsidRDefault="009855DA" w:rsidP="00EB33B8">
      <w:pPr>
        <w:pStyle w:val="Default"/>
        <w:numPr>
          <w:ilvl w:val="0"/>
          <w:numId w:val="37"/>
        </w:numPr>
        <w:rPr>
          <w:rFonts w:ascii="Aptos" w:hAnsi="Aptos"/>
        </w:rPr>
      </w:pPr>
      <w:r w:rsidRPr="009855DA">
        <w:rPr>
          <w:rFonts w:ascii="Aptos" w:hAnsi="Aptos"/>
        </w:rPr>
        <w:t xml:space="preserve">On April 2, 2025, Dr. </w:t>
      </w:r>
      <w:proofErr w:type="spellStart"/>
      <w:r w:rsidRPr="009855DA">
        <w:rPr>
          <w:rFonts w:ascii="Aptos" w:hAnsi="Aptos"/>
        </w:rPr>
        <w:t>Moldover</w:t>
      </w:r>
      <w:proofErr w:type="spellEnd"/>
      <w:r w:rsidRPr="009855DA">
        <w:rPr>
          <w:rFonts w:ascii="Aptos" w:hAnsi="Aptos"/>
        </w:rPr>
        <w:t xml:space="preserve"> observed Student at the Riverview School and consulted with staff regarding the Riverview GROW postsecondary transition program. The GROW program provides a 24-hour, seven-day-per-week residential program with a full-time extended school year, in which students live in residences with round-the-clock staff support, including nursing. The program offers functional academic instruction and a strong emphasis on structured off-campus internships and activities designed to develop vocational and community skills. More than 90% </w:t>
      </w:r>
      <w:r w:rsidRPr="009855DA">
        <w:rPr>
          <w:rFonts w:ascii="Aptos" w:hAnsi="Aptos"/>
        </w:rPr>
        <w:lastRenderedPageBreak/>
        <w:t xml:space="preserve">of students who graduate from the program transition to employment, supportive college programs, or day programming. Following his observation and consultation with staff, Dr. </w:t>
      </w:r>
      <w:proofErr w:type="spellStart"/>
      <w:r w:rsidRPr="009855DA">
        <w:rPr>
          <w:rFonts w:ascii="Aptos" w:hAnsi="Aptos"/>
        </w:rPr>
        <w:t>Moldover</w:t>
      </w:r>
      <w:proofErr w:type="spellEnd"/>
      <w:r w:rsidRPr="009855DA">
        <w:rPr>
          <w:rFonts w:ascii="Aptos" w:hAnsi="Aptos"/>
        </w:rPr>
        <w:t xml:space="preserve"> endorsed Student’s continued placement at Riverview and recommended placement in the GROW program, concluding that such programming was necessary for Student to make progress in vocational skills, social skills, functional academics, community safety, and independent living skills in preparation for future community living. (</w:t>
      </w:r>
      <w:r w:rsidRPr="00695602">
        <w:rPr>
          <w:rFonts w:ascii="Aptos" w:hAnsi="Aptos"/>
        </w:rPr>
        <w:t>P-</w:t>
      </w:r>
      <w:r w:rsidRPr="009855DA">
        <w:rPr>
          <w:rFonts w:ascii="Aptos" w:hAnsi="Aptos"/>
        </w:rPr>
        <w:t>3)</w:t>
      </w:r>
    </w:p>
    <w:p w14:paraId="771CEC1A" w14:textId="77777777" w:rsidR="00661E41" w:rsidRPr="00695602" w:rsidRDefault="00661E41" w:rsidP="00661E41">
      <w:pPr>
        <w:pStyle w:val="Default"/>
        <w:ind w:left="720"/>
        <w:rPr>
          <w:rFonts w:ascii="Aptos" w:hAnsi="Aptos"/>
        </w:rPr>
      </w:pPr>
    </w:p>
    <w:p w14:paraId="4280A4C8" w14:textId="0F66D598" w:rsidR="001326D0" w:rsidRPr="00695602" w:rsidRDefault="001326D0" w:rsidP="00EB33B8">
      <w:pPr>
        <w:pStyle w:val="Default"/>
        <w:numPr>
          <w:ilvl w:val="0"/>
          <w:numId w:val="37"/>
        </w:numPr>
        <w:rPr>
          <w:rFonts w:ascii="Aptos" w:hAnsi="Aptos"/>
        </w:rPr>
      </w:pPr>
      <w:r w:rsidRPr="00695602">
        <w:rPr>
          <w:rFonts w:ascii="Aptos" w:hAnsi="Aptos"/>
        </w:rPr>
        <w:t xml:space="preserve">On May 1, 2025, Barnstable convened a Team meeting to review Dr. </w:t>
      </w:r>
      <w:proofErr w:type="spellStart"/>
      <w:r w:rsidRPr="00695602">
        <w:rPr>
          <w:rFonts w:ascii="Aptos" w:hAnsi="Aptos"/>
        </w:rPr>
        <w:t>Moldover’s</w:t>
      </w:r>
      <w:proofErr w:type="spellEnd"/>
      <w:r w:rsidRPr="00695602">
        <w:rPr>
          <w:rFonts w:ascii="Aptos" w:hAnsi="Aptos"/>
        </w:rPr>
        <w:t xml:space="preserve"> evaluation and observations and to discuss Student’s IEP programming and placement. Although Barnstable agreed with the results of Dr. </w:t>
      </w:r>
      <w:proofErr w:type="spellStart"/>
      <w:r w:rsidRPr="00695602">
        <w:rPr>
          <w:rFonts w:ascii="Aptos" w:hAnsi="Aptos"/>
        </w:rPr>
        <w:t>Moldover’s</w:t>
      </w:r>
      <w:proofErr w:type="spellEnd"/>
      <w:r w:rsidRPr="00695602">
        <w:rPr>
          <w:rFonts w:ascii="Aptos" w:hAnsi="Aptos"/>
        </w:rPr>
        <w:t xml:space="preserve"> evaluation, it rejected his recommendation for residential placement in Riverview’s GROW Program, asserting that the Barnstable High School transition program was appropriate for Student. Following the meeting, Barnstable issued an IEP Amendment with a notice date of May 8, 2025, proposing a Transition Assessment. The Amendment also extended Student’s IEP through September 30, 2025 and provided for extended school year services consisting of four hours per day, three days per week for five weeks, totaling 60 hours, in an in-district program. (P-9)</w:t>
      </w:r>
    </w:p>
    <w:p w14:paraId="63BA0BC3" w14:textId="77777777" w:rsidR="00661E41" w:rsidRPr="00695602" w:rsidRDefault="00661E41" w:rsidP="00661E41">
      <w:pPr>
        <w:pStyle w:val="Default"/>
        <w:ind w:left="720"/>
        <w:rPr>
          <w:rFonts w:ascii="Aptos" w:hAnsi="Aptos"/>
        </w:rPr>
      </w:pPr>
    </w:p>
    <w:p w14:paraId="08A697F1" w14:textId="235FAE90" w:rsidR="00C63560" w:rsidRPr="00D40BC6" w:rsidRDefault="00C03851" w:rsidP="00D40BC6">
      <w:pPr>
        <w:pStyle w:val="Default"/>
        <w:numPr>
          <w:ilvl w:val="0"/>
          <w:numId w:val="37"/>
        </w:numPr>
        <w:rPr>
          <w:rFonts w:ascii="Aptos" w:hAnsi="Aptos"/>
        </w:rPr>
      </w:pPr>
      <w:r w:rsidRPr="00695602">
        <w:rPr>
          <w:rFonts w:ascii="Aptos" w:hAnsi="Aptos"/>
        </w:rPr>
        <w:t xml:space="preserve">On or about May 9, 2025, and as later supplemented on May 27, 2025, </w:t>
      </w:r>
      <w:r w:rsidR="002354EE" w:rsidRPr="00695602">
        <w:rPr>
          <w:rFonts w:ascii="Aptos" w:hAnsi="Aptos"/>
        </w:rPr>
        <w:t xml:space="preserve">Parents expressed their intent to the District to unilaterally enroll Student in the Riverview GROW Program if Barnstable did not agree with the placement: </w:t>
      </w:r>
    </w:p>
    <w:p w14:paraId="71286971" w14:textId="2D0735C5" w:rsidR="002354EE" w:rsidRDefault="002354EE" w:rsidP="00EB33B8">
      <w:pPr>
        <w:pStyle w:val="Default"/>
        <w:ind w:left="1440"/>
        <w:rPr>
          <w:rFonts w:ascii="Aptos" w:hAnsi="Aptos"/>
          <w:i/>
          <w:iCs/>
        </w:rPr>
      </w:pPr>
      <w:r w:rsidRPr="00695602">
        <w:rPr>
          <w:rFonts w:ascii="Aptos" w:hAnsi="Aptos"/>
        </w:rPr>
        <w:t xml:space="preserve">“We continue to request that Student be placed in the Riverview GROW Program as a residential student. If Barnstable does not agree with this placement, we intend to place Student at Riverview and seek reimbursement from the school district for all expenses related to the placement there.” </w:t>
      </w:r>
      <w:r w:rsidR="00435007" w:rsidRPr="00695602">
        <w:rPr>
          <w:rFonts w:ascii="Aptos" w:hAnsi="Aptos"/>
          <w:i/>
          <w:iCs/>
        </w:rPr>
        <w:t xml:space="preserve"> </w:t>
      </w:r>
    </w:p>
    <w:p w14:paraId="6BA9E7E3" w14:textId="1D4B7937" w:rsidR="002354EE" w:rsidRPr="00695602" w:rsidRDefault="002354EE" w:rsidP="00EB33B8">
      <w:pPr>
        <w:pStyle w:val="Default"/>
        <w:ind w:left="720"/>
        <w:rPr>
          <w:rFonts w:ascii="Aptos" w:hAnsi="Aptos"/>
        </w:rPr>
      </w:pPr>
      <w:r w:rsidRPr="00695602">
        <w:rPr>
          <w:rFonts w:ascii="Aptos" w:hAnsi="Aptos"/>
        </w:rPr>
        <w:t xml:space="preserve">On or about May 27, 2025, the District responded, citing the Agreement and its limits; specifically, that Barnstable shall have no liability for or obligation to continue Student in the Riverview transition program or any other program associated with the Riverview School. </w:t>
      </w:r>
      <w:r w:rsidR="00EA32A7" w:rsidRPr="00695602">
        <w:rPr>
          <w:rFonts w:ascii="Aptos" w:hAnsi="Aptos"/>
        </w:rPr>
        <w:t>(P-9, S-2)</w:t>
      </w:r>
    </w:p>
    <w:p w14:paraId="1EABF91E" w14:textId="77777777" w:rsidR="00CC41D8" w:rsidRPr="00695602" w:rsidRDefault="00CC41D8" w:rsidP="00CC41D8">
      <w:pPr>
        <w:pStyle w:val="Default"/>
        <w:ind w:left="720"/>
        <w:rPr>
          <w:rFonts w:ascii="Aptos" w:hAnsi="Aptos"/>
        </w:rPr>
      </w:pPr>
    </w:p>
    <w:p w14:paraId="73E76AB5" w14:textId="7D4D62C8" w:rsidR="00D200B4" w:rsidRPr="00695602" w:rsidRDefault="000A1132" w:rsidP="00EB33B8">
      <w:pPr>
        <w:pStyle w:val="Default"/>
        <w:numPr>
          <w:ilvl w:val="0"/>
          <w:numId w:val="37"/>
        </w:numPr>
        <w:rPr>
          <w:rFonts w:ascii="Aptos" w:hAnsi="Aptos"/>
        </w:rPr>
      </w:pPr>
      <w:r w:rsidRPr="00695602">
        <w:rPr>
          <w:rFonts w:ascii="Aptos" w:hAnsi="Aptos"/>
        </w:rPr>
        <w:t xml:space="preserve">Over the summer of 2025, </w:t>
      </w:r>
      <w:r w:rsidR="00EB33B8" w:rsidRPr="00695602">
        <w:rPr>
          <w:rFonts w:ascii="Aptos" w:hAnsi="Aptos"/>
        </w:rPr>
        <w:t xml:space="preserve">a </w:t>
      </w:r>
      <w:r w:rsidRPr="00695602">
        <w:rPr>
          <w:rFonts w:ascii="Aptos" w:hAnsi="Aptos"/>
        </w:rPr>
        <w:t xml:space="preserve">Barnstable Transition Specialist conducted a transition assessment, </w:t>
      </w:r>
      <w:r w:rsidR="00C97997" w:rsidRPr="00695602">
        <w:rPr>
          <w:rFonts w:ascii="Aptos" w:hAnsi="Aptos"/>
        </w:rPr>
        <w:t>which</w:t>
      </w:r>
      <w:r w:rsidRPr="00695602">
        <w:rPr>
          <w:rFonts w:ascii="Aptos" w:hAnsi="Aptos"/>
        </w:rPr>
        <w:t xml:space="preserve"> identified continued needs in independent living skills, including cooking, laundry, cleaning, shopping, money management, health management, and independent community travel</w:t>
      </w:r>
      <w:r w:rsidR="005C6CF9">
        <w:rPr>
          <w:rFonts w:ascii="Aptos" w:hAnsi="Aptos"/>
        </w:rPr>
        <w:t>.</w:t>
      </w:r>
      <w:r w:rsidR="00073DE4" w:rsidRPr="00695602">
        <w:rPr>
          <w:rFonts w:ascii="Aptos" w:hAnsi="Aptos"/>
        </w:rPr>
        <w:t xml:space="preserve"> </w:t>
      </w:r>
      <w:r w:rsidR="005C6CF9">
        <w:rPr>
          <w:rFonts w:ascii="Aptos" w:hAnsi="Aptos"/>
        </w:rPr>
        <w:t xml:space="preserve">The </w:t>
      </w:r>
      <w:r w:rsidR="0020763B">
        <w:rPr>
          <w:rFonts w:ascii="Aptos" w:hAnsi="Aptos"/>
        </w:rPr>
        <w:t>evaluator</w:t>
      </w:r>
      <w:r w:rsidRPr="00695602">
        <w:rPr>
          <w:rFonts w:ascii="Aptos" w:hAnsi="Aptos"/>
        </w:rPr>
        <w:t xml:space="preserve"> recommended that Student receive a program offering hands-on vocational training and explicit instruction in independent living, travel training, and community engagement, with IEP goals focused on functional academics, self-advocacy, and real-world application of skills. (P-5)</w:t>
      </w:r>
    </w:p>
    <w:p w14:paraId="26140C24" w14:textId="77777777" w:rsidR="00CC41D8" w:rsidRPr="00695602" w:rsidRDefault="00CC41D8" w:rsidP="00CC41D8">
      <w:pPr>
        <w:pStyle w:val="Default"/>
        <w:ind w:left="720"/>
        <w:rPr>
          <w:rFonts w:ascii="Aptos" w:hAnsi="Aptos"/>
        </w:rPr>
      </w:pPr>
    </w:p>
    <w:p w14:paraId="0FF5A3E8" w14:textId="1B910907" w:rsidR="008F47FC" w:rsidRPr="00695602" w:rsidRDefault="00B32291" w:rsidP="00EB33B8">
      <w:pPr>
        <w:pStyle w:val="Default"/>
        <w:numPr>
          <w:ilvl w:val="0"/>
          <w:numId w:val="37"/>
        </w:numPr>
        <w:rPr>
          <w:rFonts w:ascii="Aptos" w:hAnsi="Aptos"/>
        </w:rPr>
      </w:pPr>
      <w:r w:rsidRPr="00695602">
        <w:rPr>
          <w:rFonts w:ascii="Aptos" w:hAnsi="Aptos"/>
        </w:rPr>
        <w:t xml:space="preserve">On July 21, 2025, Parents obtained an independent Transition Planning Assessment and Consultation conducted by Kristen Simon of NESCA. After administering multiple assessments, interviewing Student, his parents, and his teacher, and reviewing records, Ms. Simon concluded that although Student had made </w:t>
      </w:r>
      <w:r w:rsidRPr="00695602">
        <w:rPr>
          <w:rFonts w:ascii="Aptos" w:hAnsi="Aptos"/>
        </w:rPr>
        <w:lastRenderedPageBreak/>
        <w:t xml:space="preserve">meaningful progress during high school and demonstrated several strengths, he continued to require intensive, individualized intervention to achieve his postsecondary goals. She identified ongoing needs related to reasoning and problem-solving, functional communication, safety awareness, emotional vulnerability, self-determination, community skills, and vocational development. Ms. Simon recommended placement in a comprehensive, year-round residential special education program with robust transition services and endorsed Dr. </w:t>
      </w:r>
      <w:proofErr w:type="spellStart"/>
      <w:r w:rsidRPr="00695602">
        <w:rPr>
          <w:rFonts w:ascii="Aptos" w:hAnsi="Aptos"/>
        </w:rPr>
        <w:t>Moldover’s</w:t>
      </w:r>
      <w:proofErr w:type="spellEnd"/>
      <w:r w:rsidRPr="00695602">
        <w:rPr>
          <w:rFonts w:ascii="Aptos" w:hAnsi="Aptos"/>
        </w:rPr>
        <w:t xml:space="preserve"> recommendation that Student remain at Riverview and participate in the GROW transition program, noting that removing him from Riverview could increase anxiety and disrupt the stability and relationships he had developed there. (P-4)</w:t>
      </w:r>
    </w:p>
    <w:p w14:paraId="471D7A6A" w14:textId="77777777" w:rsidR="00CC41D8" w:rsidRPr="00695602" w:rsidRDefault="00CC41D8" w:rsidP="00CC41D8">
      <w:pPr>
        <w:pStyle w:val="ListParagraph"/>
        <w:rPr>
          <w:rFonts w:ascii="Aptos" w:hAnsi="Aptos"/>
          <w:color w:val="000000"/>
        </w:rPr>
      </w:pPr>
    </w:p>
    <w:p w14:paraId="133B36CE" w14:textId="6A227633" w:rsidR="0003015D" w:rsidRPr="00695602" w:rsidRDefault="0003015D" w:rsidP="00EB33B8">
      <w:pPr>
        <w:pStyle w:val="ListParagraph"/>
        <w:numPr>
          <w:ilvl w:val="0"/>
          <w:numId w:val="37"/>
        </w:numPr>
        <w:rPr>
          <w:rFonts w:ascii="Aptos" w:hAnsi="Aptos"/>
          <w:color w:val="000000"/>
        </w:rPr>
      </w:pPr>
      <w:r w:rsidRPr="00695602">
        <w:rPr>
          <w:rFonts w:ascii="Aptos" w:hAnsi="Aptos"/>
          <w:color w:val="000000"/>
        </w:rPr>
        <w:t>In summer 2025, Student attended the Riverview GROW summer program as a residential student and continued in the Riverview GROW Program as a residential student for the 2025–2026 school year. (P-1, P-4, P-11)</w:t>
      </w:r>
    </w:p>
    <w:p w14:paraId="558156D5" w14:textId="77777777" w:rsidR="00CC41D8" w:rsidRPr="00695602" w:rsidRDefault="00CC41D8" w:rsidP="00CC41D8">
      <w:pPr>
        <w:pStyle w:val="ListParagraph"/>
        <w:rPr>
          <w:rFonts w:ascii="Aptos" w:hAnsi="Aptos"/>
          <w:color w:val="000000"/>
        </w:rPr>
      </w:pPr>
    </w:p>
    <w:p w14:paraId="61B227FE" w14:textId="50EDFFF6" w:rsidR="0003015D" w:rsidRPr="00695602" w:rsidRDefault="0003015D" w:rsidP="00EB33B8">
      <w:pPr>
        <w:pStyle w:val="ListParagraph"/>
        <w:numPr>
          <w:ilvl w:val="0"/>
          <w:numId w:val="37"/>
        </w:numPr>
        <w:rPr>
          <w:rFonts w:ascii="Aptos" w:hAnsi="Aptos"/>
          <w:color w:val="000000"/>
        </w:rPr>
      </w:pPr>
      <w:r w:rsidRPr="00695602">
        <w:rPr>
          <w:rFonts w:ascii="Aptos" w:hAnsi="Aptos"/>
          <w:color w:val="000000"/>
        </w:rPr>
        <w:t>On September 24, 2025, the Team convened to review the transition assessment results, develop a new IEP, and discuss placement. Barnstable issued an IEP for the period September 24, 2025 through September 24, 2026, proposing placement in the Barnstable High School transition program and noting a projected program completion date of December 13, 2028, with the expectation that Student would access transition services until age 22. Parents submitted a written concern statement highlighting Student’s significant progress in the Riverview GROW program, the need for across-the-day instruction, and his difficulty generalizing skills without residential support. (P-10)</w:t>
      </w:r>
    </w:p>
    <w:p w14:paraId="6C27E468" w14:textId="77777777" w:rsidR="00CC41D8" w:rsidRPr="00695602" w:rsidRDefault="00CC41D8" w:rsidP="00CC41D8">
      <w:pPr>
        <w:pStyle w:val="ListParagraph"/>
        <w:rPr>
          <w:rFonts w:ascii="Aptos" w:hAnsi="Aptos"/>
          <w:color w:val="000000"/>
        </w:rPr>
      </w:pPr>
    </w:p>
    <w:p w14:paraId="0AB52D18" w14:textId="5DED1ABE" w:rsidR="0003015D" w:rsidRPr="00695602" w:rsidRDefault="0003015D" w:rsidP="00EB33B8">
      <w:pPr>
        <w:pStyle w:val="ListParagraph"/>
        <w:numPr>
          <w:ilvl w:val="0"/>
          <w:numId w:val="37"/>
        </w:numPr>
        <w:rPr>
          <w:rFonts w:ascii="Aptos" w:hAnsi="Aptos"/>
          <w:color w:val="000000"/>
        </w:rPr>
      </w:pPr>
      <w:r w:rsidRPr="00695602">
        <w:rPr>
          <w:rFonts w:ascii="Aptos" w:hAnsi="Aptos"/>
          <w:color w:val="000000"/>
        </w:rPr>
        <w:t>In a letter dated October 15, 2025, Parents partially rejected the IEP and rejected the proposed placement, asserting that it denied Student a free appropriate public education. Their concerns included the absence of residential programming, removal of services and accommodations, insufficient goals, and inadequate ESY services. Parents also noted that the IEP did not include speech-language, counseling, or clinical services despite identifying communication, anxiety, social understanding, and emotional regulation needs. Parents again requested placement at Riverview GROW and reiterated their intent to seek reimbursement for the private placement. (P-11)</w:t>
      </w:r>
    </w:p>
    <w:p w14:paraId="03E98A5E" w14:textId="77777777" w:rsidR="00CC41D8" w:rsidRPr="004940D7" w:rsidRDefault="00CC41D8" w:rsidP="004940D7">
      <w:pPr>
        <w:rPr>
          <w:rFonts w:ascii="Aptos" w:hAnsi="Aptos"/>
          <w:color w:val="000000"/>
        </w:rPr>
      </w:pPr>
    </w:p>
    <w:p w14:paraId="180C8D6E" w14:textId="6155C08A" w:rsidR="007F0A44" w:rsidRPr="00695602" w:rsidRDefault="00922D8C" w:rsidP="00EB33B8">
      <w:pPr>
        <w:pStyle w:val="ListParagraph"/>
        <w:numPr>
          <w:ilvl w:val="0"/>
          <w:numId w:val="37"/>
        </w:numPr>
        <w:rPr>
          <w:rFonts w:ascii="Aptos" w:hAnsi="Aptos"/>
          <w:color w:val="000000"/>
        </w:rPr>
      </w:pPr>
      <w:r w:rsidRPr="00695602">
        <w:rPr>
          <w:rFonts w:ascii="Aptos" w:hAnsi="Aptos"/>
        </w:rPr>
        <w:t xml:space="preserve">On </w:t>
      </w:r>
      <w:r w:rsidR="000A5F46" w:rsidRPr="00695602">
        <w:rPr>
          <w:rFonts w:ascii="Aptos" w:hAnsi="Aptos"/>
        </w:rPr>
        <w:t>January 23, 2026</w:t>
      </w:r>
      <w:r w:rsidRPr="00695602">
        <w:rPr>
          <w:rFonts w:ascii="Aptos" w:hAnsi="Aptos"/>
        </w:rPr>
        <w:t>, Parents filed a</w:t>
      </w:r>
      <w:r w:rsidR="008C44B1" w:rsidRPr="00695602">
        <w:rPr>
          <w:rFonts w:ascii="Aptos" w:hAnsi="Aptos"/>
        </w:rPr>
        <w:t xml:space="preserve"> Due Process Complaint, seek</w:t>
      </w:r>
      <w:r w:rsidR="00EE336F" w:rsidRPr="00695602">
        <w:rPr>
          <w:rFonts w:ascii="Aptos" w:hAnsi="Aptos"/>
        </w:rPr>
        <w:t>ing</w:t>
      </w:r>
      <w:r w:rsidR="008C44B1" w:rsidRPr="00695602">
        <w:rPr>
          <w:rFonts w:ascii="Aptos" w:hAnsi="Aptos"/>
        </w:rPr>
        <w:t xml:space="preserve"> a determination that the IEP dated December 5, 2024 to September 30, 2025 amended in May 2025 and the IEP dated September 24, 2025 to September 24, 2026 denied </w:t>
      </w:r>
      <w:r w:rsidR="001876FF" w:rsidRPr="00695602">
        <w:rPr>
          <w:rFonts w:ascii="Aptos" w:hAnsi="Aptos"/>
        </w:rPr>
        <w:t>Student</w:t>
      </w:r>
      <w:r w:rsidR="008C44B1" w:rsidRPr="00695602">
        <w:rPr>
          <w:rFonts w:ascii="Aptos" w:hAnsi="Aptos"/>
        </w:rPr>
        <w:t xml:space="preserve"> a free appropriate public education (“FAPE”) and that </w:t>
      </w:r>
      <w:r w:rsidR="001876FF" w:rsidRPr="00695602">
        <w:rPr>
          <w:rFonts w:ascii="Aptos" w:hAnsi="Aptos"/>
        </w:rPr>
        <w:t>Student</w:t>
      </w:r>
      <w:r w:rsidR="008C44B1" w:rsidRPr="00695602">
        <w:rPr>
          <w:rFonts w:ascii="Aptos" w:hAnsi="Aptos"/>
        </w:rPr>
        <w:t xml:space="preserve"> required placement in a residential school beginning with ESY 2025. Parents further seek orders compelling Barnstable to reimburse Parents for all costs associated with </w:t>
      </w:r>
      <w:r w:rsidR="001876FF" w:rsidRPr="00695602">
        <w:rPr>
          <w:rFonts w:ascii="Aptos" w:hAnsi="Aptos"/>
        </w:rPr>
        <w:t>Student</w:t>
      </w:r>
      <w:r w:rsidR="008C44B1" w:rsidRPr="00695602">
        <w:rPr>
          <w:rFonts w:ascii="Aptos" w:hAnsi="Aptos"/>
        </w:rPr>
        <w:t xml:space="preserve">’s privately funded placement at Riverview’s GROW Program from July 2025 through the date of the Order and placing </w:t>
      </w:r>
      <w:r w:rsidR="001876FF" w:rsidRPr="00695602">
        <w:rPr>
          <w:rFonts w:ascii="Aptos" w:hAnsi="Aptos"/>
        </w:rPr>
        <w:t>Student</w:t>
      </w:r>
      <w:r w:rsidR="008C44B1" w:rsidRPr="00695602">
        <w:rPr>
          <w:rFonts w:ascii="Aptos" w:hAnsi="Aptos"/>
        </w:rPr>
        <w:t xml:space="preserve"> in a residential school, specifically at the Riverview School GROW Program. </w:t>
      </w:r>
    </w:p>
    <w:p w14:paraId="5E3AAA39" w14:textId="77777777" w:rsidR="00CC41D8" w:rsidRPr="00695602" w:rsidRDefault="00CC41D8" w:rsidP="002D1064">
      <w:pPr>
        <w:rPr>
          <w:rFonts w:ascii="Aptos" w:hAnsi="Aptos"/>
          <w:color w:val="000000"/>
        </w:rPr>
      </w:pPr>
    </w:p>
    <w:p w14:paraId="6E67924A" w14:textId="3BC2A615" w:rsidR="00A01D7B" w:rsidRPr="00695602" w:rsidRDefault="001A4757" w:rsidP="00EB33B8">
      <w:pPr>
        <w:rPr>
          <w:rFonts w:ascii="Aptos" w:hAnsi="Aptos"/>
          <w:b/>
          <w:color w:val="000000" w:themeColor="text1"/>
        </w:rPr>
      </w:pPr>
      <w:r w:rsidRPr="00695602">
        <w:rPr>
          <w:rFonts w:ascii="Aptos" w:hAnsi="Aptos"/>
          <w:b/>
          <w:color w:val="000000" w:themeColor="text1"/>
        </w:rPr>
        <w:t>LEGAL STANDARD</w:t>
      </w:r>
      <w:r w:rsidR="00A01D7B" w:rsidRPr="00695602">
        <w:rPr>
          <w:rFonts w:ascii="Aptos" w:hAnsi="Aptos"/>
          <w:b/>
          <w:color w:val="000000" w:themeColor="text1"/>
        </w:rPr>
        <w:t>S</w:t>
      </w:r>
      <w:r w:rsidRPr="00695602">
        <w:rPr>
          <w:rFonts w:ascii="Aptos" w:hAnsi="Aptos"/>
          <w:b/>
          <w:color w:val="000000" w:themeColor="text1"/>
        </w:rPr>
        <w:t>:</w:t>
      </w:r>
    </w:p>
    <w:p w14:paraId="4B6F97A7" w14:textId="77777777" w:rsidR="00371F5F" w:rsidRPr="00695602" w:rsidRDefault="00371F5F" w:rsidP="00EB33B8">
      <w:pPr>
        <w:rPr>
          <w:rFonts w:ascii="Aptos" w:hAnsi="Aptos"/>
          <w:b/>
          <w:color w:val="000000" w:themeColor="text1"/>
        </w:rPr>
      </w:pPr>
    </w:p>
    <w:p w14:paraId="5A2AEC93" w14:textId="77777777" w:rsidR="00371F5F" w:rsidRPr="00695602" w:rsidRDefault="00371F5F" w:rsidP="00EB33B8">
      <w:pPr>
        <w:pStyle w:val="ListParagraph"/>
        <w:numPr>
          <w:ilvl w:val="0"/>
          <w:numId w:val="18"/>
        </w:numPr>
        <w:rPr>
          <w:rFonts w:ascii="Aptos" w:hAnsi="Aptos" w:cs="Open Sans"/>
          <w:color w:val="000000" w:themeColor="text1"/>
          <w:u w:val="single"/>
        </w:rPr>
      </w:pPr>
      <w:r w:rsidRPr="00695602">
        <w:rPr>
          <w:rFonts w:ascii="Aptos" w:hAnsi="Aptos" w:cs="Open Sans"/>
          <w:color w:val="000000" w:themeColor="text1"/>
          <w:u w:val="single"/>
        </w:rPr>
        <w:t>Summary Judgment</w:t>
      </w:r>
    </w:p>
    <w:p w14:paraId="5C5DE5DB" w14:textId="77777777" w:rsidR="00371F5F" w:rsidRPr="00695602" w:rsidRDefault="00371F5F" w:rsidP="00EB33B8">
      <w:pPr>
        <w:rPr>
          <w:rFonts w:ascii="Aptos" w:hAnsi="Aptos" w:cs="Open Sans"/>
          <w:color w:val="000000" w:themeColor="text1"/>
        </w:rPr>
      </w:pPr>
    </w:p>
    <w:p w14:paraId="6C6F3374" w14:textId="0BB36CE2" w:rsidR="00417E4C" w:rsidRPr="00695602" w:rsidRDefault="00417E4C" w:rsidP="00EB33B8">
      <w:pPr>
        <w:shd w:val="clear" w:color="auto" w:fill="FFFFFF"/>
        <w:rPr>
          <w:rFonts w:ascii="Aptos" w:hAnsi="Aptos"/>
          <w:color w:val="000000" w:themeColor="text1"/>
        </w:rPr>
      </w:pPr>
      <w:r w:rsidRPr="00695602">
        <w:rPr>
          <w:rFonts w:ascii="Aptos" w:hAnsi="Aptos"/>
          <w:color w:val="000000" w:themeColor="text1"/>
        </w:rPr>
        <w:t>To determine whether summary judgment may be granted in this matter, I apply the summary judgment standard to the relevant procedural and substantive law – in this case, the law regarding the role of the BSEA where parties have entered into a private settlement agreement.</w:t>
      </w:r>
    </w:p>
    <w:p w14:paraId="26AE2D9B" w14:textId="77777777" w:rsidR="00417E4C" w:rsidRPr="00695602" w:rsidRDefault="00417E4C" w:rsidP="00EB33B8">
      <w:pPr>
        <w:shd w:val="clear" w:color="auto" w:fill="FFFFFF"/>
        <w:rPr>
          <w:rFonts w:ascii="Aptos" w:hAnsi="Aptos"/>
          <w:color w:val="000000" w:themeColor="text1"/>
        </w:rPr>
      </w:pPr>
    </w:p>
    <w:p w14:paraId="345154A1" w14:textId="7F7FFF39" w:rsidR="00391775" w:rsidRPr="00695602" w:rsidRDefault="00391775" w:rsidP="00EB33B8">
      <w:pPr>
        <w:shd w:val="clear" w:color="auto" w:fill="FFFFFF"/>
        <w:rPr>
          <w:rFonts w:ascii="Aptos" w:hAnsi="Aptos"/>
          <w:color w:val="000000" w:themeColor="text1"/>
        </w:rPr>
      </w:pPr>
      <w:r w:rsidRPr="00695602">
        <w:rPr>
          <w:rFonts w:ascii="Aptos" w:hAnsi="Aptos"/>
          <w:color w:val="000000" w:themeColor="text1"/>
        </w:rPr>
        <w:t>Pursuant to 801 CMR 1.01(7)(h), summary decision may be granted when there is “no genuine issue of fact relating to all or part of a claim or defense and [the moving party] is entitled to prevail as a matter of law.”</w:t>
      </w:r>
      <w:r w:rsidRPr="00695602">
        <w:rPr>
          <w:rStyle w:val="FootnoteReference"/>
          <w:rFonts w:ascii="Aptos" w:hAnsi="Aptos"/>
          <w:color w:val="000000" w:themeColor="text1"/>
        </w:rPr>
        <w:footnoteReference w:id="3"/>
      </w:r>
      <w:r w:rsidRPr="00695602">
        <w:rPr>
          <w:rFonts w:ascii="Aptos" w:hAnsi="Aptos"/>
          <w:color w:val="000000" w:themeColor="text1"/>
        </w:rPr>
        <w:t xml:space="preserve"> </w:t>
      </w:r>
      <w:r w:rsidRPr="00695602">
        <w:rPr>
          <w:rFonts w:ascii="Aptos" w:hAnsi="Aptos"/>
          <w:color w:val="000000" w:themeColor="text1"/>
          <w:shd w:val="clear" w:color="auto" w:fill="FFFFFF"/>
        </w:rPr>
        <w:t>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695602">
        <w:rPr>
          <w:rStyle w:val="FootnoteReference"/>
          <w:rFonts w:ascii="Aptos" w:hAnsi="Aptos"/>
          <w:color w:val="000000" w:themeColor="text1"/>
          <w:shd w:val="clear" w:color="auto" w:fill="FFFFFF"/>
        </w:rPr>
        <w:footnoteReference w:id="4"/>
      </w:r>
      <w:r w:rsidRPr="00695602">
        <w:rPr>
          <w:rFonts w:ascii="Aptos" w:hAnsi="Aptos"/>
          <w:color w:val="000000" w:themeColor="text1"/>
        </w:rPr>
        <w:t xml:space="preserve"> A genuine dispute as to a material fact exists if a fact that “carries with it the potential to affect the outcome of the suit” is disputed such that “a reasonable [fact-finder] could resolve the point in the favor of the non-moving party.”</w:t>
      </w:r>
      <w:r w:rsidRPr="00695602">
        <w:rPr>
          <w:rStyle w:val="FootnoteReference"/>
          <w:rFonts w:ascii="Aptos" w:hAnsi="Aptos"/>
          <w:color w:val="000000" w:themeColor="text1"/>
        </w:rPr>
        <w:footnoteReference w:id="5"/>
      </w:r>
      <w:r w:rsidRPr="00695602">
        <w:rPr>
          <w:rFonts w:ascii="Aptos" w:hAnsi="Aptos"/>
          <w:color w:val="000000" w:themeColor="text1"/>
        </w:rPr>
        <w:t xml:space="preserve"> “As to materiality, the substantive law will identify which facts are material. Only disputes over facts that might affect the outcome of the suit under the governing law will properly preclude the entry of</w:t>
      </w:r>
      <w:r w:rsidRPr="00695602">
        <w:rPr>
          <w:rStyle w:val="apple-converted-space"/>
          <w:rFonts w:ascii="Aptos" w:hAnsi="Aptos"/>
          <w:color w:val="000000" w:themeColor="text1"/>
        </w:rPr>
        <w:t> </w:t>
      </w:r>
      <w:r w:rsidRPr="00695602">
        <w:rPr>
          <w:rStyle w:val="coconcept4349"/>
          <w:rFonts w:ascii="Aptos" w:hAnsi="Aptos"/>
          <w:color w:val="000000" w:themeColor="text1"/>
          <w:bdr w:val="none" w:sz="0" w:space="0" w:color="auto" w:frame="1"/>
          <w:shd w:val="clear" w:color="auto" w:fill="FFFFFF"/>
        </w:rPr>
        <w:t>summary</w:t>
      </w:r>
      <w:r w:rsidRPr="00695602">
        <w:rPr>
          <w:rStyle w:val="apple-converted-space"/>
          <w:rFonts w:ascii="Aptos" w:hAnsi="Aptos"/>
          <w:color w:val="000000" w:themeColor="text1"/>
        </w:rPr>
        <w:t> </w:t>
      </w:r>
      <w:r w:rsidRPr="00695602">
        <w:rPr>
          <w:rStyle w:val="coconcept5158"/>
          <w:rFonts w:ascii="Aptos" w:hAnsi="Aptos"/>
          <w:color w:val="000000" w:themeColor="text1"/>
          <w:bdr w:val="none" w:sz="0" w:space="0" w:color="auto" w:frame="1"/>
          <w:shd w:val="clear" w:color="auto" w:fill="FFFFFF"/>
        </w:rPr>
        <w:t>judgment</w:t>
      </w:r>
      <w:r w:rsidRPr="00695602">
        <w:rPr>
          <w:rFonts w:ascii="Aptos" w:hAnsi="Aptos"/>
          <w:color w:val="000000" w:themeColor="text1"/>
        </w:rPr>
        <w:t>. Factual disputes that are irrelevant or unnecessary will not be counted.</w:t>
      </w:r>
      <w:r w:rsidRPr="00695602">
        <w:rPr>
          <w:rStyle w:val="apple-converted-space"/>
          <w:rFonts w:ascii="Aptos" w:hAnsi="Aptos"/>
          <w:color w:val="000000" w:themeColor="text1"/>
        </w:rPr>
        <w:t>”</w:t>
      </w:r>
      <w:r w:rsidRPr="00695602">
        <w:rPr>
          <w:rStyle w:val="FootnoteReference"/>
          <w:rFonts w:ascii="Aptos" w:hAnsi="Aptos"/>
          <w:color w:val="000000" w:themeColor="text1"/>
          <w:bdr w:val="none" w:sz="0" w:space="0" w:color="auto" w:frame="1"/>
        </w:rPr>
        <w:footnoteReference w:id="6"/>
      </w:r>
    </w:p>
    <w:p w14:paraId="2F2864A1" w14:textId="77777777" w:rsidR="00391775" w:rsidRPr="00695602" w:rsidRDefault="00391775" w:rsidP="00EB33B8">
      <w:pPr>
        <w:shd w:val="clear" w:color="auto" w:fill="FFFFFF"/>
        <w:rPr>
          <w:rFonts w:ascii="Aptos" w:hAnsi="Aptos"/>
          <w:color w:val="000000" w:themeColor="text1"/>
        </w:rPr>
      </w:pPr>
      <w:r w:rsidRPr="00695602">
        <w:rPr>
          <w:rFonts w:ascii="Aptos" w:hAnsi="Aptos"/>
          <w:color w:val="000000" w:themeColor="text1"/>
        </w:rPr>
        <w:br/>
        <w:t>The moving party bears the burden of proof, and all evidence and inferences must be viewed in the light most favorable to the party opposing summary judgment.</w:t>
      </w:r>
      <w:r w:rsidRPr="00695602">
        <w:rPr>
          <w:rStyle w:val="FootnoteReference"/>
          <w:rFonts w:ascii="Aptos" w:hAnsi="Aptos"/>
          <w:color w:val="000000" w:themeColor="text1"/>
        </w:rPr>
        <w:footnoteReference w:id="7"/>
      </w:r>
      <w:r w:rsidRPr="00695602">
        <w:rPr>
          <w:rFonts w:ascii="Aptos" w:hAnsi="Aptos"/>
          <w:color w:val="000000" w:themeColor="text1"/>
        </w:rPr>
        <w:t xml:space="preserve"> </w:t>
      </w:r>
    </w:p>
    <w:p w14:paraId="3BA93A8C" w14:textId="77777777" w:rsidR="00391775" w:rsidRPr="00695602" w:rsidRDefault="00391775" w:rsidP="00EB33B8">
      <w:pPr>
        <w:pStyle w:val="ListParagraph"/>
        <w:ind w:left="1080"/>
        <w:rPr>
          <w:rFonts w:ascii="Aptos" w:hAnsi="Aptos"/>
          <w:color w:val="000000" w:themeColor="text1"/>
        </w:rPr>
      </w:pPr>
      <w:r w:rsidRPr="00695602">
        <w:rPr>
          <w:rFonts w:ascii="Aptos" w:hAnsi="Aptos"/>
          <w:color w:val="000000" w:themeColor="text1"/>
        </w:rPr>
        <w:tab/>
      </w:r>
    </w:p>
    <w:p w14:paraId="6637E054" w14:textId="15B4C330" w:rsidR="00391775" w:rsidRPr="00695602" w:rsidRDefault="00391775" w:rsidP="00EB33B8">
      <w:pPr>
        <w:pStyle w:val="ListParagraph"/>
        <w:ind w:left="0"/>
        <w:rPr>
          <w:rFonts w:ascii="Aptos" w:hAnsi="Aptos"/>
          <w:color w:val="000000" w:themeColor="text1"/>
        </w:rPr>
      </w:pPr>
      <w:r w:rsidRPr="00695602">
        <w:rPr>
          <w:rFonts w:ascii="Aptos" w:hAnsi="Aptos"/>
          <w:color w:val="000000" w:themeColor="text1"/>
        </w:rPr>
        <w:t>In response to a motion for summary judgment, the opposing party “must set forth specific facts showing that there is a genuine issue for trial.”</w:t>
      </w:r>
      <w:r w:rsidRPr="00695602">
        <w:rPr>
          <w:rStyle w:val="FootnoteReference"/>
          <w:rFonts w:ascii="Aptos" w:hAnsi="Aptos"/>
          <w:color w:val="000000" w:themeColor="text1"/>
        </w:rPr>
        <w:footnoteReference w:id="8"/>
      </w:r>
      <w:r w:rsidRPr="00695602">
        <w:rPr>
          <w:rFonts w:ascii="Aptos" w:hAnsi="Aptos"/>
          <w:color w:val="000000" w:themeColor="text1"/>
        </w:rPr>
        <w:t xml:space="preserve"> To survive this motion and proceed to hearing, the adverse party must show that there is “sufficient evidence” in its favor that the fact finder could decide for it.</w:t>
      </w:r>
      <w:r w:rsidRPr="00695602">
        <w:rPr>
          <w:rStyle w:val="FootnoteReference"/>
          <w:rFonts w:ascii="Aptos" w:hAnsi="Aptos"/>
          <w:color w:val="000000" w:themeColor="text1"/>
        </w:rPr>
        <w:footnoteReference w:id="9"/>
      </w:r>
      <w:r w:rsidRPr="00695602">
        <w:rPr>
          <w:rFonts w:ascii="Aptos" w:hAnsi="Aptos"/>
          <w:color w:val="000000" w:themeColor="text1"/>
        </w:rPr>
        <w:t xml:space="preserve"> In other words, the evidence presented by the non-moving party “must have substance in the sense that it [demonstrates] differing versions of the truth which a factfinder must resolve at an ensuing trial.”</w:t>
      </w:r>
      <w:r w:rsidRPr="00695602">
        <w:rPr>
          <w:rStyle w:val="FootnoteReference"/>
          <w:rFonts w:ascii="Aptos" w:hAnsi="Aptos"/>
          <w:color w:val="000000" w:themeColor="text1"/>
        </w:rPr>
        <w:footnoteReference w:id="10"/>
      </w:r>
      <w:r w:rsidRPr="00695602">
        <w:rPr>
          <w:rFonts w:ascii="Aptos" w:hAnsi="Aptos"/>
          <w:color w:val="000000" w:themeColor="text1"/>
        </w:rPr>
        <w:t xml:space="preserve"> The non-moving party’s </w:t>
      </w:r>
      <w:r w:rsidRPr="00695602">
        <w:rPr>
          <w:rFonts w:ascii="Aptos" w:hAnsi="Aptos"/>
          <w:color w:val="000000" w:themeColor="text1"/>
        </w:rPr>
        <w:lastRenderedPageBreak/>
        <w:t>evidence will not suffice if it is comprised merely of “conclusory allegations, improbable inferences, and unsupported speculation.”</w:t>
      </w:r>
      <w:r w:rsidRPr="00695602">
        <w:rPr>
          <w:rStyle w:val="FootnoteReference"/>
          <w:rFonts w:ascii="Aptos" w:hAnsi="Aptos"/>
          <w:color w:val="000000" w:themeColor="text1"/>
        </w:rPr>
        <w:footnoteReference w:id="11"/>
      </w:r>
      <w:r w:rsidRPr="00695602">
        <w:rPr>
          <w:rFonts w:ascii="Aptos" w:hAnsi="Aptos"/>
          <w:color w:val="000000" w:themeColor="text1"/>
        </w:rPr>
        <w:t xml:space="preserve"> </w:t>
      </w:r>
    </w:p>
    <w:p w14:paraId="26A80989" w14:textId="77777777" w:rsidR="00996844" w:rsidRPr="00695602" w:rsidRDefault="00996844" w:rsidP="00EB33B8">
      <w:pPr>
        <w:pStyle w:val="ListParagraph"/>
        <w:ind w:left="0"/>
        <w:rPr>
          <w:rFonts w:ascii="Aptos" w:hAnsi="Aptos"/>
          <w:color w:val="000000" w:themeColor="text1"/>
        </w:rPr>
      </w:pPr>
    </w:p>
    <w:p w14:paraId="3E67D168" w14:textId="4B9E491E" w:rsidR="00D60398" w:rsidRPr="00695602" w:rsidRDefault="00D60398" w:rsidP="00EB33B8">
      <w:pPr>
        <w:pStyle w:val="ListParagraph"/>
        <w:numPr>
          <w:ilvl w:val="0"/>
          <w:numId w:val="18"/>
        </w:numPr>
        <w:rPr>
          <w:rFonts w:ascii="Aptos" w:hAnsi="Aptos"/>
          <w:color w:val="000000" w:themeColor="text1"/>
        </w:rPr>
      </w:pPr>
      <w:r w:rsidRPr="00695602">
        <w:rPr>
          <w:rFonts w:ascii="Aptos" w:hAnsi="Aptos"/>
          <w:color w:val="000000" w:themeColor="text1"/>
        </w:rPr>
        <w:t>Settlement Agreements</w:t>
      </w:r>
    </w:p>
    <w:p w14:paraId="33AFE47B" w14:textId="77777777" w:rsidR="00D60398" w:rsidRPr="00695602" w:rsidRDefault="00D60398" w:rsidP="00EB33B8">
      <w:pPr>
        <w:rPr>
          <w:rFonts w:ascii="Aptos" w:hAnsi="Aptos"/>
          <w:color w:val="000000" w:themeColor="text1"/>
        </w:rPr>
      </w:pPr>
    </w:p>
    <w:p w14:paraId="1A22C3F7" w14:textId="11D9C210" w:rsidR="00D60398" w:rsidRPr="00695602" w:rsidRDefault="00D60398" w:rsidP="00EB33B8">
      <w:pPr>
        <w:rPr>
          <w:rFonts w:ascii="Aptos" w:hAnsi="Aptos"/>
          <w:color w:val="000000" w:themeColor="text1"/>
        </w:rPr>
      </w:pPr>
      <w:r w:rsidRPr="00695602">
        <w:rPr>
          <w:rFonts w:ascii="Aptos" w:hAnsi="Aptos"/>
          <w:color w:val="000000" w:themeColor="text1"/>
        </w:rPr>
        <w:t>The BSEA is an agency of limited jurisdiction. Under federal and state law, parties may file timely complaints before the BSEA “with respect to any matter relating to the identification, evaluation or educational placement of [a] child, or the provision of a free appropriate public education to such child.”</w:t>
      </w:r>
      <w:r w:rsidR="00A401C6" w:rsidRPr="00695602">
        <w:rPr>
          <w:rStyle w:val="FootnoteReference"/>
          <w:rFonts w:ascii="Aptos" w:hAnsi="Aptos"/>
          <w:color w:val="000000" w:themeColor="text1"/>
        </w:rPr>
        <w:footnoteReference w:id="12"/>
      </w:r>
      <w:r w:rsidR="00A401C6" w:rsidRPr="00695602">
        <w:rPr>
          <w:rFonts w:ascii="Aptos" w:hAnsi="Aptos"/>
          <w:color w:val="000000" w:themeColor="text1"/>
        </w:rPr>
        <w:t xml:space="preserve"> </w:t>
      </w:r>
      <w:r w:rsidRPr="00695602">
        <w:rPr>
          <w:rFonts w:ascii="Aptos" w:hAnsi="Aptos"/>
          <w:color w:val="000000" w:themeColor="text1"/>
        </w:rPr>
        <w:t>The BSEA does not, however, have the authority to hear every claim involving a student with disabilities.</w:t>
      </w:r>
      <w:r w:rsidR="00016B45" w:rsidRPr="00695602">
        <w:rPr>
          <w:rStyle w:val="FootnoteReference"/>
          <w:rFonts w:ascii="Aptos" w:hAnsi="Aptos"/>
          <w:color w:val="000000" w:themeColor="text1"/>
        </w:rPr>
        <w:footnoteReference w:id="13"/>
      </w:r>
      <w:r w:rsidR="00016B45" w:rsidRPr="00695602">
        <w:rPr>
          <w:rFonts w:ascii="Aptos" w:hAnsi="Aptos"/>
          <w:color w:val="000000" w:themeColor="text1"/>
        </w:rPr>
        <w:t xml:space="preserve"> </w:t>
      </w:r>
      <w:r w:rsidRPr="00695602">
        <w:rPr>
          <w:rFonts w:ascii="Aptos" w:hAnsi="Aptos"/>
          <w:color w:val="000000" w:themeColor="text1"/>
        </w:rPr>
        <w:t>Many hearing officers have addressed the limitations of BSEA jurisdiction in cases involving disputes between parties that have previously entered into a binding settlement agreement.</w:t>
      </w:r>
      <w:r w:rsidR="00016B45" w:rsidRPr="00695602">
        <w:rPr>
          <w:rStyle w:val="FootnoteReference"/>
          <w:rFonts w:ascii="Aptos" w:hAnsi="Aptos"/>
          <w:color w:val="000000" w:themeColor="text1"/>
        </w:rPr>
        <w:footnoteReference w:id="14"/>
      </w:r>
      <w:r w:rsidR="00016B45" w:rsidRPr="00695602">
        <w:rPr>
          <w:rFonts w:ascii="Aptos" w:hAnsi="Aptos"/>
          <w:color w:val="000000" w:themeColor="text1"/>
        </w:rPr>
        <w:t xml:space="preserve"> </w:t>
      </w:r>
    </w:p>
    <w:p w14:paraId="79711E5A" w14:textId="77777777" w:rsidR="00A46A9B" w:rsidRPr="00695602" w:rsidRDefault="00A46A9B" w:rsidP="00EB33B8">
      <w:pPr>
        <w:rPr>
          <w:rFonts w:ascii="Aptos" w:hAnsi="Aptos"/>
          <w:color w:val="000000" w:themeColor="text1"/>
        </w:rPr>
      </w:pPr>
    </w:p>
    <w:p w14:paraId="02257940" w14:textId="0C5AA75C" w:rsidR="006B37DA" w:rsidRPr="00695602" w:rsidRDefault="00D60398" w:rsidP="000C15A3">
      <w:pPr>
        <w:rPr>
          <w:rFonts w:ascii="Aptos" w:hAnsi="Aptos"/>
          <w:color w:val="000000" w:themeColor="text1"/>
        </w:rPr>
      </w:pPr>
      <w:r w:rsidRPr="00695602">
        <w:rPr>
          <w:rFonts w:ascii="Aptos" w:hAnsi="Aptos"/>
          <w:color w:val="000000" w:themeColor="text1"/>
        </w:rPr>
        <w:t>Consistent with the agency’s lack of subject matter</w:t>
      </w:r>
      <w:r w:rsidR="00221BB0">
        <w:rPr>
          <w:rFonts w:ascii="Aptos" w:hAnsi="Aptos"/>
          <w:color w:val="000000" w:themeColor="text1"/>
        </w:rPr>
        <w:t xml:space="preserve"> </w:t>
      </w:r>
      <w:r w:rsidR="004F1BBB">
        <w:rPr>
          <w:rFonts w:ascii="Aptos" w:hAnsi="Aptos"/>
          <w:color w:val="000000" w:themeColor="text1"/>
        </w:rPr>
        <w:t>jurisdiction</w:t>
      </w:r>
      <w:r w:rsidRPr="00695602">
        <w:rPr>
          <w:rFonts w:ascii="Aptos" w:hAnsi="Aptos"/>
          <w:color w:val="000000" w:themeColor="text1"/>
        </w:rPr>
        <w:t xml:space="preserve"> over, and expertise concerning, contract law disputes, the BSEA has “historically declined to take jurisdiction over issues of interpretation or enforcement of settlement agreement terms.”</w:t>
      </w:r>
      <w:r w:rsidR="00016B45" w:rsidRPr="00695602">
        <w:rPr>
          <w:rStyle w:val="FootnoteReference"/>
          <w:rFonts w:ascii="Aptos" w:hAnsi="Aptos"/>
          <w:color w:val="000000" w:themeColor="text1"/>
        </w:rPr>
        <w:footnoteReference w:id="15"/>
      </w:r>
      <w:r w:rsidRPr="00695602">
        <w:rPr>
          <w:rFonts w:ascii="Aptos" w:hAnsi="Aptos"/>
          <w:color w:val="000000" w:themeColor="text1"/>
        </w:rPr>
        <w:t> Parties seeking enforcement of a settlement agreement, or interpretation of any ambiguous language it may contain, may seek such relief in an appropriate state or federal district court.</w:t>
      </w:r>
      <w:r w:rsidR="00016B45" w:rsidRPr="00695602">
        <w:rPr>
          <w:rStyle w:val="FootnoteReference"/>
          <w:rFonts w:ascii="Aptos" w:hAnsi="Aptos"/>
          <w:color w:val="000000" w:themeColor="text1"/>
        </w:rPr>
        <w:footnoteReference w:id="16"/>
      </w:r>
      <w:r w:rsidR="00016B45" w:rsidRPr="00695602">
        <w:rPr>
          <w:rFonts w:ascii="Aptos" w:hAnsi="Aptos"/>
          <w:color w:val="000000" w:themeColor="text1"/>
        </w:rPr>
        <w:t xml:space="preserve"> </w:t>
      </w:r>
      <w:r w:rsidRPr="00695602">
        <w:rPr>
          <w:rFonts w:ascii="Aptos" w:hAnsi="Aptos"/>
          <w:color w:val="000000" w:themeColor="text1"/>
        </w:rPr>
        <w:t>The BSEA’s practice, instead, “has been to consider the existence and scope of a settlement agreement when adjudicating cases. Hearing officers do not ‘undo’ settlement agreements, or proceed to an evidentiary hearing on a matter that has been addressed and resolved via a settlement agreement.”</w:t>
      </w:r>
      <w:r w:rsidR="000951FB" w:rsidRPr="00695602">
        <w:rPr>
          <w:rStyle w:val="FootnoteReference"/>
          <w:rFonts w:ascii="Aptos" w:hAnsi="Aptos"/>
          <w:color w:val="000000" w:themeColor="text1"/>
        </w:rPr>
        <w:footnoteReference w:id="17"/>
      </w:r>
      <w:r w:rsidR="000951FB" w:rsidRPr="00695602">
        <w:rPr>
          <w:rFonts w:ascii="Aptos" w:hAnsi="Aptos"/>
          <w:color w:val="000000" w:themeColor="text1"/>
        </w:rPr>
        <w:t xml:space="preserve"> </w:t>
      </w:r>
      <w:r w:rsidRPr="00695602">
        <w:rPr>
          <w:rFonts w:ascii="Aptos" w:hAnsi="Aptos"/>
          <w:color w:val="000000" w:themeColor="text1"/>
        </w:rPr>
        <w:t xml:space="preserve">To allow otherwise, essentially permitting a party to avoid its obligations under the agreement and seek a </w:t>
      </w:r>
      <w:r w:rsidRPr="00695602">
        <w:rPr>
          <w:rFonts w:ascii="Aptos" w:hAnsi="Aptos"/>
          <w:color w:val="000000" w:themeColor="text1"/>
        </w:rPr>
        <w:lastRenderedPageBreak/>
        <w:t>decision on the merits by a hearing officer, “would undermine the integrity and efficacy of the settlement process.”</w:t>
      </w:r>
      <w:r w:rsidR="000951FB" w:rsidRPr="00695602">
        <w:rPr>
          <w:rStyle w:val="FootnoteReference"/>
          <w:rFonts w:ascii="Aptos" w:hAnsi="Aptos"/>
          <w:color w:val="000000" w:themeColor="text1"/>
        </w:rPr>
        <w:footnoteReference w:id="18"/>
      </w:r>
      <w:r w:rsidR="000951FB" w:rsidRPr="00695602">
        <w:rPr>
          <w:rFonts w:ascii="Aptos" w:hAnsi="Aptos"/>
          <w:color w:val="000000" w:themeColor="text1"/>
        </w:rPr>
        <w:t xml:space="preserve"> </w:t>
      </w:r>
    </w:p>
    <w:p w14:paraId="004DFE9F" w14:textId="158D04C7" w:rsidR="0006163F" w:rsidRPr="00695602" w:rsidRDefault="008262E3" w:rsidP="00EB33B8">
      <w:pPr>
        <w:rPr>
          <w:rFonts w:ascii="Aptos" w:hAnsi="Aptos"/>
          <w:b/>
          <w:bCs/>
          <w:color w:val="000000" w:themeColor="text1"/>
        </w:rPr>
      </w:pPr>
      <w:r w:rsidRPr="00695602">
        <w:rPr>
          <w:rFonts w:ascii="Aptos" w:hAnsi="Aptos"/>
          <w:b/>
          <w:bCs/>
          <w:color w:val="000000" w:themeColor="text1"/>
        </w:rPr>
        <w:t xml:space="preserve"> </w:t>
      </w:r>
    </w:p>
    <w:p w14:paraId="6135470D" w14:textId="4B8AD532" w:rsidR="00D867C9" w:rsidRPr="00695602" w:rsidRDefault="00D867C9" w:rsidP="00EB33B8">
      <w:pPr>
        <w:rPr>
          <w:rFonts w:ascii="Aptos" w:hAnsi="Aptos"/>
          <w:b/>
          <w:bCs/>
          <w:color w:val="000000" w:themeColor="text1"/>
        </w:rPr>
      </w:pPr>
      <w:r w:rsidRPr="00695602">
        <w:rPr>
          <w:rFonts w:ascii="Aptos" w:hAnsi="Aptos"/>
          <w:b/>
          <w:bCs/>
          <w:color w:val="000000" w:themeColor="text1"/>
        </w:rPr>
        <w:t>DISCUSSION:</w:t>
      </w:r>
    </w:p>
    <w:p w14:paraId="2E92A641" w14:textId="77777777" w:rsidR="00D867C9" w:rsidRPr="00695602" w:rsidRDefault="00D867C9" w:rsidP="00EB33B8">
      <w:pPr>
        <w:rPr>
          <w:rFonts w:ascii="Aptos" w:hAnsi="Aptos"/>
          <w:b/>
          <w:bCs/>
          <w:color w:val="000000" w:themeColor="text1"/>
        </w:rPr>
      </w:pPr>
    </w:p>
    <w:p w14:paraId="558B5F9B" w14:textId="6CC8B1BC" w:rsidR="00623264" w:rsidRPr="00695602" w:rsidRDefault="00D867C9" w:rsidP="00EB33B8">
      <w:pPr>
        <w:rPr>
          <w:rFonts w:ascii="Aptos" w:hAnsi="Aptos"/>
          <w:color w:val="000000" w:themeColor="text1"/>
        </w:rPr>
      </w:pPr>
      <w:r w:rsidRPr="00695602">
        <w:rPr>
          <w:rFonts w:ascii="Aptos" w:hAnsi="Aptos"/>
          <w:color w:val="000000" w:themeColor="text1"/>
        </w:rPr>
        <w:t xml:space="preserve">Here, </w:t>
      </w:r>
      <w:r w:rsidR="00666A3D" w:rsidRPr="00695602">
        <w:rPr>
          <w:rFonts w:ascii="Aptos" w:hAnsi="Aptos"/>
          <w:color w:val="1A1A1A"/>
          <w:shd w:val="clear" w:color="auto" w:fill="FFFFFF"/>
        </w:rPr>
        <w:t>v</w:t>
      </w:r>
      <w:r w:rsidR="00FC2DE4" w:rsidRPr="00695602">
        <w:rPr>
          <w:rFonts w:ascii="Aptos" w:hAnsi="Aptos"/>
          <w:color w:val="1A1A1A"/>
          <w:shd w:val="clear" w:color="auto" w:fill="FFFFFF"/>
        </w:rPr>
        <w:t>iewing the instant matter in the light most favorable to Parents</w:t>
      </w:r>
      <w:r w:rsidR="009B1445" w:rsidRPr="00695602">
        <w:rPr>
          <w:rFonts w:ascii="Aptos" w:hAnsi="Aptos"/>
          <w:color w:val="000000" w:themeColor="text1"/>
        </w:rPr>
        <w:t>,</w:t>
      </w:r>
      <w:r w:rsidRPr="00695602">
        <w:rPr>
          <w:rFonts w:ascii="Aptos" w:hAnsi="Aptos"/>
          <w:color w:val="000000" w:themeColor="text1"/>
        </w:rPr>
        <w:t xml:space="preserve"> I must determine </w:t>
      </w:r>
      <w:r w:rsidR="009A0B9B" w:rsidRPr="00695602">
        <w:rPr>
          <w:rFonts w:ascii="Aptos" w:hAnsi="Aptos"/>
          <w:color w:val="000000" w:themeColor="text1"/>
        </w:rPr>
        <w:t xml:space="preserve">if </w:t>
      </w:r>
      <w:r w:rsidR="008262E3" w:rsidRPr="00695602">
        <w:rPr>
          <w:rFonts w:ascii="Aptos" w:hAnsi="Aptos"/>
          <w:color w:val="000000" w:themeColor="text1"/>
        </w:rPr>
        <w:t xml:space="preserve"> </w:t>
      </w:r>
      <w:r w:rsidR="00C01D0B" w:rsidRPr="00695602">
        <w:rPr>
          <w:rFonts w:ascii="Aptos" w:hAnsi="Aptos"/>
          <w:color w:val="000000" w:themeColor="text1"/>
        </w:rPr>
        <w:t>the District has</w:t>
      </w:r>
      <w:r w:rsidR="009A0B9B" w:rsidRPr="00695602">
        <w:rPr>
          <w:rFonts w:ascii="Aptos" w:hAnsi="Aptos"/>
          <w:color w:val="000000" w:themeColor="text1"/>
        </w:rPr>
        <w:t xml:space="preserve"> met </w:t>
      </w:r>
      <w:r w:rsidR="00C01D0B" w:rsidRPr="00695602">
        <w:rPr>
          <w:rFonts w:ascii="Aptos" w:hAnsi="Aptos"/>
          <w:color w:val="000000" w:themeColor="text1"/>
        </w:rPr>
        <w:t>its</w:t>
      </w:r>
      <w:r w:rsidR="009A0B9B" w:rsidRPr="00695602">
        <w:rPr>
          <w:rFonts w:ascii="Aptos" w:hAnsi="Aptos"/>
          <w:color w:val="000000" w:themeColor="text1"/>
        </w:rPr>
        <w:t xml:space="preserve"> burden</w:t>
      </w:r>
      <w:r w:rsidR="00F618A6">
        <w:rPr>
          <w:rFonts w:ascii="Aptos" w:hAnsi="Aptos"/>
          <w:color w:val="000000" w:themeColor="text1"/>
        </w:rPr>
        <w:t>,</w:t>
      </w:r>
      <w:r w:rsidR="009A0B9B" w:rsidRPr="00695602">
        <w:rPr>
          <w:rFonts w:ascii="Aptos" w:hAnsi="Aptos"/>
          <w:color w:val="000000" w:themeColor="text1"/>
        </w:rPr>
        <w:t xml:space="preserve"> based on the documents submitted in support of </w:t>
      </w:r>
      <w:r w:rsidR="00C01D0B" w:rsidRPr="00695602">
        <w:rPr>
          <w:rFonts w:ascii="Aptos" w:hAnsi="Aptos"/>
          <w:color w:val="000000" w:themeColor="text1"/>
        </w:rPr>
        <w:t>its</w:t>
      </w:r>
      <w:r w:rsidR="009A0B9B" w:rsidRPr="00695602">
        <w:rPr>
          <w:rFonts w:ascii="Aptos" w:hAnsi="Aptos"/>
          <w:color w:val="000000" w:themeColor="text1"/>
        </w:rPr>
        <w:t xml:space="preserve"> Motion for </w:t>
      </w:r>
      <w:r w:rsidR="00C01D0B" w:rsidRPr="00695602">
        <w:rPr>
          <w:rFonts w:ascii="Aptos" w:hAnsi="Aptos"/>
          <w:color w:val="000000" w:themeColor="text1"/>
        </w:rPr>
        <w:t xml:space="preserve">Partial </w:t>
      </w:r>
      <w:r w:rsidR="009A0B9B" w:rsidRPr="00695602">
        <w:rPr>
          <w:rFonts w:ascii="Aptos" w:hAnsi="Aptos"/>
          <w:color w:val="000000" w:themeColor="text1"/>
        </w:rPr>
        <w:t xml:space="preserve">Summary Judgment, to </w:t>
      </w:r>
      <w:r w:rsidR="00F618A6">
        <w:rPr>
          <w:rFonts w:ascii="Aptos" w:hAnsi="Aptos"/>
          <w:color w:val="000000" w:themeColor="text1"/>
        </w:rPr>
        <w:t>demonstrate</w:t>
      </w:r>
      <w:r w:rsidR="009A0B9B" w:rsidRPr="00695602">
        <w:rPr>
          <w:rFonts w:ascii="Aptos" w:hAnsi="Aptos"/>
          <w:color w:val="000000" w:themeColor="text1"/>
        </w:rPr>
        <w:t xml:space="preserve"> </w:t>
      </w:r>
      <w:r w:rsidR="00716A62" w:rsidRPr="00695602">
        <w:rPr>
          <w:rFonts w:ascii="Aptos" w:hAnsi="Aptos"/>
          <w:color w:val="000000" w:themeColor="text1"/>
        </w:rPr>
        <w:t>that no</w:t>
      </w:r>
      <w:r w:rsidRPr="00695602">
        <w:rPr>
          <w:rFonts w:ascii="Aptos" w:hAnsi="Aptos"/>
          <w:color w:val="000000" w:themeColor="text1"/>
        </w:rPr>
        <w:t xml:space="preserve"> genuine issue exists </w:t>
      </w:r>
      <w:r w:rsidR="00716A62" w:rsidRPr="00695602">
        <w:rPr>
          <w:rFonts w:ascii="Aptos" w:hAnsi="Aptos"/>
          <w:color w:val="000000" w:themeColor="text1"/>
        </w:rPr>
        <w:t>such that Barnstable must prevail as a matter of law.</w:t>
      </w:r>
      <w:r w:rsidR="00193398" w:rsidRPr="00695602">
        <w:rPr>
          <w:rFonts w:ascii="Aptos" w:hAnsi="Aptos"/>
          <w:color w:val="000000" w:themeColor="text1"/>
        </w:rPr>
        <w:t xml:space="preserve"> If so, I must then examine whether Parents have shown that there is “sufficient evidence” in their favor that I could decide for them.</w:t>
      </w:r>
      <w:r w:rsidR="00193398" w:rsidRPr="00695602">
        <w:rPr>
          <w:rStyle w:val="FootnoteReference"/>
          <w:rFonts w:ascii="Aptos" w:hAnsi="Aptos"/>
          <w:color w:val="000000" w:themeColor="text1"/>
        </w:rPr>
        <w:footnoteReference w:id="19"/>
      </w:r>
      <w:r w:rsidR="00716A62" w:rsidRPr="00695602">
        <w:rPr>
          <w:rFonts w:ascii="Aptos" w:hAnsi="Aptos"/>
          <w:color w:val="000000" w:themeColor="text1"/>
        </w:rPr>
        <w:t xml:space="preserve"> </w:t>
      </w:r>
      <w:r w:rsidR="00E45C86" w:rsidRPr="00695602">
        <w:rPr>
          <w:rFonts w:ascii="Aptos" w:hAnsi="Aptos"/>
          <w:color w:val="000000" w:themeColor="text1"/>
        </w:rPr>
        <w:t xml:space="preserve"> </w:t>
      </w:r>
      <w:r w:rsidRPr="00695602">
        <w:rPr>
          <w:rStyle w:val="apple-converted-space"/>
          <w:rFonts w:ascii="Aptos" w:hAnsi="Aptos"/>
          <w:color w:val="000000" w:themeColor="text1"/>
        </w:rPr>
        <w:t> </w:t>
      </w:r>
      <w:r w:rsidRPr="00695602">
        <w:rPr>
          <w:rFonts w:ascii="Aptos" w:hAnsi="Aptos"/>
          <w:color w:val="000000" w:themeColor="text1"/>
        </w:rPr>
        <w:t xml:space="preserve"> </w:t>
      </w:r>
      <w:r w:rsidR="000911D9" w:rsidRPr="00695602">
        <w:rPr>
          <w:rFonts w:ascii="Aptos" w:hAnsi="Aptos"/>
          <w:color w:val="000000" w:themeColor="text1"/>
        </w:rPr>
        <w:t xml:space="preserve"> </w:t>
      </w:r>
    </w:p>
    <w:p w14:paraId="662B33BE" w14:textId="77777777" w:rsidR="00DB12B1" w:rsidRPr="00695602" w:rsidRDefault="00DB12B1" w:rsidP="00EB33B8">
      <w:pPr>
        <w:rPr>
          <w:rFonts w:ascii="Aptos" w:hAnsi="Aptos"/>
          <w:color w:val="000000" w:themeColor="text1"/>
        </w:rPr>
      </w:pPr>
    </w:p>
    <w:p w14:paraId="484FFE08" w14:textId="6A5775E6" w:rsidR="00DB12B1" w:rsidRPr="00695602" w:rsidRDefault="00695602" w:rsidP="00EB33B8">
      <w:pPr>
        <w:rPr>
          <w:rFonts w:ascii="Aptos" w:hAnsi="Aptos"/>
        </w:rPr>
      </w:pPr>
      <w:r>
        <w:rPr>
          <w:rFonts w:ascii="Aptos" w:hAnsi="Aptos"/>
        </w:rPr>
        <w:t>Parents' Hearing Request seeks a determination that the IEP dated December 5, 2024, to September 30, 2025, as amended in May 2025, and the IEP dated September 24, 2025, to September 24, 2026,</w:t>
      </w:r>
      <w:r w:rsidR="00DB12B1" w:rsidRPr="00695602">
        <w:rPr>
          <w:rFonts w:ascii="Aptos" w:hAnsi="Aptos"/>
        </w:rPr>
        <w:t xml:space="preserve"> denied Student a </w:t>
      </w:r>
      <w:r>
        <w:rPr>
          <w:rFonts w:ascii="Aptos" w:hAnsi="Aptos"/>
        </w:rPr>
        <w:t>FAPE</w:t>
      </w:r>
      <w:r w:rsidR="00DB12B1" w:rsidRPr="00695602">
        <w:rPr>
          <w:rFonts w:ascii="Aptos" w:hAnsi="Aptos"/>
        </w:rPr>
        <w:t xml:space="preserve"> and that Student required placement in a residential school beginning with ESY 2025. Parents further seek orders compelling Barnstable to reimburse Parents for all costs associated with Student’s privately funded placement at Riverview’s GROW Program from July 2025 through the date of the Order and placing Student in a residential school, specifically at the Riverview School GROW Program</w:t>
      </w:r>
      <w:r w:rsidR="005F5AD0" w:rsidRPr="00695602">
        <w:rPr>
          <w:rFonts w:ascii="Aptos" w:hAnsi="Aptos"/>
        </w:rPr>
        <w:t>.</w:t>
      </w:r>
    </w:p>
    <w:p w14:paraId="784EFF05" w14:textId="77777777" w:rsidR="005F5AD0" w:rsidRPr="00695602" w:rsidRDefault="005F5AD0" w:rsidP="00EB33B8">
      <w:pPr>
        <w:rPr>
          <w:rFonts w:ascii="Aptos" w:hAnsi="Aptos"/>
        </w:rPr>
      </w:pPr>
    </w:p>
    <w:p w14:paraId="12ED62F1" w14:textId="09927893" w:rsidR="00C63560" w:rsidRDefault="00F636B7" w:rsidP="004B6B36">
      <w:pPr>
        <w:pStyle w:val="Default"/>
        <w:rPr>
          <w:rFonts w:ascii="Aptos" w:hAnsi="Aptos"/>
        </w:rPr>
      </w:pPr>
      <w:r>
        <w:rPr>
          <w:rFonts w:ascii="Aptos" w:hAnsi="Aptos"/>
        </w:rPr>
        <w:t xml:space="preserve">The Settlement Agreement, in relevant part, states that </w:t>
      </w:r>
    </w:p>
    <w:p w14:paraId="02291BB7" w14:textId="3852FB75" w:rsidR="005F5AD0" w:rsidRPr="00F636B7" w:rsidRDefault="00F636B7" w:rsidP="00F636B7">
      <w:pPr>
        <w:pStyle w:val="Default"/>
        <w:ind w:left="2160"/>
        <w:rPr>
          <w:rFonts w:ascii="Aptos" w:hAnsi="Aptos"/>
        </w:rPr>
      </w:pPr>
      <w:r>
        <w:rPr>
          <w:rFonts w:ascii="Aptos" w:hAnsi="Aptos"/>
        </w:rPr>
        <w:t>“</w:t>
      </w:r>
      <w:r w:rsidR="005F5AD0" w:rsidRPr="00695602">
        <w:rPr>
          <w:rFonts w:ascii="Aptos" w:hAnsi="Aptos"/>
        </w:rPr>
        <w:t xml:space="preserve">This Agreement shall not extend beyond the conclusion of the 2024-2025 school year. Barnstable shall have no liability for or obligation to continue Student in the Riverview transition program or any other program associated with the Riverview School. If, at that time, Student remains eligible for special education services, Student may enroll in the Barnstable transition program located at Barnstable High School and may remain in the program until he is 22 years old or no longer available for reasons other than age, whichever is sooner. Parents shall provide Barnstable with notice of their intent to enroll Student in Barnstable's transition program by no later than January 15, 2025. The Barnstable transition program shall be considered Student's </w:t>
      </w:r>
      <w:r>
        <w:rPr>
          <w:rFonts w:ascii="Aptos" w:hAnsi="Aptos"/>
        </w:rPr>
        <w:t>‘</w:t>
      </w:r>
      <w:r w:rsidR="005F5AD0" w:rsidRPr="00695602">
        <w:rPr>
          <w:rFonts w:ascii="Aptos" w:hAnsi="Aptos"/>
        </w:rPr>
        <w:t>stay-put</w:t>
      </w:r>
      <w:r>
        <w:rPr>
          <w:rFonts w:ascii="Aptos" w:hAnsi="Aptos"/>
        </w:rPr>
        <w:t>’</w:t>
      </w:r>
      <w:r w:rsidR="007E2BD9">
        <w:rPr>
          <w:rFonts w:ascii="Aptos" w:hAnsi="Aptos"/>
        </w:rPr>
        <w:t xml:space="preserve"> </w:t>
      </w:r>
      <w:r w:rsidR="005F5AD0" w:rsidRPr="00695602">
        <w:rPr>
          <w:rFonts w:ascii="Aptos" w:hAnsi="Aptos"/>
        </w:rPr>
        <w:t>placement if any future disagreement arises between the parties regarding Student's programming beyond the conclusion of the 2024-2025 school year….</w:t>
      </w:r>
      <w:r>
        <w:rPr>
          <w:rFonts w:ascii="Aptos" w:hAnsi="Aptos"/>
        </w:rPr>
        <w:t>”</w:t>
      </w:r>
    </w:p>
    <w:p w14:paraId="41DBE84E" w14:textId="77777777" w:rsidR="00623264" w:rsidRPr="00695602" w:rsidRDefault="00623264" w:rsidP="00EB33B8">
      <w:pPr>
        <w:rPr>
          <w:rFonts w:ascii="Aptos" w:hAnsi="Aptos"/>
          <w:color w:val="000000" w:themeColor="text1"/>
        </w:rPr>
      </w:pPr>
    </w:p>
    <w:p w14:paraId="103BB2FE" w14:textId="34AAC703" w:rsidR="00C63560" w:rsidRDefault="00A44180" w:rsidP="004B6B36">
      <w:pPr>
        <w:rPr>
          <w:rFonts w:ascii="Aptos" w:hAnsi="Aptos"/>
          <w:color w:val="1A1A1A"/>
          <w:shd w:val="clear" w:color="auto" w:fill="FFFFFF"/>
        </w:rPr>
      </w:pPr>
      <w:r>
        <w:rPr>
          <w:rFonts w:ascii="Aptos" w:hAnsi="Aptos"/>
          <w:color w:val="1A1A1A"/>
          <w:shd w:val="clear" w:color="auto" w:fill="FFFFFF"/>
        </w:rPr>
        <w:t xml:space="preserve">The District argues that </w:t>
      </w:r>
    </w:p>
    <w:p w14:paraId="1D7C2408" w14:textId="123ED9F1" w:rsidR="00A44180" w:rsidRPr="00A44180" w:rsidRDefault="00A44180" w:rsidP="00A44180">
      <w:pPr>
        <w:ind w:left="1440"/>
        <w:rPr>
          <w:rFonts w:ascii="Aptos" w:hAnsi="Aptos"/>
          <w:color w:val="1A1A1A"/>
          <w:shd w:val="clear" w:color="auto" w:fill="FFFFFF"/>
        </w:rPr>
      </w:pPr>
      <w:r>
        <w:rPr>
          <w:rFonts w:ascii="Aptos" w:hAnsi="Aptos"/>
          <w:color w:val="1A1A1A"/>
          <w:shd w:val="clear" w:color="auto" w:fill="FFFFFF"/>
        </w:rPr>
        <w:lastRenderedPageBreak/>
        <w:t>“</w:t>
      </w:r>
      <w:r w:rsidRPr="00A44180">
        <w:rPr>
          <w:rFonts w:ascii="Aptos" w:hAnsi="Aptos"/>
          <w:color w:val="1A1A1A"/>
          <w:shd w:val="clear" w:color="auto" w:fill="FFFFFF"/>
        </w:rPr>
        <w:t xml:space="preserve">In exchange for resolution and certainty through 2024-2025, the Parents relinquished any claim to continued Riverview funding thereafter. The Agreement explicitly states that the District </w:t>
      </w:r>
      <w:r>
        <w:rPr>
          <w:rFonts w:ascii="Aptos" w:hAnsi="Aptos"/>
          <w:color w:val="1A1A1A"/>
          <w:shd w:val="clear" w:color="auto" w:fill="FFFFFF"/>
        </w:rPr>
        <w:t>‘</w:t>
      </w:r>
      <w:r w:rsidRPr="00A44180">
        <w:rPr>
          <w:rFonts w:ascii="Aptos" w:hAnsi="Aptos"/>
          <w:color w:val="1A1A1A"/>
          <w:shd w:val="clear" w:color="auto" w:fill="FFFFFF"/>
        </w:rPr>
        <w:t>shall have no liability for or obligation to</w:t>
      </w:r>
      <w:r>
        <w:rPr>
          <w:rFonts w:ascii="Aptos" w:hAnsi="Aptos"/>
          <w:color w:val="1A1A1A"/>
          <w:shd w:val="clear" w:color="auto" w:fill="FFFFFF"/>
        </w:rPr>
        <w:t xml:space="preserve">’ </w:t>
      </w:r>
      <w:r w:rsidRPr="00A44180">
        <w:rPr>
          <w:rFonts w:ascii="Aptos" w:hAnsi="Aptos"/>
          <w:color w:val="1A1A1A"/>
          <w:shd w:val="clear" w:color="auto" w:fill="FFFFFF"/>
        </w:rPr>
        <w:t xml:space="preserve">Riverview beyond that date. The Parents gave up Riverview funding past the 2024-2025 school year. </w:t>
      </w:r>
    </w:p>
    <w:p w14:paraId="46BC45E8" w14:textId="77777777" w:rsidR="00A44180" w:rsidRDefault="00A44180" w:rsidP="00A44180">
      <w:pPr>
        <w:rPr>
          <w:rFonts w:ascii="Aptos" w:hAnsi="Aptos"/>
          <w:color w:val="1A1A1A"/>
          <w:shd w:val="clear" w:color="auto" w:fill="FFFFFF"/>
        </w:rPr>
      </w:pPr>
    </w:p>
    <w:p w14:paraId="3E7EFAD5" w14:textId="4413CD6A" w:rsidR="00A44180" w:rsidRPr="00A44180" w:rsidRDefault="00A44180" w:rsidP="00A44180">
      <w:pPr>
        <w:ind w:left="1440"/>
        <w:rPr>
          <w:rFonts w:ascii="Aptos" w:hAnsi="Aptos"/>
          <w:color w:val="1A1A1A"/>
          <w:shd w:val="clear" w:color="auto" w:fill="FFFFFF"/>
        </w:rPr>
      </w:pPr>
      <w:r w:rsidRPr="00A44180">
        <w:rPr>
          <w:rFonts w:ascii="Aptos" w:hAnsi="Aptos"/>
          <w:color w:val="1A1A1A"/>
          <w:shd w:val="clear" w:color="auto" w:fill="FFFFFF"/>
        </w:rPr>
        <w:t xml:space="preserve">Parents’ unilateral enrolment at Riverview GROW does not alter that legal reality. A party cannot expand the scope of available remedies by acting outside the bounds of a prior agreement. Once a negotiated resolution defines the temporal and financial limits of liability, those limits frame any subsequent claim. They cannot be enlarged through unilateral action and then presented to the BSEA as a basis for reimbursement. </w:t>
      </w:r>
    </w:p>
    <w:p w14:paraId="671083AB" w14:textId="77777777" w:rsidR="00A44180" w:rsidRDefault="00A44180" w:rsidP="00A44180">
      <w:pPr>
        <w:ind w:firstLine="720"/>
        <w:rPr>
          <w:rFonts w:ascii="Aptos" w:hAnsi="Aptos"/>
          <w:color w:val="1A1A1A"/>
          <w:shd w:val="clear" w:color="auto" w:fill="FFFFFF"/>
        </w:rPr>
      </w:pPr>
    </w:p>
    <w:p w14:paraId="3BFF3F28" w14:textId="1D28DDB7" w:rsidR="00A44180" w:rsidRDefault="00A44180" w:rsidP="00A44180">
      <w:pPr>
        <w:ind w:left="1440"/>
        <w:rPr>
          <w:rFonts w:ascii="Aptos" w:hAnsi="Aptos"/>
          <w:color w:val="1A1A1A"/>
          <w:shd w:val="clear" w:color="auto" w:fill="FFFFFF"/>
        </w:rPr>
      </w:pPr>
      <w:r w:rsidRPr="00A44180">
        <w:rPr>
          <w:rFonts w:ascii="Aptos" w:hAnsi="Aptos"/>
          <w:color w:val="1A1A1A"/>
          <w:shd w:val="clear" w:color="auto" w:fill="FFFFFF"/>
        </w:rPr>
        <w:t>Thus, while the Parents remain free to pursue a FAPE claim for ESY 2025 and the 2025-2026 school year, the Settlement Agreement expressly removes Riverview GROW as a legally available remedy</w:t>
      </w:r>
      <w:r w:rsidR="000B112A">
        <w:rPr>
          <w:rFonts w:ascii="Aptos" w:hAnsi="Aptos"/>
          <w:color w:val="1A1A1A"/>
          <w:shd w:val="clear" w:color="auto" w:fill="FFFFFF"/>
        </w:rPr>
        <w:t>….”</w:t>
      </w:r>
    </w:p>
    <w:p w14:paraId="65912275" w14:textId="77777777" w:rsidR="00A44180" w:rsidRDefault="00A44180" w:rsidP="00EB33B8">
      <w:pPr>
        <w:rPr>
          <w:rFonts w:ascii="Aptos" w:hAnsi="Aptos"/>
          <w:color w:val="1A1A1A"/>
          <w:shd w:val="clear" w:color="auto" w:fill="FFFFFF"/>
        </w:rPr>
      </w:pPr>
    </w:p>
    <w:p w14:paraId="06BC8223" w14:textId="6285777E" w:rsidR="007977F3" w:rsidRPr="00695602" w:rsidRDefault="000B112A" w:rsidP="007977F3">
      <w:pPr>
        <w:rPr>
          <w:rFonts w:ascii="Aptos" w:hAnsi="Aptos"/>
          <w:color w:val="1A1A1A"/>
          <w:shd w:val="clear" w:color="auto" w:fill="FFFFFF"/>
        </w:rPr>
      </w:pPr>
      <w:r>
        <w:rPr>
          <w:rFonts w:ascii="Aptos" w:hAnsi="Aptos"/>
          <w:color w:val="1A1A1A"/>
          <w:shd w:val="clear" w:color="auto" w:fill="FFFFFF"/>
        </w:rPr>
        <w:t xml:space="preserve">I find the District’s argument unpersuasive. </w:t>
      </w:r>
      <w:r w:rsidR="00437018" w:rsidRPr="00695602">
        <w:rPr>
          <w:rFonts w:ascii="Aptos" w:hAnsi="Aptos"/>
          <w:color w:val="1A1A1A"/>
          <w:shd w:val="clear" w:color="auto" w:fill="FFFFFF"/>
        </w:rPr>
        <w:t>The language of the </w:t>
      </w:r>
      <w:r w:rsidR="00437018" w:rsidRPr="00695602">
        <w:rPr>
          <w:rFonts w:ascii="Aptos" w:hAnsi="Aptos"/>
        </w:rPr>
        <w:t>Settlement</w:t>
      </w:r>
      <w:r w:rsidR="00437018" w:rsidRPr="00695602">
        <w:rPr>
          <w:rFonts w:ascii="Aptos" w:hAnsi="Aptos"/>
          <w:color w:val="1A1A1A"/>
          <w:shd w:val="clear" w:color="auto" w:fill="FFFFFF"/>
        </w:rPr>
        <w:t xml:space="preserve"> Agreement unambiguously provides that </w:t>
      </w:r>
      <w:r w:rsidR="00FD5BC7" w:rsidRPr="00695602">
        <w:rPr>
          <w:rFonts w:ascii="Aptos" w:hAnsi="Aptos"/>
          <w:color w:val="1A1A1A"/>
          <w:shd w:val="clear" w:color="auto" w:fill="FFFFFF"/>
        </w:rPr>
        <w:t xml:space="preserve">Barnstable has no obligation to fund Riverview </w:t>
      </w:r>
      <w:r w:rsidR="001650B0" w:rsidRPr="00695602">
        <w:rPr>
          <w:rFonts w:ascii="Aptos" w:hAnsi="Aptos"/>
          <w:color w:val="1A1A1A"/>
          <w:shd w:val="clear" w:color="auto" w:fill="FFFFFF"/>
        </w:rPr>
        <w:t>following the conclusion of</w:t>
      </w:r>
      <w:r w:rsidR="00FD5BC7" w:rsidRPr="00695602">
        <w:rPr>
          <w:rFonts w:ascii="Aptos" w:hAnsi="Aptos"/>
          <w:color w:val="1A1A1A"/>
          <w:shd w:val="clear" w:color="auto" w:fill="FFFFFF"/>
        </w:rPr>
        <w:t xml:space="preserve"> 2024-2025 school yea</w:t>
      </w:r>
      <w:r w:rsidR="001650B0" w:rsidRPr="00695602">
        <w:rPr>
          <w:rFonts w:ascii="Aptos" w:hAnsi="Aptos"/>
          <w:color w:val="1A1A1A"/>
          <w:shd w:val="clear" w:color="auto" w:fill="FFFFFF"/>
        </w:rPr>
        <w:t>r</w:t>
      </w:r>
      <w:r w:rsidR="00FD5BC7" w:rsidRPr="00695602">
        <w:rPr>
          <w:rFonts w:ascii="Aptos" w:hAnsi="Aptos"/>
          <w:color w:val="1A1A1A"/>
          <w:shd w:val="clear" w:color="auto" w:fill="FFFFFF"/>
        </w:rPr>
        <w:t xml:space="preserve">. </w:t>
      </w:r>
      <w:r w:rsidR="00437018" w:rsidRPr="00695602">
        <w:rPr>
          <w:rFonts w:ascii="Aptos" w:hAnsi="Aptos"/>
          <w:color w:val="1A1A1A"/>
          <w:shd w:val="clear" w:color="auto" w:fill="FFFFFF"/>
        </w:rPr>
        <w:t xml:space="preserve"> </w:t>
      </w:r>
      <w:r w:rsidR="00FD5BC7" w:rsidRPr="00695602">
        <w:rPr>
          <w:rFonts w:ascii="Aptos" w:hAnsi="Aptos"/>
          <w:color w:val="1A1A1A"/>
          <w:shd w:val="clear" w:color="auto" w:fill="FFFFFF"/>
        </w:rPr>
        <w:t xml:space="preserve"> </w:t>
      </w:r>
      <w:r w:rsidR="00390BDB" w:rsidRPr="00695602">
        <w:rPr>
          <w:rFonts w:ascii="Aptos" w:hAnsi="Aptos"/>
          <w:color w:val="1A1A1A"/>
          <w:shd w:val="clear" w:color="auto" w:fill="FFFFFF"/>
        </w:rPr>
        <w:t xml:space="preserve">However, it does not state that </w:t>
      </w:r>
      <w:r w:rsidR="00233638" w:rsidRPr="00695602">
        <w:rPr>
          <w:rFonts w:ascii="Aptos" w:hAnsi="Aptos"/>
          <w:color w:val="1A1A1A"/>
          <w:shd w:val="clear" w:color="auto" w:fill="FFFFFF"/>
        </w:rPr>
        <w:t>it could not agree or be ordered to do so.</w:t>
      </w:r>
      <w:r w:rsidR="00D4050F">
        <w:rPr>
          <w:rFonts w:ascii="Aptos" w:hAnsi="Aptos"/>
          <w:color w:val="1A1A1A"/>
          <w:shd w:val="clear" w:color="auto" w:fill="FFFFFF"/>
        </w:rPr>
        <w:t xml:space="preserve"> </w:t>
      </w:r>
      <w:r w:rsidR="00775591">
        <w:rPr>
          <w:rFonts w:ascii="Aptos" w:hAnsi="Aptos"/>
          <w:color w:val="1A1A1A"/>
          <w:shd w:val="clear" w:color="auto" w:fill="FFFFFF"/>
        </w:rPr>
        <w:t xml:space="preserve">Further, it clearly contemplates Parents’ </w:t>
      </w:r>
      <w:r w:rsidR="007E2BD9">
        <w:rPr>
          <w:rFonts w:ascii="Aptos" w:hAnsi="Aptos"/>
          <w:color w:val="1A1A1A"/>
          <w:shd w:val="clear" w:color="auto" w:fill="FFFFFF"/>
        </w:rPr>
        <w:t>ongoing</w:t>
      </w:r>
      <w:r w:rsidR="00775591">
        <w:rPr>
          <w:rFonts w:ascii="Aptos" w:hAnsi="Aptos"/>
          <w:color w:val="1A1A1A"/>
          <w:shd w:val="clear" w:color="auto" w:fill="FFFFFF"/>
        </w:rPr>
        <w:t xml:space="preserve"> right to challenge the appropriateness of Barnstable’s proposed IEP(s) and </w:t>
      </w:r>
      <w:r w:rsidR="007E24BF">
        <w:rPr>
          <w:rFonts w:ascii="Aptos" w:hAnsi="Aptos"/>
          <w:color w:val="1A1A1A"/>
          <w:shd w:val="clear" w:color="auto" w:fill="FFFFFF"/>
        </w:rPr>
        <w:t xml:space="preserve">to </w:t>
      </w:r>
      <w:r w:rsidR="00775591">
        <w:rPr>
          <w:rFonts w:ascii="Aptos" w:hAnsi="Aptos"/>
          <w:color w:val="1A1A1A"/>
          <w:shd w:val="clear" w:color="auto" w:fill="FFFFFF"/>
        </w:rPr>
        <w:t xml:space="preserve">seek relief </w:t>
      </w:r>
      <w:r w:rsidR="004E31F3">
        <w:rPr>
          <w:rFonts w:ascii="Aptos" w:hAnsi="Aptos"/>
          <w:color w:val="1A1A1A"/>
          <w:shd w:val="clear" w:color="auto" w:fill="FFFFFF"/>
        </w:rPr>
        <w:t xml:space="preserve">via a due process hearing,  inclusive of an order for an out of district </w:t>
      </w:r>
      <w:r w:rsidR="007E2BD9">
        <w:rPr>
          <w:rFonts w:ascii="Aptos" w:hAnsi="Aptos"/>
          <w:color w:val="1A1A1A"/>
          <w:shd w:val="clear" w:color="auto" w:fill="FFFFFF"/>
        </w:rPr>
        <w:t>placement</w:t>
      </w:r>
      <w:r w:rsidR="004E31F3">
        <w:rPr>
          <w:rFonts w:ascii="Aptos" w:hAnsi="Aptos"/>
          <w:color w:val="1A1A1A"/>
          <w:shd w:val="clear" w:color="auto" w:fill="FFFFFF"/>
        </w:rPr>
        <w:t xml:space="preserve"> if so determined by a hearing </w:t>
      </w:r>
      <w:r w:rsidR="007E2BD9">
        <w:rPr>
          <w:rFonts w:ascii="Aptos" w:hAnsi="Aptos"/>
          <w:color w:val="1A1A1A"/>
          <w:shd w:val="clear" w:color="auto" w:fill="FFFFFF"/>
        </w:rPr>
        <w:t>officer.</w:t>
      </w:r>
      <w:r w:rsidR="007E2BD9" w:rsidRPr="00695602">
        <w:rPr>
          <w:rFonts w:ascii="Aptos" w:hAnsi="Aptos"/>
          <w:color w:val="1A1A1A"/>
          <w:shd w:val="clear" w:color="auto" w:fill="FFFFFF"/>
        </w:rPr>
        <w:t xml:space="preserve"> Viewing</w:t>
      </w:r>
      <w:r w:rsidR="007977F3" w:rsidRPr="00695602">
        <w:rPr>
          <w:rFonts w:ascii="Aptos" w:hAnsi="Aptos"/>
          <w:color w:val="1A1A1A"/>
          <w:shd w:val="clear" w:color="auto" w:fill="FFFFFF"/>
        </w:rPr>
        <w:t xml:space="preserve"> the instant matter in the light most favorable to Parents, I conclude that </w:t>
      </w:r>
      <w:r w:rsidR="00644EE2" w:rsidRPr="00695602">
        <w:rPr>
          <w:rFonts w:ascii="Aptos" w:hAnsi="Aptos"/>
          <w:color w:val="1A1A1A"/>
          <w:shd w:val="clear" w:color="auto" w:fill="FFFFFF"/>
        </w:rPr>
        <w:t xml:space="preserve">although there is nothing in the Settlement Agreement that imposes on the District an obligation to fund Riverview after the conclusion of the 2024-2025 school year, </w:t>
      </w:r>
      <w:r w:rsidR="007977F3" w:rsidRPr="00695602">
        <w:rPr>
          <w:rFonts w:ascii="Aptos" w:hAnsi="Aptos"/>
          <w:color w:val="1A1A1A"/>
          <w:shd w:val="clear" w:color="auto" w:fill="FFFFFF"/>
        </w:rPr>
        <w:t xml:space="preserve">there is nothing in the </w:t>
      </w:r>
      <w:r w:rsidR="0013524E">
        <w:rPr>
          <w:rFonts w:ascii="Aptos" w:hAnsi="Aptos"/>
          <w:color w:val="1A1A1A"/>
          <w:shd w:val="clear" w:color="auto" w:fill="FFFFFF"/>
        </w:rPr>
        <w:t>S</w:t>
      </w:r>
      <w:r w:rsidR="007977F3" w:rsidRPr="00695602">
        <w:rPr>
          <w:rFonts w:ascii="Aptos" w:hAnsi="Aptos"/>
          <w:color w:val="1A1A1A"/>
          <w:shd w:val="clear" w:color="auto" w:fill="FFFFFF"/>
        </w:rPr>
        <w:t xml:space="preserve">ettlement Agreement that limits the BSEA’s </w:t>
      </w:r>
      <w:r w:rsidR="0013524E">
        <w:rPr>
          <w:rFonts w:ascii="Aptos" w:hAnsi="Aptos"/>
          <w:color w:val="1A1A1A"/>
          <w:shd w:val="clear" w:color="auto" w:fill="FFFFFF"/>
        </w:rPr>
        <w:t>authority</w:t>
      </w:r>
      <w:r w:rsidR="00644EE2" w:rsidRPr="00695602">
        <w:rPr>
          <w:rFonts w:ascii="Aptos" w:hAnsi="Aptos"/>
          <w:color w:val="1A1A1A"/>
          <w:shd w:val="clear" w:color="auto" w:fill="FFFFFF"/>
        </w:rPr>
        <w:t xml:space="preserve"> to order such funding</w:t>
      </w:r>
      <w:r w:rsidR="007E24BF">
        <w:rPr>
          <w:rFonts w:ascii="Aptos" w:hAnsi="Aptos"/>
          <w:color w:val="1A1A1A"/>
          <w:shd w:val="clear" w:color="auto" w:fill="FFFFFF"/>
        </w:rPr>
        <w:t xml:space="preserve"> if determined warranted </w:t>
      </w:r>
      <w:r w:rsidR="00644EE2" w:rsidRPr="00695602">
        <w:rPr>
          <w:rFonts w:ascii="Aptos" w:hAnsi="Aptos"/>
          <w:color w:val="1A1A1A"/>
          <w:shd w:val="clear" w:color="auto" w:fill="FFFFFF"/>
        </w:rPr>
        <w:t>following a hearing on the merits.</w:t>
      </w:r>
    </w:p>
    <w:p w14:paraId="756FB88A" w14:textId="77777777" w:rsidR="0006163F" w:rsidRPr="00695602" w:rsidRDefault="0006163F" w:rsidP="00EB33B8">
      <w:pPr>
        <w:rPr>
          <w:rFonts w:ascii="Aptos" w:hAnsi="Aptos"/>
          <w:color w:val="000000" w:themeColor="text1"/>
        </w:rPr>
      </w:pPr>
    </w:p>
    <w:p w14:paraId="25ACA1CE" w14:textId="7B653A04" w:rsidR="00C56CBF" w:rsidRPr="00695602" w:rsidRDefault="00C56CBF" w:rsidP="00EB33B8">
      <w:pPr>
        <w:rPr>
          <w:rFonts w:ascii="Aptos" w:hAnsi="Aptos"/>
          <w:b/>
          <w:bCs/>
          <w:color w:val="000000" w:themeColor="text1"/>
        </w:rPr>
      </w:pPr>
      <w:r w:rsidRPr="00695602">
        <w:rPr>
          <w:rFonts w:ascii="Aptos" w:hAnsi="Aptos"/>
          <w:b/>
          <w:bCs/>
          <w:color w:val="000000" w:themeColor="text1"/>
        </w:rPr>
        <w:t>ORDER:</w:t>
      </w:r>
    </w:p>
    <w:p w14:paraId="3FD5800E" w14:textId="77777777" w:rsidR="00644EE2" w:rsidRPr="00695602" w:rsidRDefault="00644EE2" w:rsidP="00EB33B8">
      <w:pPr>
        <w:rPr>
          <w:rFonts w:ascii="Aptos" w:hAnsi="Aptos"/>
          <w:bCs/>
          <w:color w:val="000000" w:themeColor="text1"/>
        </w:rPr>
      </w:pPr>
    </w:p>
    <w:p w14:paraId="5010AD47" w14:textId="36A40549" w:rsidR="00FA61F5" w:rsidRPr="00695602" w:rsidRDefault="00644EE2" w:rsidP="00EB33B8">
      <w:pPr>
        <w:rPr>
          <w:rFonts w:ascii="Aptos" w:hAnsi="Aptos"/>
          <w:color w:val="000000" w:themeColor="text1"/>
        </w:rPr>
      </w:pPr>
      <w:r w:rsidRPr="00695602">
        <w:rPr>
          <w:rFonts w:ascii="Aptos" w:hAnsi="Aptos"/>
          <w:bCs/>
          <w:color w:val="000000" w:themeColor="text1"/>
        </w:rPr>
        <w:t xml:space="preserve">Barnstable’s </w:t>
      </w:r>
      <w:r w:rsidRPr="00D4050F">
        <w:rPr>
          <w:rFonts w:ascii="Aptos" w:hAnsi="Aptos"/>
          <w:bCs/>
          <w:i/>
          <w:iCs/>
          <w:color w:val="000000" w:themeColor="text1"/>
        </w:rPr>
        <w:t>Motion for Partial Summary Judgment</w:t>
      </w:r>
      <w:r w:rsidR="00FA61F5" w:rsidRPr="00695602">
        <w:rPr>
          <w:rFonts w:ascii="Aptos" w:hAnsi="Aptos"/>
          <w:bCs/>
          <w:color w:val="000000" w:themeColor="text1"/>
        </w:rPr>
        <w:t xml:space="preserve"> is </w:t>
      </w:r>
      <w:r w:rsidRPr="00695602">
        <w:rPr>
          <w:rFonts w:ascii="Aptos" w:hAnsi="Aptos"/>
          <w:bCs/>
          <w:color w:val="000000" w:themeColor="text1"/>
        </w:rPr>
        <w:t>DENIED</w:t>
      </w:r>
      <w:r w:rsidR="00FA61F5" w:rsidRPr="00695602">
        <w:rPr>
          <w:rFonts w:ascii="Aptos" w:hAnsi="Aptos"/>
          <w:bCs/>
          <w:color w:val="000000" w:themeColor="text1"/>
        </w:rPr>
        <w:t>.</w:t>
      </w:r>
      <w:r w:rsidR="0057146C" w:rsidRPr="00695602">
        <w:rPr>
          <w:rFonts w:ascii="Aptos" w:hAnsi="Aptos"/>
          <w:bCs/>
          <w:color w:val="000000" w:themeColor="text1"/>
        </w:rPr>
        <w:t xml:space="preserve"> </w:t>
      </w:r>
      <w:r w:rsidR="0057146C" w:rsidRPr="00695602">
        <w:rPr>
          <w:rFonts w:ascii="Aptos" w:hAnsi="Aptos"/>
          <w:color w:val="000000" w:themeColor="text1"/>
        </w:rPr>
        <w:t xml:space="preserve"> </w:t>
      </w:r>
      <w:r w:rsidR="008262E3" w:rsidRPr="00695602">
        <w:rPr>
          <w:rFonts w:ascii="Aptos" w:hAnsi="Aptos"/>
          <w:color w:val="000000" w:themeColor="text1"/>
        </w:rPr>
        <w:t xml:space="preserve"> </w:t>
      </w:r>
    </w:p>
    <w:p w14:paraId="087F8F5E" w14:textId="77777777" w:rsidR="006346EC" w:rsidRPr="00695602" w:rsidRDefault="006346EC" w:rsidP="00EB33B8">
      <w:pPr>
        <w:rPr>
          <w:rFonts w:ascii="Aptos" w:hAnsi="Aptos"/>
          <w:color w:val="000000" w:themeColor="text1"/>
        </w:rPr>
      </w:pPr>
    </w:p>
    <w:p w14:paraId="5644DDCF" w14:textId="2CD52880" w:rsidR="00C56CBF" w:rsidRPr="00695602" w:rsidRDefault="00C56CBF" w:rsidP="00EB33B8">
      <w:pPr>
        <w:rPr>
          <w:rFonts w:ascii="Aptos" w:hAnsi="Aptos"/>
          <w:color w:val="000000" w:themeColor="text1"/>
        </w:rPr>
      </w:pPr>
      <w:r w:rsidRPr="00695602">
        <w:rPr>
          <w:rFonts w:ascii="Aptos" w:hAnsi="Aptos"/>
          <w:color w:val="000000" w:themeColor="text1"/>
        </w:rPr>
        <w:t>So Ordered by the Hearing Officer,</w:t>
      </w:r>
    </w:p>
    <w:p w14:paraId="2AFE2425" w14:textId="77777777" w:rsidR="00C56CBF" w:rsidRPr="00695602" w:rsidRDefault="00C56CBF" w:rsidP="00EB33B8">
      <w:pPr>
        <w:rPr>
          <w:rFonts w:ascii="Aptos" w:hAnsi="Aptos"/>
          <w:color w:val="000000" w:themeColor="text1"/>
        </w:rPr>
      </w:pPr>
    </w:p>
    <w:p w14:paraId="72BD6007" w14:textId="77777777" w:rsidR="00C56CBF" w:rsidRPr="00695602" w:rsidRDefault="00C56CBF" w:rsidP="00EB33B8">
      <w:pPr>
        <w:rPr>
          <w:rFonts w:ascii="Aptos" w:hAnsi="Aptos"/>
          <w:color w:val="000000" w:themeColor="text1"/>
          <w:u w:val="single"/>
          <w:lang w:val="pt-BR"/>
        </w:rPr>
      </w:pPr>
      <w:r w:rsidRPr="00695602">
        <w:rPr>
          <w:rFonts w:ascii="Aptos" w:hAnsi="Aptos"/>
          <w:color w:val="000000" w:themeColor="text1"/>
          <w:u w:val="single"/>
          <w:lang w:val="pt-BR"/>
        </w:rPr>
        <w:t xml:space="preserve">/s/ </w:t>
      </w:r>
      <w:r w:rsidRPr="004B6ACE">
        <w:rPr>
          <w:rFonts w:ascii="Baguet Script" w:hAnsi="Baguet Script" w:cs="Apple Chancery"/>
          <w:color w:val="000000" w:themeColor="text1"/>
          <w:u w:val="single"/>
          <w:lang w:val="pt-BR"/>
        </w:rPr>
        <w:t>Alina Kantor Nir</w:t>
      </w:r>
    </w:p>
    <w:p w14:paraId="6619DC69" w14:textId="77777777" w:rsidR="00C56CBF" w:rsidRPr="00695602" w:rsidRDefault="00C56CBF" w:rsidP="00EB33B8">
      <w:pPr>
        <w:rPr>
          <w:rFonts w:ascii="Aptos" w:hAnsi="Aptos"/>
          <w:color w:val="000000" w:themeColor="text1"/>
          <w:lang w:val="pt-BR"/>
        </w:rPr>
      </w:pPr>
      <w:r w:rsidRPr="00695602">
        <w:rPr>
          <w:rFonts w:ascii="Aptos" w:hAnsi="Aptos"/>
          <w:color w:val="000000" w:themeColor="text1"/>
          <w:lang w:val="pt-BR"/>
        </w:rPr>
        <w:t>Alina Kantor Nir</w:t>
      </w:r>
    </w:p>
    <w:p w14:paraId="36001DD5" w14:textId="6E9EE20B" w:rsidR="001F3065" w:rsidRPr="00695602" w:rsidRDefault="00C56CBF" w:rsidP="00EB33B8">
      <w:pPr>
        <w:rPr>
          <w:rFonts w:ascii="Aptos" w:hAnsi="Aptos"/>
          <w:color w:val="000000" w:themeColor="text1"/>
        </w:rPr>
      </w:pPr>
      <w:r w:rsidRPr="00695602">
        <w:rPr>
          <w:rFonts w:ascii="Aptos" w:hAnsi="Aptos"/>
          <w:color w:val="000000" w:themeColor="text1"/>
        </w:rPr>
        <w:t>Dated:</w:t>
      </w:r>
      <w:r w:rsidR="00FC7E92" w:rsidRPr="00695602">
        <w:rPr>
          <w:rFonts w:ascii="Aptos" w:hAnsi="Aptos"/>
          <w:color w:val="000000" w:themeColor="text1"/>
        </w:rPr>
        <w:t xml:space="preserve"> </w:t>
      </w:r>
      <w:r w:rsidR="00644EE2" w:rsidRPr="00695602">
        <w:rPr>
          <w:rFonts w:ascii="Aptos" w:hAnsi="Aptos"/>
          <w:color w:val="000000" w:themeColor="text1"/>
        </w:rPr>
        <w:t xml:space="preserve"> </w:t>
      </w:r>
      <w:r w:rsidR="00433724">
        <w:rPr>
          <w:rFonts w:ascii="Aptos" w:hAnsi="Aptos"/>
          <w:color w:val="000000" w:themeColor="text1"/>
        </w:rPr>
        <w:t>March 10, 2026</w:t>
      </w:r>
    </w:p>
    <w:p w14:paraId="16BF69C5" w14:textId="77777777" w:rsidR="004D0501" w:rsidRPr="00695602" w:rsidRDefault="004D0501" w:rsidP="00EB33B8">
      <w:pPr>
        <w:rPr>
          <w:rFonts w:ascii="Aptos" w:hAnsi="Aptos"/>
          <w:color w:val="000000" w:themeColor="text1"/>
        </w:rPr>
      </w:pPr>
    </w:p>
    <w:p w14:paraId="1954E8F2" w14:textId="062B2FB1" w:rsidR="004D0501" w:rsidRPr="00695602" w:rsidRDefault="008262E3" w:rsidP="004B6ACE">
      <w:pPr>
        <w:rPr>
          <w:rFonts w:ascii="Aptos" w:hAnsi="Aptos"/>
          <w:color w:val="000000" w:themeColor="text1"/>
        </w:rPr>
      </w:pPr>
      <w:r w:rsidRPr="00695602">
        <w:rPr>
          <w:rFonts w:ascii="Aptos" w:hAnsi="Aptos"/>
          <w:color w:val="000000" w:themeColor="text1"/>
        </w:rPr>
        <w:t xml:space="preserve"> </w:t>
      </w:r>
      <w:r w:rsidR="009A0B9B" w:rsidRPr="00695602">
        <w:rPr>
          <w:rFonts w:ascii="Aptos" w:hAnsi="Aptos"/>
          <w:color w:val="000000" w:themeColor="text1"/>
        </w:rPr>
        <w:t xml:space="preserve"> </w:t>
      </w:r>
    </w:p>
    <w:sectPr w:rsidR="004D0501" w:rsidRPr="0069560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55E1" w14:textId="77777777" w:rsidR="00432D05" w:rsidRDefault="00432D05" w:rsidP="001B4DFD">
      <w:r>
        <w:separator/>
      </w:r>
    </w:p>
  </w:endnote>
  <w:endnote w:type="continuationSeparator" w:id="0">
    <w:p w14:paraId="2DC8602F" w14:textId="77777777" w:rsidR="00432D05" w:rsidRDefault="00432D05" w:rsidP="001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guet Script">
    <w:charset w:val="00"/>
    <w:family w:val="auto"/>
    <w:pitch w:val="variable"/>
    <w:sig w:usb0="00000007" w:usb1="00000000" w:usb2="00000000" w:usb3="00000000" w:csb0="00000093" w:csb1="00000000"/>
  </w:font>
  <w:font w:name="Apple Chancery">
    <w:altName w:val="APPLE CHANCERY"/>
    <w:charset w:val="B1"/>
    <w:family w:val="script"/>
    <w:pitch w:val="variable"/>
    <w:sig w:usb0="80000867" w:usb1="00000003" w:usb2="00000000" w:usb3="00000000" w:csb0="000001F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836346"/>
      <w:docPartObj>
        <w:docPartGallery w:val="Page Numbers (Bottom of Page)"/>
        <w:docPartUnique/>
      </w:docPartObj>
    </w:sdtPr>
    <w:sdtEndPr>
      <w:rPr>
        <w:rStyle w:val="PageNumber"/>
      </w:rPr>
    </w:sdtEndPr>
    <w:sdtContent>
      <w:p w14:paraId="1639B0B9" w14:textId="541C2B9B"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52C1A" w14:textId="77777777" w:rsidR="00FB6C3B" w:rsidRDefault="00FB6C3B" w:rsidP="00FB6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901652"/>
      <w:docPartObj>
        <w:docPartGallery w:val="Page Numbers (Bottom of Page)"/>
        <w:docPartUnique/>
      </w:docPartObj>
    </w:sdtPr>
    <w:sdtEndPr>
      <w:rPr>
        <w:rStyle w:val="PageNumber"/>
      </w:rPr>
    </w:sdtEndPr>
    <w:sdtContent>
      <w:p w14:paraId="5085DD65" w14:textId="499C101A"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F900B" w14:textId="77777777" w:rsidR="00FB6C3B" w:rsidRDefault="00FB6C3B" w:rsidP="00FB6C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31BA" w14:textId="77777777" w:rsidR="00432D05" w:rsidRDefault="00432D05" w:rsidP="001B4DFD">
      <w:r>
        <w:separator/>
      </w:r>
    </w:p>
  </w:footnote>
  <w:footnote w:type="continuationSeparator" w:id="0">
    <w:p w14:paraId="4A48DA65" w14:textId="77777777" w:rsidR="00432D05" w:rsidRDefault="00432D05" w:rsidP="001B4DFD">
      <w:r>
        <w:continuationSeparator/>
      </w:r>
    </w:p>
  </w:footnote>
  <w:footnote w:id="1">
    <w:p w14:paraId="09145E9B" w14:textId="318B6E64" w:rsidR="007F0A44" w:rsidRPr="005F7B04" w:rsidRDefault="007F0A44"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00217851" w:rsidRPr="005F7B04">
        <w:rPr>
          <w:rFonts w:ascii="Aptos" w:hAnsi="Aptos"/>
          <w:color w:val="000000" w:themeColor="text1"/>
        </w:rPr>
        <w:t>The information in this section is subject to revision in further proceedings.</w:t>
      </w:r>
    </w:p>
  </w:footnote>
  <w:footnote w:id="2">
    <w:p w14:paraId="2D9A5091" w14:textId="43F1E282" w:rsidR="009A744B" w:rsidRPr="005F7B04" w:rsidRDefault="009A744B">
      <w:pPr>
        <w:pStyle w:val="FootnoteText"/>
        <w:rPr>
          <w:rFonts w:ascii="Aptos" w:hAnsi="Aptos"/>
        </w:rPr>
      </w:pPr>
      <w:r w:rsidRPr="005F7B04">
        <w:rPr>
          <w:rStyle w:val="FootnoteReference"/>
          <w:rFonts w:ascii="Aptos" w:hAnsi="Aptos"/>
        </w:rPr>
        <w:footnoteRef/>
      </w:r>
      <w:r w:rsidRPr="005F7B04">
        <w:rPr>
          <w:rFonts w:ascii="Aptos" w:hAnsi="Aptos"/>
        </w:rPr>
        <w:t xml:space="preserve"> See </w:t>
      </w:r>
      <w:r w:rsidRPr="009376A1">
        <w:rPr>
          <w:rFonts w:ascii="Aptos" w:hAnsi="Aptos"/>
          <w:i/>
          <w:iCs/>
        </w:rPr>
        <w:t>Adickes v. S.H. Kress &amp; Co.,</w:t>
      </w:r>
      <w:r w:rsidRPr="005F7B04">
        <w:rPr>
          <w:rFonts w:ascii="Aptos" w:hAnsi="Aptos"/>
        </w:rPr>
        <w:t xml:space="preserve"> 398 U.S. 144, 157 (1970); </w:t>
      </w:r>
      <w:r w:rsidRPr="009376A1">
        <w:rPr>
          <w:rFonts w:ascii="Aptos" w:hAnsi="Aptos"/>
          <w:i/>
          <w:iCs/>
        </w:rPr>
        <w:t>Anderson v. Liberty Lobby, Inc</w:t>
      </w:r>
      <w:r w:rsidRPr="005F7B04">
        <w:rPr>
          <w:rFonts w:ascii="Aptos" w:hAnsi="Aptos"/>
        </w:rPr>
        <w:t xml:space="preserve">., 477 U.S. 242, 255 (1986); </w:t>
      </w:r>
      <w:r w:rsidRPr="009376A1">
        <w:rPr>
          <w:rFonts w:ascii="Aptos" w:hAnsi="Aptos"/>
          <w:i/>
          <w:iCs/>
        </w:rPr>
        <w:t>Maldonado-Denis v. Castillo-Rodriguez</w:t>
      </w:r>
      <w:r w:rsidRPr="005F7B04">
        <w:rPr>
          <w:rFonts w:ascii="Aptos" w:hAnsi="Aptos"/>
        </w:rPr>
        <w:t>, 23 F.3d 576, 581 (1st Cir. 1994).</w:t>
      </w:r>
    </w:p>
  </w:footnote>
  <w:footnote w:id="3">
    <w:p w14:paraId="08A5DDB2" w14:textId="77777777" w:rsidR="00391775" w:rsidRPr="005F7B04" w:rsidRDefault="00391775"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color w:val="000000" w:themeColor="text1"/>
          <w:shd w:val="clear" w:color="auto" w:fill="FFFFFF"/>
        </w:rPr>
        <w:t>801 CMR 1.01(7)(h).</w:t>
      </w:r>
    </w:p>
  </w:footnote>
  <w:footnote w:id="4">
    <w:p w14:paraId="5E36ADB5" w14:textId="77777777" w:rsidR="00391775" w:rsidRPr="005F7B04" w:rsidRDefault="00391775"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i/>
          <w:iCs/>
          <w:color w:val="000000" w:themeColor="text1"/>
          <w:shd w:val="clear" w:color="auto" w:fill="FFFFFF"/>
        </w:rPr>
        <w:t>Id</w:t>
      </w:r>
      <w:r w:rsidRPr="005F7B04">
        <w:rPr>
          <w:rFonts w:ascii="Aptos" w:hAnsi="Aptos"/>
          <w:color w:val="000000" w:themeColor="text1"/>
          <w:shd w:val="clear" w:color="auto" w:fill="FFFFFF"/>
        </w:rPr>
        <w:t>.</w:t>
      </w:r>
    </w:p>
  </w:footnote>
  <w:footnote w:id="5">
    <w:p w14:paraId="72B2F3DC" w14:textId="77777777" w:rsidR="00391775" w:rsidRPr="005F7B04" w:rsidRDefault="00391775"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i/>
          <w:iCs/>
          <w:color w:val="000000" w:themeColor="text1"/>
        </w:rPr>
        <w:t>French v. Merrill</w:t>
      </w:r>
      <w:r w:rsidRPr="005F7B04">
        <w:rPr>
          <w:rFonts w:ascii="Aptos" w:hAnsi="Aptos"/>
          <w:color w:val="000000" w:themeColor="text1"/>
        </w:rPr>
        <w:t xml:space="preserve">, 15 F.4th 116, 123 (1st Cir. 2021); see </w:t>
      </w:r>
      <w:r w:rsidRPr="005F7B04">
        <w:rPr>
          <w:rFonts w:ascii="Aptos" w:hAnsi="Aptos"/>
          <w:i/>
          <w:color w:val="000000" w:themeColor="text1"/>
          <w:bdr w:val="none" w:sz="0" w:space="0" w:color="auto" w:frame="1"/>
        </w:rPr>
        <w:t>Maldanado-Denis v. Castillo-Rodriguez,</w:t>
      </w:r>
      <w:r w:rsidRPr="005F7B04">
        <w:rPr>
          <w:rFonts w:ascii="Aptos" w:hAnsi="Aptos"/>
          <w:color w:val="000000" w:themeColor="text1"/>
          <w:bdr w:val="none" w:sz="0" w:space="0" w:color="auto" w:frame="1"/>
        </w:rPr>
        <w:t xml:space="preserve"> 23 F.3d 576, 581 (1st  Cir. 1994).</w:t>
      </w:r>
    </w:p>
  </w:footnote>
  <w:footnote w:id="6">
    <w:p w14:paraId="56422978" w14:textId="77777777" w:rsidR="00391775" w:rsidRPr="005F7B04" w:rsidRDefault="00391775" w:rsidP="00DB5FF7">
      <w:pPr>
        <w:shd w:val="clear" w:color="auto" w:fill="FFFFFF"/>
        <w:rPr>
          <w:rFonts w:ascii="Aptos" w:hAnsi="Aptos"/>
          <w:color w:val="000000" w:themeColor="text1"/>
          <w:sz w:val="20"/>
          <w:szCs w:val="20"/>
        </w:rPr>
      </w:pPr>
      <w:r w:rsidRPr="005F7B04">
        <w:rPr>
          <w:rStyle w:val="FootnoteReference"/>
          <w:rFonts w:ascii="Aptos" w:hAnsi="Aptos"/>
          <w:color w:val="000000" w:themeColor="text1"/>
          <w:sz w:val="20"/>
          <w:szCs w:val="20"/>
        </w:rPr>
        <w:footnoteRef/>
      </w:r>
      <w:r w:rsidRPr="005F7B04">
        <w:rPr>
          <w:rFonts w:ascii="Aptos" w:hAnsi="Aptos"/>
          <w:color w:val="000000" w:themeColor="text1"/>
          <w:sz w:val="20"/>
          <w:szCs w:val="20"/>
        </w:rPr>
        <w:t xml:space="preserve"> </w:t>
      </w:r>
      <w:r w:rsidRPr="005F7B04">
        <w:rPr>
          <w:rFonts w:ascii="Aptos" w:hAnsi="Aptos"/>
          <w:i/>
          <w:iCs/>
          <w:color w:val="000000" w:themeColor="text1"/>
          <w:sz w:val="20"/>
          <w:szCs w:val="20"/>
          <w:bdr w:val="none" w:sz="0" w:space="0" w:color="auto" w:frame="1"/>
        </w:rPr>
        <w:t>Anderson v. Liberty Lobby, Inc.</w:t>
      </w:r>
      <w:r w:rsidRPr="005F7B04">
        <w:rPr>
          <w:rFonts w:ascii="Aptos" w:hAnsi="Aptos"/>
          <w:i/>
          <w:iCs/>
          <w:color w:val="000000" w:themeColor="text1"/>
          <w:sz w:val="20"/>
          <w:szCs w:val="20"/>
        </w:rPr>
        <w:t>,</w:t>
      </w:r>
      <w:r w:rsidRPr="005F7B04">
        <w:rPr>
          <w:rFonts w:ascii="Aptos" w:hAnsi="Aptos"/>
          <w:color w:val="000000" w:themeColor="text1"/>
          <w:sz w:val="20"/>
          <w:szCs w:val="20"/>
        </w:rPr>
        <w:t xml:space="preserve"> 477 U.S. 242, 248 (1986).</w:t>
      </w:r>
    </w:p>
  </w:footnote>
  <w:footnote w:id="7">
    <w:p w14:paraId="433DC5AC" w14:textId="2DDC7315" w:rsidR="00391775" w:rsidRPr="005F7B04" w:rsidRDefault="00391775" w:rsidP="00DB5FF7">
      <w:pPr>
        <w:rPr>
          <w:rFonts w:ascii="Aptos" w:hAnsi="Aptos"/>
          <w:color w:val="000000" w:themeColor="text1"/>
          <w:sz w:val="20"/>
          <w:szCs w:val="20"/>
        </w:rPr>
      </w:pPr>
      <w:r w:rsidRPr="005F7B04">
        <w:rPr>
          <w:rStyle w:val="FootnoteReference"/>
          <w:rFonts w:ascii="Aptos" w:hAnsi="Aptos"/>
          <w:color w:val="000000" w:themeColor="text1"/>
          <w:sz w:val="20"/>
          <w:szCs w:val="20"/>
        </w:rPr>
        <w:footnoteRef/>
      </w:r>
      <w:r w:rsidRPr="005F7B04">
        <w:rPr>
          <w:rFonts w:ascii="Aptos" w:hAnsi="Aptos"/>
          <w:color w:val="000000" w:themeColor="text1"/>
          <w:sz w:val="20"/>
          <w:szCs w:val="20"/>
        </w:rPr>
        <w:t xml:space="preserve"> </w:t>
      </w:r>
      <w:r w:rsidR="00BD59E6" w:rsidRPr="005F7B04">
        <w:rPr>
          <w:rFonts w:ascii="Aptos" w:hAnsi="Aptos"/>
          <w:color w:val="000000" w:themeColor="text1"/>
          <w:sz w:val="20"/>
          <w:szCs w:val="20"/>
        </w:rPr>
        <w:t xml:space="preserve">See </w:t>
      </w:r>
      <w:r w:rsidR="00BD59E6" w:rsidRPr="005F7B04">
        <w:rPr>
          <w:rFonts w:ascii="Aptos" w:hAnsi="Aptos"/>
          <w:i/>
          <w:iCs/>
          <w:color w:val="000000" w:themeColor="text1"/>
          <w:sz w:val="20"/>
          <w:szCs w:val="20"/>
        </w:rPr>
        <w:t>i</w:t>
      </w:r>
      <w:r w:rsidRPr="005F7B04">
        <w:rPr>
          <w:rFonts w:ascii="Aptos" w:hAnsi="Aptos"/>
          <w:i/>
          <w:iCs/>
          <w:color w:val="000000" w:themeColor="text1"/>
          <w:sz w:val="20"/>
          <w:szCs w:val="20"/>
        </w:rPr>
        <w:t>d</w:t>
      </w:r>
      <w:r w:rsidRPr="005F7B04">
        <w:rPr>
          <w:rFonts w:ascii="Aptos" w:hAnsi="Aptos"/>
          <w:color w:val="000000" w:themeColor="text1"/>
          <w:sz w:val="20"/>
          <w:szCs w:val="20"/>
        </w:rPr>
        <w:t>. at 252; see</w:t>
      </w:r>
      <w:r w:rsidR="00BD59E6" w:rsidRPr="005F7B04">
        <w:rPr>
          <w:rFonts w:ascii="Aptos" w:hAnsi="Aptos"/>
          <w:color w:val="000000" w:themeColor="text1"/>
          <w:sz w:val="20"/>
          <w:szCs w:val="20"/>
        </w:rPr>
        <w:t xml:space="preserve"> also</w:t>
      </w:r>
      <w:r w:rsidRPr="005F7B04">
        <w:rPr>
          <w:rFonts w:ascii="Aptos" w:hAnsi="Aptos"/>
          <w:color w:val="000000" w:themeColor="text1"/>
          <w:sz w:val="20"/>
          <w:szCs w:val="20"/>
        </w:rPr>
        <w:t xml:space="preserve"> </w:t>
      </w:r>
      <w:r w:rsidRPr="005F7B04">
        <w:rPr>
          <w:rFonts w:ascii="Aptos" w:hAnsi="Aptos"/>
          <w:i/>
          <w:iCs/>
          <w:color w:val="000000" w:themeColor="text1"/>
          <w:sz w:val="20"/>
          <w:szCs w:val="20"/>
          <w:shd w:val="clear" w:color="auto" w:fill="FFFFFF"/>
        </w:rPr>
        <w:t>In</w:t>
      </w:r>
      <w:r w:rsidRPr="005F7B04">
        <w:rPr>
          <w:rStyle w:val="apple-converted-space"/>
          <w:rFonts w:ascii="Aptos" w:hAnsi="Aptos"/>
          <w:color w:val="000000" w:themeColor="text1"/>
          <w:sz w:val="20"/>
          <w:szCs w:val="20"/>
          <w:shd w:val="clear" w:color="auto" w:fill="FFFFFF"/>
        </w:rPr>
        <w:t> </w:t>
      </w:r>
      <w:r w:rsidRPr="005F7B04">
        <w:rPr>
          <w:rStyle w:val="Emphasis"/>
          <w:rFonts w:ascii="Aptos" w:hAnsi="Aptos"/>
          <w:color w:val="000000" w:themeColor="text1"/>
          <w:sz w:val="20"/>
          <w:szCs w:val="20"/>
          <w:bdr w:val="none" w:sz="0" w:space="0" w:color="auto" w:frame="1"/>
        </w:rPr>
        <w:t>Re: Westwood Pub. Sch.</w:t>
      </w:r>
      <w:r w:rsidRPr="005F7B04">
        <w:rPr>
          <w:rFonts w:ascii="Aptos" w:hAnsi="Aptos"/>
          <w:color w:val="000000" w:themeColor="text1"/>
          <w:sz w:val="20"/>
          <w:szCs w:val="20"/>
          <w:shd w:val="clear" w:color="auto" w:fill="FFFFFF"/>
        </w:rPr>
        <w:t xml:space="preserve">, BSEA </w:t>
      </w:r>
      <w:r w:rsidR="0022752B" w:rsidRPr="005F7B04">
        <w:rPr>
          <w:rFonts w:ascii="Aptos" w:hAnsi="Aptos"/>
          <w:color w:val="000000" w:themeColor="text1"/>
          <w:sz w:val="20"/>
          <w:szCs w:val="20"/>
          <w:shd w:val="clear" w:color="auto" w:fill="FFFFFF"/>
        </w:rPr>
        <w:t>#</w:t>
      </w:r>
      <w:r w:rsidRPr="005F7B04">
        <w:rPr>
          <w:rFonts w:ascii="Aptos" w:hAnsi="Aptos"/>
          <w:color w:val="000000" w:themeColor="text1"/>
          <w:sz w:val="20"/>
          <w:szCs w:val="20"/>
          <w:shd w:val="clear" w:color="auto" w:fill="FFFFFF"/>
        </w:rPr>
        <w:t xml:space="preserve"> 10-1162 (Figueroa, 2010</w:t>
      </w:r>
      <w:r w:rsidRPr="005F7B04">
        <w:rPr>
          <w:rStyle w:val="Emphasis"/>
          <w:rFonts w:ascii="Aptos" w:hAnsi="Aptos"/>
          <w:color w:val="000000" w:themeColor="text1"/>
          <w:sz w:val="20"/>
          <w:szCs w:val="20"/>
          <w:bdr w:val="none" w:sz="0" w:space="0" w:color="auto" w:frame="1"/>
        </w:rPr>
        <w:t>); In Re: Mike v. Boston Pub. Sch.</w:t>
      </w:r>
      <w:r w:rsidRPr="005F7B04">
        <w:rPr>
          <w:rFonts w:ascii="Aptos" w:hAnsi="Aptos"/>
          <w:color w:val="000000" w:themeColor="text1"/>
          <w:sz w:val="20"/>
          <w:szCs w:val="20"/>
          <w:shd w:val="clear" w:color="auto" w:fill="FFFFFF"/>
        </w:rPr>
        <w:t xml:space="preserve">, BSEA No. 10-2417 (Oliver, 2010); </w:t>
      </w:r>
      <w:r w:rsidRPr="005F7B04">
        <w:rPr>
          <w:rStyle w:val="Emphasis"/>
          <w:rFonts w:ascii="Aptos" w:hAnsi="Aptos"/>
          <w:color w:val="000000" w:themeColor="text1"/>
          <w:sz w:val="20"/>
          <w:szCs w:val="20"/>
          <w:bdr w:val="none" w:sz="0" w:space="0" w:color="auto" w:frame="1"/>
        </w:rPr>
        <w:t>Zelda v. Bridgewater-Raynham Pub. Sch. and Bristol County Agricultural Sch.</w:t>
      </w:r>
      <w:r w:rsidRPr="005F7B04">
        <w:rPr>
          <w:rFonts w:ascii="Aptos" w:hAnsi="Aptos"/>
          <w:color w:val="000000" w:themeColor="text1"/>
          <w:sz w:val="20"/>
          <w:szCs w:val="20"/>
          <w:shd w:val="clear" w:color="auto" w:fill="FFFFFF"/>
        </w:rPr>
        <w:t xml:space="preserve">, BSEA </w:t>
      </w:r>
      <w:r w:rsidR="0022752B" w:rsidRPr="005F7B04">
        <w:rPr>
          <w:rFonts w:ascii="Aptos" w:hAnsi="Aptos"/>
          <w:color w:val="000000" w:themeColor="text1"/>
          <w:sz w:val="20"/>
          <w:szCs w:val="20"/>
          <w:shd w:val="clear" w:color="auto" w:fill="FFFFFF"/>
        </w:rPr>
        <w:t>#</w:t>
      </w:r>
      <w:r w:rsidRPr="005F7B04">
        <w:rPr>
          <w:rFonts w:ascii="Aptos" w:hAnsi="Aptos"/>
          <w:color w:val="000000" w:themeColor="text1"/>
          <w:sz w:val="20"/>
          <w:szCs w:val="20"/>
          <w:shd w:val="clear" w:color="auto" w:fill="FFFFFF"/>
        </w:rPr>
        <w:t xml:space="preserve"> 06-0256 (Byrne, 2006).</w:t>
      </w:r>
    </w:p>
  </w:footnote>
  <w:footnote w:id="8">
    <w:p w14:paraId="33D53299" w14:textId="77777777" w:rsidR="00391775" w:rsidRPr="005F7B04" w:rsidRDefault="00391775"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i/>
          <w:color w:val="000000" w:themeColor="text1"/>
        </w:rPr>
        <w:t>Anderson,</w:t>
      </w:r>
      <w:r w:rsidRPr="005F7B04">
        <w:rPr>
          <w:rFonts w:ascii="Aptos" w:hAnsi="Aptos"/>
          <w:color w:val="000000" w:themeColor="text1"/>
        </w:rPr>
        <w:t xml:space="preserve"> 477 U.S</w:t>
      </w:r>
      <w:r w:rsidRPr="005F7B04">
        <w:rPr>
          <w:rFonts w:ascii="Aptos" w:hAnsi="Aptos"/>
          <w:i/>
          <w:color w:val="000000" w:themeColor="text1"/>
        </w:rPr>
        <w:t xml:space="preserve">. </w:t>
      </w:r>
      <w:r w:rsidRPr="005F7B04">
        <w:rPr>
          <w:rFonts w:ascii="Aptos" w:hAnsi="Aptos"/>
          <w:color w:val="000000" w:themeColor="text1"/>
        </w:rPr>
        <w:t>at 250.</w:t>
      </w:r>
    </w:p>
  </w:footnote>
  <w:footnote w:id="9">
    <w:p w14:paraId="1502ECA1" w14:textId="77777777" w:rsidR="00391775" w:rsidRPr="005F7B04" w:rsidRDefault="00391775"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i/>
          <w:color w:val="000000" w:themeColor="text1"/>
        </w:rPr>
        <w:t>Id</w:t>
      </w:r>
      <w:r w:rsidRPr="005F7B04">
        <w:rPr>
          <w:rFonts w:ascii="Aptos" w:hAnsi="Aptos"/>
          <w:iCs/>
          <w:color w:val="000000" w:themeColor="text1"/>
        </w:rPr>
        <w:t>.</w:t>
      </w:r>
      <w:r w:rsidRPr="005F7B04">
        <w:rPr>
          <w:rFonts w:ascii="Aptos" w:hAnsi="Aptos"/>
          <w:color w:val="000000" w:themeColor="text1"/>
        </w:rPr>
        <w:t xml:space="preserve"> at 249.</w:t>
      </w:r>
    </w:p>
  </w:footnote>
  <w:footnote w:id="10">
    <w:p w14:paraId="2C3C962F" w14:textId="77777777" w:rsidR="00391775" w:rsidRPr="005F7B04" w:rsidRDefault="00391775"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i/>
          <w:color w:val="000000" w:themeColor="text1"/>
        </w:rPr>
        <w:t xml:space="preserve">Mack v. Great Atl. &amp; Pac. Tea Co., </w:t>
      </w:r>
      <w:r w:rsidRPr="005F7B04">
        <w:rPr>
          <w:rFonts w:ascii="Aptos" w:hAnsi="Aptos"/>
          <w:color w:val="000000" w:themeColor="text1"/>
        </w:rPr>
        <w:t xml:space="preserve">871 F.2d 179, 181 (1st Cir. 1989). </w:t>
      </w:r>
    </w:p>
  </w:footnote>
  <w:footnote w:id="11">
    <w:p w14:paraId="2B5A5DAB" w14:textId="77777777" w:rsidR="00391775" w:rsidRPr="005F7B04" w:rsidRDefault="00391775" w:rsidP="00DB5FF7">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i/>
          <w:color w:val="000000" w:themeColor="text1"/>
        </w:rPr>
        <w:t xml:space="preserve">Medina-Munoz v. R.J. Reynolds Tobacco Co., </w:t>
      </w:r>
      <w:r w:rsidRPr="005F7B04">
        <w:rPr>
          <w:rFonts w:ascii="Aptos" w:hAnsi="Aptos"/>
          <w:color w:val="000000" w:themeColor="text1"/>
        </w:rPr>
        <w:t>896 F.2d 5, 8 (1st Cir. 1990).</w:t>
      </w:r>
    </w:p>
  </w:footnote>
  <w:footnote w:id="12">
    <w:p w14:paraId="15860FE5" w14:textId="0742EADA" w:rsidR="00A401C6" w:rsidRPr="005F7B04" w:rsidRDefault="00A401C6">
      <w:pPr>
        <w:pStyle w:val="FootnoteText"/>
        <w:rPr>
          <w:rFonts w:ascii="Aptos" w:hAnsi="Aptos"/>
        </w:rPr>
      </w:pPr>
      <w:r w:rsidRPr="005F7B04">
        <w:rPr>
          <w:rStyle w:val="FootnoteReference"/>
          <w:rFonts w:ascii="Aptos" w:hAnsi="Aptos"/>
        </w:rPr>
        <w:footnoteRef/>
      </w:r>
      <w:r w:rsidRPr="005F7B04">
        <w:rPr>
          <w:rFonts w:ascii="Aptos" w:hAnsi="Aptos"/>
        </w:rPr>
        <w:t xml:space="preserve"> 20 USC §1415(b)(6); see M.G.L.C. 71B §2A; 34 CFR 300.507(a)(1); 603 CMR 28.08(3)(a).</w:t>
      </w:r>
    </w:p>
  </w:footnote>
  <w:footnote w:id="13">
    <w:p w14:paraId="35FDF0FE" w14:textId="7A7A6E8F" w:rsidR="00016B45" w:rsidRPr="005F7B04" w:rsidRDefault="00016B45">
      <w:pPr>
        <w:pStyle w:val="FootnoteText"/>
        <w:rPr>
          <w:rFonts w:ascii="Aptos" w:hAnsi="Aptos"/>
        </w:rPr>
      </w:pPr>
      <w:r w:rsidRPr="005F7B04">
        <w:rPr>
          <w:rStyle w:val="FootnoteReference"/>
          <w:rFonts w:ascii="Aptos" w:hAnsi="Aptos"/>
        </w:rPr>
        <w:footnoteRef/>
      </w:r>
      <w:r w:rsidRPr="005F7B04">
        <w:rPr>
          <w:rFonts w:ascii="Aptos" w:hAnsi="Aptos"/>
        </w:rPr>
        <w:t xml:space="preserve"> See </w:t>
      </w:r>
      <w:r w:rsidRPr="005F7B04">
        <w:rPr>
          <w:rFonts w:ascii="Aptos" w:hAnsi="Aptos"/>
          <w:i/>
          <w:iCs/>
        </w:rPr>
        <w:t>Fry v. Napoleon</w:t>
      </w:r>
      <w:r w:rsidRPr="005F7B04">
        <w:rPr>
          <w:rFonts w:ascii="Aptos" w:hAnsi="Aptos"/>
        </w:rPr>
        <w:t xml:space="preserve">, 580 U.S. 154, 167-68 (2017) (holding that even where a dispute is between a child with a disability and her school district, if it does not involve the child’s right to a free appropriate public education under the Individuals with Disabilities Education Act, a hearing officer does not have jurisdiction over that dispute); In Re: </w:t>
      </w:r>
      <w:r w:rsidRPr="005F7B04">
        <w:rPr>
          <w:rFonts w:ascii="Aptos" w:hAnsi="Aptos"/>
          <w:i/>
          <w:iCs/>
        </w:rPr>
        <w:t>KB and Ashland Public Schools &amp; Department of Mental Health and Department of Children and Families</w:t>
      </w:r>
      <w:r w:rsidRPr="005F7B04">
        <w:rPr>
          <w:rFonts w:ascii="Aptos" w:hAnsi="Aptos"/>
        </w:rPr>
        <w:t>, BSEA #</w:t>
      </w:r>
      <w:r w:rsidR="0022752B" w:rsidRPr="005F7B04">
        <w:rPr>
          <w:rFonts w:ascii="Aptos" w:hAnsi="Aptos"/>
        </w:rPr>
        <w:t xml:space="preserve"> </w:t>
      </w:r>
      <w:r w:rsidRPr="005F7B04">
        <w:rPr>
          <w:rFonts w:ascii="Aptos" w:hAnsi="Aptos"/>
        </w:rPr>
        <w:t>2508203 (Mitchell, 2025) (Ruling) and cases cited at n.12.</w:t>
      </w:r>
    </w:p>
  </w:footnote>
  <w:footnote w:id="14">
    <w:p w14:paraId="69F69695" w14:textId="58F653A1" w:rsidR="00016B45" w:rsidRPr="005F7B04" w:rsidRDefault="00016B45">
      <w:pPr>
        <w:pStyle w:val="FootnoteText"/>
        <w:rPr>
          <w:rFonts w:ascii="Aptos" w:hAnsi="Aptos"/>
        </w:rPr>
      </w:pPr>
      <w:r w:rsidRPr="005F7B04">
        <w:rPr>
          <w:rStyle w:val="FootnoteReference"/>
          <w:rFonts w:ascii="Aptos" w:hAnsi="Aptos"/>
        </w:rPr>
        <w:footnoteRef/>
      </w:r>
      <w:r w:rsidRPr="005F7B04">
        <w:rPr>
          <w:rFonts w:ascii="Aptos" w:hAnsi="Aptos"/>
        </w:rPr>
        <w:t xml:space="preserve"> See, e.g., </w:t>
      </w:r>
      <w:r w:rsidRPr="005F7B04">
        <w:rPr>
          <w:rFonts w:ascii="Aptos" w:hAnsi="Aptos"/>
          <w:i/>
          <w:iCs/>
        </w:rPr>
        <w:t>In Re: KB</w:t>
      </w:r>
      <w:r w:rsidRPr="005F7B04">
        <w:rPr>
          <w:rFonts w:ascii="Aptos" w:hAnsi="Aptos"/>
        </w:rPr>
        <w:t xml:space="preserve"> (noting that the BSEA has historically declined to take jurisdiction over issues of interpretation or enforcement of settlement agreement terms); </w:t>
      </w:r>
      <w:r w:rsidRPr="005F7B04">
        <w:rPr>
          <w:rFonts w:ascii="Aptos" w:hAnsi="Aptos"/>
          <w:i/>
          <w:iCs/>
        </w:rPr>
        <w:t>In Re: Student &amp; Andover Public Schools</w:t>
      </w:r>
      <w:r w:rsidRPr="005F7B04">
        <w:rPr>
          <w:rFonts w:ascii="Aptos" w:hAnsi="Aptos"/>
        </w:rPr>
        <w:t>, BSEA #</w:t>
      </w:r>
      <w:r w:rsidR="00C0012D" w:rsidRPr="005F7B04">
        <w:rPr>
          <w:rFonts w:ascii="Aptos" w:hAnsi="Aptos"/>
        </w:rPr>
        <w:t xml:space="preserve"> </w:t>
      </w:r>
      <w:r w:rsidRPr="005F7B04">
        <w:rPr>
          <w:rFonts w:ascii="Aptos" w:hAnsi="Aptos"/>
        </w:rPr>
        <w:t xml:space="preserve">2007733 (Berman, 2020) (Ruling) (recognizing the absence of conclusive guidance within Massachusetts and the First Circuit regarding the BSEA’s subject matter jurisdiction, or lack thereof, “to interpret privately negotiated settlement agreements concerning special education matters and determine whether either party has breached such an agreement”); </w:t>
      </w:r>
      <w:r w:rsidRPr="005F7B04">
        <w:rPr>
          <w:rFonts w:ascii="Aptos" w:hAnsi="Aptos"/>
          <w:i/>
          <w:iCs/>
        </w:rPr>
        <w:t>In Re: Student R. and Lincoln-Sudbury Public Schools</w:t>
      </w:r>
      <w:r w:rsidRPr="005F7B04">
        <w:rPr>
          <w:rFonts w:ascii="Aptos" w:hAnsi="Aptos"/>
        </w:rPr>
        <w:t>, BSEA #</w:t>
      </w:r>
      <w:r w:rsidR="0022752B" w:rsidRPr="005F7B04">
        <w:rPr>
          <w:rFonts w:ascii="Aptos" w:hAnsi="Aptos"/>
        </w:rPr>
        <w:t xml:space="preserve"> </w:t>
      </w:r>
      <w:r w:rsidRPr="005F7B04">
        <w:rPr>
          <w:rFonts w:ascii="Aptos" w:hAnsi="Aptos"/>
        </w:rPr>
        <w:t>112546 (Figueroa, 2010) (Ruling) (“Nothing in the IDEA, the Massachusetts special education law or the regulations promulgated under those statutes grants a BSEA Hearing Officer the authority to enforce agreements.”)</w:t>
      </w:r>
    </w:p>
  </w:footnote>
  <w:footnote w:id="15">
    <w:p w14:paraId="0B9A9904" w14:textId="5422DFF3" w:rsidR="00016B45" w:rsidRPr="005F7B04" w:rsidRDefault="00016B45">
      <w:pPr>
        <w:pStyle w:val="FootnoteText"/>
        <w:rPr>
          <w:rFonts w:ascii="Aptos" w:hAnsi="Aptos"/>
        </w:rPr>
      </w:pPr>
      <w:r w:rsidRPr="005F7B04">
        <w:rPr>
          <w:rStyle w:val="FootnoteReference"/>
          <w:rFonts w:ascii="Aptos" w:hAnsi="Aptos"/>
        </w:rPr>
        <w:footnoteRef/>
      </w:r>
      <w:r w:rsidRPr="005F7B04">
        <w:rPr>
          <w:rFonts w:ascii="Aptos" w:hAnsi="Aptos"/>
        </w:rPr>
        <w:t xml:space="preserve"> </w:t>
      </w:r>
      <w:r w:rsidRPr="005F7B04">
        <w:rPr>
          <w:rFonts w:ascii="Aptos" w:hAnsi="Aptos"/>
          <w:i/>
          <w:iCs/>
        </w:rPr>
        <w:t>In Re: KB</w:t>
      </w:r>
      <w:r w:rsidRPr="005F7B04">
        <w:rPr>
          <w:rFonts w:ascii="Aptos" w:hAnsi="Aptos"/>
        </w:rPr>
        <w:t xml:space="preserve">; see </w:t>
      </w:r>
      <w:r w:rsidRPr="005F7B04">
        <w:rPr>
          <w:rFonts w:ascii="Aptos" w:hAnsi="Aptos"/>
          <w:i/>
          <w:iCs/>
        </w:rPr>
        <w:t>In Re: Student and Milford</w:t>
      </w:r>
      <w:r w:rsidR="00C0012D" w:rsidRPr="005F7B04">
        <w:rPr>
          <w:rFonts w:ascii="Aptos" w:hAnsi="Aptos"/>
          <w:i/>
          <w:iCs/>
        </w:rPr>
        <w:t xml:space="preserve"> </w:t>
      </w:r>
      <w:r w:rsidRPr="005F7B04">
        <w:rPr>
          <w:rFonts w:ascii="Aptos" w:hAnsi="Aptos"/>
          <w:i/>
          <w:iCs/>
        </w:rPr>
        <w:t>Public Schools</w:t>
      </w:r>
      <w:r w:rsidRPr="005F7B04">
        <w:rPr>
          <w:rFonts w:ascii="Aptos" w:hAnsi="Aptos"/>
        </w:rPr>
        <w:t xml:space="preserve">, BSEA #1601412 (Berman, 2015); see also </w:t>
      </w:r>
      <w:r w:rsidRPr="005F7B04">
        <w:rPr>
          <w:rFonts w:ascii="Aptos" w:hAnsi="Aptos"/>
          <w:i/>
          <w:iCs/>
        </w:rPr>
        <w:t>In Re: Student R.</w:t>
      </w:r>
      <w:r w:rsidRPr="005F7B04">
        <w:rPr>
          <w:rFonts w:ascii="Aptos" w:hAnsi="Aptos"/>
        </w:rPr>
        <w:t xml:space="preserve"> (“[e]</w:t>
      </w:r>
      <w:r w:rsidRPr="005F7B04">
        <w:rPr>
          <w:rFonts w:ascii="Aptos" w:hAnsi="Aptos"/>
        </w:rPr>
        <w:t>ven if Parties agree between themselves that the BSEA will have authority to ‘enforce’ agreements, such language is insufficient to bind the BSEA where it otherwise lacks statutory authority.”)</w:t>
      </w:r>
    </w:p>
  </w:footnote>
  <w:footnote w:id="16">
    <w:p w14:paraId="7D12E412" w14:textId="24346223" w:rsidR="00016B45" w:rsidRPr="005F7B04" w:rsidRDefault="00016B45">
      <w:pPr>
        <w:pStyle w:val="FootnoteText"/>
        <w:rPr>
          <w:rFonts w:ascii="Aptos" w:hAnsi="Aptos"/>
          <w:i/>
          <w:iCs/>
        </w:rPr>
      </w:pPr>
      <w:r w:rsidRPr="005F7B04">
        <w:rPr>
          <w:rStyle w:val="FootnoteReference"/>
          <w:rFonts w:ascii="Aptos" w:hAnsi="Aptos"/>
        </w:rPr>
        <w:footnoteRef/>
      </w:r>
      <w:r w:rsidRPr="005F7B04">
        <w:rPr>
          <w:rFonts w:ascii="Aptos" w:hAnsi="Aptos"/>
        </w:rPr>
        <w:t xml:space="preserve"> See 20 USC 1415(e)(2)(F)(iii), (f)(1)(B)(iii)(II); </w:t>
      </w:r>
      <w:r w:rsidRPr="005F7B04">
        <w:rPr>
          <w:rFonts w:ascii="Aptos" w:hAnsi="Aptos"/>
          <w:i/>
          <w:iCs/>
        </w:rPr>
        <w:t>In Re: KB; In Re: Milford Public Schools; In Re: Student R.</w:t>
      </w:r>
    </w:p>
  </w:footnote>
  <w:footnote w:id="17">
    <w:p w14:paraId="70B6837B" w14:textId="066EDCE3" w:rsidR="000951FB" w:rsidRPr="005F7B04" w:rsidRDefault="000951FB">
      <w:pPr>
        <w:pStyle w:val="FootnoteText"/>
        <w:rPr>
          <w:rFonts w:ascii="Aptos" w:hAnsi="Aptos"/>
          <w:highlight w:val="yellow"/>
        </w:rPr>
      </w:pPr>
      <w:r w:rsidRPr="005F7B04">
        <w:rPr>
          <w:rStyle w:val="FootnoteReference"/>
          <w:rFonts w:ascii="Aptos" w:hAnsi="Aptos"/>
        </w:rPr>
        <w:footnoteRef/>
      </w:r>
      <w:r w:rsidRPr="005F7B04">
        <w:rPr>
          <w:rFonts w:ascii="Aptos" w:hAnsi="Aptos"/>
        </w:rPr>
        <w:t xml:space="preserve"> </w:t>
      </w:r>
      <w:r w:rsidRPr="005F7B04">
        <w:rPr>
          <w:rFonts w:ascii="Aptos" w:hAnsi="Aptos"/>
          <w:i/>
          <w:iCs/>
        </w:rPr>
        <w:t>In Re: Andover Public Schools.</w:t>
      </w:r>
    </w:p>
  </w:footnote>
  <w:footnote w:id="18">
    <w:p w14:paraId="4D5FAA68" w14:textId="48A2D094" w:rsidR="000951FB" w:rsidRPr="005F7B04" w:rsidRDefault="000951FB">
      <w:pPr>
        <w:pStyle w:val="FootnoteText"/>
        <w:rPr>
          <w:rFonts w:ascii="Aptos" w:hAnsi="Aptos"/>
        </w:rPr>
      </w:pPr>
      <w:r w:rsidRPr="005F7B04">
        <w:rPr>
          <w:rStyle w:val="FootnoteReference"/>
          <w:rFonts w:ascii="Aptos" w:hAnsi="Aptos"/>
        </w:rPr>
        <w:footnoteRef/>
      </w:r>
      <w:r w:rsidRPr="005F7B04">
        <w:rPr>
          <w:rFonts w:ascii="Aptos" w:hAnsi="Aptos"/>
        </w:rPr>
        <w:t xml:space="preserve"> </w:t>
      </w:r>
      <w:r w:rsidRPr="005F7B04">
        <w:rPr>
          <w:rFonts w:ascii="Aptos" w:hAnsi="Aptos"/>
          <w:i/>
          <w:iCs/>
        </w:rPr>
        <w:t>In Re: Longmeadow Public Schools</w:t>
      </w:r>
      <w:r w:rsidRPr="005F7B04">
        <w:rPr>
          <w:rFonts w:ascii="Aptos" w:hAnsi="Aptos"/>
        </w:rPr>
        <w:t xml:space="preserve">, BSEA #072866 (Crane, 2008) (Ruling); see </w:t>
      </w:r>
      <w:r w:rsidRPr="005F7B04">
        <w:rPr>
          <w:rFonts w:ascii="Aptos" w:hAnsi="Aptos"/>
          <w:i/>
          <w:iCs/>
        </w:rPr>
        <w:t>In Re: Andover Public Schools</w:t>
      </w:r>
      <w:r w:rsidRPr="005F7B04">
        <w:rPr>
          <w:rFonts w:ascii="Aptos" w:hAnsi="Aptos"/>
        </w:rPr>
        <w:t xml:space="preserve"> (noting that allowing an evidentiary hearing on a matter that has been addressed and resolved via a settlement agreement “would undermine the relevant provisions of federal and state special education laws as well as the underlying legislative purpose and public policy favoring informal, voluntary resolution of special education disputes”).</w:t>
      </w:r>
    </w:p>
  </w:footnote>
  <w:footnote w:id="19">
    <w:p w14:paraId="55FD72BB" w14:textId="77777777" w:rsidR="00193398" w:rsidRPr="005F7B04" w:rsidRDefault="00193398" w:rsidP="00193398">
      <w:pPr>
        <w:pStyle w:val="FootnoteText"/>
        <w:rPr>
          <w:rFonts w:ascii="Aptos" w:hAnsi="Aptos"/>
          <w:color w:val="000000" w:themeColor="text1"/>
        </w:rPr>
      </w:pPr>
      <w:r w:rsidRPr="005F7B04">
        <w:rPr>
          <w:rStyle w:val="FootnoteReference"/>
          <w:rFonts w:ascii="Aptos" w:hAnsi="Aptos"/>
          <w:color w:val="000000" w:themeColor="text1"/>
        </w:rPr>
        <w:footnoteRef/>
      </w:r>
      <w:r w:rsidRPr="005F7B04">
        <w:rPr>
          <w:rFonts w:ascii="Aptos" w:hAnsi="Aptos"/>
          <w:color w:val="000000" w:themeColor="text1"/>
        </w:rPr>
        <w:t xml:space="preserve"> </w:t>
      </w:r>
      <w:r w:rsidRPr="005F7B04">
        <w:rPr>
          <w:rFonts w:ascii="Aptos" w:hAnsi="Aptos"/>
          <w:i/>
          <w:color w:val="000000" w:themeColor="text1"/>
        </w:rPr>
        <w:t>Id</w:t>
      </w:r>
      <w:r w:rsidRPr="005F7B04">
        <w:rPr>
          <w:rFonts w:ascii="Aptos" w:hAnsi="Aptos"/>
          <w:iCs/>
          <w:color w:val="000000" w:themeColor="text1"/>
        </w:rPr>
        <w:t>.</w:t>
      </w:r>
      <w:r w:rsidRPr="005F7B04">
        <w:rPr>
          <w:rFonts w:ascii="Aptos" w:hAnsi="Aptos"/>
          <w:color w:val="000000" w:themeColor="text1"/>
        </w:rPr>
        <w:t xml:space="preserve"> at 249.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A47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E262E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8501C"/>
    <w:multiLevelType w:val="hybridMultilevel"/>
    <w:tmpl w:val="0770A404"/>
    <w:lvl w:ilvl="0" w:tplc="3A343C1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01B11A44"/>
    <w:multiLevelType w:val="hybridMultilevel"/>
    <w:tmpl w:val="0770A404"/>
    <w:lvl w:ilvl="0" w:tplc="FFFFFFFF">
      <w:start w:val="1"/>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4"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46102"/>
    <w:multiLevelType w:val="hybridMultilevel"/>
    <w:tmpl w:val="CC80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A367B"/>
    <w:multiLevelType w:val="multilevel"/>
    <w:tmpl w:val="B8D0A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02157"/>
    <w:multiLevelType w:val="multilevel"/>
    <w:tmpl w:val="72BE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5071F"/>
    <w:multiLevelType w:val="hybridMultilevel"/>
    <w:tmpl w:val="0770A404"/>
    <w:lvl w:ilvl="0" w:tplc="FFFFFFFF">
      <w:start w:val="1"/>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9" w15:restartNumberingAfterBreak="0">
    <w:nsid w:val="1B4C635B"/>
    <w:multiLevelType w:val="hybridMultilevel"/>
    <w:tmpl w:val="0CDEE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6333"/>
    <w:multiLevelType w:val="hybridMultilevel"/>
    <w:tmpl w:val="21A28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0411E"/>
    <w:multiLevelType w:val="hybridMultilevel"/>
    <w:tmpl w:val="5F20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E25F7"/>
    <w:multiLevelType w:val="hybridMultilevel"/>
    <w:tmpl w:val="DE54C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B5CF2"/>
    <w:multiLevelType w:val="multilevel"/>
    <w:tmpl w:val="E4F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16286"/>
    <w:multiLevelType w:val="multilevel"/>
    <w:tmpl w:val="E5BC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230A"/>
    <w:multiLevelType w:val="multilevel"/>
    <w:tmpl w:val="E836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C32B6"/>
    <w:multiLevelType w:val="multilevel"/>
    <w:tmpl w:val="4A8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35357D"/>
    <w:multiLevelType w:val="multilevel"/>
    <w:tmpl w:val="7B0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8B7360"/>
    <w:multiLevelType w:val="multilevel"/>
    <w:tmpl w:val="E392DE4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3EFAF2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6E0363"/>
    <w:multiLevelType w:val="multilevel"/>
    <w:tmpl w:val="2FB4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4E5B5F"/>
    <w:multiLevelType w:val="hybridMultilevel"/>
    <w:tmpl w:val="5ED45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C27CD"/>
    <w:multiLevelType w:val="multilevel"/>
    <w:tmpl w:val="26FE6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06BE1"/>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04E6A"/>
    <w:multiLevelType w:val="multilevel"/>
    <w:tmpl w:val="D7F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D82049"/>
    <w:multiLevelType w:val="multilevel"/>
    <w:tmpl w:val="A17C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486215"/>
    <w:multiLevelType w:val="hybridMultilevel"/>
    <w:tmpl w:val="8900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BB8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7BA0528"/>
    <w:multiLevelType w:val="multilevel"/>
    <w:tmpl w:val="E272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0E76B0"/>
    <w:multiLevelType w:val="hybridMultilevel"/>
    <w:tmpl w:val="85B03F64"/>
    <w:lvl w:ilvl="0" w:tplc="A540F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DA2469"/>
    <w:multiLevelType w:val="hybridMultilevel"/>
    <w:tmpl w:val="0770A404"/>
    <w:lvl w:ilvl="0" w:tplc="FFFFFFFF">
      <w:start w:val="1"/>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33" w15:restartNumberingAfterBreak="0">
    <w:nsid w:val="75DA6AFB"/>
    <w:multiLevelType w:val="multilevel"/>
    <w:tmpl w:val="FCD03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7125193"/>
    <w:multiLevelType w:val="hybridMultilevel"/>
    <w:tmpl w:val="C9622912"/>
    <w:lvl w:ilvl="0" w:tplc="03BE0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2C0CFF"/>
    <w:multiLevelType w:val="multilevel"/>
    <w:tmpl w:val="7E062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86484"/>
    <w:multiLevelType w:val="hybridMultilevel"/>
    <w:tmpl w:val="251A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94CF6"/>
    <w:multiLevelType w:val="hybridMultilevel"/>
    <w:tmpl w:val="5ED45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4227141">
    <w:abstractNumId w:val="25"/>
  </w:num>
  <w:num w:numId="2" w16cid:durableId="1786579088">
    <w:abstractNumId w:val="4"/>
  </w:num>
  <w:num w:numId="3" w16cid:durableId="1196847715">
    <w:abstractNumId w:val="36"/>
  </w:num>
  <w:num w:numId="4" w16cid:durableId="1643999685">
    <w:abstractNumId w:val="30"/>
  </w:num>
  <w:num w:numId="5" w16cid:durableId="1307122449">
    <w:abstractNumId w:val="34"/>
  </w:num>
  <w:num w:numId="6" w16cid:durableId="1082141932">
    <w:abstractNumId w:val="10"/>
  </w:num>
  <w:num w:numId="7" w16cid:durableId="1460344415">
    <w:abstractNumId w:val="7"/>
  </w:num>
  <w:num w:numId="8" w16cid:durableId="1683707188">
    <w:abstractNumId w:val="35"/>
  </w:num>
  <w:num w:numId="9" w16cid:durableId="1633825476">
    <w:abstractNumId w:val="33"/>
  </w:num>
  <w:num w:numId="10" w16cid:durableId="1703240591">
    <w:abstractNumId w:val="23"/>
  </w:num>
  <w:num w:numId="11" w16cid:durableId="599410669">
    <w:abstractNumId w:val="15"/>
  </w:num>
  <w:num w:numId="12" w16cid:durableId="2067294411">
    <w:abstractNumId w:val="6"/>
  </w:num>
  <w:num w:numId="13" w16cid:durableId="738332282">
    <w:abstractNumId w:val="18"/>
  </w:num>
  <w:num w:numId="14" w16cid:durableId="1152409489">
    <w:abstractNumId w:val="9"/>
  </w:num>
  <w:num w:numId="15" w16cid:durableId="295961047">
    <w:abstractNumId w:val="28"/>
  </w:num>
  <w:num w:numId="16" w16cid:durableId="1264725787">
    <w:abstractNumId w:val="20"/>
  </w:num>
  <w:num w:numId="17" w16cid:durableId="1944799202">
    <w:abstractNumId w:val="5"/>
  </w:num>
  <w:num w:numId="18" w16cid:durableId="253781753">
    <w:abstractNumId w:val="22"/>
  </w:num>
  <w:num w:numId="19" w16cid:durableId="2018648765">
    <w:abstractNumId w:val="14"/>
  </w:num>
  <w:num w:numId="20" w16cid:durableId="1320695945">
    <w:abstractNumId w:val="37"/>
  </w:num>
  <w:num w:numId="21" w16cid:durableId="1026247183">
    <w:abstractNumId w:val="16"/>
  </w:num>
  <w:num w:numId="22" w16cid:durableId="2028168323">
    <w:abstractNumId w:val="17"/>
  </w:num>
  <w:num w:numId="23" w16cid:durableId="1245650677">
    <w:abstractNumId w:val="26"/>
  </w:num>
  <w:num w:numId="24" w16cid:durableId="2133786637">
    <w:abstractNumId w:val="13"/>
  </w:num>
  <w:num w:numId="25" w16cid:durableId="748692193">
    <w:abstractNumId w:val="27"/>
  </w:num>
  <w:num w:numId="26" w16cid:durableId="491914680">
    <w:abstractNumId w:val="21"/>
  </w:num>
  <w:num w:numId="27" w16cid:durableId="1996641443">
    <w:abstractNumId w:val="11"/>
  </w:num>
  <w:num w:numId="28" w16cid:durableId="1706755585">
    <w:abstractNumId w:val="24"/>
  </w:num>
  <w:num w:numId="29" w16cid:durableId="61032054">
    <w:abstractNumId w:val="31"/>
  </w:num>
  <w:num w:numId="30" w16cid:durableId="1063528757">
    <w:abstractNumId w:val="2"/>
  </w:num>
  <w:num w:numId="31" w16cid:durableId="1611354206">
    <w:abstractNumId w:val="8"/>
  </w:num>
  <w:num w:numId="32" w16cid:durableId="209654528">
    <w:abstractNumId w:val="32"/>
  </w:num>
  <w:num w:numId="33" w16cid:durableId="1472819465">
    <w:abstractNumId w:val="3"/>
  </w:num>
  <w:num w:numId="34" w16cid:durableId="134495276">
    <w:abstractNumId w:val="29"/>
  </w:num>
  <w:num w:numId="35" w16cid:durableId="496114665">
    <w:abstractNumId w:val="19"/>
  </w:num>
  <w:num w:numId="36" w16cid:durableId="2132506497">
    <w:abstractNumId w:val="1"/>
  </w:num>
  <w:num w:numId="37" w16cid:durableId="1980911390">
    <w:abstractNumId w:val="12"/>
  </w:num>
  <w:num w:numId="38" w16cid:durableId="69766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FD"/>
    <w:rsid w:val="0000484A"/>
    <w:rsid w:val="00004BDD"/>
    <w:rsid w:val="00006552"/>
    <w:rsid w:val="00007335"/>
    <w:rsid w:val="00013E86"/>
    <w:rsid w:val="00015346"/>
    <w:rsid w:val="00015CFC"/>
    <w:rsid w:val="00016AD2"/>
    <w:rsid w:val="00016B45"/>
    <w:rsid w:val="000273F7"/>
    <w:rsid w:val="0003015D"/>
    <w:rsid w:val="000311BA"/>
    <w:rsid w:val="00037098"/>
    <w:rsid w:val="000375D6"/>
    <w:rsid w:val="000410B4"/>
    <w:rsid w:val="00041C4B"/>
    <w:rsid w:val="00041F82"/>
    <w:rsid w:val="00043B83"/>
    <w:rsid w:val="00046D9E"/>
    <w:rsid w:val="00047B66"/>
    <w:rsid w:val="000518D8"/>
    <w:rsid w:val="0005604B"/>
    <w:rsid w:val="00060460"/>
    <w:rsid w:val="0006163F"/>
    <w:rsid w:val="000617A7"/>
    <w:rsid w:val="000621AD"/>
    <w:rsid w:val="00063869"/>
    <w:rsid w:val="00063B22"/>
    <w:rsid w:val="000665F4"/>
    <w:rsid w:val="00067A70"/>
    <w:rsid w:val="0007174B"/>
    <w:rsid w:val="00072A5B"/>
    <w:rsid w:val="00073C44"/>
    <w:rsid w:val="00073DE4"/>
    <w:rsid w:val="00076703"/>
    <w:rsid w:val="00082804"/>
    <w:rsid w:val="0008412E"/>
    <w:rsid w:val="00085393"/>
    <w:rsid w:val="00087F2E"/>
    <w:rsid w:val="000911D9"/>
    <w:rsid w:val="00092750"/>
    <w:rsid w:val="00092C48"/>
    <w:rsid w:val="0009374B"/>
    <w:rsid w:val="00093AD0"/>
    <w:rsid w:val="000951FB"/>
    <w:rsid w:val="000A09C6"/>
    <w:rsid w:val="000A1132"/>
    <w:rsid w:val="000A5868"/>
    <w:rsid w:val="000A5F46"/>
    <w:rsid w:val="000A6EE3"/>
    <w:rsid w:val="000A7AE3"/>
    <w:rsid w:val="000A7F3D"/>
    <w:rsid w:val="000B03E2"/>
    <w:rsid w:val="000B112A"/>
    <w:rsid w:val="000B2D8C"/>
    <w:rsid w:val="000B3F12"/>
    <w:rsid w:val="000B6D6D"/>
    <w:rsid w:val="000B7D5F"/>
    <w:rsid w:val="000C07B0"/>
    <w:rsid w:val="000C15A3"/>
    <w:rsid w:val="000C2304"/>
    <w:rsid w:val="000C2E92"/>
    <w:rsid w:val="000C37CA"/>
    <w:rsid w:val="000C4E5D"/>
    <w:rsid w:val="000C67A7"/>
    <w:rsid w:val="000C685C"/>
    <w:rsid w:val="000D04AF"/>
    <w:rsid w:val="000D383B"/>
    <w:rsid w:val="000E18CC"/>
    <w:rsid w:val="000E2B04"/>
    <w:rsid w:val="000F0922"/>
    <w:rsid w:val="000F2411"/>
    <w:rsid w:val="000F2AE9"/>
    <w:rsid w:val="000F2B29"/>
    <w:rsid w:val="000F384C"/>
    <w:rsid w:val="000F5943"/>
    <w:rsid w:val="000F63A1"/>
    <w:rsid w:val="00100D8A"/>
    <w:rsid w:val="001026D8"/>
    <w:rsid w:val="00106167"/>
    <w:rsid w:val="00106C75"/>
    <w:rsid w:val="00107205"/>
    <w:rsid w:val="0010753C"/>
    <w:rsid w:val="00110DB4"/>
    <w:rsid w:val="00113171"/>
    <w:rsid w:val="001134A3"/>
    <w:rsid w:val="0011407A"/>
    <w:rsid w:val="00114B6A"/>
    <w:rsid w:val="001174D6"/>
    <w:rsid w:val="001229D5"/>
    <w:rsid w:val="001233AF"/>
    <w:rsid w:val="001236B2"/>
    <w:rsid w:val="001249B9"/>
    <w:rsid w:val="00127AD2"/>
    <w:rsid w:val="0013122C"/>
    <w:rsid w:val="001319D9"/>
    <w:rsid w:val="00132195"/>
    <w:rsid w:val="001326D0"/>
    <w:rsid w:val="00132885"/>
    <w:rsid w:val="0013387B"/>
    <w:rsid w:val="0013524E"/>
    <w:rsid w:val="00135B23"/>
    <w:rsid w:val="0014040C"/>
    <w:rsid w:val="00140E1E"/>
    <w:rsid w:val="00145617"/>
    <w:rsid w:val="00151654"/>
    <w:rsid w:val="001524F9"/>
    <w:rsid w:val="001533E1"/>
    <w:rsid w:val="0015662F"/>
    <w:rsid w:val="00156F4C"/>
    <w:rsid w:val="001578E1"/>
    <w:rsid w:val="0016047F"/>
    <w:rsid w:val="00160F3F"/>
    <w:rsid w:val="00162A54"/>
    <w:rsid w:val="0016474F"/>
    <w:rsid w:val="00164C2F"/>
    <w:rsid w:val="001650B0"/>
    <w:rsid w:val="00165736"/>
    <w:rsid w:val="00171021"/>
    <w:rsid w:val="00171C34"/>
    <w:rsid w:val="00171FDD"/>
    <w:rsid w:val="001727C7"/>
    <w:rsid w:val="00173FC2"/>
    <w:rsid w:val="00174E27"/>
    <w:rsid w:val="001764B7"/>
    <w:rsid w:val="00176D08"/>
    <w:rsid w:val="00176E6F"/>
    <w:rsid w:val="0017772B"/>
    <w:rsid w:val="00180599"/>
    <w:rsid w:val="00180C0B"/>
    <w:rsid w:val="001826C5"/>
    <w:rsid w:val="00185719"/>
    <w:rsid w:val="001876FF"/>
    <w:rsid w:val="001932B7"/>
    <w:rsid w:val="00193398"/>
    <w:rsid w:val="00193D85"/>
    <w:rsid w:val="001942C6"/>
    <w:rsid w:val="001950BF"/>
    <w:rsid w:val="00197A80"/>
    <w:rsid w:val="001A4757"/>
    <w:rsid w:val="001A4D16"/>
    <w:rsid w:val="001A6FE4"/>
    <w:rsid w:val="001A73D0"/>
    <w:rsid w:val="001A7473"/>
    <w:rsid w:val="001B0AAA"/>
    <w:rsid w:val="001B1149"/>
    <w:rsid w:val="001B13E6"/>
    <w:rsid w:val="001B29C0"/>
    <w:rsid w:val="001B2E9E"/>
    <w:rsid w:val="001B2F5D"/>
    <w:rsid w:val="001B4DFD"/>
    <w:rsid w:val="001B5CCE"/>
    <w:rsid w:val="001B61BE"/>
    <w:rsid w:val="001B76EC"/>
    <w:rsid w:val="001B7CFB"/>
    <w:rsid w:val="001C209E"/>
    <w:rsid w:val="001C6239"/>
    <w:rsid w:val="001C6DFD"/>
    <w:rsid w:val="001D289B"/>
    <w:rsid w:val="001D36DB"/>
    <w:rsid w:val="001D7025"/>
    <w:rsid w:val="001D7E3A"/>
    <w:rsid w:val="001E3366"/>
    <w:rsid w:val="001E40F1"/>
    <w:rsid w:val="001E5B65"/>
    <w:rsid w:val="001E76B6"/>
    <w:rsid w:val="001E7DA8"/>
    <w:rsid w:val="001F0649"/>
    <w:rsid w:val="001F3065"/>
    <w:rsid w:val="001F531F"/>
    <w:rsid w:val="001F5B2D"/>
    <w:rsid w:val="001F5DA8"/>
    <w:rsid w:val="001F6F9C"/>
    <w:rsid w:val="00203A25"/>
    <w:rsid w:val="00204D23"/>
    <w:rsid w:val="0020763B"/>
    <w:rsid w:val="0020764C"/>
    <w:rsid w:val="0021238A"/>
    <w:rsid w:val="002143CD"/>
    <w:rsid w:val="0021730F"/>
    <w:rsid w:val="00217851"/>
    <w:rsid w:val="00221BB0"/>
    <w:rsid w:val="00224C2A"/>
    <w:rsid w:val="0022752B"/>
    <w:rsid w:val="0023018E"/>
    <w:rsid w:val="00233638"/>
    <w:rsid w:val="002354EE"/>
    <w:rsid w:val="0023651B"/>
    <w:rsid w:val="00236F99"/>
    <w:rsid w:val="00241034"/>
    <w:rsid w:val="00242A25"/>
    <w:rsid w:val="00242DD2"/>
    <w:rsid w:val="002440D4"/>
    <w:rsid w:val="002462B2"/>
    <w:rsid w:val="002514A4"/>
    <w:rsid w:val="002520E6"/>
    <w:rsid w:val="00254E53"/>
    <w:rsid w:val="002570CE"/>
    <w:rsid w:val="0026421D"/>
    <w:rsid w:val="00265994"/>
    <w:rsid w:val="00266471"/>
    <w:rsid w:val="0027064F"/>
    <w:rsid w:val="00271F84"/>
    <w:rsid w:val="00272733"/>
    <w:rsid w:val="002737AD"/>
    <w:rsid w:val="00274040"/>
    <w:rsid w:val="0027488E"/>
    <w:rsid w:val="002751F0"/>
    <w:rsid w:val="002759DE"/>
    <w:rsid w:val="00281E4B"/>
    <w:rsid w:val="0028382A"/>
    <w:rsid w:val="00284621"/>
    <w:rsid w:val="00286207"/>
    <w:rsid w:val="00290AB5"/>
    <w:rsid w:val="00292112"/>
    <w:rsid w:val="00292232"/>
    <w:rsid w:val="00292A6F"/>
    <w:rsid w:val="002A2F08"/>
    <w:rsid w:val="002A4839"/>
    <w:rsid w:val="002A53D1"/>
    <w:rsid w:val="002A6AAC"/>
    <w:rsid w:val="002B02EE"/>
    <w:rsid w:val="002B22E1"/>
    <w:rsid w:val="002B2404"/>
    <w:rsid w:val="002B290C"/>
    <w:rsid w:val="002B4FE0"/>
    <w:rsid w:val="002B7202"/>
    <w:rsid w:val="002B7985"/>
    <w:rsid w:val="002C08FF"/>
    <w:rsid w:val="002C0FE1"/>
    <w:rsid w:val="002C34C4"/>
    <w:rsid w:val="002C5117"/>
    <w:rsid w:val="002C6B19"/>
    <w:rsid w:val="002C6C65"/>
    <w:rsid w:val="002C787B"/>
    <w:rsid w:val="002D1064"/>
    <w:rsid w:val="002D15E3"/>
    <w:rsid w:val="002D4CE9"/>
    <w:rsid w:val="002D649D"/>
    <w:rsid w:val="002D78CF"/>
    <w:rsid w:val="002E3309"/>
    <w:rsid w:val="002E38C9"/>
    <w:rsid w:val="002E466D"/>
    <w:rsid w:val="002E5064"/>
    <w:rsid w:val="002E5065"/>
    <w:rsid w:val="002E519F"/>
    <w:rsid w:val="002E6FF3"/>
    <w:rsid w:val="002F2B66"/>
    <w:rsid w:val="002F2EF9"/>
    <w:rsid w:val="002F4217"/>
    <w:rsid w:val="002F5242"/>
    <w:rsid w:val="002F7555"/>
    <w:rsid w:val="003000FE"/>
    <w:rsid w:val="00302F3D"/>
    <w:rsid w:val="00304240"/>
    <w:rsid w:val="003054A5"/>
    <w:rsid w:val="00306487"/>
    <w:rsid w:val="00307B28"/>
    <w:rsid w:val="003112B0"/>
    <w:rsid w:val="00313728"/>
    <w:rsid w:val="00315528"/>
    <w:rsid w:val="003155D5"/>
    <w:rsid w:val="00327067"/>
    <w:rsid w:val="003324C9"/>
    <w:rsid w:val="00340E3B"/>
    <w:rsid w:val="00341264"/>
    <w:rsid w:val="00341988"/>
    <w:rsid w:val="00341BE7"/>
    <w:rsid w:val="00342EFC"/>
    <w:rsid w:val="003434F4"/>
    <w:rsid w:val="00344607"/>
    <w:rsid w:val="003450B4"/>
    <w:rsid w:val="0034681B"/>
    <w:rsid w:val="00346B3F"/>
    <w:rsid w:val="00347272"/>
    <w:rsid w:val="00351233"/>
    <w:rsid w:val="0035306C"/>
    <w:rsid w:val="00353472"/>
    <w:rsid w:val="003566DA"/>
    <w:rsid w:val="00357E45"/>
    <w:rsid w:val="00362E60"/>
    <w:rsid w:val="003644BD"/>
    <w:rsid w:val="003704A1"/>
    <w:rsid w:val="00371F5F"/>
    <w:rsid w:val="00373D1B"/>
    <w:rsid w:val="00377E9D"/>
    <w:rsid w:val="00390506"/>
    <w:rsid w:val="00390BDB"/>
    <w:rsid w:val="00391370"/>
    <w:rsid w:val="00391435"/>
    <w:rsid w:val="00391775"/>
    <w:rsid w:val="00391F8D"/>
    <w:rsid w:val="00394C4E"/>
    <w:rsid w:val="00394F73"/>
    <w:rsid w:val="00395ACC"/>
    <w:rsid w:val="00395C16"/>
    <w:rsid w:val="00396933"/>
    <w:rsid w:val="00397EF2"/>
    <w:rsid w:val="00397FF1"/>
    <w:rsid w:val="003A4AAA"/>
    <w:rsid w:val="003A4E58"/>
    <w:rsid w:val="003A598A"/>
    <w:rsid w:val="003B1149"/>
    <w:rsid w:val="003B1B0E"/>
    <w:rsid w:val="003B2C2E"/>
    <w:rsid w:val="003B34D4"/>
    <w:rsid w:val="003B3E13"/>
    <w:rsid w:val="003B534F"/>
    <w:rsid w:val="003B5359"/>
    <w:rsid w:val="003B614C"/>
    <w:rsid w:val="003B740D"/>
    <w:rsid w:val="003C1A38"/>
    <w:rsid w:val="003C47C5"/>
    <w:rsid w:val="003C4964"/>
    <w:rsid w:val="003C50D8"/>
    <w:rsid w:val="003D40C5"/>
    <w:rsid w:val="003D5A09"/>
    <w:rsid w:val="003E07DD"/>
    <w:rsid w:val="003E0EC2"/>
    <w:rsid w:val="003E27B3"/>
    <w:rsid w:val="003E47B5"/>
    <w:rsid w:val="003E4F8E"/>
    <w:rsid w:val="003E5991"/>
    <w:rsid w:val="003E7301"/>
    <w:rsid w:val="003F0FB2"/>
    <w:rsid w:val="003F1175"/>
    <w:rsid w:val="003F1E10"/>
    <w:rsid w:val="003F201C"/>
    <w:rsid w:val="003F2666"/>
    <w:rsid w:val="003F324D"/>
    <w:rsid w:val="003F401A"/>
    <w:rsid w:val="0040039D"/>
    <w:rsid w:val="00400D1F"/>
    <w:rsid w:val="00401C0B"/>
    <w:rsid w:val="00401E38"/>
    <w:rsid w:val="00403D3B"/>
    <w:rsid w:val="004072AE"/>
    <w:rsid w:val="00410546"/>
    <w:rsid w:val="00410870"/>
    <w:rsid w:val="00411393"/>
    <w:rsid w:val="00414DCE"/>
    <w:rsid w:val="00417E4C"/>
    <w:rsid w:val="004231BC"/>
    <w:rsid w:val="00423BC8"/>
    <w:rsid w:val="00424591"/>
    <w:rsid w:val="00424841"/>
    <w:rsid w:val="004276C5"/>
    <w:rsid w:val="00427E85"/>
    <w:rsid w:val="004308FC"/>
    <w:rsid w:val="0043180C"/>
    <w:rsid w:val="00432C9F"/>
    <w:rsid w:val="00432D05"/>
    <w:rsid w:val="00433724"/>
    <w:rsid w:val="00435007"/>
    <w:rsid w:val="00437018"/>
    <w:rsid w:val="0043750F"/>
    <w:rsid w:val="0043751E"/>
    <w:rsid w:val="004405AC"/>
    <w:rsid w:val="00440C20"/>
    <w:rsid w:val="00442EE9"/>
    <w:rsid w:val="00445735"/>
    <w:rsid w:val="00445736"/>
    <w:rsid w:val="00450720"/>
    <w:rsid w:val="00451CF5"/>
    <w:rsid w:val="00451DED"/>
    <w:rsid w:val="00451EC4"/>
    <w:rsid w:val="00453F54"/>
    <w:rsid w:val="00464F08"/>
    <w:rsid w:val="004659E1"/>
    <w:rsid w:val="00466B7B"/>
    <w:rsid w:val="004752FE"/>
    <w:rsid w:val="004753F1"/>
    <w:rsid w:val="00476C57"/>
    <w:rsid w:val="00476E8D"/>
    <w:rsid w:val="004773F7"/>
    <w:rsid w:val="00480726"/>
    <w:rsid w:val="00484024"/>
    <w:rsid w:val="00484E07"/>
    <w:rsid w:val="004860C8"/>
    <w:rsid w:val="004917ED"/>
    <w:rsid w:val="004940D7"/>
    <w:rsid w:val="00494A96"/>
    <w:rsid w:val="00494D02"/>
    <w:rsid w:val="00496286"/>
    <w:rsid w:val="00497D24"/>
    <w:rsid w:val="00497DEC"/>
    <w:rsid w:val="004A0583"/>
    <w:rsid w:val="004A2E7E"/>
    <w:rsid w:val="004A4872"/>
    <w:rsid w:val="004A49CF"/>
    <w:rsid w:val="004B3122"/>
    <w:rsid w:val="004B6ACE"/>
    <w:rsid w:val="004B6B36"/>
    <w:rsid w:val="004B7694"/>
    <w:rsid w:val="004B7999"/>
    <w:rsid w:val="004B799E"/>
    <w:rsid w:val="004B7D6C"/>
    <w:rsid w:val="004C13C1"/>
    <w:rsid w:val="004C1B82"/>
    <w:rsid w:val="004C37F7"/>
    <w:rsid w:val="004C4F9C"/>
    <w:rsid w:val="004C7C8B"/>
    <w:rsid w:val="004D0501"/>
    <w:rsid w:val="004D1438"/>
    <w:rsid w:val="004D1558"/>
    <w:rsid w:val="004D27A7"/>
    <w:rsid w:val="004D2BDC"/>
    <w:rsid w:val="004D5AB5"/>
    <w:rsid w:val="004E0ABE"/>
    <w:rsid w:val="004E31F3"/>
    <w:rsid w:val="004E4890"/>
    <w:rsid w:val="004E4925"/>
    <w:rsid w:val="004E57CC"/>
    <w:rsid w:val="004E66D1"/>
    <w:rsid w:val="004F0D49"/>
    <w:rsid w:val="004F1BBB"/>
    <w:rsid w:val="004F1FD1"/>
    <w:rsid w:val="004F491E"/>
    <w:rsid w:val="004F4C42"/>
    <w:rsid w:val="004F4E4C"/>
    <w:rsid w:val="004F5AEC"/>
    <w:rsid w:val="004F5D42"/>
    <w:rsid w:val="00502706"/>
    <w:rsid w:val="005055E2"/>
    <w:rsid w:val="00511AC0"/>
    <w:rsid w:val="00514E60"/>
    <w:rsid w:val="005174CA"/>
    <w:rsid w:val="0052117B"/>
    <w:rsid w:val="005213E1"/>
    <w:rsid w:val="005246E0"/>
    <w:rsid w:val="00526E10"/>
    <w:rsid w:val="00527B29"/>
    <w:rsid w:val="005343B9"/>
    <w:rsid w:val="00534516"/>
    <w:rsid w:val="0053572B"/>
    <w:rsid w:val="0053683C"/>
    <w:rsid w:val="00541A2D"/>
    <w:rsid w:val="00545E64"/>
    <w:rsid w:val="0054718B"/>
    <w:rsid w:val="005522F5"/>
    <w:rsid w:val="00553089"/>
    <w:rsid w:val="005533EC"/>
    <w:rsid w:val="00555CE0"/>
    <w:rsid w:val="00556FD3"/>
    <w:rsid w:val="005614C2"/>
    <w:rsid w:val="005624F6"/>
    <w:rsid w:val="00563BF6"/>
    <w:rsid w:val="00567F9A"/>
    <w:rsid w:val="0057146C"/>
    <w:rsid w:val="005726F3"/>
    <w:rsid w:val="00572C41"/>
    <w:rsid w:val="005735E0"/>
    <w:rsid w:val="005740BD"/>
    <w:rsid w:val="005750A5"/>
    <w:rsid w:val="00575E0B"/>
    <w:rsid w:val="0057697F"/>
    <w:rsid w:val="00580FDF"/>
    <w:rsid w:val="00581ACD"/>
    <w:rsid w:val="00582502"/>
    <w:rsid w:val="00582A9D"/>
    <w:rsid w:val="00583826"/>
    <w:rsid w:val="00585A50"/>
    <w:rsid w:val="00587397"/>
    <w:rsid w:val="005877E0"/>
    <w:rsid w:val="00590698"/>
    <w:rsid w:val="00592305"/>
    <w:rsid w:val="00593974"/>
    <w:rsid w:val="005941BF"/>
    <w:rsid w:val="00595092"/>
    <w:rsid w:val="005A366C"/>
    <w:rsid w:val="005A625B"/>
    <w:rsid w:val="005A6F0D"/>
    <w:rsid w:val="005B174C"/>
    <w:rsid w:val="005B5586"/>
    <w:rsid w:val="005B5AC0"/>
    <w:rsid w:val="005B6D8E"/>
    <w:rsid w:val="005B76B1"/>
    <w:rsid w:val="005C1949"/>
    <w:rsid w:val="005C1A43"/>
    <w:rsid w:val="005C1BC9"/>
    <w:rsid w:val="005C25C4"/>
    <w:rsid w:val="005C2E4A"/>
    <w:rsid w:val="005C3201"/>
    <w:rsid w:val="005C33E7"/>
    <w:rsid w:val="005C4251"/>
    <w:rsid w:val="005C4D96"/>
    <w:rsid w:val="005C5FAB"/>
    <w:rsid w:val="005C6CF9"/>
    <w:rsid w:val="005C6E66"/>
    <w:rsid w:val="005C7E7E"/>
    <w:rsid w:val="005D16D2"/>
    <w:rsid w:val="005D33C3"/>
    <w:rsid w:val="005D5EF0"/>
    <w:rsid w:val="005D7382"/>
    <w:rsid w:val="005E1060"/>
    <w:rsid w:val="005E299F"/>
    <w:rsid w:val="005E4689"/>
    <w:rsid w:val="005E490A"/>
    <w:rsid w:val="005F2941"/>
    <w:rsid w:val="005F5AD0"/>
    <w:rsid w:val="005F5C4E"/>
    <w:rsid w:val="005F6901"/>
    <w:rsid w:val="005F7955"/>
    <w:rsid w:val="005F7B04"/>
    <w:rsid w:val="006002A8"/>
    <w:rsid w:val="00600814"/>
    <w:rsid w:val="0060081B"/>
    <w:rsid w:val="00601FE0"/>
    <w:rsid w:val="00606599"/>
    <w:rsid w:val="0060737F"/>
    <w:rsid w:val="00607DE2"/>
    <w:rsid w:val="006104BE"/>
    <w:rsid w:val="00612411"/>
    <w:rsid w:val="00621294"/>
    <w:rsid w:val="00622760"/>
    <w:rsid w:val="00622F12"/>
    <w:rsid w:val="00623264"/>
    <w:rsid w:val="006238F4"/>
    <w:rsid w:val="00627EDF"/>
    <w:rsid w:val="00631CE7"/>
    <w:rsid w:val="00633B9F"/>
    <w:rsid w:val="006346EC"/>
    <w:rsid w:val="00636198"/>
    <w:rsid w:val="006371BD"/>
    <w:rsid w:val="00641A3E"/>
    <w:rsid w:val="00641E3A"/>
    <w:rsid w:val="00644EE2"/>
    <w:rsid w:val="00646040"/>
    <w:rsid w:val="006470DA"/>
    <w:rsid w:val="00650ADC"/>
    <w:rsid w:val="00652EE8"/>
    <w:rsid w:val="00654614"/>
    <w:rsid w:val="00656CED"/>
    <w:rsid w:val="00661E41"/>
    <w:rsid w:val="006625C9"/>
    <w:rsid w:val="00664A5A"/>
    <w:rsid w:val="00666A3D"/>
    <w:rsid w:val="00666B53"/>
    <w:rsid w:val="00666F66"/>
    <w:rsid w:val="00673CFA"/>
    <w:rsid w:val="0068026A"/>
    <w:rsid w:val="00684D2C"/>
    <w:rsid w:val="00687216"/>
    <w:rsid w:val="006927F1"/>
    <w:rsid w:val="00692818"/>
    <w:rsid w:val="00695602"/>
    <w:rsid w:val="006957EC"/>
    <w:rsid w:val="00696AB1"/>
    <w:rsid w:val="00696CDF"/>
    <w:rsid w:val="006A1D82"/>
    <w:rsid w:val="006A4D47"/>
    <w:rsid w:val="006A511A"/>
    <w:rsid w:val="006A7C66"/>
    <w:rsid w:val="006B095B"/>
    <w:rsid w:val="006B37DA"/>
    <w:rsid w:val="006B500D"/>
    <w:rsid w:val="006B650E"/>
    <w:rsid w:val="006C1D4A"/>
    <w:rsid w:val="006C3BB9"/>
    <w:rsid w:val="006C3F3D"/>
    <w:rsid w:val="006C47BB"/>
    <w:rsid w:val="006C4A21"/>
    <w:rsid w:val="006C50C6"/>
    <w:rsid w:val="006D057F"/>
    <w:rsid w:val="006D2688"/>
    <w:rsid w:val="006D3B76"/>
    <w:rsid w:val="006D5B96"/>
    <w:rsid w:val="006E0BF5"/>
    <w:rsid w:val="006E0CD3"/>
    <w:rsid w:val="006E2C0D"/>
    <w:rsid w:val="006E34A9"/>
    <w:rsid w:val="006E49E6"/>
    <w:rsid w:val="006F07F2"/>
    <w:rsid w:val="006F0B8B"/>
    <w:rsid w:val="006F23A1"/>
    <w:rsid w:val="006F32D4"/>
    <w:rsid w:val="006F46DA"/>
    <w:rsid w:val="006F7D42"/>
    <w:rsid w:val="007016D2"/>
    <w:rsid w:val="0070376C"/>
    <w:rsid w:val="00706013"/>
    <w:rsid w:val="00707994"/>
    <w:rsid w:val="00707D0D"/>
    <w:rsid w:val="0071044F"/>
    <w:rsid w:val="0071229F"/>
    <w:rsid w:val="00712D52"/>
    <w:rsid w:val="00715C19"/>
    <w:rsid w:val="00716A62"/>
    <w:rsid w:val="0072058C"/>
    <w:rsid w:val="00720AE0"/>
    <w:rsid w:val="00721C25"/>
    <w:rsid w:val="0072243E"/>
    <w:rsid w:val="00722936"/>
    <w:rsid w:val="0072445A"/>
    <w:rsid w:val="00726EDE"/>
    <w:rsid w:val="00727C92"/>
    <w:rsid w:val="007304F1"/>
    <w:rsid w:val="007337A7"/>
    <w:rsid w:val="00734A75"/>
    <w:rsid w:val="00734DAE"/>
    <w:rsid w:val="00734E72"/>
    <w:rsid w:val="007354C6"/>
    <w:rsid w:val="00736EF8"/>
    <w:rsid w:val="007373EF"/>
    <w:rsid w:val="00740584"/>
    <w:rsid w:val="0074521D"/>
    <w:rsid w:val="00745266"/>
    <w:rsid w:val="00746C42"/>
    <w:rsid w:val="00746FFF"/>
    <w:rsid w:val="00752A1F"/>
    <w:rsid w:val="00752AC8"/>
    <w:rsid w:val="007539AD"/>
    <w:rsid w:val="0075464F"/>
    <w:rsid w:val="00757948"/>
    <w:rsid w:val="00761885"/>
    <w:rsid w:val="0076228D"/>
    <w:rsid w:val="00763716"/>
    <w:rsid w:val="007638DF"/>
    <w:rsid w:val="00763E93"/>
    <w:rsid w:val="00766613"/>
    <w:rsid w:val="00766ADB"/>
    <w:rsid w:val="00767531"/>
    <w:rsid w:val="00770BAA"/>
    <w:rsid w:val="00770DCA"/>
    <w:rsid w:val="00773DE4"/>
    <w:rsid w:val="0077414E"/>
    <w:rsid w:val="00775591"/>
    <w:rsid w:val="00776EF7"/>
    <w:rsid w:val="00777F1D"/>
    <w:rsid w:val="00782066"/>
    <w:rsid w:val="007827DC"/>
    <w:rsid w:val="0078332B"/>
    <w:rsid w:val="007855D7"/>
    <w:rsid w:val="00786401"/>
    <w:rsid w:val="00791062"/>
    <w:rsid w:val="00791E56"/>
    <w:rsid w:val="007923C7"/>
    <w:rsid w:val="00792959"/>
    <w:rsid w:val="00796050"/>
    <w:rsid w:val="007977F3"/>
    <w:rsid w:val="00797D3A"/>
    <w:rsid w:val="007A0AF4"/>
    <w:rsid w:val="007A101B"/>
    <w:rsid w:val="007A1894"/>
    <w:rsid w:val="007A2877"/>
    <w:rsid w:val="007A36A5"/>
    <w:rsid w:val="007B02CA"/>
    <w:rsid w:val="007B211F"/>
    <w:rsid w:val="007B363F"/>
    <w:rsid w:val="007B3CA0"/>
    <w:rsid w:val="007B4646"/>
    <w:rsid w:val="007B52E1"/>
    <w:rsid w:val="007B5C35"/>
    <w:rsid w:val="007B7C48"/>
    <w:rsid w:val="007C0A6A"/>
    <w:rsid w:val="007C4AC5"/>
    <w:rsid w:val="007D2FD4"/>
    <w:rsid w:val="007D4D55"/>
    <w:rsid w:val="007D51D4"/>
    <w:rsid w:val="007D73C8"/>
    <w:rsid w:val="007E09D6"/>
    <w:rsid w:val="007E24BF"/>
    <w:rsid w:val="007E2BD9"/>
    <w:rsid w:val="007E4685"/>
    <w:rsid w:val="007E7D7E"/>
    <w:rsid w:val="007F0A44"/>
    <w:rsid w:val="007F0E79"/>
    <w:rsid w:val="007F2EA6"/>
    <w:rsid w:val="007F68B2"/>
    <w:rsid w:val="00800373"/>
    <w:rsid w:val="00801A2C"/>
    <w:rsid w:val="00804135"/>
    <w:rsid w:val="00804E68"/>
    <w:rsid w:val="00806021"/>
    <w:rsid w:val="00806E10"/>
    <w:rsid w:val="00806F5A"/>
    <w:rsid w:val="008121EB"/>
    <w:rsid w:val="00812BB4"/>
    <w:rsid w:val="00813A00"/>
    <w:rsid w:val="00820169"/>
    <w:rsid w:val="00820237"/>
    <w:rsid w:val="00822544"/>
    <w:rsid w:val="008262E3"/>
    <w:rsid w:val="00827302"/>
    <w:rsid w:val="008306EF"/>
    <w:rsid w:val="00832834"/>
    <w:rsid w:val="00833029"/>
    <w:rsid w:val="008331DE"/>
    <w:rsid w:val="0083378C"/>
    <w:rsid w:val="00833CF2"/>
    <w:rsid w:val="008363E2"/>
    <w:rsid w:val="008378A5"/>
    <w:rsid w:val="00837E84"/>
    <w:rsid w:val="00840646"/>
    <w:rsid w:val="00841E4E"/>
    <w:rsid w:val="00842463"/>
    <w:rsid w:val="008441D4"/>
    <w:rsid w:val="00850DF5"/>
    <w:rsid w:val="00857869"/>
    <w:rsid w:val="0086057E"/>
    <w:rsid w:val="00860D55"/>
    <w:rsid w:val="008624BB"/>
    <w:rsid w:val="0086598B"/>
    <w:rsid w:val="008703AF"/>
    <w:rsid w:val="00872276"/>
    <w:rsid w:val="00872ACD"/>
    <w:rsid w:val="008733F9"/>
    <w:rsid w:val="008735DC"/>
    <w:rsid w:val="00877BD0"/>
    <w:rsid w:val="008907CC"/>
    <w:rsid w:val="00891B7C"/>
    <w:rsid w:val="00891F41"/>
    <w:rsid w:val="00896D5D"/>
    <w:rsid w:val="00897321"/>
    <w:rsid w:val="008A158A"/>
    <w:rsid w:val="008A1BDB"/>
    <w:rsid w:val="008B1A65"/>
    <w:rsid w:val="008B2429"/>
    <w:rsid w:val="008B37FC"/>
    <w:rsid w:val="008B45E8"/>
    <w:rsid w:val="008B49FE"/>
    <w:rsid w:val="008B4F6C"/>
    <w:rsid w:val="008B787B"/>
    <w:rsid w:val="008C0DD2"/>
    <w:rsid w:val="008C1A4B"/>
    <w:rsid w:val="008C2DA4"/>
    <w:rsid w:val="008C4406"/>
    <w:rsid w:val="008C44B1"/>
    <w:rsid w:val="008D36CF"/>
    <w:rsid w:val="008D435C"/>
    <w:rsid w:val="008D51E9"/>
    <w:rsid w:val="008D59D8"/>
    <w:rsid w:val="008D6533"/>
    <w:rsid w:val="008D71B4"/>
    <w:rsid w:val="008D7713"/>
    <w:rsid w:val="008E0343"/>
    <w:rsid w:val="008E09CE"/>
    <w:rsid w:val="008E5E3E"/>
    <w:rsid w:val="008F0335"/>
    <w:rsid w:val="008F17C6"/>
    <w:rsid w:val="008F27A5"/>
    <w:rsid w:val="008F47FC"/>
    <w:rsid w:val="008F59FE"/>
    <w:rsid w:val="008F6319"/>
    <w:rsid w:val="008F7117"/>
    <w:rsid w:val="008F784F"/>
    <w:rsid w:val="009000DC"/>
    <w:rsid w:val="0090061F"/>
    <w:rsid w:val="00905E4A"/>
    <w:rsid w:val="00907130"/>
    <w:rsid w:val="00910B85"/>
    <w:rsid w:val="00910F9A"/>
    <w:rsid w:val="009115ED"/>
    <w:rsid w:val="009137A3"/>
    <w:rsid w:val="00913B0A"/>
    <w:rsid w:val="009144F9"/>
    <w:rsid w:val="00915E38"/>
    <w:rsid w:val="00917092"/>
    <w:rsid w:val="0092080B"/>
    <w:rsid w:val="009229E6"/>
    <w:rsid w:val="00922D8C"/>
    <w:rsid w:val="00925004"/>
    <w:rsid w:val="00926C65"/>
    <w:rsid w:val="00927A65"/>
    <w:rsid w:val="00930521"/>
    <w:rsid w:val="00932236"/>
    <w:rsid w:val="00933510"/>
    <w:rsid w:val="009369F9"/>
    <w:rsid w:val="009376A1"/>
    <w:rsid w:val="009418CE"/>
    <w:rsid w:val="00941B78"/>
    <w:rsid w:val="00945AC9"/>
    <w:rsid w:val="00945D52"/>
    <w:rsid w:val="009470E0"/>
    <w:rsid w:val="009506BE"/>
    <w:rsid w:val="0095176D"/>
    <w:rsid w:val="00953BC4"/>
    <w:rsid w:val="00954291"/>
    <w:rsid w:val="0095571B"/>
    <w:rsid w:val="00963260"/>
    <w:rsid w:val="0096691F"/>
    <w:rsid w:val="009672C6"/>
    <w:rsid w:val="00967A5E"/>
    <w:rsid w:val="00972910"/>
    <w:rsid w:val="00973ACF"/>
    <w:rsid w:val="009746F6"/>
    <w:rsid w:val="00976C4B"/>
    <w:rsid w:val="00976EDB"/>
    <w:rsid w:val="0097773B"/>
    <w:rsid w:val="00982926"/>
    <w:rsid w:val="0098452D"/>
    <w:rsid w:val="009847D6"/>
    <w:rsid w:val="009855DA"/>
    <w:rsid w:val="009866BE"/>
    <w:rsid w:val="009920B1"/>
    <w:rsid w:val="009921B9"/>
    <w:rsid w:val="00992543"/>
    <w:rsid w:val="00992873"/>
    <w:rsid w:val="0099294D"/>
    <w:rsid w:val="009945B8"/>
    <w:rsid w:val="0099527F"/>
    <w:rsid w:val="009955A7"/>
    <w:rsid w:val="00995BC3"/>
    <w:rsid w:val="00996844"/>
    <w:rsid w:val="00996E4D"/>
    <w:rsid w:val="009A0B9B"/>
    <w:rsid w:val="009A12EE"/>
    <w:rsid w:val="009A1D5D"/>
    <w:rsid w:val="009A4092"/>
    <w:rsid w:val="009A4829"/>
    <w:rsid w:val="009A71D9"/>
    <w:rsid w:val="009A7377"/>
    <w:rsid w:val="009A744B"/>
    <w:rsid w:val="009A754A"/>
    <w:rsid w:val="009B1091"/>
    <w:rsid w:val="009B1445"/>
    <w:rsid w:val="009B1A97"/>
    <w:rsid w:val="009B1DC5"/>
    <w:rsid w:val="009B5E97"/>
    <w:rsid w:val="009C30A9"/>
    <w:rsid w:val="009C35B8"/>
    <w:rsid w:val="009C4595"/>
    <w:rsid w:val="009C51CA"/>
    <w:rsid w:val="009C52C0"/>
    <w:rsid w:val="009D082D"/>
    <w:rsid w:val="009D3B2A"/>
    <w:rsid w:val="009D43A0"/>
    <w:rsid w:val="009D72D7"/>
    <w:rsid w:val="009D730F"/>
    <w:rsid w:val="009E0FD2"/>
    <w:rsid w:val="009E1A5C"/>
    <w:rsid w:val="009E2784"/>
    <w:rsid w:val="009E345D"/>
    <w:rsid w:val="009E7F17"/>
    <w:rsid w:val="009F2A01"/>
    <w:rsid w:val="009F3674"/>
    <w:rsid w:val="009F374F"/>
    <w:rsid w:val="009F3C8A"/>
    <w:rsid w:val="009F3D70"/>
    <w:rsid w:val="009F7DA0"/>
    <w:rsid w:val="00A00ABA"/>
    <w:rsid w:val="00A01D7B"/>
    <w:rsid w:val="00A025C5"/>
    <w:rsid w:val="00A02F52"/>
    <w:rsid w:val="00A03927"/>
    <w:rsid w:val="00A05471"/>
    <w:rsid w:val="00A0772E"/>
    <w:rsid w:val="00A12922"/>
    <w:rsid w:val="00A156A0"/>
    <w:rsid w:val="00A15721"/>
    <w:rsid w:val="00A20B36"/>
    <w:rsid w:val="00A20FDF"/>
    <w:rsid w:val="00A2232C"/>
    <w:rsid w:val="00A2252B"/>
    <w:rsid w:val="00A266FD"/>
    <w:rsid w:val="00A30CDD"/>
    <w:rsid w:val="00A31053"/>
    <w:rsid w:val="00A3349B"/>
    <w:rsid w:val="00A339FE"/>
    <w:rsid w:val="00A36AF1"/>
    <w:rsid w:val="00A36E56"/>
    <w:rsid w:val="00A37061"/>
    <w:rsid w:val="00A401C6"/>
    <w:rsid w:val="00A427A9"/>
    <w:rsid w:val="00A42C22"/>
    <w:rsid w:val="00A44180"/>
    <w:rsid w:val="00A46A9B"/>
    <w:rsid w:val="00A5227A"/>
    <w:rsid w:val="00A53FC3"/>
    <w:rsid w:val="00A57854"/>
    <w:rsid w:val="00A6001C"/>
    <w:rsid w:val="00A60197"/>
    <w:rsid w:val="00A614FA"/>
    <w:rsid w:val="00A63275"/>
    <w:rsid w:val="00A640AF"/>
    <w:rsid w:val="00A64D1A"/>
    <w:rsid w:val="00A65B82"/>
    <w:rsid w:val="00A6698C"/>
    <w:rsid w:val="00A67E41"/>
    <w:rsid w:val="00A72B96"/>
    <w:rsid w:val="00A7342D"/>
    <w:rsid w:val="00A77632"/>
    <w:rsid w:val="00A81BC0"/>
    <w:rsid w:val="00A834EA"/>
    <w:rsid w:val="00A83752"/>
    <w:rsid w:val="00A851E7"/>
    <w:rsid w:val="00A86ED5"/>
    <w:rsid w:val="00A86F5F"/>
    <w:rsid w:val="00A93941"/>
    <w:rsid w:val="00A94830"/>
    <w:rsid w:val="00A9513E"/>
    <w:rsid w:val="00A965CA"/>
    <w:rsid w:val="00A96BFD"/>
    <w:rsid w:val="00A97DA0"/>
    <w:rsid w:val="00AA09D0"/>
    <w:rsid w:val="00AA1A6F"/>
    <w:rsid w:val="00AB046A"/>
    <w:rsid w:val="00AB0B50"/>
    <w:rsid w:val="00AB2141"/>
    <w:rsid w:val="00AB38A6"/>
    <w:rsid w:val="00AB4440"/>
    <w:rsid w:val="00AC05EB"/>
    <w:rsid w:val="00AC7622"/>
    <w:rsid w:val="00AD0070"/>
    <w:rsid w:val="00AD1D2C"/>
    <w:rsid w:val="00AD35FD"/>
    <w:rsid w:val="00AD5546"/>
    <w:rsid w:val="00AD6689"/>
    <w:rsid w:val="00AD73D6"/>
    <w:rsid w:val="00AD7D5A"/>
    <w:rsid w:val="00AE0EE6"/>
    <w:rsid w:val="00AE2447"/>
    <w:rsid w:val="00AE3FAE"/>
    <w:rsid w:val="00AE5615"/>
    <w:rsid w:val="00AE5C8F"/>
    <w:rsid w:val="00AE64C8"/>
    <w:rsid w:val="00AE66DA"/>
    <w:rsid w:val="00AE69F5"/>
    <w:rsid w:val="00AF4CB0"/>
    <w:rsid w:val="00AF58FF"/>
    <w:rsid w:val="00AF5A6D"/>
    <w:rsid w:val="00AF7118"/>
    <w:rsid w:val="00AF7C51"/>
    <w:rsid w:val="00B011F9"/>
    <w:rsid w:val="00B016EF"/>
    <w:rsid w:val="00B03486"/>
    <w:rsid w:val="00B04F5A"/>
    <w:rsid w:val="00B0504A"/>
    <w:rsid w:val="00B05227"/>
    <w:rsid w:val="00B06321"/>
    <w:rsid w:val="00B069ED"/>
    <w:rsid w:val="00B06B39"/>
    <w:rsid w:val="00B07994"/>
    <w:rsid w:val="00B07DED"/>
    <w:rsid w:val="00B12DE3"/>
    <w:rsid w:val="00B14030"/>
    <w:rsid w:val="00B14A2F"/>
    <w:rsid w:val="00B150FF"/>
    <w:rsid w:val="00B16C9F"/>
    <w:rsid w:val="00B20B57"/>
    <w:rsid w:val="00B2207D"/>
    <w:rsid w:val="00B25394"/>
    <w:rsid w:val="00B26149"/>
    <w:rsid w:val="00B27DCE"/>
    <w:rsid w:val="00B32291"/>
    <w:rsid w:val="00B328E5"/>
    <w:rsid w:val="00B32E00"/>
    <w:rsid w:val="00B35C78"/>
    <w:rsid w:val="00B378F7"/>
    <w:rsid w:val="00B40599"/>
    <w:rsid w:val="00B4098C"/>
    <w:rsid w:val="00B4438A"/>
    <w:rsid w:val="00B45A2A"/>
    <w:rsid w:val="00B4630A"/>
    <w:rsid w:val="00B46AD1"/>
    <w:rsid w:val="00B4725C"/>
    <w:rsid w:val="00B56C5B"/>
    <w:rsid w:val="00B63841"/>
    <w:rsid w:val="00B65254"/>
    <w:rsid w:val="00B6658E"/>
    <w:rsid w:val="00B67688"/>
    <w:rsid w:val="00B725E1"/>
    <w:rsid w:val="00B72D74"/>
    <w:rsid w:val="00B740F9"/>
    <w:rsid w:val="00B755CC"/>
    <w:rsid w:val="00B76372"/>
    <w:rsid w:val="00B803B2"/>
    <w:rsid w:val="00B82380"/>
    <w:rsid w:val="00B82BA2"/>
    <w:rsid w:val="00B82BAF"/>
    <w:rsid w:val="00B8374A"/>
    <w:rsid w:val="00B840DE"/>
    <w:rsid w:val="00B85663"/>
    <w:rsid w:val="00B86583"/>
    <w:rsid w:val="00B87E56"/>
    <w:rsid w:val="00B94146"/>
    <w:rsid w:val="00B950C7"/>
    <w:rsid w:val="00B97DBD"/>
    <w:rsid w:val="00BA0968"/>
    <w:rsid w:val="00BA1980"/>
    <w:rsid w:val="00BA1B7C"/>
    <w:rsid w:val="00BA1C22"/>
    <w:rsid w:val="00BA3E1B"/>
    <w:rsid w:val="00BA4140"/>
    <w:rsid w:val="00BB2B04"/>
    <w:rsid w:val="00BB37BE"/>
    <w:rsid w:val="00BB4CB2"/>
    <w:rsid w:val="00BB5812"/>
    <w:rsid w:val="00BB6777"/>
    <w:rsid w:val="00BC059F"/>
    <w:rsid w:val="00BC3C77"/>
    <w:rsid w:val="00BC50FE"/>
    <w:rsid w:val="00BC601C"/>
    <w:rsid w:val="00BD0083"/>
    <w:rsid w:val="00BD00F2"/>
    <w:rsid w:val="00BD1734"/>
    <w:rsid w:val="00BD28AD"/>
    <w:rsid w:val="00BD37BF"/>
    <w:rsid w:val="00BD4FAC"/>
    <w:rsid w:val="00BD5480"/>
    <w:rsid w:val="00BD591B"/>
    <w:rsid w:val="00BD59E6"/>
    <w:rsid w:val="00BD5F53"/>
    <w:rsid w:val="00BD6282"/>
    <w:rsid w:val="00BD7625"/>
    <w:rsid w:val="00BE048C"/>
    <w:rsid w:val="00BE1293"/>
    <w:rsid w:val="00BE19A1"/>
    <w:rsid w:val="00BE1B86"/>
    <w:rsid w:val="00BE3B83"/>
    <w:rsid w:val="00BE5033"/>
    <w:rsid w:val="00BE5C1F"/>
    <w:rsid w:val="00BE7C53"/>
    <w:rsid w:val="00BF14AB"/>
    <w:rsid w:val="00BF4BE5"/>
    <w:rsid w:val="00BF798F"/>
    <w:rsid w:val="00C0012D"/>
    <w:rsid w:val="00C01D0B"/>
    <w:rsid w:val="00C01DBD"/>
    <w:rsid w:val="00C02C4A"/>
    <w:rsid w:val="00C03851"/>
    <w:rsid w:val="00C05C97"/>
    <w:rsid w:val="00C06245"/>
    <w:rsid w:val="00C10890"/>
    <w:rsid w:val="00C10CAE"/>
    <w:rsid w:val="00C151AD"/>
    <w:rsid w:val="00C160A7"/>
    <w:rsid w:val="00C21994"/>
    <w:rsid w:val="00C32799"/>
    <w:rsid w:val="00C36EC0"/>
    <w:rsid w:val="00C37342"/>
    <w:rsid w:val="00C43E4F"/>
    <w:rsid w:val="00C446A1"/>
    <w:rsid w:val="00C45229"/>
    <w:rsid w:val="00C46D79"/>
    <w:rsid w:val="00C506BD"/>
    <w:rsid w:val="00C50DD7"/>
    <w:rsid w:val="00C52089"/>
    <w:rsid w:val="00C52421"/>
    <w:rsid w:val="00C53BC0"/>
    <w:rsid w:val="00C53CAA"/>
    <w:rsid w:val="00C550B9"/>
    <w:rsid w:val="00C56CBF"/>
    <w:rsid w:val="00C57103"/>
    <w:rsid w:val="00C63560"/>
    <w:rsid w:val="00C63827"/>
    <w:rsid w:val="00C65AA1"/>
    <w:rsid w:val="00C65F9E"/>
    <w:rsid w:val="00C670E7"/>
    <w:rsid w:val="00C6755E"/>
    <w:rsid w:val="00C70FC5"/>
    <w:rsid w:val="00C83977"/>
    <w:rsid w:val="00C84437"/>
    <w:rsid w:val="00C85178"/>
    <w:rsid w:val="00C909A6"/>
    <w:rsid w:val="00C957A2"/>
    <w:rsid w:val="00C9594A"/>
    <w:rsid w:val="00C97997"/>
    <w:rsid w:val="00CA13FD"/>
    <w:rsid w:val="00CA26AA"/>
    <w:rsid w:val="00CA3D97"/>
    <w:rsid w:val="00CA7306"/>
    <w:rsid w:val="00CA7FFA"/>
    <w:rsid w:val="00CB0145"/>
    <w:rsid w:val="00CB10CB"/>
    <w:rsid w:val="00CB2323"/>
    <w:rsid w:val="00CB2E45"/>
    <w:rsid w:val="00CB389E"/>
    <w:rsid w:val="00CB7043"/>
    <w:rsid w:val="00CC016C"/>
    <w:rsid w:val="00CC0368"/>
    <w:rsid w:val="00CC0848"/>
    <w:rsid w:val="00CC41D8"/>
    <w:rsid w:val="00CC4922"/>
    <w:rsid w:val="00CC5907"/>
    <w:rsid w:val="00CC6B31"/>
    <w:rsid w:val="00CD1D75"/>
    <w:rsid w:val="00CD43F1"/>
    <w:rsid w:val="00CD4FED"/>
    <w:rsid w:val="00CE01A7"/>
    <w:rsid w:val="00CE0318"/>
    <w:rsid w:val="00CE3583"/>
    <w:rsid w:val="00CE4C11"/>
    <w:rsid w:val="00CE503B"/>
    <w:rsid w:val="00CE6EA1"/>
    <w:rsid w:val="00CE7514"/>
    <w:rsid w:val="00D014DB"/>
    <w:rsid w:val="00D016BD"/>
    <w:rsid w:val="00D01796"/>
    <w:rsid w:val="00D036D1"/>
    <w:rsid w:val="00D04349"/>
    <w:rsid w:val="00D0763E"/>
    <w:rsid w:val="00D1201D"/>
    <w:rsid w:val="00D15AEE"/>
    <w:rsid w:val="00D164D3"/>
    <w:rsid w:val="00D200B4"/>
    <w:rsid w:val="00D20390"/>
    <w:rsid w:val="00D20EE3"/>
    <w:rsid w:val="00D252E5"/>
    <w:rsid w:val="00D253F0"/>
    <w:rsid w:val="00D256E5"/>
    <w:rsid w:val="00D25A2D"/>
    <w:rsid w:val="00D27A5D"/>
    <w:rsid w:val="00D31769"/>
    <w:rsid w:val="00D33C80"/>
    <w:rsid w:val="00D33F9D"/>
    <w:rsid w:val="00D34375"/>
    <w:rsid w:val="00D34FBE"/>
    <w:rsid w:val="00D37844"/>
    <w:rsid w:val="00D4050F"/>
    <w:rsid w:val="00D40BC6"/>
    <w:rsid w:val="00D41A54"/>
    <w:rsid w:val="00D41EE1"/>
    <w:rsid w:val="00D4227C"/>
    <w:rsid w:val="00D422FE"/>
    <w:rsid w:val="00D43543"/>
    <w:rsid w:val="00D43AB1"/>
    <w:rsid w:val="00D47E8D"/>
    <w:rsid w:val="00D50FA2"/>
    <w:rsid w:val="00D526F0"/>
    <w:rsid w:val="00D544D8"/>
    <w:rsid w:val="00D602D4"/>
    <w:rsid w:val="00D60398"/>
    <w:rsid w:val="00D61CAC"/>
    <w:rsid w:val="00D61DBD"/>
    <w:rsid w:val="00D6344B"/>
    <w:rsid w:val="00D71CB8"/>
    <w:rsid w:val="00D71EBE"/>
    <w:rsid w:val="00D73D11"/>
    <w:rsid w:val="00D756CD"/>
    <w:rsid w:val="00D774E5"/>
    <w:rsid w:val="00D77969"/>
    <w:rsid w:val="00D8023F"/>
    <w:rsid w:val="00D808F1"/>
    <w:rsid w:val="00D867C9"/>
    <w:rsid w:val="00D86F12"/>
    <w:rsid w:val="00D90102"/>
    <w:rsid w:val="00D96779"/>
    <w:rsid w:val="00DA220A"/>
    <w:rsid w:val="00DA44B2"/>
    <w:rsid w:val="00DA4A8B"/>
    <w:rsid w:val="00DB12B1"/>
    <w:rsid w:val="00DB4647"/>
    <w:rsid w:val="00DB4ACA"/>
    <w:rsid w:val="00DB5FF7"/>
    <w:rsid w:val="00DB632D"/>
    <w:rsid w:val="00DC0859"/>
    <w:rsid w:val="00DC0A90"/>
    <w:rsid w:val="00DC5E0F"/>
    <w:rsid w:val="00DC5F9A"/>
    <w:rsid w:val="00DC61CA"/>
    <w:rsid w:val="00DD15E1"/>
    <w:rsid w:val="00DD161A"/>
    <w:rsid w:val="00DD1C65"/>
    <w:rsid w:val="00DD22D5"/>
    <w:rsid w:val="00DD52BD"/>
    <w:rsid w:val="00DD62B9"/>
    <w:rsid w:val="00DD6AF5"/>
    <w:rsid w:val="00DD762E"/>
    <w:rsid w:val="00DE22A3"/>
    <w:rsid w:val="00DE3F24"/>
    <w:rsid w:val="00DE5A25"/>
    <w:rsid w:val="00DE7A06"/>
    <w:rsid w:val="00DF0BC2"/>
    <w:rsid w:val="00DF474B"/>
    <w:rsid w:val="00DF491C"/>
    <w:rsid w:val="00E04C70"/>
    <w:rsid w:val="00E112FF"/>
    <w:rsid w:val="00E1149E"/>
    <w:rsid w:val="00E13314"/>
    <w:rsid w:val="00E168CA"/>
    <w:rsid w:val="00E20A16"/>
    <w:rsid w:val="00E27ACC"/>
    <w:rsid w:val="00E31760"/>
    <w:rsid w:val="00E31D06"/>
    <w:rsid w:val="00E3261D"/>
    <w:rsid w:val="00E36175"/>
    <w:rsid w:val="00E41A11"/>
    <w:rsid w:val="00E41B21"/>
    <w:rsid w:val="00E43812"/>
    <w:rsid w:val="00E43C93"/>
    <w:rsid w:val="00E44B2C"/>
    <w:rsid w:val="00E45C86"/>
    <w:rsid w:val="00E45D80"/>
    <w:rsid w:val="00E45E63"/>
    <w:rsid w:val="00E4777B"/>
    <w:rsid w:val="00E51525"/>
    <w:rsid w:val="00E53085"/>
    <w:rsid w:val="00E57744"/>
    <w:rsid w:val="00E628BB"/>
    <w:rsid w:val="00E632DF"/>
    <w:rsid w:val="00E64BCF"/>
    <w:rsid w:val="00E67DF7"/>
    <w:rsid w:val="00E7510C"/>
    <w:rsid w:val="00E76FBD"/>
    <w:rsid w:val="00E82E24"/>
    <w:rsid w:val="00E8533B"/>
    <w:rsid w:val="00E85ABD"/>
    <w:rsid w:val="00E85B6F"/>
    <w:rsid w:val="00E92DF3"/>
    <w:rsid w:val="00E9464C"/>
    <w:rsid w:val="00E96CE7"/>
    <w:rsid w:val="00E97001"/>
    <w:rsid w:val="00EA012F"/>
    <w:rsid w:val="00EA03EC"/>
    <w:rsid w:val="00EA26AE"/>
    <w:rsid w:val="00EA31CD"/>
    <w:rsid w:val="00EA32A7"/>
    <w:rsid w:val="00EB08A4"/>
    <w:rsid w:val="00EB096D"/>
    <w:rsid w:val="00EB33B8"/>
    <w:rsid w:val="00EB45A3"/>
    <w:rsid w:val="00EB57A1"/>
    <w:rsid w:val="00EB73F9"/>
    <w:rsid w:val="00EC121E"/>
    <w:rsid w:val="00EC15D2"/>
    <w:rsid w:val="00EC1D15"/>
    <w:rsid w:val="00ED0017"/>
    <w:rsid w:val="00ED079C"/>
    <w:rsid w:val="00ED1562"/>
    <w:rsid w:val="00ED1C09"/>
    <w:rsid w:val="00ED2EA3"/>
    <w:rsid w:val="00ED3F80"/>
    <w:rsid w:val="00ED757B"/>
    <w:rsid w:val="00ED7FEF"/>
    <w:rsid w:val="00EE0284"/>
    <w:rsid w:val="00EE06BE"/>
    <w:rsid w:val="00EE06E0"/>
    <w:rsid w:val="00EE336F"/>
    <w:rsid w:val="00EE3EFC"/>
    <w:rsid w:val="00EE781B"/>
    <w:rsid w:val="00EF3A2A"/>
    <w:rsid w:val="00EF3A90"/>
    <w:rsid w:val="00EF48B4"/>
    <w:rsid w:val="00EF54EB"/>
    <w:rsid w:val="00EF584C"/>
    <w:rsid w:val="00F034DC"/>
    <w:rsid w:val="00F0457A"/>
    <w:rsid w:val="00F07036"/>
    <w:rsid w:val="00F10015"/>
    <w:rsid w:val="00F1228E"/>
    <w:rsid w:val="00F20D83"/>
    <w:rsid w:val="00F20E58"/>
    <w:rsid w:val="00F21B73"/>
    <w:rsid w:val="00F22495"/>
    <w:rsid w:val="00F23404"/>
    <w:rsid w:val="00F240D4"/>
    <w:rsid w:val="00F2503B"/>
    <w:rsid w:val="00F27FFD"/>
    <w:rsid w:val="00F32DE7"/>
    <w:rsid w:val="00F34FCD"/>
    <w:rsid w:val="00F37E98"/>
    <w:rsid w:val="00F40FC6"/>
    <w:rsid w:val="00F43E3B"/>
    <w:rsid w:val="00F443AE"/>
    <w:rsid w:val="00F45C88"/>
    <w:rsid w:val="00F47C4A"/>
    <w:rsid w:val="00F50A4D"/>
    <w:rsid w:val="00F52DD3"/>
    <w:rsid w:val="00F53325"/>
    <w:rsid w:val="00F539CE"/>
    <w:rsid w:val="00F54B64"/>
    <w:rsid w:val="00F5691F"/>
    <w:rsid w:val="00F56BFD"/>
    <w:rsid w:val="00F5712C"/>
    <w:rsid w:val="00F60FED"/>
    <w:rsid w:val="00F618A6"/>
    <w:rsid w:val="00F636B7"/>
    <w:rsid w:val="00F64C51"/>
    <w:rsid w:val="00F65F7D"/>
    <w:rsid w:val="00F738E9"/>
    <w:rsid w:val="00F7674E"/>
    <w:rsid w:val="00F769D2"/>
    <w:rsid w:val="00F77FD2"/>
    <w:rsid w:val="00F81EDD"/>
    <w:rsid w:val="00F82572"/>
    <w:rsid w:val="00F82D5B"/>
    <w:rsid w:val="00F84368"/>
    <w:rsid w:val="00F85E71"/>
    <w:rsid w:val="00F86B15"/>
    <w:rsid w:val="00F8718A"/>
    <w:rsid w:val="00F87495"/>
    <w:rsid w:val="00F91FB2"/>
    <w:rsid w:val="00F9286A"/>
    <w:rsid w:val="00F94D9F"/>
    <w:rsid w:val="00F96230"/>
    <w:rsid w:val="00F97757"/>
    <w:rsid w:val="00FA0A8D"/>
    <w:rsid w:val="00FA2AA9"/>
    <w:rsid w:val="00FA3E3A"/>
    <w:rsid w:val="00FA61F5"/>
    <w:rsid w:val="00FA69B4"/>
    <w:rsid w:val="00FB2089"/>
    <w:rsid w:val="00FB50E1"/>
    <w:rsid w:val="00FB5C1E"/>
    <w:rsid w:val="00FB6C3B"/>
    <w:rsid w:val="00FC0781"/>
    <w:rsid w:val="00FC1AF7"/>
    <w:rsid w:val="00FC283A"/>
    <w:rsid w:val="00FC2DE4"/>
    <w:rsid w:val="00FC7E92"/>
    <w:rsid w:val="00FD5BC7"/>
    <w:rsid w:val="00FD5DDC"/>
    <w:rsid w:val="00FD66CA"/>
    <w:rsid w:val="00FE2A4E"/>
    <w:rsid w:val="00FE4C66"/>
    <w:rsid w:val="00FE5CE4"/>
    <w:rsid w:val="00FE686A"/>
    <w:rsid w:val="00FF191C"/>
    <w:rsid w:val="00FF36C4"/>
    <w:rsid w:val="00FF3F5D"/>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35F9"/>
  <w15:chartTrackingRefBased/>
  <w15:docId w15:val="{BCE71A4B-494C-7E43-B5EA-22400805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DA"/>
    <w:rPr>
      <w:rFonts w:ascii="Times New Roman" w:eastAsia="Times New Roman" w:hAnsi="Times New Roman" w:cs="Times New Roman"/>
    </w:rPr>
  </w:style>
  <w:style w:type="paragraph" w:styleId="Heading1">
    <w:name w:val="heading 1"/>
    <w:basedOn w:val="Normal"/>
    <w:next w:val="Normal"/>
    <w:link w:val="Heading1Char"/>
    <w:qFormat/>
    <w:rsid w:val="00B65254"/>
    <w:pPr>
      <w:keepNext/>
      <w:tabs>
        <w:tab w:val="center" w:pos="5400"/>
      </w:tabs>
      <w:suppressAutoHyphens/>
      <w:jc w:val="center"/>
      <w:outlineLvl w:val="0"/>
    </w:pPr>
    <w:rPr>
      <w:b/>
      <w:spacing w:val="-3"/>
      <w:sz w:val="25"/>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4DFD"/>
    <w:rPr>
      <w:sz w:val="20"/>
      <w:szCs w:val="20"/>
    </w:rPr>
  </w:style>
  <w:style w:type="character" w:customStyle="1" w:styleId="FootnoteTextChar">
    <w:name w:val="Footnote Text Char"/>
    <w:basedOn w:val="DefaultParagraphFont"/>
    <w:link w:val="FootnoteText"/>
    <w:uiPriority w:val="99"/>
    <w:rsid w:val="001B4DFD"/>
    <w:rPr>
      <w:sz w:val="20"/>
      <w:szCs w:val="20"/>
    </w:rPr>
  </w:style>
  <w:style w:type="character" w:styleId="FootnoteReference">
    <w:name w:val="footnote reference"/>
    <w:basedOn w:val="DefaultParagraphFont"/>
    <w:uiPriority w:val="99"/>
    <w:unhideWhenUsed/>
    <w:rsid w:val="001B4DFD"/>
    <w:rPr>
      <w:vertAlign w:val="superscript"/>
    </w:rPr>
  </w:style>
  <w:style w:type="character" w:styleId="Hyperlink">
    <w:name w:val="Hyperlink"/>
    <w:basedOn w:val="DefaultParagraphFont"/>
    <w:uiPriority w:val="99"/>
    <w:unhideWhenUsed/>
    <w:rsid w:val="00511AC0"/>
    <w:rPr>
      <w:color w:val="0563C1" w:themeColor="hyperlink"/>
      <w:u w:val="single"/>
    </w:rPr>
  </w:style>
  <w:style w:type="character" w:styleId="UnresolvedMention">
    <w:name w:val="Unresolved Mention"/>
    <w:basedOn w:val="DefaultParagraphFont"/>
    <w:uiPriority w:val="99"/>
    <w:semiHidden/>
    <w:unhideWhenUsed/>
    <w:rsid w:val="00511AC0"/>
    <w:rPr>
      <w:color w:val="605E5C"/>
      <w:shd w:val="clear" w:color="auto" w:fill="E1DFDD"/>
    </w:rPr>
  </w:style>
  <w:style w:type="character" w:styleId="Emphasis">
    <w:name w:val="Emphasis"/>
    <w:basedOn w:val="DefaultParagraphFont"/>
    <w:uiPriority w:val="20"/>
    <w:qFormat/>
    <w:rsid w:val="004E4890"/>
    <w:rPr>
      <w:i/>
      <w:iCs/>
    </w:rPr>
  </w:style>
  <w:style w:type="paragraph" w:styleId="ListParagraph">
    <w:name w:val="List Paragraph"/>
    <w:basedOn w:val="Normal"/>
    <w:uiPriority w:val="34"/>
    <w:qFormat/>
    <w:rsid w:val="00B06321"/>
    <w:pPr>
      <w:ind w:left="720"/>
      <w:contextualSpacing/>
    </w:pPr>
  </w:style>
  <w:style w:type="paragraph" w:styleId="Footer">
    <w:name w:val="footer"/>
    <w:basedOn w:val="Normal"/>
    <w:link w:val="FooterChar"/>
    <w:uiPriority w:val="99"/>
    <w:unhideWhenUsed/>
    <w:rsid w:val="00FB6C3B"/>
    <w:pPr>
      <w:tabs>
        <w:tab w:val="center" w:pos="4680"/>
        <w:tab w:val="right" w:pos="9360"/>
      </w:tabs>
    </w:pPr>
  </w:style>
  <w:style w:type="character" w:customStyle="1" w:styleId="FooterChar">
    <w:name w:val="Footer Char"/>
    <w:basedOn w:val="DefaultParagraphFont"/>
    <w:link w:val="Footer"/>
    <w:uiPriority w:val="99"/>
    <w:rsid w:val="00FB6C3B"/>
    <w:rPr>
      <w:sz w:val="22"/>
      <w:szCs w:val="22"/>
    </w:rPr>
  </w:style>
  <w:style w:type="character" w:styleId="PageNumber">
    <w:name w:val="page number"/>
    <w:basedOn w:val="DefaultParagraphFont"/>
    <w:uiPriority w:val="99"/>
    <w:semiHidden/>
    <w:unhideWhenUsed/>
    <w:rsid w:val="00FB6C3B"/>
  </w:style>
  <w:style w:type="character" w:customStyle="1" w:styleId="apple-converted-space">
    <w:name w:val="apple-converted-space"/>
    <w:basedOn w:val="DefaultParagraphFont"/>
    <w:rsid w:val="00E04C70"/>
  </w:style>
  <w:style w:type="paragraph" w:styleId="Revision">
    <w:name w:val="Revision"/>
    <w:hidden/>
    <w:uiPriority w:val="99"/>
    <w:semiHidden/>
    <w:rsid w:val="00B4630A"/>
    <w:rPr>
      <w:sz w:val="22"/>
      <w:szCs w:val="22"/>
    </w:rPr>
  </w:style>
  <w:style w:type="paragraph" w:customStyle="1" w:styleId="Default">
    <w:name w:val="Default"/>
    <w:rsid w:val="00FC7E92"/>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E43812"/>
  </w:style>
  <w:style w:type="paragraph" w:customStyle="1" w:styleId="has-text-align-center">
    <w:name w:val="has-text-align-center"/>
    <w:basedOn w:val="Normal"/>
    <w:rsid w:val="003F1E10"/>
    <w:pPr>
      <w:spacing w:before="100" w:beforeAutospacing="1" w:after="100" w:afterAutospacing="1"/>
    </w:pPr>
  </w:style>
  <w:style w:type="character" w:customStyle="1" w:styleId="coconcept4349">
    <w:name w:val="co_concept_43_49"/>
    <w:basedOn w:val="DefaultParagraphFont"/>
    <w:rsid w:val="00391775"/>
  </w:style>
  <w:style w:type="character" w:customStyle="1" w:styleId="coconcept5158">
    <w:name w:val="co_concept_51_58"/>
    <w:basedOn w:val="DefaultParagraphFont"/>
    <w:rsid w:val="00391775"/>
  </w:style>
  <w:style w:type="character" w:customStyle="1" w:styleId="coconcept4650">
    <w:name w:val="co_concept_46_50"/>
    <w:basedOn w:val="DefaultParagraphFont"/>
    <w:rsid w:val="00D867C9"/>
  </w:style>
  <w:style w:type="character" w:customStyle="1" w:styleId="coconcept5257">
    <w:name w:val="co_concept_52_57"/>
    <w:basedOn w:val="DefaultParagraphFont"/>
    <w:rsid w:val="00D867C9"/>
  </w:style>
  <w:style w:type="paragraph" w:styleId="NoSpacing">
    <w:name w:val="No Spacing"/>
    <w:link w:val="NoSpacingChar"/>
    <w:uiPriority w:val="1"/>
    <w:qFormat/>
    <w:rsid w:val="00CC016C"/>
    <w:rPr>
      <w:rFonts w:ascii="Times New Roman" w:eastAsia="Times New Roman" w:hAnsi="Times New Roman" w:cs="Times New Roman"/>
    </w:rPr>
  </w:style>
  <w:style w:type="character" w:styleId="Strong">
    <w:name w:val="Strong"/>
    <w:basedOn w:val="DefaultParagraphFont"/>
    <w:uiPriority w:val="22"/>
    <w:qFormat/>
    <w:rsid w:val="00007335"/>
    <w:rPr>
      <w:b/>
      <w:bCs/>
    </w:rPr>
  </w:style>
  <w:style w:type="paragraph" w:customStyle="1" w:styleId="casepara">
    <w:name w:val="casepara"/>
    <w:basedOn w:val="Normal"/>
    <w:rsid w:val="00041F82"/>
    <w:pPr>
      <w:spacing w:before="100" w:beforeAutospacing="1" w:after="100" w:afterAutospacing="1"/>
    </w:pPr>
  </w:style>
  <w:style w:type="character" w:customStyle="1" w:styleId="coconcept2838">
    <w:name w:val="co_concept_28_38"/>
    <w:basedOn w:val="DefaultParagraphFont"/>
    <w:rsid w:val="005C7E7E"/>
  </w:style>
  <w:style w:type="character" w:customStyle="1" w:styleId="coconcept14">
    <w:name w:val="co_concept_1_4"/>
    <w:basedOn w:val="DefaultParagraphFont"/>
    <w:rsid w:val="003434F4"/>
  </w:style>
  <w:style w:type="character" w:customStyle="1" w:styleId="coconcept715">
    <w:name w:val="co_concept_7_15"/>
    <w:basedOn w:val="DefaultParagraphFont"/>
    <w:rsid w:val="003434F4"/>
  </w:style>
  <w:style w:type="character" w:customStyle="1" w:styleId="coconcept1719">
    <w:name w:val="co_concept_17_19"/>
    <w:basedOn w:val="DefaultParagraphFont"/>
    <w:rsid w:val="003434F4"/>
  </w:style>
  <w:style w:type="character" w:customStyle="1" w:styleId="coconcept718">
    <w:name w:val="co_concept_7_18"/>
    <w:basedOn w:val="DefaultParagraphFont"/>
    <w:rsid w:val="00606599"/>
  </w:style>
  <w:style w:type="character" w:customStyle="1" w:styleId="coconcept1825">
    <w:name w:val="co_concept_18_25"/>
    <w:basedOn w:val="DefaultParagraphFont"/>
    <w:rsid w:val="004860C8"/>
  </w:style>
  <w:style w:type="character" w:customStyle="1" w:styleId="coconcept716">
    <w:name w:val="co_concept_7_16"/>
    <w:basedOn w:val="DefaultParagraphFont"/>
    <w:rsid w:val="004860C8"/>
  </w:style>
  <w:style w:type="character" w:customStyle="1" w:styleId="Heading1Char">
    <w:name w:val="Heading 1 Char"/>
    <w:basedOn w:val="DefaultParagraphFont"/>
    <w:link w:val="Heading1"/>
    <w:rsid w:val="00B65254"/>
    <w:rPr>
      <w:rFonts w:ascii="Times New Roman" w:eastAsia="Times New Roman" w:hAnsi="Times New Roman" w:cs="Times New Roman"/>
      <w:b/>
      <w:spacing w:val="-3"/>
      <w:sz w:val="25"/>
      <w:szCs w:val="20"/>
      <w:u w:val="single"/>
    </w:rPr>
  </w:style>
  <w:style w:type="paragraph" w:styleId="Header">
    <w:name w:val="header"/>
    <w:basedOn w:val="Normal"/>
    <w:link w:val="HeaderChar"/>
    <w:uiPriority w:val="99"/>
    <w:unhideWhenUsed/>
    <w:rsid w:val="003D40C5"/>
    <w:pPr>
      <w:tabs>
        <w:tab w:val="center" w:pos="4680"/>
        <w:tab w:val="right" w:pos="9360"/>
      </w:tabs>
    </w:pPr>
  </w:style>
  <w:style w:type="character" w:customStyle="1" w:styleId="HeaderChar">
    <w:name w:val="Header Char"/>
    <w:basedOn w:val="DefaultParagraphFont"/>
    <w:link w:val="Header"/>
    <w:uiPriority w:val="99"/>
    <w:rsid w:val="003D40C5"/>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AB046A"/>
    <w:rPr>
      <w:rFonts w:ascii="Times New Roman" w:eastAsia="Times New Roman" w:hAnsi="Times New Roman" w:cs="Times New Roman"/>
    </w:rPr>
  </w:style>
  <w:style w:type="character" w:customStyle="1" w:styleId="coconcept914">
    <w:name w:val="co_concept_9_14"/>
    <w:basedOn w:val="DefaultParagraphFont"/>
    <w:rsid w:val="006B37DA"/>
  </w:style>
  <w:style w:type="character" w:customStyle="1" w:styleId="coconcept2124">
    <w:name w:val="co_concept_21_24"/>
    <w:basedOn w:val="DefaultParagraphFont"/>
    <w:rsid w:val="006B37DA"/>
  </w:style>
  <w:style w:type="character" w:customStyle="1" w:styleId="coconcept2629">
    <w:name w:val="co_concept_26_29"/>
    <w:basedOn w:val="DefaultParagraphFont"/>
    <w:rsid w:val="006B37DA"/>
  </w:style>
  <w:style w:type="character" w:customStyle="1" w:styleId="costarpage">
    <w:name w:val="co_starpage"/>
    <w:basedOn w:val="DefaultParagraphFont"/>
    <w:rsid w:val="0006163F"/>
  </w:style>
  <w:style w:type="character" w:customStyle="1" w:styleId="coconcept1723">
    <w:name w:val="co_concept_17_23"/>
    <w:basedOn w:val="DefaultParagraphFont"/>
    <w:rsid w:val="00BA4140"/>
  </w:style>
  <w:style w:type="character" w:customStyle="1" w:styleId="coconcept2527">
    <w:name w:val="co_concept_25_27"/>
    <w:basedOn w:val="DefaultParagraphFont"/>
    <w:rsid w:val="00BA4140"/>
  </w:style>
  <w:style w:type="character" w:styleId="CommentReference">
    <w:name w:val="annotation reference"/>
    <w:basedOn w:val="DefaultParagraphFont"/>
    <w:uiPriority w:val="99"/>
    <w:semiHidden/>
    <w:unhideWhenUsed/>
    <w:rsid w:val="00C02C4A"/>
    <w:rPr>
      <w:sz w:val="16"/>
      <w:szCs w:val="16"/>
    </w:rPr>
  </w:style>
  <w:style w:type="paragraph" w:styleId="CommentText">
    <w:name w:val="annotation text"/>
    <w:basedOn w:val="Normal"/>
    <w:link w:val="CommentTextChar"/>
    <w:uiPriority w:val="99"/>
    <w:unhideWhenUsed/>
    <w:rsid w:val="00C02C4A"/>
    <w:rPr>
      <w:sz w:val="20"/>
      <w:szCs w:val="20"/>
    </w:rPr>
  </w:style>
  <w:style w:type="character" w:customStyle="1" w:styleId="CommentTextChar">
    <w:name w:val="Comment Text Char"/>
    <w:basedOn w:val="DefaultParagraphFont"/>
    <w:link w:val="CommentText"/>
    <w:uiPriority w:val="99"/>
    <w:rsid w:val="00C02C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2C4A"/>
    <w:rPr>
      <w:b/>
      <w:bCs/>
    </w:rPr>
  </w:style>
  <w:style w:type="character" w:customStyle="1" w:styleId="CommentSubjectChar">
    <w:name w:val="Comment Subject Char"/>
    <w:basedOn w:val="CommentTextChar"/>
    <w:link w:val="CommentSubject"/>
    <w:uiPriority w:val="99"/>
    <w:semiHidden/>
    <w:rsid w:val="00C02C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03">
      <w:bodyDiv w:val="1"/>
      <w:marLeft w:val="0"/>
      <w:marRight w:val="0"/>
      <w:marTop w:val="0"/>
      <w:marBottom w:val="0"/>
      <w:divBdr>
        <w:top w:val="none" w:sz="0" w:space="0" w:color="auto"/>
        <w:left w:val="none" w:sz="0" w:space="0" w:color="auto"/>
        <w:bottom w:val="none" w:sz="0" w:space="0" w:color="auto"/>
        <w:right w:val="none" w:sz="0" w:space="0" w:color="auto"/>
      </w:divBdr>
      <w:divsChild>
        <w:div w:id="1718236448">
          <w:marLeft w:val="0"/>
          <w:marRight w:val="0"/>
          <w:marTop w:val="0"/>
          <w:marBottom w:val="0"/>
          <w:divBdr>
            <w:top w:val="none" w:sz="0" w:space="0" w:color="auto"/>
            <w:left w:val="none" w:sz="0" w:space="0" w:color="auto"/>
            <w:bottom w:val="none" w:sz="0" w:space="0" w:color="auto"/>
            <w:right w:val="none" w:sz="0" w:space="0" w:color="auto"/>
          </w:divBdr>
        </w:div>
        <w:div w:id="683558701">
          <w:marLeft w:val="0"/>
          <w:marRight w:val="0"/>
          <w:marTop w:val="0"/>
          <w:marBottom w:val="0"/>
          <w:divBdr>
            <w:top w:val="none" w:sz="0" w:space="0" w:color="auto"/>
            <w:left w:val="none" w:sz="0" w:space="0" w:color="auto"/>
            <w:bottom w:val="none" w:sz="0" w:space="0" w:color="auto"/>
            <w:right w:val="none" w:sz="0" w:space="0" w:color="auto"/>
          </w:divBdr>
        </w:div>
        <w:div w:id="917593438">
          <w:marLeft w:val="0"/>
          <w:marRight w:val="0"/>
          <w:marTop w:val="0"/>
          <w:marBottom w:val="0"/>
          <w:divBdr>
            <w:top w:val="none" w:sz="0" w:space="0" w:color="auto"/>
            <w:left w:val="none" w:sz="0" w:space="0" w:color="auto"/>
            <w:bottom w:val="none" w:sz="0" w:space="0" w:color="auto"/>
            <w:right w:val="none" w:sz="0" w:space="0" w:color="auto"/>
          </w:divBdr>
        </w:div>
      </w:divsChild>
    </w:div>
    <w:div w:id="17901116">
      <w:bodyDiv w:val="1"/>
      <w:marLeft w:val="0"/>
      <w:marRight w:val="0"/>
      <w:marTop w:val="0"/>
      <w:marBottom w:val="0"/>
      <w:divBdr>
        <w:top w:val="none" w:sz="0" w:space="0" w:color="auto"/>
        <w:left w:val="none" w:sz="0" w:space="0" w:color="auto"/>
        <w:bottom w:val="none" w:sz="0" w:space="0" w:color="auto"/>
        <w:right w:val="none" w:sz="0" w:space="0" w:color="auto"/>
      </w:divBdr>
      <w:divsChild>
        <w:div w:id="1507163778">
          <w:marLeft w:val="0"/>
          <w:marRight w:val="0"/>
          <w:marTop w:val="0"/>
          <w:marBottom w:val="0"/>
          <w:divBdr>
            <w:top w:val="none" w:sz="0" w:space="0" w:color="auto"/>
            <w:left w:val="none" w:sz="0" w:space="0" w:color="auto"/>
            <w:bottom w:val="none" w:sz="0" w:space="0" w:color="auto"/>
            <w:right w:val="none" w:sz="0" w:space="0" w:color="auto"/>
          </w:divBdr>
        </w:div>
        <w:div w:id="1819296793">
          <w:marLeft w:val="0"/>
          <w:marRight w:val="0"/>
          <w:marTop w:val="0"/>
          <w:marBottom w:val="0"/>
          <w:divBdr>
            <w:top w:val="none" w:sz="0" w:space="0" w:color="auto"/>
            <w:left w:val="none" w:sz="0" w:space="0" w:color="auto"/>
            <w:bottom w:val="none" w:sz="0" w:space="0" w:color="auto"/>
            <w:right w:val="none" w:sz="0" w:space="0" w:color="auto"/>
          </w:divBdr>
        </w:div>
      </w:divsChild>
    </w:div>
    <w:div w:id="118960285">
      <w:bodyDiv w:val="1"/>
      <w:marLeft w:val="0"/>
      <w:marRight w:val="0"/>
      <w:marTop w:val="0"/>
      <w:marBottom w:val="0"/>
      <w:divBdr>
        <w:top w:val="none" w:sz="0" w:space="0" w:color="auto"/>
        <w:left w:val="none" w:sz="0" w:space="0" w:color="auto"/>
        <w:bottom w:val="none" w:sz="0" w:space="0" w:color="auto"/>
        <w:right w:val="none" w:sz="0" w:space="0" w:color="auto"/>
      </w:divBdr>
    </w:div>
    <w:div w:id="341278029">
      <w:bodyDiv w:val="1"/>
      <w:marLeft w:val="0"/>
      <w:marRight w:val="0"/>
      <w:marTop w:val="0"/>
      <w:marBottom w:val="0"/>
      <w:divBdr>
        <w:top w:val="none" w:sz="0" w:space="0" w:color="auto"/>
        <w:left w:val="none" w:sz="0" w:space="0" w:color="auto"/>
        <w:bottom w:val="none" w:sz="0" w:space="0" w:color="auto"/>
        <w:right w:val="none" w:sz="0" w:space="0" w:color="auto"/>
      </w:divBdr>
      <w:divsChild>
        <w:div w:id="1227648011">
          <w:marLeft w:val="0"/>
          <w:marRight w:val="0"/>
          <w:marTop w:val="0"/>
          <w:marBottom w:val="0"/>
          <w:divBdr>
            <w:top w:val="none" w:sz="0" w:space="0" w:color="auto"/>
            <w:left w:val="none" w:sz="0" w:space="0" w:color="auto"/>
            <w:bottom w:val="none" w:sz="0" w:space="0" w:color="auto"/>
            <w:right w:val="none" w:sz="0" w:space="0" w:color="auto"/>
          </w:divBdr>
        </w:div>
      </w:divsChild>
    </w:div>
    <w:div w:id="373163749">
      <w:bodyDiv w:val="1"/>
      <w:marLeft w:val="0"/>
      <w:marRight w:val="0"/>
      <w:marTop w:val="0"/>
      <w:marBottom w:val="0"/>
      <w:divBdr>
        <w:top w:val="none" w:sz="0" w:space="0" w:color="auto"/>
        <w:left w:val="none" w:sz="0" w:space="0" w:color="auto"/>
        <w:bottom w:val="none" w:sz="0" w:space="0" w:color="auto"/>
        <w:right w:val="none" w:sz="0" w:space="0" w:color="auto"/>
      </w:divBdr>
      <w:divsChild>
        <w:div w:id="1284191513">
          <w:marLeft w:val="0"/>
          <w:marRight w:val="0"/>
          <w:marTop w:val="0"/>
          <w:marBottom w:val="0"/>
          <w:divBdr>
            <w:top w:val="none" w:sz="0" w:space="0" w:color="3D3D3D"/>
            <w:left w:val="none" w:sz="0" w:space="0" w:color="3D3D3D"/>
            <w:bottom w:val="none" w:sz="0" w:space="0" w:color="3D3D3D"/>
            <w:right w:val="none" w:sz="0" w:space="0" w:color="3D3D3D"/>
          </w:divBdr>
          <w:divsChild>
            <w:div w:id="369380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231367">
      <w:bodyDiv w:val="1"/>
      <w:marLeft w:val="0"/>
      <w:marRight w:val="0"/>
      <w:marTop w:val="0"/>
      <w:marBottom w:val="0"/>
      <w:divBdr>
        <w:top w:val="none" w:sz="0" w:space="0" w:color="auto"/>
        <w:left w:val="none" w:sz="0" w:space="0" w:color="auto"/>
        <w:bottom w:val="none" w:sz="0" w:space="0" w:color="auto"/>
        <w:right w:val="none" w:sz="0" w:space="0" w:color="auto"/>
      </w:divBdr>
      <w:divsChild>
        <w:div w:id="139685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81437">
      <w:bodyDiv w:val="1"/>
      <w:marLeft w:val="0"/>
      <w:marRight w:val="0"/>
      <w:marTop w:val="0"/>
      <w:marBottom w:val="0"/>
      <w:divBdr>
        <w:top w:val="none" w:sz="0" w:space="0" w:color="auto"/>
        <w:left w:val="none" w:sz="0" w:space="0" w:color="auto"/>
        <w:bottom w:val="none" w:sz="0" w:space="0" w:color="auto"/>
        <w:right w:val="none" w:sz="0" w:space="0" w:color="auto"/>
      </w:divBdr>
    </w:div>
    <w:div w:id="1115176848">
      <w:bodyDiv w:val="1"/>
      <w:marLeft w:val="0"/>
      <w:marRight w:val="0"/>
      <w:marTop w:val="0"/>
      <w:marBottom w:val="0"/>
      <w:divBdr>
        <w:top w:val="none" w:sz="0" w:space="0" w:color="auto"/>
        <w:left w:val="none" w:sz="0" w:space="0" w:color="auto"/>
        <w:bottom w:val="none" w:sz="0" w:space="0" w:color="auto"/>
        <w:right w:val="none" w:sz="0" w:space="0" w:color="auto"/>
      </w:divBdr>
      <w:divsChild>
        <w:div w:id="213524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867592">
      <w:bodyDiv w:val="1"/>
      <w:marLeft w:val="0"/>
      <w:marRight w:val="0"/>
      <w:marTop w:val="0"/>
      <w:marBottom w:val="0"/>
      <w:divBdr>
        <w:top w:val="none" w:sz="0" w:space="0" w:color="auto"/>
        <w:left w:val="none" w:sz="0" w:space="0" w:color="auto"/>
        <w:bottom w:val="none" w:sz="0" w:space="0" w:color="auto"/>
        <w:right w:val="none" w:sz="0" w:space="0" w:color="auto"/>
      </w:divBdr>
      <w:divsChild>
        <w:div w:id="1852716373">
          <w:marLeft w:val="0"/>
          <w:marRight w:val="0"/>
          <w:marTop w:val="0"/>
          <w:marBottom w:val="0"/>
          <w:divBdr>
            <w:top w:val="none" w:sz="0" w:space="0" w:color="auto"/>
            <w:left w:val="none" w:sz="0" w:space="0" w:color="auto"/>
            <w:bottom w:val="none" w:sz="0" w:space="0" w:color="auto"/>
            <w:right w:val="none" w:sz="0" w:space="0" w:color="auto"/>
          </w:divBdr>
        </w:div>
        <w:div w:id="534778863">
          <w:marLeft w:val="0"/>
          <w:marRight w:val="0"/>
          <w:marTop w:val="0"/>
          <w:marBottom w:val="0"/>
          <w:divBdr>
            <w:top w:val="none" w:sz="0" w:space="0" w:color="auto"/>
            <w:left w:val="none" w:sz="0" w:space="0" w:color="auto"/>
            <w:bottom w:val="none" w:sz="0" w:space="0" w:color="auto"/>
            <w:right w:val="none" w:sz="0" w:space="0" w:color="auto"/>
          </w:divBdr>
        </w:div>
        <w:div w:id="1165589401">
          <w:marLeft w:val="0"/>
          <w:marRight w:val="0"/>
          <w:marTop w:val="0"/>
          <w:marBottom w:val="0"/>
          <w:divBdr>
            <w:top w:val="none" w:sz="0" w:space="0" w:color="auto"/>
            <w:left w:val="none" w:sz="0" w:space="0" w:color="auto"/>
            <w:bottom w:val="none" w:sz="0" w:space="0" w:color="auto"/>
            <w:right w:val="none" w:sz="0" w:space="0" w:color="auto"/>
          </w:divBdr>
        </w:div>
      </w:divsChild>
    </w:div>
    <w:div w:id="1536238361">
      <w:bodyDiv w:val="1"/>
      <w:marLeft w:val="0"/>
      <w:marRight w:val="0"/>
      <w:marTop w:val="0"/>
      <w:marBottom w:val="0"/>
      <w:divBdr>
        <w:top w:val="none" w:sz="0" w:space="0" w:color="auto"/>
        <w:left w:val="none" w:sz="0" w:space="0" w:color="auto"/>
        <w:bottom w:val="none" w:sz="0" w:space="0" w:color="auto"/>
        <w:right w:val="none" w:sz="0" w:space="0" w:color="auto"/>
      </w:divBdr>
    </w:div>
    <w:div w:id="1616791448">
      <w:bodyDiv w:val="1"/>
      <w:marLeft w:val="0"/>
      <w:marRight w:val="0"/>
      <w:marTop w:val="0"/>
      <w:marBottom w:val="0"/>
      <w:divBdr>
        <w:top w:val="none" w:sz="0" w:space="0" w:color="auto"/>
        <w:left w:val="none" w:sz="0" w:space="0" w:color="auto"/>
        <w:bottom w:val="none" w:sz="0" w:space="0" w:color="auto"/>
        <w:right w:val="none" w:sz="0" w:space="0" w:color="auto"/>
      </w:divBdr>
      <w:divsChild>
        <w:div w:id="701318522">
          <w:marLeft w:val="0"/>
          <w:marRight w:val="0"/>
          <w:marTop w:val="0"/>
          <w:marBottom w:val="0"/>
          <w:divBdr>
            <w:top w:val="none" w:sz="0" w:space="0" w:color="auto"/>
            <w:left w:val="none" w:sz="0" w:space="0" w:color="auto"/>
            <w:bottom w:val="none" w:sz="0" w:space="0" w:color="auto"/>
            <w:right w:val="none" w:sz="0" w:space="0" w:color="auto"/>
          </w:divBdr>
        </w:div>
        <w:div w:id="2034258478">
          <w:marLeft w:val="0"/>
          <w:marRight w:val="0"/>
          <w:marTop w:val="0"/>
          <w:marBottom w:val="0"/>
          <w:divBdr>
            <w:top w:val="none" w:sz="0" w:space="0" w:color="auto"/>
            <w:left w:val="none" w:sz="0" w:space="0" w:color="auto"/>
            <w:bottom w:val="none" w:sz="0" w:space="0" w:color="auto"/>
            <w:right w:val="none" w:sz="0" w:space="0" w:color="auto"/>
          </w:divBdr>
        </w:div>
        <w:div w:id="1344012731">
          <w:marLeft w:val="0"/>
          <w:marRight w:val="0"/>
          <w:marTop w:val="0"/>
          <w:marBottom w:val="0"/>
          <w:divBdr>
            <w:top w:val="none" w:sz="0" w:space="0" w:color="auto"/>
            <w:left w:val="none" w:sz="0" w:space="0" w:color="auto"/>
            <w:bottom w:val="none" w:sz="0" w:space="0" w:color="auto"/>
            <w:right w:val="none" w:sz="0" w:space="0" w:color="auto"/>
          </w:divBdr>
        </w:div>
      </w:divsChild>
    </w:div>
    <w:div w:id="1650861484">
      <w:bodyDiv w:val="1"/>
      <w:marLeft w:val="0"/>
      <w:marRight w:val="0"/>
      <w:marTop w:val="0"/>
      <w:marBottom w:val="0"/>
      <w:divBdr>
        <w:top w:val="none" w:sz="0" w:space="0" w:color="auto"/>
        <w:left w:val="none" w:sz="0" w:space="0" w:color="auto"/>
        <w:bottom w:val="none" w:sz="0" w:space="0" w:color="auto"/>
        <w:right w:val="none" w:sz="0" w:space="0" w:color="auto"/>
      </w:divBdr>
    </w:div>
    <w:div w:id="1676808826">
      <w:bodyDiv w:val="1"/>
      <w:marLeft w:val="0"/>
      <w:marRight w:val="0"/>
      <w:marTop w:val="0"/>
      <w:marBottom w:val="0"/>
      <w:divBdr>
        <w:top w:val="none" w:sz="0" w:space="0" w:color="auto"/>
        <w:left w:val="none" w:sz="0" w:space="0" w:color="auto"/>
        <w:bottom w:val="none" w:sz="0" w:space="0" w:color="auto"/>
        <w:right w:val="none" w:sz="0" w:space="0" w:color="auto"/>
      </w:divBdr>
      <w:divsChild>
        <w:div w:id="80639380">
          <w:marLeft w:val="0"/>
          <w:marRight w:val="0"/>
          <w:marTop w:val="0"/>
          <w:marBottom w:val="0"/>
          <w:divBdr>
            <w:top w:val="none" w:sz="0" w:space="0" w:color="3D3D3D"/>
            <w:left w:val="none" w:sz="0" w:space="0" w:color="3D3D3D"/>
            <w:bottom w:val="none" w:sz="0" w:space="0" w:color="3D3D3D"/>
            <w:right w:val="none" w:sz="0" w:space="0" w:color="3D3D3D"/>
          </w:divBdr>
          <w:divsChild>
            <w:div w:id="18711409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9853520">
      <w:bodyDiv w:val="1"/>
      <w:marLeft w:val="0"/>
      <w:marRight w:val="0"/>
      <w:marTop w:val="0"/>
      <w:marBottom w:val="0"/>
      <w:divBdr>
        <w:top w:val="none" w:sz="0" w:space="0" w:color="auto"/>
        <w:left w:val="none" w:sz="0" w:space="0" w:color="auto"/>
        <w:bottom w:val="none" w:sz="0" w:space="0" w:color="auto"/>
        <w:right w:val="none" w:sz="0" w:space="0" w:color="auto"/>
      </w:divBdr>
      <w:divsChild>
        <w:div w:id="102671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2C211-72DB-7C44-A403-81D723B33ECA}">
  <ds:schemaRefs>
    <ds:schemaRef ds:uri="http://schemas.openxmlformats.org/officeDocument/2006/bibliography"/>
  </ds:schemaRefs>
</ds:datastoreItem>
</file>

<file path=customXml/itemProps2.xml><?xml version="1.0" encoding="utf-8"?>
<ds:datastoreItem xmlns:ds="http://schemas.openxmlformats.org/officeDocument/2006/customXml" ds:itemID="{2B0E6DC4-EC5B-42DD-B7D2-96BF766D4A63}">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7C830C5F-2124-4EEF-B97E-52ACAD1EAE04}">
  <ds:schemaRefs>
    <ds:schemaRef ds:uri="http://schemas.microsoft.com/sharepoint/v3/contenttype/forms"/>
  </ds:schemaRefs>
</ds:datastoreItem>
</file>

<file path=customXml/itemProps4.xml><?xml version="1.0" encoding="utf-8"?>
<ds:datastoreItem xmlns:ds="http://schemas.openxmlformats.org/officeDocument/2006/customXml" ds:itemID="{2E147A56-A9F7-44B6-AB3B-FEFB0686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3760</Words>
  <Characters>21438</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2025-10-31T13:27:00Z</cp:lastPrinted>
  <dcterms:created xsi:type="dcterms:W3CDTF">2026-03-10T15:11:00Z</dcterms:created>
  <dcterms:modified xsi:type="dcterms:W3CDTF">2026-03-10T15:11:00Z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