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1ECA" w14:textId="77777777" w:rsidR="00634259" w:rsidRPr="00206650" w:rsidRDefault="00634259" w:rsidP="00634259">
      <w:pPr>
        <w:jc w:val="center"/>
        <w:rPr>
          <w:rFonts w:ascii="Aptos" w:hAnsi="Aptos" w:cs="Times New Roman"/>
          <w:b/>
          <w:sz w:val="28"/>
          <w:szCs w:val="28"/>
        </w:rPr>
      </w:pPr>
      <w:r w:rsidRPr="00206650">
        <w:rPr>
          <w:rFonts w:ascii="Aptos" w:hAnsi="Aptos" w:cs="Times New Roman"/>
          <w:b/>
          <w:sz w:val="28"/>
          <w:szCs w:val="28"/>
        </w:rPr>
        <w:t>COMMONWEALTH OF MASSACHUSETTS</w:t>
      </w:r>
    </w:p>
    <w:p w14:paraId="0671CD7B" w14:textId="77777777" w:rsidR="00634259" w:rsidRPr="00206650" w:rsidRDefault="00634259" w:rsidP="00634259">
      <w:pPr>
        <w:jc w:val="center"/>
        <w:rPr>
          <w:rFonts w:ascii="Aptos" w:hAnsi="Aptos" w:cs="Times New Roman"/>
          <w:b/>
          <w:sz w:val="28"/>
          <w:szCs w:val="28"/>
        </w:rPr>
      </w:pPr>
      <w:r w:rsidRPr="00206650">
        <w:rPr>
          <w:rFonts w:ascii="Aptos" w:hAnsi="Aptos" w:cs="Times New Roman"/>
          <w:b/>
          <w:sz w:val="28"/>
          <w:szCs w:val="28"/>
        </w:rPr>
        <w:t>DIVISION OF ADMINISTRATIVE LAW APPEALS</w:t>
      </w:r>
    </w:p>
    <w:p w14:paraId="56E48D99" w14:textId="77777777" w:rsidR="00634259" w:rsidRPr="00206650" w:rsidRDefault="00634259" w:rsidP="00634259">
      <w:pPr>
        <w:jc w:val="center"/>
        <w:rPr>
          <w:rFonts w:ascii="Aptos" w:hAnsi="Aptos" w:cs="Times New Roman"/>
          <w:b/>
          <w:sz w:val="28"/>
          <w:szCs w:val="28"/>
        </w:rPr>
      </w:pPr>
      <w:r w:rsidRPr="00206650">
        <w:rPr>
          <w:rFonts w:ascii="Aptos" w:hAnsi="Aptos" w:cs="Times New Roman"/>
          <w:b/>
          <w:sz w:val="28"/>
          <w:szCs w:val="28"/>
        </w:rPr>
        <w:t>BUREAU OF SPECIAL EDUCATION APPEALS</w:t>
      </w:r>
    </w:p>
    <w:p w14:paraId="6EADC6DA" w14:textId="1419CF2A" w:rsidR="00634259" w:rsidRPr="00D7615C" w:rsidRDefault="00634259" w:rsidP="00D7615C">
      <w:pPr>
        <w:pStyle w:val="NormalWeb"/>
        <w:tabs>
          <w:tab w:val="left" w:pos="3330"/>
        </w:tabs>
        <w:spacing w:after="0" w:afterAutospacing="0"/>
        <w:rPr>
          <w:rFonts w:ascii="Aptos" w:hAnsi="Aptos"/>
          <w:b/>
          <w:bCs/>
          <w:sz w:val="25"/>
          <w:szCs w:val="25"/>
        </w:rPr>
      </w:pPr>
      <w:r w:rsidRPr="00E4629F">
        <w:rPr>
          <w:rFonts w:ascii="Aptos" w:hAnsi="Aptos"/>
          <w:b/>
          <w:sz w:val="25"/>
          <w:szCs w:val="25"/>
        </w:rPr>
        <w:t>In Re</w:t>
      </w:r>
      <w:r w:rsidRPr="00E4629F">
        <w:rPr>
          <w:rFonts w:ascii="Aptos" w:hAnsi="Aptos"/>
          <w:sz w:val="25"/>
          <w:szCs w:val="25"/>
        </w:rPr>
        <w:t xml:space="preserve">:   </w:t>
      </w:r>
      <w:r w:rsidRPr="00E4629F">
        <w:rPr>
          <w:rFonts w:ascii="Aptos" w:hAnsi="Aptos"/>
          <w:b/>
          <w:bCs/>
          <w:sz w:val="25"/>
          <w:szCs w:val="25"/>
        </w:rPr>
        <w:t xml:space="preserve">Student &amp; </w:t>
      </w:r>
      <w:r>
        <w:rPr>
          <w:rFonts w:ascii="Aptos" w:hAnsi="Aptos"/>
          <w:b/>
          <w:bCs/>
          <w:sz w:val="25"/>
          <w:szCs w:val="25"/>
        </w:rPr>
        <w:t>Mendon-Upton Regional School District</w:t>
      </w:r>
      <w:r>
        <w:rPr>
          <w:rFonts w:ascii="Aptos" w:hAnsi="Aptos"/>
          <w:b/>
          <w:bCs/>
          <w:sz w:val="25"/>
          <w:szCs w:val="25"/>
        </w:rPr>
        <w:tab/>
      </w:r>
      <w:r w:rsidRPr="00E4629F">
        <w:rPr>
          <w:rFonts w:ascii="Aptos" w:hAnsi="Aptos"/>
          <w:b/>
          <w:bCs/>
          <w:sz w:val="25"/>
          <w:szCs w:val="25"/>
        </w:rPr>
        <w:tab/>
        <w:t xml:space="preserve">        BSEA #</w:t>
      </w:r>
      <w:r>
        <w:rPr>
          <w:rFonts w:ascii="Aptos" w:hAnsi="Aptos"/>
          <w:b/>
          <w:bCs/>
          <w:sz w:val="25"/>
          <w:szCs w:val="25"/>
        </w:rPr>
        <w:t>2610137</w:t>
      </w:r>
    </w:p>
    <w:p w14:paraId="1175B41F" w14:textId="77777777" w:rsidR="005F75C2" w:rsidRPr="00E4629F" w:rsidRDefault="005F75C2" w:rsidP="00634259">
      <w:pPr>
        <w:tabs>
          <w:tab w:val="left" w:pos="3330"/>
        </w:tabs>
        <w:rPr>
          <w:rFonts w:ascii="Aptos" w:eastAsia="Times New Roman" w:hAnsi="Aptos" w:cs="Times New Roman"/>
          <w:b/>
          <w:color w:val="000000"/>
          <w:sz w:val="25"/>
          <w:szCs w:val="25"/>
        </w:rPr>
      </w:pPr>
    </w:p>
    <w:p w14:paraId="2D4C3475" w14:textId="3D4F7F8A" w:rsidR="00634259" w:rsidRPr="00D7615C" w:rsidRDefault="00634259" w:rsidP="00D7615C">
      <w:pPr>
        <w:shd w:val="clear" w:color="auto" w:fill="FFFFFF"/>
        <w:jc w:val="center"/>
        <w:rPr>
          <w:rFonts w:ascii="Aptos" w:eastAsia="Times New Roman" w:hAnsi="Aptos" w:cs="Times New Roman"/>
          <w:b/>
          <w:bCs/>
          <w:sz w:val="25"/>
          <w:szCs w:val="25"/>
          <w:u w:val="single"/>
        </w:rPr>
      </w:pPr>
      <w:r w:rsidRPr="00E4629F">
        <w:rPr>
          <w:rFonts w:ascii="Aptos" w:eastAsia="Times New Roman" w:hAnsi="Aptos" w:cs="Times New Roman"/>
          <w:b/>
          <w:bCs/>
          <w:sz w:val="25"/>
          <w:szCs w:val="25"/>
          <w:u w:val="single"/>
        </w:rPr>
        <w:t xml:space="preserve">RULING ON </w:t>
      </w:r>
      <w:r>
        <w:rPr>
          <w:rFonts w:ascii="Aptos" w:eastAsia="Times New Roman" w:hAnsi="Aptos" w:cs="Times New Roman"/>
          <w:b/>
          <w:bCs/>
          <w:sz w:val="25"/>
          <w:szCs w:val="25"/>
          <w:u w:val="single"/>
        </w:rPr>
        <w:t>THE DISTRICT’S</w:t>
      </w:r>
      <w:r w:rsidRPr="00E4629F">
        <w:rPr>
          <w:rFonts w:ascii="Aptos" w:eastAsia="Times New Roman" w:hAnsi="Aptos" w:cs="Times New Roman"/>
          <w:b/>
          <w:bCs/>
          <w:sz w:val="25"/>
          <w:szCs w:val="25"/>
          <w:u w:val="single"/>
        </w:rPr>
        <w:t xml:space="preserve"> </w:t>
      </w:r>
      <w:r>
        <w:rPr>
          <w:rFonts w:ascii="Aptos" w:eastAsia="Times New Roman" w:hAnsi="Aptos" w:cs="Times New Roman"/>
          <w:b/>
          <w:bCs/>
          <w:sz w:val="25"/>
          <w:szCs w:val="25"/>
          <w:u w:val="single"/>
        </w:rPr>
        <w:t xml:space="preserve">PARTIAL </w:t>
      </w:r>
      <w:r w:rsidRPr="00E4629F">
        <w:rPr>
          <w:rFonts w:ascii="Aptos" w:eastAsia="Times New Roman" w:hAnsi="Aptos" w:cs="Times New Roman"/>
          <w:b/>
          <w:bCs/>
          <w:sz w:val="25"/>
          <w:szCs w:val="25"/>
          <w:u w:val="single"/>
        </w:rPr>
        <w:t>MOTION TO DISMISS</w:t>
      </w:r>
    </w:p>
    <w:p w14:paraId="6CD4194F" w14:textId="77777777" w:rsidR="005F75C2" w:rsidRPr="00E4629F" w:rsidRDefault="005F75C2" w:rsidP="00634259">
      <w:pPr>
        <w:shd w:val="clear" w:color="auto" w:fill="FFFFFF"/>
        <w:rPr>
          <w:rFonts w:ascii="Aptos" w:eastAsia="Times New Roman" w:hAnsi="Aptos" w:cs="Times New Roman"/>
          <w:sz w:val="25"/>
          <w:szCs w:val="25"/>
        </w:rPr>
      </w:pPr>
    </w:p>
    <w:p w14:paraId="5F8547C4" w14:textId="547F445A" w:rsidR="00634259" w:rsidRPr="000370FF" w:rsidRDefault="00634259" w:rsidP="00634259">
      <w:pPr>
        <w:shd w:val="clear" w:color="auto" w:fill="FFFFFF"/>
        <w:rPr>
          <w:rFonts w:ascii="Aptos" w:hAnsi="Aptos" w:cs="Times New Roman"/>
          <w:color w:val="000000" w:themeColor="text1"/>
          <w:sz w:val="25"/>
          <w:szCs w:val="25"/>
        </w:rPr>
      </w:pPr>
      <w:r w:rsidRPr="000370FF">
        <w:rPr>
          <w:rFonts w:ascii="Aptos" w:eastAsia="Times New Roman" w:hAnsi="Aptos" w:cs="Times New Roman"/>
          <w:sz w:val="25"/>
          <w:szCs w:val="25"/>
        </w:rPr>
        <w:t xml:space="preserve">This matter comes before the Hearing Officer on </w:t>
      </w:r>
      <w:r>
        <w:rPr>
          <w:rFonts w:ascii="Aptos" w:eastAsia="Times New Roman" w:hAnsi="Aptos" w:cs="Times New Roman"/>
          <w:sz w:val="25"/>
          <w:szCs w:val="25"/>
        </w:rPr>
        <w:t xml:space="preserve">Mendon-Upton Regional School District’s (District) </w:t>
      </w:r>
      <w:r>
        <w:rPr>
          <w:rFonts w:ascii="Aptos" w:eastAsia="Times New Roman" w:hAnsi="Aptos" w:cs="Times New Roman"/>
          <w:i/>
          <w:iCs/>
          <w:sz w:val="25"/>
          <w:szCs w:val="25"/>
        </w:rPr>
        <w:t xml:space="preserve">Response to Parent’s (sic) Hearing Request and Motion to Dismiss </w:t>
      </w:r>
      <w:r>
        <w:rPr>
          <w:rFonts w:ascii="Aptos" w:eastAsia="Times New Roman" w:hAnsi="Aptos" w:cs="Times New Roman"/>
          <w:sz w:val="25"/>
          <w:szCs w:val="25"/>
        </w:rPr>
        <w:t>(</w:t>
      </w:r>
      <w:r w:rsidRPr="00CC0C40">
        <w:rPr>
          <w:rFonts w:ascii="Aptos" w:eastAsia="Times New Roman" w:hAnsi="Aptos" w:cs="Times New Roman"/>
          <w:i/>
          <w:iCs/>
          <w:sz w:val="25"/>
          <w:szCs w:val="25"/>
        </w:rPr>
        <w:t>Motion</w:t>
      </w:r>
      <w:r>
        <w:rPr>
          <w:rFonts w:ascii="Aptos" w:eastAsia="Times New Roman" w:hAnsi="Aptos" w:cs="Times New Roman"/>
          <w:sz w:val="25"/>
          <w:szCs w:val="25"/>
        </w:rPr>
        <w:t xml:space="preserve">) </w:t>
      </w:r>
      <w:r w:rsidRPr="000370FF">
        <w:rPr>
          <w:rFonts w:ascii="Aptos" w:eastAsia="Times New Roman" w:hAnsi="Aptos" w:cs="Times New Roman"/>
          <w:sz w:val="25"/>
          <w:szCs w:val="25"/>
        </w:rPr>
        <w:t xml:space="preserve">filed with the </w:t>
      </w:r>
      <w:r w:rsidR="00482F1A">
        <w:rPr>
          <w:rFonts w:ascii="Aptos" w:eastAsia="Times New Roman" w:hAnsi="Aptos" w:cs="Times New Roman"/>
          <w:sz w:val="25"/>
          <w:szCs w:val="25"/>
        </w:rPr>
        <w:t>Bureau of Special Education Appeals (</w:t>
      </w:r>
      <w:r w:rsidRPr="000370FF">
        <w:rPr>
          <w:rFonts w:ascii="Aptos" w:eastAsia="Times New Roman" w:hAnsi="Aptos" w:cs="Times New Roman"/>
          <w:sz w:val="25"/>
          <w:szCs w:val="25"/>
        </w:rPr>
        <w:t>BSEA</w:t>
      </w:r>
      <w:r w:rsidR="00482F1A">
        <w:rPr>
          <w:rFonts w:ascii="Aptos" w:eastAsia="Times New Roman" w:hAnsi="Aptos" w:cs="Times New Roman"/>
          <w:sz w:val="25"/>
          <w:szCs w:val="25"/>
        </w:rPr>
        <w:t>)</w:t>
      </w:r>
      <w:r w:rsidRPr="000370FF">
        <w:rPr>
          <w:rFonts w:ascii="Aptos" w:eastAsia="Times New Roman" w:hAnsi="Aptos" w:cs="Times New Roman"/>
          <w:sz w:val="25"/>
          <w:szCs w:val="25"/>
        </w:rPr>
        <w:t xml:space="preserve"> on </w:t>
      </w:r>
      <w:r>
        <w:rPr>
          <w:rFonts w:ascii="Aptos" w:eastAsia="Times New Roman" w:hAnsi="Aptos" w:cs="Times New Roman"/>
          <w:sz w:val="25"/>
          <w:szCs w:val="25"/>
        </w:rPr>
        <w:t>March 24, 2026</w:t>
      </w:r>
      <w:r>
        <w:rPr>
          <w:rStyle w:val="FootnoteReference"/>
          <w:rFonts w:ascii="Aptos" w:eastAsia="Times New Roman" w:hAnsi="Aptos" w:cs="Times New Roman"/>
          <w:sz w:val="25"/>
          <w:szCs w:val="25"/>
        </w:rPr>
        <w:footnoteReference w:id="1"/>
      </w:r>
      <w:r>
        <w:rPr>
          <w:rFonts w:ascii="Aptos" w:eastAsia="Times New Roman" w:hAnsi="Aptos" w:cs="Times New Roman"/>
          <w:sz w:val="25"/>
          <w:szCs w:val="25"/>
        </w:rPr>
        <w:t xml:space="preserve">.  On March 31, 2026, Parents filed a letter in opposition to the District’s </w:t>
      </w:r>
      <w:r>
        <w:rPr>
          <w:rFonts w:ascii="Aptos" w:eastAsia="Times New Roman" w:hAnsi="Aptos" w:cs="Times New Roman"/>
          <w:i/>
          <w:iCs/>
          <w:sz w:val="25"/>
          <w:szCs w:val="25"/>
        </w:rPr>
        <w:t>Motion</w:t>
      </w:r>
      <w:r>
        <w:rPr>
          <w:rFonts w:ascii="Aptos" w:eastAsia="Times New Roman" w:hAnsi="Aptos" w:cs="Times New Roman"/>
          <w:sz w:val="25"/>
          <w:szCs w:val="25"/>
        </w:rPr>
        <w:t xml:space="preserve"> (</w:t>
      </w:r>
      <w:r>
        <w:rPr>
          <w:rFonts w:ascii="Aptos" w:eastAsia="Times New Roman" w:hAnsi="Aptos" w:cs="Times New Roman"/>
          <w:i/>
          <w:iCs/>
          <w:sz w:val="25"/>
          <w:szCs w:val="25"/>
        </w:rPr>
        <w:t>Opposition</w:t>
      </w:r>
      <w:r>
        <w:rPr>
          <w:rFonts w:ascii="Aptos" w:eastAsia="Times New Roman" w:hAnsi="Aptos" w:cs="Times New Roman"/>
          <w:sz w:val="25"/>
          <w:szCs w:val="25"/>
        </w:rPr>
        <w:t xml:space="preserve">).  Also on March 31, 2026, the District filed its </w:t>
      </w:r>
      <w:r>
        <w:rPr>
          <w:rFonts w:ascii="Aptos" w:eastAsia="Times New Roman" w:hAnsi="Aptos" w:cs="Times New Roman"/>
          <w:i/>
          <w:iCs/>
          <w:sz w:val="25"/>
          <w:szCs w:val="25"/>
        </w:rPr>
        <w:t xml:space="preserve">Response to Parent’s </w:t>
      </w:r>
      <w:r w:rsidR="006E4A7A">
        <w:rPr>
          <w:rFonts w:ascii="Aptos" w:eastAsia="Times New Roman" w:hAnsi="Aptos" w:cs="Times New Roman"/>
          <w:i/>
          <w:iCs/>
          <w:sz w:val="25"/>
          <w:szCs w:val="25"/>
        </w:rPr>
        <w:t>(sic)</w:t>
      </w:r>
      <w:r w:rsidR="001C0650">
        <w:rPr>
          <w:rFonts w:ascii="Aptos" w:eastAsia="Times New Roman" w:hAnsi="Aptos" w:cs="Times New Roman"/>
          <w:i/>
          <w:iCs/>
          <w:sz w:val="25"/>
          <w:szCs w:val="25"/>
        </w:rPr>
        <w:t xml:space="preserve"> </w:t>
      </w:r>
      <w:r>
        <w:rPr>
          <w:rFonts w:ascii="Aptos" w:eastAsia="Times New Roman" w:hAnsi="Aptos" w:cs="Times New Roman"/>
          <w:i/>
          <w:iCs/>
          <w:sz w:val="25"/>
          <w:szCs w:val="25"/>
        </w:rPr>
        <w:t>Letter</w:t>
      </w:r>
      <w:r>
        <w:rPr>
          <w:rFonts w:ascii="Aptos" w:eastAsia="Times New Roman" w:hAnsi="Aptos" w:cs="Times New Roman"/>
          <w:sz w:val="25"/>
          <w:szCs w:val="25"/>
        </w:rPr>
        <w:t xml:space="preserve"> (</w:t>
      </w:r>
      <w:r>
        <w:rPr>
          <w:rFonts w:ascii="Aptos" w:eastAsia="Times New Roman" w:hAnsi="Aptos" w:cs="Times New Roman"/>
          <w:i/>
          <w:iCs/>
          <w:sz w:val="25"/>
          <w:szCs w:val="25"/>
        </w:rPr>
        <w:t>Response</w:t>
      </w:r>
      <w:r>
        <w:rPr>
          <w:rFonts w:ascii="Aptos" w:eastAsia="Times New Roman" w:hAnsi="Aptos" w:cs="Times New Roman"/>
          <w:sz w:val="25"/>
          <w:szCs w:val="25"/>
        </w:rPr>
        <w:t xml:space="preserve">).  </w:t>
      </w:r>
      <w:r w:rsidRPr="000370FF">
        <w:rPr>
          <w:rFonts w:ascii="Aptos" w:hAnsi="Aptos" w:cs="Times New Roman"/>
          <w:color w:val="000000" w:themeColor="text1"/>
          <w:sz w:val="25"/>
          <w:szCs w:val="25"/>
        </w:rPr>
        <w:t xml:space="preserve">Neither party has requested a hearing on </w:t>
      </w:r>
      <w:r w:rsidRPr="000370FF">
        <w:rPr>
          <w:rFonts w:ascii="Aptos" w:eastAsia="Times New Roman" w:hAnsi="Aptos"/>
          <w:color w:val="000000" w:themeColor="text1"/>
          <w:sz w:val="25"/>
          <w:szCs w:val="25"/>
        </w:rPr>
        <w:t xml:space="preserve">the </w:t>
      </w:r>
      <w:r w:rsidRPr="000370FF">
        <w:rPr>
          <w:rFonts w:ascii="Aptos" w:eastAsia="Times New Roman" w:hAnsi="Aptos"/>
          <w:i/>
          <w:iCs/>
          <w:color w:val="000000" w:themeColor="text1"/>
          <w:sz w:val="25"/>
          <w:szCs w:val="25"/>
        </w:rPr>
        <w:t>Motion</w:t>
      </w:r>
      <w:r w:rsidRPr="000370FF">
        <w:rPr>
          <w:rFonts w:ascii="Aptos" w:hAnsi="Aptos" w:cs="Times New Roman"/>
          <w:color w:val="000000" w:themeColor="text1"/>
          <w:sz w:val="25"/>
          <w:szCs w:val="25"/>
        </w:rPr>
        <w:t>.</w:t>
      </w:r>
      <w:r>
        <w:rPr>
          <w:rFonts w:ascii="Aptos" w:hAnsi="Aptos" w:cs="Times New Roman"/>
          <w:color w:val="000000" w:themeColor="text1"/>
          <w:sz w:val="25"/>
          <w:szCs w:val="25"/>
        </w:rPr>
        <w:t xml:space="preserve">  </w:t>
      </w:r>
      <w:r w:rsidRPr="000370FF">
        <w:rPr>
          <w:rFonts w:ascii="Aptos" w:hAnsi="Aptos" w:cs="Times New Roman"/>
          <w:color w:val="000000" w:themeColor="text1"/>
          <w:sz w:val="25"/>
          <w:szCs w:val="25"/>
        </w:rPr>
        <w:t xml:space="preserve">Because neither testimony nor oral argument would advance the Hearing Officer's </w:t>
      </w:r>
      <w:r>
        <w:rPr>
          <w:rFonts w:ascii="Aptos" w:hAnsi="Aptos" w:cs="Times New Roman"/>
          <w:color w:val="000000" w:themeColor="text1"/>
          <w:sz w:val="25"/>
          <w:szCs w:val="25"/>
        </w:rPr>
        <w:t>u</w:t>
      </w:r>
      <w:r w:rsidRPr="000370FF">
        <w:rPr>
          <w:rFonts w:ascii="Aptos" w:hAnsi="Aptos" w:cs="Times New Roman"/>
          <w:color w:val="000000" w:themeColor="text1"/>
          <w:sz w:val="25"/>
          <w:szCs w:val="25"/>
        </w:rPr>
        <w:t xml:space="preserve">nderstanding of the issues involved, this Ruling is issued without hearing, pursuant to Bureau of Special Education Appeals Hearing Rule VI(D).  </w:t>
      </w:r>
      <w:r w:rsidRPr="000370FF">
        <w:rPr>
          <w:rFonts w:ascii="Aptos" w:eastAsia="Times New Roman" w:hAnsi="Aptos" w:cs="Times New Roman"/>
          <w:sz w:val="25"/>
          <w:szCs w:val="25"/>
        </w:rPr>
        <w:t xml:space="preserve">For the reasons articulated, the </w:t>
      </w:r>
      <w:r>
        <w:rPr>
          <w:rFonts w:ascii="Aptos" w:eastAsia="Times New Roman" w:hAnsi="Aptos" w:cs="Times New Roman"/>
          <w:i/>
          <w:iCs/>
          <w:sz w:val="25"/>
          <w:szCs w:val="25"/>
        </w:rPr>
        <w:t xml:space="preserve">Motion </w:t>
      </w:r>
      <w:r>
        <w:rPr>
          <w:rFonts w:ascii="Aptos" w:eastAsia="Times New Roman" w:hAnsi="Aptos" w:cs="Times New Roman"/>
          <w:sz w:val="25"/>
          <w:szCs w:val="25"/>
        </w:rPr>
        <w:t xml:space="preserve">is </w:t>
      </w:r>
      <w:r>
        <w:rPr>
          <w:rFonts w:ascii="Aptos" w:eastAsia="Times New Roman" w:hAnsi="Aptos" w:cs="Times New Roman"/>
          <w:b/>
          <w:bCs/>
          <w:sz w:val="25"/>
          <w:szCs w:val="25"/>
        </w:rPr>
        <w:t>ALLOWED</w:t>
      </w:r>
      <w:r w:rsidR="00482F1A">
        <w:rPr>
          <w:rFonts w:ascii="Aptos" w:eastAsia="Times New Roman" w:hAnsi="Aptos" w:cs="Times New Roman"/>
          <w:b/>
          <w:bCs/>
          <w:sz w:val="25"/>
          <w:szCs w:val="25"/>
        </w:rPr>
        <w:t>,</w:t>
      </w:r>
      <w:r w:rsidR="002B0A77">
        <w:rPr>
          <w:rFonts w:ascii="Aptos" w:eastAsia="Times New Roman" w:hAnsi="Aptos" w:cs="Times New Roman"/>
          <w:b/>
          <w:bCs/>
          <w:sz w:val="25"/>
          <w:szCs w:val="25"/>
        </w:rPr>
        <w:t xml:space="preserve"> in part</w:t>
      </w:r>
      <w:r w:rsidR="00482F1A">
        <w:rPr>
          <w:rFonts w:ascii="Aptos" w:eastAsia="Times New Roman" w:hAnsi="Aptos" w:cs="Times New Roman"/>
          <w:b/>
          <w:bCs/>
          <w:sz w:val="25"/>
          <w:szCs w:val="25"/>
        </w:rPr>
        <w:t>,</w:t>
      </w:r>
      <w:r w:rsidR="002B0A77">
        <w:rPr>
          <w:rFonts w:ascii="Aptos" w:eastAsia="Times New Roman" w:hAnsi="Aptos" w:cs="Times New Roman"/>
          <w:b/>
          <w:bCs/>
          <w:sz w:val="25"/>
          <w:szCs w:val="25"/>
        </w:rPr>
        <w:t xml:space="preserve"> and DENIED</w:t>
      </w:r>
      <w:r w:rsidR="00482F1A">
        <w:rPr>
          <w:rFonts w:ascii="Aptos" w:eastAsia="Times New Roman" w:hAnsi="Aptos" w:cs="Times New Roman"/>
          <w:b/>
          <w:bCs/>
          <w:sz w:val="25"/>
          <w:szCs w:val="25"/>
        </w:rPr>
        <w:t>,</w:t>
      </w:r>
      <w:r w:rsidR="002B0A77">
        <w:rPr>
          <w:rFonts w:ascii="Aptos" w:eastAsia="Times New Roman" w:hAnsi="Aptos" w:cs="Times New Roman"/>
          <w:b/>
          <w:bCs/>
          <w:sz w:val="25"/>
          <w:szCs w:val="25"/>
        </w:rPr>
        <w:t xml:space="preserve"> in part</w:t>
      </w:r>
      <w:r w:rsidRPr="000370FF">
        <w:rPr>
          <w:rFonts w:ascii="Aptos" w:eastAsia="Times New Roman" w:hAnsi="Aptos" w:cs="Times New Roman"/>
          <w:sz w:val="25"/>
          <w:szCs w:val="25"/>
        </w:rPr>
        <w:t xml:space="preserve">.  </w:t>
      </w:r>
    </w:p>
    <w:p w14:paraId="171F0D30" w14:textId="77777777" w:rsidR="00634259" w:rsidRPr="000370FF" w:rsidRDefault="00634259" w:rsidP="00634259">
      <w:pPr>
        <w:shd w:val="clear" w:color="auto" w:fill="FFFFFF"/>
        <w:rPr>
          <w:rFonts w:ascii="Aptos" w:eastAsia="Times New Roman" w:hAnsi="Aptos" w:cs="Times New Roman"/>
          <w:b/>
          <w:bCs/>
          <w:sz w:val="25"/>
          <w:szCs w:val="25"/>
        </w:rPr>
      </w:pPr>
    </w:p>
    <w:p w14:paraId="1D499BE5" w14:textId="77777777" w:rsidR="00634259" w:rsidRPr="000370FF" w:rsidRDefault="00634259" w:rsidP="00634259">
      <w:pPr>
        <w:jc w:val="center"/>
        <w:rPr>
          <w:rFonts w:ascii="Aptos" w:eastAsia="Times New Roman" w:hAnsi="Aptos" w:cs="Times New Roman"/>
          <w:b/>
          <w:bCs/>
          <w:sz w:val="25"/>
          <w:szCs w:val="25"/>
        </w:rPr>
      </w:pPr>
      <w:r w:rsidRPr="000370FF">
        <w:rPr>
          <w:rFonts w:ascii="Aptos" w:eastAsia="Times New Roman" w:hAnsi="Aptos" w:cs="Times New Roman"/>
          <w:b/>
          <w:bCs/>
          <w:sz w:val="25"/>
          <w:szCs w:val="25"/>
        </w:rPr>
        <w:t>RELEVANT PROCEDURAL HISTORY</w:t>
      </w:r>
      <w:r>
        <w:rPr>
          <w:rFonts w:ascii="Aptos" w:eastAsia="Times New Roman" w:hAnsi="Aptos" w:cs="Times New Roman"/>
          <w:b/>
          <w:bCs/>
          <w:sz w:val="25"/>
          <w:szCs w:val="25"/>
        </w:rPr>
        <w:t xml:space="preserve"> AND </w:t>
      </w:r>
      <w:r w:rsidRPr="000370FF">
        <w:rPr>
          <w:rFonts w:ascii="Aptos" w:eastAsia="Times New Roman" w:hAnsi="Aptos" w:cs="Times New Roman"/>
          <w:b/>
          <w:bCs/>
          <w:sz w:val="25"/>
          <w:szCs w:val="25"/>
        </w:rPr>
        <w:t>FACTUAL BACKGROUND</w:t>
      </w:r>
      <w:r w:rsidRPr="000370FF">
        <w:rPr>
          <w:rStyle w:val="FootnoteReference"/>
          <w:rFonts w:ascii="Aptos" w:eastAsia="Times New Roman" w:hAnsi="Aptos" w:cs="Times New Roman"/>
          <w:b/>
          <w:bCs/>
          <w:sz w:val="25"/>
          <w:szCs w:val="25"/>
        </w:rPr>
        <w:footnoteReference w:id="2"/>
      </w:r>
    </w:p>
    <w:p w14:paraId="2BEE4F2C" w14:textId="77777777" w:rsidR="00634259" w:rsidRPr="000370FF" w:rsidRDefault="00634259" w:rsidP="00634259">
      <w:pPr>
        <w:shd w:val="clear" w:color="auto" w:fill="FFFFFF"/>
        <w:jc w:val="center"/>
        <w:rPr>
          <w:rFonts w:ascii="Aptos" w:eastAsia="Times New Roman" w:hAnsi="Aptos" w:cs="Times New Roman"/>
          <w:sz w:val="25"/>
          <w:szCs w:val="25"/>
        </w:rPr>
      </w:pPr>
    </w:p>
    <w:p w14:paraId="7B64C449" w14:textId="29A05803" w:rsidR="007126B3" w:rsidRDefault="00634259" w:rsidP="00634259">
      <w:pPr>
        <w:rPr>
          <w:rFonts w:ascii="Aptos" w:hAnsi="Aptos" w:cs="Times New Roman"/>
          <w:sz w:val="25"/>
          <w:szCs w:val="25"/>
        </w:rPr>
      </w:pPr>
      <w:r w:rsidRPr="000370FF">
        <w:rPr>
          <w:rFonts w:ascii="Aptos" w:hAnsi="Aptos" w:cs="Times New Roman"/>
          <w:sz w:val="25"/>
          <w:szCs w:val="25"/>
        </w:rPr>
        <w:t xml:space="preserve">On </w:t>
      </w:r>
      <w:r w:rsidR="004B2E77">
        <w:rPr>
          <w:rFonts w:ascii="Aptos" w:hAnsi="Aptos" w:cs="Times New Roman"/>
          <w:sz w:val="25"/>
          <w:szCs w:val="25"/>
        </w:rPr>
        <w:t>March 11, 2026</w:t>
      </w:r>
      <w:r w:rsidRPr="000370FF">
        <w:rPr>
          <w:rFonts w:ascii="Aptos" w:hAnsi="Aptos" w:cs="Times New Roman"/>
          <w:sz w:val="25"/>
          <w:szCs w:val="25"/>
        </w:rPr>
        <w:t xml:space="preserve">, </w:t>
      </w:r>
      <w:r>
        <w:rPr>
          <w:rFonts w:ascii="Aptos" w:hAnsi="Aptos" w:cs="Times New Roman"/>
          <w:sz w:val="25"/>
          <w:szCs w:val="25"/>
        </w:rPr>
        <w:t xml:space="preserve">Parents filed </w:t>
      </w:r>
      <w:r w:rsidRPr="000370FF">
        <w:rPr>
          <w:rFonts w:ascii="Aptos" w:hAnsi="Aptos" w:cs="Times New Roman"/>
          <w:sz w:val="25"/>
          <w:szCs w:val="25"/>
        </w:rPr>
        <w:t xml:space="preserve">a </w:t>
      </w:r>
      <w:r w:rsidRPr="000370FF">
        <w:rPr>
          <w:rFonts w:ascii="Aptos" w:hAnsi="Aptos" w:cs="Times New Roman"/>
          <w:i/>
          <w:iCs/>
          <w:sz w:val="25"/>
          <w:szCs w:val="25"/>
        </w:rPr>
        <w:t>Hearing Request</w:t>
      </w:r>
      <w:r w:rsidRPr="000370FF">
        <w:rPr>
          <w:rFonts w:ascii="Aptos" w:hAnsi="Aptos" w:cs="Times New Roman"/>
          <w:sz w:val="25"/>
          <w:szCs w:val="25"/>
        </w:rPr>
        <w:t xml:space="preserve"> </w:t>
      </w:r>
      <w:r>
        <w:rPr>
          <w:rFonts w:ascii="Aptos" w:hAnsi="Aptos" w:cs="Times New Roman"/>
          <w:sz w:val="25"/>
          <w:szCs w:val="25"/>
        </w:rPr>
        <w:t>on behalf of Student, who is</w:t>
      </w:r>
      <w:r w:rsidR="001C0650">
        <w:rPr>
          <w:rFonts w:ascii="Aptos" w:hAnsi="Aptos" w:cs="Times New Roman"/>
          <w:sz w:val="25"/>
          <w:szCs w:val="25"/>
        </w:rPr>
        <w:t xml:space="preserve"> a</w:t>
      </w:r>
      <w:r>
        <w:rPr>
          <w:rFonts w:ascii="Aptos" w:hAnsi="Aptos" w:cs="Times New Roman"/>
          <w:sz w:val="25"/>
          <w:szCs w:val="25"/>
        </w:rPr>
        <w:t xml:space="preserve"> </w:t>
      </w:r>
      <w:r w:rsidR="00FE0A2E">
        <w:rPr>
          <w:rFonts w:ascii="Aptos" w:hAnsi="Aptos" w:cs="Times New Roman"/>
          <w:sz w:val="25"/>
          <w:szCs w:val="25"/>
        </w:rPr>
        <w:t>9</w:t>
      </w:r>
      <w:r>
        <w:rPr>
          <w:rFonts w:ascii="Aptos" w:hAnsi="Aptos" w:cs="Times New Roman"/>
          <w:sz w:val="25"/>
          <w:szCs w:val="25"/>
        </w:rPr>
        <w:t xml:space="preserve"> year old</w:t>
      </w:r>
      <w:r w:rsidR="001C0650">
        <w:rPr>
          <w:rFonts w:ascii="Aptos" w:hAnsi="Aptos" w:cs="Times New Roman"/>
          <w:sz w:val="25"/>
          <w:szCs w:val="25"/>
        </w:rPr>
        <w:t xml:space="preserve"> </w:t>
      </w:r>
      <w:r w:rsidR="00FE0A2E">
        <w:rPr>
          <w:rFonts w:ascii="Aptos" w:hAnsi="Aptos" w:cs="Times New Roman"/>
          <w:sz w:val="25"/>
          <w:szCs w:val="25"/>
        </w:rPr>
        <w:t>third grade</w:t>
      </w:r>
      <w:r w:rsidR="001C0650">
        <w:rPr>
          <w:rFonts w:ascii="Aptos" w:hAnsi="Aptos" w:cs="Times New Roman"/>
          <w:sz w:val="25"/>
          <w:szCs w:val="25"/>
        </w:rPr>
        <w:t xml:space="preserve">r </w:t>
      </w:r>
      <w:r w:rsidR="00882D92">
        <w:rPr>
          <w:rFonts w:ascii="Aptos" w:hAnsi="Aptos" w:cs="Times New Roman"/>
          <w:sz w:val="25"/>
          <w:szCs w:val="25"/>
        </w:rPr>
        <w:t>diagnosed with</w:t>
      </w:r>
      <w:r w:rsidR="00482F1A">
        <w:rPr>
          <w:rFonts w:ascii="Aptos" w:hAnsi="Aptos" w:cs="Times New Roman"/>
          <w:sz w:val="25"/>
          <w:szCs w:val="25"/>
        </w:rPr>
        <w:t xml:space="preserve"> Attention Deficit Hyperactivity Disorder</w:t>
      </w:r>
      <w:r w:rsidR="00882D92">
        <w:rPr>
          <w:rFonts w:ascii="Aptos" w:hAnsi="Aptos" w:cs="Times New Roman"/>
          <w:sz w:val="25"/>
          <w:szCs w:val="25"/>
        </w:rPr>
        <w:t xml:space="preserve"> </w:t>
      </w:r>
      <w:r w:rsidR="00482F1A">
        <w:rPr>
          <w:rFonts w:ascii="Aptos" w:hAnsi="Aptos" w:cs="Times New Roman"/>
          <w:sz w:val="25"/>
          <w:szCs w:val="25"/>
        </w:rPr>
        <w:t>(</w:t>
      </w:r>
      <w:r w:rsidR="00882D92">
        <w:rPr>
          <w:rFonts w:ascii="Aptos" w:hAnsi="Aptos" w:cs="Times New Roman"/>
          <w:sz w:val="25"/>
          <w:szCs w:val="25"/>
        </w:rPr>
        <w:t>ADHD</w:t>
      </w:r>
      <w:r w:rsidR="00482F1A">
        <w:rPr>
          <w:rFonts w:ascii="Aptos" w:hAnsi="Aptos" w:cs="Times New Roman"/>
          <w:sz w:val="25"/>
          <w:szCs w:val="25"/>
        </w:rPr>
        <w:t>)</w:t>
      </w:r>
      <w:r w:rsidR="00882D92">
        <w:rPr>
          <w:rFonts w:ascii="Aptos" w:hAnsi="Aptos" w:cs="Times New Roman"/>
          <w:sz w:val="25"/>
          <w:szCs w:val="25"/>
        </w:rPr>
        <w:t xml:space="preserve"> that is </w:t>
      </w:r>
      <w:r w:rsidR="007126B3">
        <w:rPr>
          <w:rFonts w:ascii="Aptos" w:hAnsi="Aptos" w:cs="Times New Roman"/>
          <w:sz w:val="25"/>
          <w:szCs w:val="25"/>
        </w:rPr>
        <w:t xml:space="preserve">supported through a </w:t>
      </w:r>
      <w:r w:rsidR="00882D92">
        <w:rPr>
          <w:rFonts w:ascii="Aptos" w:hAnsi="Aptos" w:cs="Times New Roman"/>
          <w:sz w:val="25"/>
          <w:szCs w:val="25"/>
        </w:rPr>
        <w:t>504 Plan</w:t>
      </w:r>
      <w:r w:rsidR="003D0691">
        <w:rPr>
          <w:rFonts w:ascii="Aptos" w:hAnsi="Aptos" w:cs="Times New Roman"/>
          <w:sz w:val="25"/>
          <w:szCs w:val="25"/>
        </w:rPr>
        <w:t xml:space="preserve">.  </w:t>
      </w:r>
      <w:r w:rsidR="002E17F2">
        <w:rPr>
          <w:rFonts w:ascii="Aptos" w:hAnsi="Aptos" w:cs="Times New Roman"/>
          <w:sz w:val="25"/>
          <w:szCs w:val="25"/>
        </w:rPr>
        <w:t>Among other claims, the</w:t>
      </w:r>
      <w:r w:rsidR="003D0691">
        <w:rPr>
          <w:rFonts w:ascii="Aptos" w:hAnsi="Aptos" w:cs="Times New Roman"/>
          <w:sz w:val="25"/>
          <w:szCs w:val="25"/>
        </w:rPr>
        <w:t xml:space="preserve"> </w:t>
      </w:r>
      <w:r w:rsidR="003D0691">
        <w:rPr>
          <w:rFonts w:ascii="Aptos" w:hAnsi="Aptos" w:cs="Times New Roman"/>
          <w:i/>
          <w:iCs/>
          <w:sz w:val="25"/>
          <w:szCs w:val="25"/>
        </w:rPr>
        <w:t xml:space="preserve">Hearing Request </w:t>
      </w:r>
      <w:r w:rsidR="00FE0A2E">
        <w:rPr>
          <w:rFonts w:ascii="Aptos" w:hAnsi="Aptos" w:cs="Times New Roman"/>
          <w:sz w:val="25"/>
          <w:szCs w:val="25"/>
        </w:rPr>
        <w:t>alleged</w:t>
      </w:r>
      <w:r w:rsidR="008C6C91">
        <w:rPr>
          <w:rFonts w:ascii="Aptos" w:hAnsi="Aptos" w:cs="Times New Roman"/>
          <w:sz w:val="25"/>
          <w:szCs w:val="25"/>
        </w:rPr>
        <w:t xml:space="preserve"> </w:t>
      </w:r>
      <w:r w:rsidR="00482F1A">
        <w:rPr>
          <w:rFonts w:ascii="Aptos" w:hAnsi="Aptos" w:cs="Times New Roman"/>
          <w:sz w:val="25"/>
          <w:szCs w:val="25"/>
        </w:rPr>
        <w:t xml:space="preserve">that </w:t>
      </w:r>
      <w:r w:rsidR="008C6C91">
        <w:rPr>
          <w:rFonts w:ascii="Aptos" w:hAnsi="Aptos" w:cs="Times New Roman"/>
          <w:sz w:val="25"/>
          <w:szCs w:val="25"/>
        </w:rPr>
        <w:t>the District had retaliated against the family</w:t>
      </w:r>
      <w:r w:rsidR="00CF0ACE">
        <w:rPr>
          <w:rFonts w:ascii="Aptos" w:hAnsi="Aptos" w:cs="Times New Roman"/>
          <w:sz w:val="25"/>
          <w:szCs w:val="25"/>
        </w:rPr>
        <w:t xml:space="preserve"> (Retaliation Claim)</w:t>
      </w:r>
      <w:r w:rsidR="003D0691">
        <w:rPr>
          <w:rFonts w:ascii="Aptos" w:hAnsi="Aptos" w:cs="Times New Roman"/>
          <w:sz w:val="25"/>
          <w:szCs w:val="25"/>
        </w:rPr>
        <w:t xml:space="preserve">.  Specifically, </w:t>
      </w:r>
      <w:r w:rsidR="00CF0ACE">
        <w:rPr>
          <w:rFonts w:ascii="Aptos" w:hAnsi="Aptos" w:cs="Times New Roman"/>
          <w:sz w:val="25"/>
          <w:szCs w:val="25"/>
        </w:rPr>
        <w:t xml:space="preserve">the </w:t>
      </w:r>
      <w:r w:rsidR="00CF0ACE">
        <w:rPr>
          <w:rFonts w:ascii="Aptos" w:hAnsi="Aptos" w:cs="Times New Roman"/>
          <w:i/>
          <w:iCs/>
          <w:sz w:val="25"/>
          <w:szCs w:val="25"/>
        </w:rPr>
        <w:t xml:space="preserve">Hearing Request </w:t>
      </w:r>
      <w:r w:rsidR="00CF0ACE">
        <w:rPr>
          <w:rFonts w:ascii="Aptos" w:hAnsi="Aptos" w:cs="Times New Roman"/>
          <w:sz w:val="25"/>
          <w:szCs w:val="25"/>
        </w:rPr>
        <w:t xml:space="preserve">alleged </w:t>
      </w:r>
      <w:r w:rsidR="008C6C91">
        <w:rPr>
          <w:rFonts w:ascii="Aptos" w:hAnsi="Aptos" w:cs="Times New Roman"/>
          <w:sz w:val="25"/>
          <w:szCs w:val="25"/>
        </w:rPr>
        <w:t xml:space="preserve">“[w]e feel we have been retaliated against by the district and that our children have been specifically threatened by the District, as evidenced by [a specifically identified staff member] stating ‘staff at [Student’s school] will take it out on your children if you continue to advocate for them’”.   </w:t>
      </w:r>
    </w:p>
    <w:p w14:paraId="5E43FF45" w14:textId="77777777" w:rsidR="003D0691" w:rsidRDefault="003D0691" w:rsidP="00634259">
      <w:pPr>
        <w:rPr>
          <w:rFonts w:ascii="Aptos" w:hAnsi="Aptos" w:cs="Times New Roman"/>
          <w:sz w:val="25"/>
          <w:szCs w:val="25"/>
        </w:rPr>
      </w:pPr>
    </w:p>
    <w:p w14:paraId="5D22A8C7" w14:textId="18295800" w:rsidR="003D0691" w:rsidRDefault="003D0691" w:rsidP="00634259">
      <w:pPr>
        <w:rPr>
          <w:rFonts w:ascii="Aptos" w:hAnsi="Aptos" w:cs="Times New Roman"/>
          <w:sz w:val="25"/>
          <w:szCs w:val="25"/>
        </w:rPr>
      </w:pPr>
      <w:r>
        <w:rPr>
          <w:rFonts w:ascii="Aptos" w:hAnsi="Aptos" w:cs="Times New Roman"/>
          <w:sz w:val="25"/>
          <w:szCs w:val="25"/>
        </w:rPr>
        <w:t xml:space="preserve">On March </w:t>
      </w:r>
      <w:r w:rsidR="00CF0ACE">
        <w:rPr>
          <w:rFonts w:ascii="Aptos" w:hAnsi="Aptos" w:cs="Times New Roman"/>
          <w:sz w:val="25"/>
          <w:szCs w:val="25"/>
        </w:rPr>
        <w:t xml:space="preserve">24, 2026 the District sought to dismiss the Retaliation Claim </w:t>
      </w:r>
      <w:r w:rsidR="0069668E">
        <w:rPr>
          <w:rFonts w:ascii="Aptos" w:hAnsi="Aptos" w:cs="Times New Roman"/>
          <w:sz w:val="25"/>
          <w:szCs w:val="25"/>
        </w:rPr>
        <w:t>with prejudice</w:t>
      </w:r>
      <w:r w:rsidR="001C0650">
        <w:rPr>
          <w:rFonts w:ascii="Aptos" w:hAnsi="Aptos" w:cs="Times New Roman"/>
          <w:sz w:val="25"/>
          <w:szCs w:val="25"/>
        </w:rPr>
        <w:t xml:space="preserve">, on the ground </w:t>
      </w:r>
      <w:r w:rsidR="00482F1A">
        <w:rPr>
          <w:rFonts w:ascii="Aptos" w:hAnsi="Aptos" w:cs="Times New Roman"/>
          <w:sz w:val="25"/>
          <w:szCs w:val="25"/>
        </w:rPr>
        <w:t>that</w:t>
      </w:r>
      <w:r w:rsidR="00044F4F">
        <w:rPr>
          <w:rFonts w:ascii="Aptos" w:hAnsi="Aptos" w:cs="Times New Roman"/>
          <w:sz w:val="25"/>
          <w:szCs w:val="25"/>
        </w:rPr>
        <w:t xml:space="preserve"> </w:t>
      </w:r>
      <w:r w:rsidR="00A42671">
        <w:rPr>
          <w:rFonts w:ascii="Aptos" w:hAnsi="Aptos" w:cs="Times New Roman"/>
          <w:sz w:val="25"/>
          <w:szCs w:val="25"/>
        </w:rPr>
        <w:t xml:space="preserve">the BSEA </w:t>
      </w:r>
      <w:r w:rsidR="000C3139">
        <w:rPr>
          <w:rFonts w:ascii="Aptos" w:hAnsi="Aptos" w:cs="Times New Roman"/>
          <w:sz w:val="25"/>
          <w:szCs w:val="25"/>
        </w:rPr>
        <w:t xml:space="preserve">lacks </w:t>
      </w:r>
      <w:r w:rsidR="00A42671">
        <w:rPr>
          <w:rFonts w:ascii="Aptos" w:hAnsi="Aptos" w:cs="Times New Roman"/>
          <w:sz w:val="25"/>
          <w:szCs w:val="25"/>
        </w:rPr>
        <w:t xml:space="preserve">jurisdiction to </w:t>
      </w:r>
      <w:r w:rsidR="00B17830">
        <w:rPr>
          <w:rFonts w:ascii="Aptos" w:hAnsi="Aptos" w:cs="Times New Roman"/>
          <w:sz w:val="25"/>
          <w:szCs w:val="25"/>
        </w:rPr>
        <w:t xml:space="preserve">address </w:t>
      </w:r>
      <w:r w:rsidR="00DA4AF2">
        <w:rPr>
          <w:rFonts w:ascii="Aptos" w:hAnsi="Aptos" w:cs="Times New Roman"/>
          <w:sz w:val="25"/>
          <w:szCs w:val="25"/>
        </w:rPr>
        <w:t xml:space="preserve">any </w:t>
      </w:r>
      <w:r w:rsidR="00EB246A">
        <w:rPr>
          <w:rFonts w:ascii="Aptos" w:hAnsi="Aptos" w:cs="Times New Roman"/>
          <w:sz w:val="25"/>
          <w:szCs w:val="25"/>
        </w:rPr>
        <w:t xml:space="preserve">retaliation </w:t>
      </w:r>
      <w:r w:rsidR="00B17830">
        <w:rPr>
          <w:rFonts w:ascii="Aptos" w:hAnsi="Aptos" w:cs="Times New Roman"/>
          <w:sz w:val="25"/>
          <w:szCs w:val="25"/>
        </w:rPr>
        <w:t>claims</w:t>
      </w:r>
      <w:r w:rsidR="00036622">
        <w:rPr>
          <w:rFonts w:ascii="Aptos" w:hAnsi="Aptos" w:cs="Times New Roman"/>
          <w:sz w:val="25"/>
          <w:szCs w:val="25"/>
        </w:rPr>
        <w:t>.  The District argued that</w:t>
      </w:r>
      <w:r w:rsidR="00B17830">
        <w:rPr>
          <w:rFonts w:ascii="Aptos" w:hAnsi="Aptos" w:cs="Times New Roman"/>
          <w:sz w:val="25"/>
          <w:szCs w:val="25"/>
        </w:rPr>
        <w:t xml:space="preserve"> </w:t>
      </w:r>
      <w:r w:rsidR="00AA6BFD">
        <w:rPr>
          <w:rFonts w:ascii="Aptos" w:hAnsi="Aptos" w:cs="Times New Roman"/>
          <w:sz w:val="25"/>
          <w:szCs w:val="25"/>
        </w:rPr>
        <w:t>under the Individual</w:t>
      </w:r>
      <w:r w:rsidR="00821875">
        <w:rPr>
          <w:rFonts w:ascii="Aptos" w:hAnsi="Aptos" w:cs="Times New Roman"/>
          <w:sz w:val="25"/>
          <w:szCs w:val="25"/>
        </w:rPr>
        <w:t>s with</w:t>
      </w:r>
      <w:r w:rsidR="00AA6BFD">
        <w:rPr>
          <w:rFonts w:ascii="Aptos" w:hAnsi="Aptos" w:cs="Times New Roman"/>
          <w:sz w:val="25"/>
          <w:szCs w:val="25"/>
        </w:rPr>
        <w:t xml:space="preserve"> Disabilities Education Act (IDEA), the Massachusetts Special Education laws (M.G.L. c. 71B) and Section 504 of the Rehabilitation Act of 1973 (Section 504), </w:t>
      </w:r>
      <w:r w:rsidR="00036622">
        <w:rPr>
          <w:rFonts w:ascii="Aptos" w:hAnsi="Aptos" w:cs="Times New Roman"/>
          <w:sz w:val="25"/>
          <w:szCs w:val="25"/>
        </w:rPr>
        <w:t>the BSEA’s</w:t>
      </w:r>
      <w:r w:rsidR="00B17830">
        <w:rPr>
          <w:rFonts w:ascii="Aptos" w:hAnsi="Aptos" w:cs="Times New Roman"/>
          <w:sz w:val="25"/>
          <w:szCs w:val="25"/>
        </w:rPr>
        <w:t xml:space="preserve"> only jurisdiction is with regard to </w:t>
      </w:r>
      <w:r w:rsidR="008342B8">
        <w:rPr>
          <w:rFonts w:ascii="Aptos" w:hAnsi="Aptos" w:cs="Times New Roman"/>
          <w:sz w:val="25"/>
          <w:szCs w:val="25"/>
        </w:rPr>
        <w:t xml:space="preserve">“the eligibility, evaluation, placement, individualized education programs (IEP), and the provision of special education and procedural protections for students with </w:t>
      </w:r>
      <w:r w:rsidR="008342B8">
        <w:rPr>
          <w:rFonts w:ascii="Aptos" w:hAnsi="Aptos" w:cs="Times New Roman"/>
          <w:sz w:val="25"/>
          <w:szCs w:val="25"/>
        </w:rPr>
        <w:lastRenderedPageBreak/>
        <w:t>disabilities”</w:t>
      </w:r>
      <w:r w:rsidR="00821875">
        <w:rPr>
          <w:rFonts w:ascii="Aptos" w:hAnsi="Aptos" w:cs="Times New Roman"/>
          <w:sz w:val="25"/>
          <w:szCs w:val="25"/>
        </w:rPr>
        <w:t xml:space="preserve">.  Further </w:t>
      </w:r>
      <w:r w:rsidR="00482F1A">
        <w:rPr>
          <w:rFonts w:ascii="Aptos" w:hAnsi="Aptos" w:cs="Times New Roman"/>
          <w:sz w:val="25"/>
          <w:szCs w:val="25"/>
        </w:rPr>
        <w:t>the District</w:t>
      </w:r>
      <w:r w:rsidR="0018775C">
        <w:rPr>
          <w:rFonts w:ascii="Aptos" w:hAnsi="Aptos" w:cs="Times New Roman"/>
          <w:sz w:val="25"/>
          <w:szCs w:val="25"/>
        </w:rPr>
        <w:t xml:space="preserve"> </w:t>
      </w:r>
      <w:r w:rsidR="00821875">
        <w:rPr>
          <w:rFonts w:ascii="Aptos" w:hAnsi="Aptos" w:cs="Times New Roman"/>
          <w:sz w:val="25"/>
          <w:szCs w:val="25"/>
        </w:rPr>
        <w:t>denied “</w:t>
      </w:r>
      <w:proofErr w:type="spellStart"/>
      <w:r w:rsidR="00821875">
        <w:rPr>
          <w:rFonts w:ascii="Aptos" w:hAnsi="Aptos" w:cs="Times New Roman"/>
          <w:sz w:val="25"/>
          <w:szCs w:val="25"/>
        </w:rPr>
        <w:t>retaliat</w:t>
      </w:r>
      <w:proofErr w:type="spellEnd"/>
      <w:r w:rsidR="00821875">
        <w:rPr>
          <w:rFonts w:ascii="Aptos" w:hAnsi="Aptos" w:cs="Times New Roman"/>
          <w:sz w:val="25"/>
          <w:szCs w:val="25"/>
        </w:rPr>
        <w:t>[</w:t>
      </w:r>
      <w:proofErr w:type="spellStart"/>
      <w:r w:rsidR="00821875">
        <w:rPr>
          <w:rFonts w:ascii="Aptos" w:hAnsi="Aptos" w:cs="Times New Roman"/>
          <w:sz w:val="25"/>
          <w:szCs w:val="25"/>
        </w:rPr>
        <w:t>ing</w:t>
      </w:r>
      <w:proofErr w:type="spellEnd"/>
      <w:r w:rsidR="00821875">
        <w:rPr>
          <w:rFonts w:ascii="Aptos" w:hAnsi="Aptos" w:cs="Times New Roman"/>
          <w:sz w:val="25"/>
          <w:szCs w:val="25"/>
        </w:rPr>
        <w:t xml:space="preserve">] against parents </w:t>
      </w:r>
      <w:r w:rsidR="002A56E7">
        <w:rPr>
          <w:rFonts w:ascii="Aptos" w:hAnsi="Aptos" w:cs="Times New Roman"/>
          <w:sz w:val="25"/>
          <w:szCs w:val="25"/>
        </w:rPr>
        <w:t>[ ]</w:t>
      </w:r>
      <w:r w:rsidR="00821875">
        <w:rPr>
          <w:rFonts w:ascii="Aptos" w:hAnsi="Aptos" w:cs="Times New Roman"/>
          <w:sz w:val="25"/>
          <w:szCs w:val="25"/>
        </w:rPr>
        <w:t>or threaten[</w:t>
      </w:r>
      <w:proofErr w:type="spellStart"/>
      <w:r w:rsidR="00821875">
        <w:rPr>
          <w:rFonts w:ascii="Aptos" w:hAnsi="Aptos" w:cs="Times New Roman"/>
          <w:sz w:val="25"/>
          <w:szCs w:val="25"/>
        </w:rPr>
        <w:t>ing</w:t>
      </w:r>
      <w:proofErr w:type="spellEnd"/>
      <w:r w:rsidR="00821875">
        <w:rPr>
          <w:rFonts w:ascii="Aptos" w:hAnsi="Aptos" w:cs="Times New Roman"/>
          <w:sz w:val="25"/>
          <w:szCs w:val="25"/>
        </w:rPr>
        <w:t>] children” and noted that “</w:t>
      </w:r>
      <w:r w:rsidR="00452917">
        <w:rPr>
          <w:rFonts w:ascii="Aptos" w:hAnsi="Aptos" w:cs="Times New Roman"/>
          <w:sz w:val="25"/>
          <w:szCs w:val="25"/>
        </w:rPr>
        <w:t>[t]</w:t>
      </w:r>
      <w:r w:rsidR="00821875">
        <w:rPr>
          <w:rFonts w:ascii="Aptos" w:hAnsi="Aptos" w:cs="Times New Roman"/>
          <w:sz w:val="25"/>
          <w:szCs w:val="25"/>
        </w:rPr>
        <w:t xml:space="preserve">he Parent (sic) has made numerous </w:t>
      </w:r>
      <w:r w:rsidR="002A56E7">
        <w:rPr>
          <w:rFonts w:ascii="Aptos" w:hAnsi="Aptos" w:cs="Times New Roman"/>
          <w:sz w:val="25"/>
          <w:szCs w:val="25"/>
        </w:rPr>
        <w:t>attemp</w:t>
      </w:r>
      <w:r w:rsidR="00821875">
        <w:rPr>
          <w:rFonts w:ascii="Aptos" w:hAnsi="Aptos" w:cs="Times New Roman"/>
          <w:sz w:val="25"/>
          <w:szCs w:val="25"/>
        </w:rPr>
        <w:t xml:space="preserve">ts to address issues similar to this through the BSEA and PRS, without success”.  </w:t>
      </w:r>
    </w:p>
    <w:p w14:paraId="6CE9A6CE" w14:textId="77777777" w:rsidR="00292FA9" w:rsidRDefault="00292FA9" w:rsidP="00634259">
      <w:pPr>
        <w:rPr>
          <w:rFonts w:ascii="Aptos" w:hAnsi="Aptos" w:cs="Times New Roman"/>
          <w:sz w:val="25"/>
          <w:szCs w:val="25"/>
        </w:rPr>
      </w:pPr>
    </w:p>
    <w:p w14:paraId="5A30A958" w14:textId="2248BA1B" w:rsidR="00292FA9" w:rsidRDefault="00292FA9" w:rsidP="00634259">
      <w:pPr>
        <w:rPr>
          <w:rFonts w:ascii="Aptos" w:hAnsi="Aptos" w:cs="Times New Roman"/>
          <w:sz w:val="25"/>
          <w:szCs w:val="25"/>
        </w:rPr>
      </w:pPr>
      <w:r>
        <w:rPr>
          <w:rFonts w:ascii="Aptos" w:hAnsi="Aptos" w:cs="Times New Roman"/>
          <w:sz w:val="25"/>
          <w:szCs w:val="25"/>
        </w:rPr>
        <w:t xml:space="preserve">On </w:t>
      </w:r>
      <w:r w:rsidR="00E87213">
        <w:rPr>
          <w:rFonts w:ascii="Aptos" w:hAnsi="Aptos" w:cs="Times New Roman"/>
          <w:sz w:val="25"/>
          <w:szCs w:val="25"/>
        </w:rPr>
        <w:t xml:space="preserve">March 31, 2026, Parents filed their </w:t>
      </w:r>
      <w:r w:rsidR="00E87213">
        <w:rPr>
          <w:rFonts w:ascii="Aptos" w:hAnsi="Aptos" w:cs="Times New Roman"/>
          <w:i/>
          <w:iCs/>
          <w:sz w:val="25"/>
          <w:szCs w:val="25"/>
        </w:rPr>
        <w:t xml:space="preserve">Opposition </w:t>
      </w:r>
      <w:r w:rsidR="00452917">
        <w:rPr>
          <w:rFonts w:ascii="Aptos" w:hAnsi="Aptos" w:cs="Times New Roman"/>
          <w:sz w:val="25"/>
          <w:szCs w:val="25"/>
        </w:rPr>
        <w:t>asserting</w:t>
      </w:r>
      <w:r w:rsidR="00E87213">
        <w:rPr>
          <w:rFonts w:ascii="Aptos" w:hAnsi="Aptos" w:cs="Times New Roman"/>
          <w:sz w:val="25"/>
          <w:szCs w:val="25"/>
        </w:rPr>
        <w:t>, with respect to the Retaliation Claim</w:t>
      </w:r>
      <w:r w:rsidR="00E87213">
        <w:rPr>
          <w:rStyle w:val="FootnoteReference"/>
          <w:rFonts w:ascii="Aptos" w:eastAsia="Times New Roman" w:hAnsi="Aptos" w:cs="Times New Roman"/>
          <w:sz w:val="25"/>
          <w:szCs w:val="25"/>
        </w:rPr>
        <w:footnoteReference w:id="3"/>
      </w:r>
      <w:r w:rsidR="00FC4B23">
        <w:rPr>
          <w:rFonts w:ascii="Aptos" w:hAnsi="Aptos" w:cs="Times New Roman"/>
          <w:sz w:val="25"/>
          <w:szCs w:val="25"/>
        </w:rPr>
        <w:t xml:space="preserve">, </w:t>
      </w:r>
    </w:p>
    <w:p w14:paraId="669926DB" w14:textId="77777777" w:rsidR="00654F15" w:rsidRDefault="00654F15" w:rsidP="00634259">
      <w:pPr>
        <w:rPr>
          <w:rFonts w:ascii="Aptos" w:hAnsi="Aptos" w:cs="Times New Roman"/>
          <w:sz w:val="25"/>
          <w:szCs w:val="25"/>
        </w:rPr>
      </w:pPr>
    </w:p>
    <w:p w14:paraId="3CC0BFF3" w14:textId="3015CB72" w:rsidR="00654F15" w:rsidRPr="00654F15" w:rsidRDefault="00654F15" w:rsidP="00681370">
      <w:pPr>
        <w:ind w:left="720" w:right="720"/>
        <w:rPr>
          <w:rFonts w:ascii="Aptos" w:hAnsi="Aptos" w:cs="Times New Roman"/>
          <w:sz w:val="25"/>
          <w:szCs w:val="25"/>
        </w:rPr>
      </w:pPr>
      <w:r>
        <w:rPr>
          <w:rFonts w:ascii="Aptos" w:hAnsi="Aptos" w:cs="Times New Roman"/>
          <w:sz w:val="25"/>
          <w:szCs w:val="25"/>
        </w:rPr>
        <w:t>“I</w:t>
      </w:r>
      <w:r w:rsidRPr="00654F15">
        <w:rPr>
          <w:rFonts w:ascii="Aptos" w:hAnsi="Aptos" w:cs="Times New Roman"/>
          <w:sz w:val="25"/>
          <w:szCs w:val="25"/>
        </w:rPr>
        <w:t xml:space="preserve"> believe the lack of communication and retaliation impacted my daughter’s ability to receive a complete extended evaluation, which resulted in </w:t>
      </w:r>
      <w:proofErr w:type="gramStart"/>
      <w:r w:rsidRPr="00654F15">
        <w:rPr>
          <w:rFonts w:ascii="Aptos" w:hAnsi="Aptos" w:cs="Times New Roman"/>
          <w:sz w:val="25"/>
          <w:szCs w:val="25"/>
        </w:rPr>
        <w:t>a crisis situation</w:t>
      </w:r>
      <w:proofErr w:type="gramEnd"/>
      <w:r w:rsidRPr="00654F15">
        <w:rPr>
          <w:rFonts w:ascii="Aptos" w:hAnsi="Aptos" w:cs="Times New Roman"/>
          <w:sz w:val="25"/>
          <w:szCs w:val="25"/>
        </w:rPr>
        <w:t xml:space="preserve"> in fall of 2025. The </w:t>
      </w:r>
      <w:r>
        <w:rPr>
          <w:rFonts w:ascii="Aptos" w:hAnsi="Aptos" w:cs="Times New Roman"/>
          <w:sz w:val="25"/>
          <w:szCs w:val="25"/>
        </w:rPr>
        <w:t xml:space="preserve">[specifically </w:t>
      </w:r>
      <w:r w:rsidR="00A63D06">
        <w:rPr>
          <w:rFonts w:ascii="Aptos" w:hAnsi="Aptos" w:cs="Times New Roman"/>
          <w:sz w:val="25"/>
          <w:szCs w:val="25"/>
        </w:rPr>
        <w:t>named</w:t>
      </w:r>
      <w:r>
        <w:rPr>
          <w:rFonts w:ascii="Aptos" w:hAnsi="Aptos" w:cs="Times New Roman"/>
          <w:sz w:val="25"/>
          <w:szCs w:val="25"/>
        </w:rPr>
        <w:t xml:space="preserve"> staff member]</w:t>
      </w:r>
      <w:r w:rsidRPr="00654F15">
        <w:rPr>
          <w:rFonts w:ascii="Aptos" w:hAnsi="Aptos" w:cs="Times New Roman"/>
          <w:sz w:val="25"/>
          <w:szCs w:val="25"/>
        </w:rPr>
        <w:t xml:space="preserve"> told us on numerous occasions that her staff would take out their frustrations on my children</w:t>
      </w:r>
      <w:r w:rsidR="000A754F">
        <w:rPr>
          <w:rStyle w:val="FootnoteReference"/>
          <w:rFonts w:ascii="Aptos" w:hAnsi="Aptos" w:cs="Times New Roman"/>
          <w:sz w:val="25"/>
          <w:szCs w:val="25"/>
        </w:rPr>
        <w:footnoteReference w:id="4"/>
      </w:r>
      <w:r w:rsidRPr="00654F15">
        <w:rPr>
          <w:rFonts w:ascii="Aptos" w:hAnsi="Aptos" w:cs="Times New Roman"/>
          <w:sz w:val="25"/>
          <w:szCs w:val="25"/>
        </w:rPr>
        <w:t>, and I believe her. The District should be made to take appropriate action to ensure that my advocacy for my child does not preclude her from receiving a free and appropriate education, as is her right.</w:t>
      </w:r>
      <w:r w:rsidR="00681370">
        <w:rPr>
          <w:rFonts w:ascii="Aptos" w:hAnsi="Aptos" w:cs="Times New Roman"/>
          <w:sz w:val="25"/>
          <w:szCs w:val="25"/>
        </w:rPr>
        <w:t>”</w:t>
      </w:r>
    </w:p>
    <w:p w14:paraId="7C0C2DD5" w14:textId="77777777" w:rsidR="00634259" w:rsidRDefault="00634259" w:rsidP="00634259">
      <w:pPr>
        <w:ind w:right="720"/>
        <w:rPr>
          <w:rFonts w:ascii="Aptos" w:hAnsi="Aptos" w:cs="Times New Roman"/>
          <w:sz w:val="25"/>
          <w:szCs w:val="25"/>
        </w:rPr>
      </w:pPr>
    </w:p>
    <w:p w14:paraId="1D2CDF6A" w14:textId="01398084" w:rsidR="00681370" w:rsidRPr="005E2C1B" w:rsidRDefault="00681370" w:rsidP="005E2C1B">
      <w:pPr>
        <w:rPr>
          <w:rFonts w:ascii="Aptos" w:hAnsi="Aptos" w:cs="Times New Roman"/>
          <w:sz w:val="25"/>
          <w:szCs w:val="25"/>
        </w:rPr>
      </w:pPr>
      <w:r>
        <w:rPr>
          <w:rFonts w:ascii="Aptos" w:hAnsi="Aptos" w:cs="Times New Roman"/>
          <w:sz w:val="25"/>
          <w:szCs w:val="25"/>
        </w:rPr>
        <w:t xml:space="preserve">Thereafter, on the same day, the District filed its </w:t>
      </w:r>
      <w:r>
        <w:rPr>
          <w:rFonts w:ascii="Aptos" w:hAnsi="Aptos" w:cs="Times New Roman"/>
          <w:i/>
          <w:iCs/>
          <w:sz w:val="25"/>
          <w:szCs w:val="25"/>
        </w:rPr>
        <w:t>Response</w:t>
      </w:r>
      <w:r>
        <w:rPr>
          <w:rFonts w:ascii="Aptos" w:hAnsi="Aptos" w:cs="Times New Roman"/>
          <w:sz w:val="25"/>
          <w:szCs w:val="25"/>
        </w:rPr>
        <w:t>,</w:t>
      </w:r>
      <w:r w:rsidR="007D7D3A">
        <w:rPr>
          <w:rFonts w:ascii="Aptos" w:hAnsi="Aptos" w:cs="Times New Roman"/>
          <w:sz w:val="25"/>
          <w:szCs w:val="25"/>
        </w:rPr>
        <w:t xml:space="preserve"> continuing to seek dismissal of the Retaliation Claim</w:t>
      </w:r>
      <w:r w:rsidR="002D5AF8">
        <w:rPr>
          <w:rFonts w:ascii="Aptos" w:hAnsi="Aptos" w:cs="Times New Roman"/>
          <w:sz w:val="25"/>
          <w:szCs w:val="25"/>
        </w:rPr>
        <w:t xml:space="preserve"> “with prejudice”</w:t>
      </w:r>
      <w:r w:rsidR="00A83ADE">
        <w:rPr>
          <w:rFonts w:ascii="Aptos" w:hAnsi="Aptos" w:cs="Times New Roman"/>
          <w:sz w:val="25"/>
          <w:szCs w:val="25"/>
        </w:rPr>
        <w:t xml:space="preserve">, contending </w:t>
      </w:r>
      <w:r>
        <w:rPr>
          <w:rFonts w:ascii="Aptos" w:hAnsi="Aptos" w:cs="Times New Roman"/>
          <w:sz w:val="25"/>
          <w:szCs w:val="25"/>
        </w:rPr>
        <w:t xml:space="preserve">that </w:t>
      </w:r>
      <w:r w:rsidR="005E2C1B">
        <w:rPr>
          <w:rFonts w:ascii="Aptos" w:hAnsi="Aptos" w:cs="Times New Roman"/>
          <w:sz w:val="25"/>
          <w:szCs w:val="25"/>
        </w:rPr>
        <w:t xml:space="preserve">there are no facts in the </w:t>
      </w:r>
      <w:r w:rsidR="005E2C1B">
        <w:rPr>
          <w:rFonts w:ascii="Aptos" w:hAnsi="Aptos" w:cs="Times New Roman"/>
          <w:i/>
          <w:iCs/>
          <w:sz w:val="25"/>
          <w:szCs w:val="25"/>
        </w:rPr>
        <w:t>Hearing</w:t>
      </w:r>
      <w:r w:rsidR="000E72CA">
        <w:rPr>
          <w:rFonts w:ascii="Aptos" w:hAnsi="Aptos" w:cs="Times New Roman"/>
          <w:i/>
          <w:iCs/>
          <w:sz w:val="25"/>
          <w:szCs w:val="25"/>
        </w:rPr>
        <w:t xml:space="preserve"> Request</w:t>
      </w:r>
      <w:r w:rsidR="005E2C1B">
        <w:rPr>
          <w:rFonts w:ascii="Aptos" w:hAnsi="Aptos" w:cs="Times New Roman"/>
          <w:sz w:val="25"/>
          <w:szCs w:val="25"/>
        </w:rPr>
        <w:t>, “that raise a right to relief above the speculative level”</w:t>
      </w:r>
      <w:r w:rsidR="000E72CA">
        <w:rPr>
          <w:rFonts w:ascii="Aptos" w:hAnsi="Aptos" w:cs="Times New Roman"/>
          <w:sz w:val="25"/>
          <w:szCs w:val="25"/>
        </w:rPr>
        <w:t xml:space="preserve"> to support it</w:t>
      </w:r>
      <w:r w:rsidR="005E2C1B">
        <w:rPr>
          <w:rFonts w:ascii="Aptos" w:hAnsi="Aptos" w:cs="Times New Roman"/>
          <w:sz w:val="25"/>
          <w:szCs w:val="25"/>
        </w:rPr>
        <w:t xml:space="preserve">.  </w:t>
      </w:r>
      <w:r w:rsidR="008A340D">
        <w:rPr>
          <w:rFonts w:ascii="Aptos" w:hAnsi="Aptos" w:cs="Times New Roman"/>
          <w:sz w:val="25"/>
          <w:szCs w:val="25"/>
        </w:rPr>
        <w:t>Although</w:t>
      </w:r>
      <w:r w:rsidR="005E2C1B">
        <w:rPr>
          <w:rFonts w:ascii="Aptos" w:hAnsi="Aptos" w:cs="Times New Roman"/>
          <w:sz w:val="25"/>
          <w:szCs w:val="25"/>
        </w:rPr>
        <w:t xml:space="preserve"> the District acknowledge</w:t>
      </w:r>
      <w:r w:rsidR="00A159BD">
        <w:rPr>
          <w:rFonts w:ascii="Aptos" w:hAnsi="Aptos" w:cs="Times New Roman"/>
          <w:sz w:val="25"/>
          <w:szCs w:val="25"/>
        </w:rPr>
        <w:t>s</w:t>
      </w:r>
      <w:r w:rsidR="005E2C1B">
        <w:rPr>
          <w:rFonts w:ascii="Aptos" w:hAnsi="Aptos" w:cs="Times New Roman"/>
          <w:sz w:val="25"/>
          <w:szCs w:val="25"/>
        </w:rPr>
        <w:t xml:space="preserve"> that the BSEA has jurisdiction over “retaliation claims if the alleged retaliation is connected to the provision of </w:t>
      </w:r>
      <w:r w:rsidR="0070788F">
        <w:rPr>
          <w:rFonts w:ascii="Aptos" w:hAnsi="Aptos" w:cs="Times New Roman"/>
          <w:sz w:val="25"/>
          <w:szCs w:val="25"/>
        </w:rPr>
        <w:t xml:space="preserve">a [free appropriate public education] </w:t>
      </w:r>
      <w:r w:rsidR="005E2C1B">
        <w:rPr>
          <w:rFonts w:ascii="Aptos" w:hAnsi="Aptos" w:cs="Times New Roman"/>
          <w:sz w:val="25"/>
          <w:szCs w:val="25"/>
        </w:rPr>
        <w:t xml:space="preserve">FAPE to the student”, </w:t>
      </w:r>
      <w:r w:rsidR="0070788F">
        <w:rPr>
          <w:rFonts w:ascii="Aptos" w:hAnsi="Aptos" w:cs="Times New Roman"/>
          <w:sz w:val="25"/>
          <w:szCs w:val="25"/>
        </w:rPr>
        <w:t xml:space="preserve">it </w:t>
      </w:r>
      <w:r w:rsidR="00693C8B">
        <w:rPr>
          <w:rFonts w:ascii="Aptos" w:hAnsi="Aptos" w:cs="Times New Roman"/>
          <w:sz w:val="25"/>
          <w:szCs w:val="25"/>
        </w:rPr>
        <w:t>argues</w:t>
      </w:r>
      <w:r w:rsidR="0070788F">
        <w:rPr>
          <w:rFonts w:ascii="Aptos" w:hAnsi="Aptos" w:cs="Times New Roman"/>
          <w:sz w:val="25"/>
          <w:szCs w:val="25"/>
        </w:rPr>
        <w:t xml:space="preserve"> that </w:t>
      </w:r>
      <w:r w:rsidR="00C07E1C">
        <w:rPr>
          <w:rFonts w:ascii="Aptos" w:hAnsi="Aptos" w:cs="Times New Roman"/>
          <w:sz w:val="25"/>
          <w:szCs w:val="25"/>
        </w:rPr>
        <w:t xml:space="preserve">the BSEA </w:t>
      </w:r>
      <w:r w:rsidR="008A340D">
        <w:rPr>
          <w:rFonts w:ascii="Aptos" w:hAnsi="Aptos" w:cs="Times New Roman"/>
          <w:sz w:val="25"/>
          <w:szCs w:val="25"/>
        </w:rPr>
        <w:t xml:space="preserve">lacks </w:t>
      </w:r>
      <w:r w:rsidR="00C07E1C">
        <w:rPr>
          <w:rFonts w:ascii="Aptos" w:hAnsi="Aptos" w:cs="Times New Roman"/>
          <w:sz w:val="25"/>
          <w:szCs w:val="25"/>
        </w:rPr>
        <w:t xml:space="preserve">jurisdiction over the Retaliation Claim as it is not FAPE-based.  Specifically, the District </w:t>
      </w:r>
      <w:r w:rsidR="00693C8B">
        <w:rPr>
          <w:rFonts w:ascii="Aptos" w:hAnsi="Aptos" w:cs="Times New Roman"/>
          <w:sz w:val="25"/>
          <w:szCs w:val="25"/>
        </w:rPr>
        <w:t>submits</w:t>
      </w:r>
      <w:r w:rsidR="00C07E1C">
        <w:rPr>
          <w:rFonts w:ascii="Aptos" w:hAnsi="Aptos" w:cs="Times New Roman"/>
          <w:sz w:val="25"/>
          <w:szCs w:val="25"/>
        </w:rPr>
        <w:t xml:space="preserve"> that </w:t>
      </w:r>
      <w:r w:rsidR="005E2C1B">
        <w:rPr>
          <w:rFonts w:ascii="Aptos" w:hAnsi="Aptos" w:cs="Times New Roman"/>
          <w:sz w:val="25"/>
          <w:szCs w:val="25"/>
        </w:rPr>
        <w:t>none of Parents</w:t>
      </w:r>
      <w:r w:rsidR="00A159BD">
        <w:rPr>
          <w:rFonts w:ascii="Aptos" w:hAnsi="Aptos" w:cs="Times New Roman"/>
          <w:sz w:val="25"/>
          <w:szCs w:val="25"/>
        </w:rPr>
        <w:t>’</w:t>
      </w:r>
      <w:r w:rsidR="005E2C1B">
        <w:rPr>
          <w:rFonts w:ascii="Aptos" w:hAnsi="Aptos" w:cs="Times New Roman"/>
          <w:sz w:val="25"/>
          <w:szCs w:val="25"/>
        </w:rPr>
        <w:t xml:space="preserve"> allegations</w:t>
      </w:r>
      <w:r w:rsidR="00537338">
        <w:rPr>
          <w:rFonts w:ascii="Aptos" w:hAnsi="Aptos" w:cs="Times New Roman"/>
          <w:sz w:val="25"/>
          <w:szCs w:val="25"/>
        </w:rPr>
        <w:t xml:space="preserve">, including </w:t>
      </w:r>
      <w:r w:rsidR="003C7379">
        <w:rPr>
          <w:rFonts w:ascii="Aptos" w:hAnsi="Aptos" w:cs="Times New Roman"/>
          <w:sz w:val="25"/>
          <w:szCs w:val="25"/>
        </w:rPr>
        <w:t xml:space="preserve">the </w:t>
      </w:r>
      <w:r w:rsidR="00537338">
        <w:rPr>
          <w:rFonts w:ascii="Aptos" w:hAnsi="Aptos" w:cs="Times New Roman"/>
          <w:sz w:val="25"/>
          <w:szCs w:val="25"/>
        </w:rPr>
        <w:t xml:space="preserve">claims relating to their disagreement </w:t>
      </w:r>
      <w:r w:rsidR="002F4E09">
        <w:rPr>
          <w:rFonts w:ascii="Aptos" w:hAnsi="Aptos" w:cs="Times New Roman"/>
          <w:sz w:val="25"/>
          <w:szCs w:val="25"/>
        </w:rPr>
        <w:t>with</w:t>
      </w:r>
      <w:r w:rsidR="00537338">
        <w:rPr>
          <w:rFonts w:ascii="Aptos" w:hAnsi="Aptos" w:cs="Times New Roman"/>
          <w:sz w:val="25"/>
          <w:szCs w:val="25"/>
        </w:rPr>
        <w:t xml:space="preserve"> the results of an extended evaluation,</w:t>
      </w:r>
      <w:r w:rsidR="005E2C1B">
        <w:rPr>
          <w:rFonts w:ascii="Aptos" w:hAnsi="Aptos" w:cs="Times New Roman"/>
          <w:sz w:val="25"/>
          <w:szCs w:val="25"/>
        </w:rPr>
        <w:t xml:space="preserve"> “give rise to a FAPE claim”</w:t>
      </w:r>
      <w:r w:rsidR="00F9122E">
        <w:rPr>
          <w:rFonts w:ascii="Aptos" w:hAnsi="Aptos" w:cs="Times New Roman"/>
          <w:sz w:val="25"/>
          <w:szCs w:val="25"/>
        </w:rPr>
        <w:t xml:space="preserve">, </w:t>
      </w:r>
      <w:r w:rsidR="00F9122E">
        <w:rPr>
          <w:rFonts w:ascii="Aptos" w:hAnsi="Aptos" w:cs="Times New Roman"/>
          <w:sz w:val="25"/>
          <w:szCs w:val="25"/>
        </w:rPr>
        <w:lastRenderedPageBreak/>
        <w:t xml:space="preserve">particularly as Student “continues to do well in her current setting with the 504 accommodations in place”.  </w:t>
      </w:r>
    </w:p>
    <w:p w14:paraId="0BD50E4E" w14:textId="77777777" w:rsidR="00681370" w:rsidRPr="00681370" w:rsidRDefault="00681370" w:rsidP="00634259">
      <w:pPr>
        <w:ind w:right="720"/>
        <w:rPr>
          <w:rFonts w:ascii="Aptos" w:hAnsi="Aptos" w:cs="Times New Roman"/>
          <w:sz w:val="25"/>
          <w:szCs w:val="25"/>
        </w:rPr>
      </w:pPr>
    </w:p>
    <w:p w14:paraId="35961A4D" w14:textId="77777777" w:rsidR="00634259" w:rsidRPr="000370FF" w:rsidRDefault="00634259" w:rsidP="00634259">
      <w:pPr>
        <w:shd w:val="clear" w:color="auto" w:fill="FFFFFF"/>
        <w:jc w:val="center"/>
        <w:rPr>
          <w:rFonts w:ascii="Aptos" w:eastAsia="Times New Roman" w:hAnsi="Aptos" w:cs="Times New Roman"/>
          <w:sz w:val="25"/>
          <w:szCs w:val="25"/>
        </w:rPr>
      </w:pPr>
      <w:r w:rsidRPr="000370FF">
        <w:rPr>
          <w:rFonts w:ascii="Aptos" w:eastAsia="Times New Roman" w:hAnsi="Aptos" w:cs="Times New Roman"/>
          <w:b/>
          <w:bCs/>
          <w:sz w:val="25"/>
          <w:szCs w:val="25"/>
        </w:rPr>
        <w:t>LEGAL STANDARDS</w:t>
      </w:r>
    </w:p>
    <w:p w14:paraId="5A7BC2B4" w14:textId="77777777" w:rsidR="00634259" w:rsidRPr="000370FF" w:rsidRDefault="00634259" w:rsidP="00634259">
      <w:pPr>
        <w:shd w:val="clear" w:color="auto" w:fill="FFFFFF"/>
        <w:rPr>
          <w:rFonts w:ascii="Aptos" w:eastAsia="Times New Roman" w:hAnsi="Aptos" w:cs="Times New Roman"/>
          <w:i/>
          <w:iCs/>
          <w:sz w:val="25"/>
          <w:szCs w:val="25"/>
        </w:rPr>
      </w:pPr>
    </w:p>
    <w:p w14:paraId="58E95F36" w14:textId="77777777" w:rsidR="00634259" w:rsidRPr="000370FF" w:rsidRDefault="00634259" w:rsidP="00634259">
      <w:pPr>
        <w:shd w:val="clear" w:color="auto" w:fill="FFFFFF"/>
        <w:rPr>
          <w:rFonts w:ascii="Aptos" w:eastAsia="Times New Roman" w:hAnsi="Aptos" w:cs="Times New Roman"/>
          <w:sz w:val="25"/>
          <w:szCs w:val="25"/>
        </w:rPr>
      </w:pPr>
      <w:r w:rsidRPr="000370FF">
        <w:rPr>
          <w:rFonts w:ascii="Aptos" w:eastAsia="Times New Roman" w:hAnsi="Aptos" w:cs="Times New Roman"/>
          <w:i/>
          <w:iCs/>
          <w:sz w:val="25"/>
          <w:szCs w:val="25"/>
        </w:rPr>
        <w:t xml:space="preserve">1. </w:t>
      </w:r>
      <w:r w:rsidRPr="000370FF">
        <w:rPr>
          <w:rFonts w:ascii="Aptos" w:eastAsia="Times New Roman" w:hAnsi="Aptos" w:cs="Times New Roman"/>
          <w:i/>
          <w:iCs/>
          <w:sz w:val="25"/>
          <w:szCs w:val="25"/>
        </w:rPr>
        <w:tab/>
        <w:t>Legal Standard for a Motion to Dismiss.</w:t>
      </w:r>
    </w:p>
    <w:p w14:paraId="0BF68312" w14:textId="77777777" w:rsidR="00634259" w:rsidRPr="000370FF" w:rsidRDefault="00634259" w:rsidP="00634259">
      <w:pPr>
        <w:shd w:val="clear" w:color="auto" w:fill="FFFFFF"/>
        <w:rPr>
          <w:rFonts w:ascii="Aptos" w:eastAsia="Times New Roman" w:hAnsi="Aptos" w:cs="Times New Roman"/>
          <w:sz w:val="25"/>
          <w:szCs w:val="25"/>
        </w:rPr>
      </w:pPr>
    </w:p>
    <w:p w14:paraId="0B0F04F6" w14:textId="0EBFCB04" w:rsidR="00634259" w:rsidRPr="00B91983" w:rsidRDefault="00036622" w:rsidP="00634259">
      <w:pPr>
        <w:shd w:val="clear" w:color="auto" w:fill="FFFFFF"/>
        <w:rPr>
          <w:rFonts w:ascii="Aptos" w:eastAsia="Times New Roman" w:hAnsi="Aptos" w:cs="Times New Roman"/>
          <w:sz w:val="25"/>
          <w:szCs w:val="25"/>
        </w:rPr>
      </w:pPr>
      <w:r>
        <w:rPr>
          <w:rFonts w:ascii="Aptos" w:eastAsia="Times New Roman" w:hAnsi="Aptos" w:cs="Times New Roman"/>
          <w:bCs/>
          <w:color w:val="000000"/>
          <w:sz w:val="25"/>
          <w:szCs w:val="25"/>
        </w:rPr>
        <w:t xml:space="preserve">Pursuant to </w:t>
      </w:r>
      <w:r w:rsidRPr="00A73DC5">
        <w:rPr>
          <w:rFonts w:ascii="Aptos" w:eastAsia="Times New Roman" w:hAnsi="Aptos" w:cs="Times New Roman"/>
          <w:bCs/>
          <w:color w:val="000000"/>
          <w:sz w:val="25"/>
          <w:szCs w:val="25"/>
        </w:rPr>
        <w:t>Rule XVI(B)</w:t>
      </w:r>
      <w:r>
        <w:rPr>
          <w:rFonts w:ascii="Aptos" w:eastAsia="Times New Roman" w:hAnsi="Aptos" w:cs="Times New Roman"/>
          <w:bCs/>
          <w:color w:val="000000"/>
          <w:sz w:val="25"/>
          <w:szCs w:val="25"/>
        </w:rPr>
        <w:t>(1) and (4)</w:t>
      </w:r>
      <w:r w:rsidRPr="00A73DC5">
        <w:rPr>
          <w:rFonts w:ascii="Aptos" w:eastAsia="Times New Roman" w:hAnsi="Aptos" w:cs="Times New Roman"/>
          <w:bCs/>
          <w:color w:val="000000"/>
          <w:sz w:val="25"/>
          <w:szCs w:val="25"/>
        </w:rPr>
        <w:t xml:space="preserve"> of the </w:t>
      </w:r>
      <w:r w:rsidRPr="00A73DC5">
        <w:rPr>
          <w:rFonts w:ascii="Aptos" w:eastAsia="Times New Roman" w:hAnsi="Aptos" w:cs="Times New Roman"/>
          <w:bCs/>
          <w:i/>
          <w:iCs/>
          <w:color w:val="000000"/>
          <w:sz w:val="25"/>
          <w:szCs w:val="25"/>
        </w:rPr>
        <w:t>Hearing Rules for Special Education Appeals </w:t>
      </w:r>
      <w:r w:rsidRPr="00A73DC5">
        <w:rPr>
          <w:rFonts w:ascii="Aptos" w:eastAsia="Times New Roman" w:hAnsi="Aptos" w:cs="Times New Roman"/>
          <w:bCs/>
          <w:color w:val="000000"/>
          <w:sz w:val="25"/>
          <w:szCs w:val="25"/>
        </w:rPr>
        <w:t>and 801 CMR 1.01(7)(g)(3)</w:t>
      </w:r>
      <w:r w:rsidRPr="00A73DC5">
        <w:rPr>
          <w:rFonts w:ascii="Aptos" w:eastAsia="Times New Roman" w:hAnsi="Aptos" w:cs="Times New Roman"/>
          <w:bCs/>
          <w:color w:val="000000"/>
          <w:sz w:val="25"/>
          <w:szCs w:val="25"/>
          <w:vertAlign w:val="superscript"/>
        </w:rPr>
        <w:footnoteReference w:id="5"/>
      </w:r>
      <w:r>
        <w:rPr>
          <w:rFonts w:ascii="Aptos" w:eastAsia="Times New Roman" w:hAnsi="Aptos" w:cs="Times New Roman"/>
          <w:bCs/>
          <w:color w:val="000000"/>
          <w:sz w:val="25"/>
          <w:szCs w:val="25"/>
        </w:rPr>
        <w:t xml:space="preserve">, </w:t>
      </w:r>
      <w:r w:rsidR="00E00B56">
        <w:rPr>
          <w:rFonts w:ascii="Aptos" w:eastAsia="Times New Roman" w:hAnsi="Aptos" w:cs="Times New Roman"/>
          <w:bCs/>
          <w:color w:val="000000"/>
          <w:sz w:val="25"/>
          <w:szCs w:val="25"/>
        </w:rPr>
        <w:t>Hearing Requests may be dismissed for lack of jurisdiction over a claim or if the party requesting the hearing fails to state a claim upon which relief may be granted</w:t>
      </w:r>
      <w:r w:rsidR="00E00B56" w:rsidRPr="00A73DC5">
        <w:rPr>
          <w:rFonts w:ascii="Aptos" w:eastAsia="Times New Roman" w:hAnsi="Aptos" w:cs="Times New Roman"/>
          <w:bCs/>
          <w:color w:val="000000"/>
          <w:sz w:val="25"/>
          <w:szCs w:val="25"/>
        </w:rPr>
        <w:t xml:space="preserve">. </w:t>
      </w:r>
      <w:r w:rsidR="00634259" w:rsidRPr="00A73DC5">
        <w:rPr>
          <w:rFonts w:ascii="Aptos" w:eastAsia="Times New Roman" w:hAnsi="Aptos" w:cs="Times New Roman"/>
          <w:bCs/>
          <w:color w:val="000000"/>
          <w:sz w:val="25"/>
          <w:szCs w:val="25"/>
        </w:rPr>
        <w:t xml:space="preserve"> To survive a motion to dismiss, there must exist “factual ‘allegations plausibly suggesting (not merely consistent with)’ an entitlement to relief…”</w:t>
      </w:r>
      <w:r w:rsidR="00634259" w:rsidRPr="00A73DC5">
        <w:rPr>
          <w:rFonts w:ascii="Aptos" w:eastAsia="Times New Roman" w:hAnsi="Aptos" w:cs="Times New Roman"/>
          <w:bCs/>
          <w:color w:val="000000"/>
          <w:sz w:val="25"/>
          <w:szCs w:val="25"/>
          <w:vertAlign w:val="superscript"/>
        </w:rPr>
        <w:footnoteReference w:id="6"/>
      </w:r>
      <w:r w:rsidR="00634259" w:rsidRPr="00A73DC5">
        <w:rPr>
          <w:rFonts w:ascii="Aptos" w:eastAsia="Times New Roman" w:hAnsi="Aptos" w:cs="Times New Roman"/>
          <w:bCs/>
          <w:color w:val="000000"/>
          <w:sz w:val="25"/>
          <w:szCs w:val="25"/>
        </w:rPr>
        <w:t>.  The hearing officer must take as true “the allegations of the complaint, as well as such inferences as may be drawn therefrom in the plaintiff’s favor”</w:t>
      </w:r>
      <w:r w:rsidR="00634259" w:rsidRPr="00A73DC5">
        <w:rPr>
          <w:rFonts w:ascii="Aptos" w:eastAsia="Times New Roman" w:hAnsi="Aptos" w:cs="Times New Roman"/>
          <w:bCs/>
          <w:color w:val="000000"/>
          <w:sz w:val="25"/>
          <w:szCs w:val="25"/>
          <w:vertAlign w:val="superscript"/>
        </w:rPr>
        <w:footnoteReference w:id="7"/>
      </w:r>
      <w:r w:rsidR="00634259" w:rsidRPr="00A73DC5">
        <w:rPr>
          <w:rFonts w:ascii="Aptos" w:eastAsia="Times New Roman" w:hAnsi="Aptos" w:cs="Times New Roman"/>
          <w:bCs/>
          <w:color w:val="000000"/>
          <w:sz w:val="25"/>
          <w:szCs w:val="25"/>
        </w:rPr>
        <w:t>.  “Factual allegations must be enough to raise a right to relief above the speculative level... [based] on the assumption that all the allegations in the [hearing request] (even if doubtful in fact)”</w:t>
      </w:r>
      <w:r w:rsidR="00634259">
        <w:rPr>
          <w:rStyle w:val="FootnoteReference"/>
          <w:rFonts w:ascii="Aptos" w:eastAsia="Times New Roman" w:hAnsi="Aptos" w:cs="Times New Roman"/>
          <w:bCs/>
          <w:color w:val="000000"/>
          <w:sz w:val="25"/>
          <w:szCs w:val="25"/>
        </w:rPr>
        <w:footnoteReference w:id="8"/>
      </w:r>
      <w:r w:rsidR="00634259">
        <w:rPr>
          <w:rFonts w:ascii="Aptos" w:eastAsia="Times New Roman" w:hAnsi="Aptos" w:cs="Times New Roman"/>
          <w:bCs/>
          <w:color w:val="000000"/>
          <w:sz w:val="25"/>
          <w:szCs w:val="25"/>
        </w:rPr>
        <w:t>.</w:t>
      </w:r>
      <w:r w:rsidR="00634259" w:rsidRPr="00A73DC5">
        <w:rPr>
          <w:rFonts w:ascii="Aptos" w:eastAsia="Times New Roman" w:hAnsi="Aptos" w:cs="Times New Roman"/>
          <w:bCs/>
          <w:color w:val="000000"/>
          <w:sz w:val="25"/>
          <w:szCs w:val="25"/>
        </w:rPr>
        <w:t xml:space="preserve">  </w:t>
      </w:r>
    </w:p>
    <w:p w14:paraId="5A3E066A" w14:textId="77777777" w:rsidR="00634259" w:rsidRPr="004F6F05" w:rsidRDefault="00634259" w:rsidP="00634259">
      <w:pPr>
        <w:shd w:val="clear" w:color="auto" w:fill="FFFFFF"/>
        <w:rPr>
          <w:rFonts w:ascii="Aptos" w:eastAsia="Times New Roman" w:hAnsi="Aptos" w:cs="Times New Roman"/>
          <w:sz w:val="25"/>
          <w:szCs w:val="25"/>
        </w:rPr>
      </w:pPr>
    </w:p>
    <w:p w14:paraId="1889016D" w14:textId="77777777" w:rsidR="00634259" w:rsidRPr="00D563EF" w:rsidRDefault="00634259" w:rsidP="00634259">
      <w:pPr>
        <w:shd w:val="clear" w:color="auto" w:fill="FFFFFF"/>
        <w:rPr>
          <w:rFonts w:ascii="Aptos" w:eastAsia="Times New Roman" w:hAnsi="Aptos" w:cs="Times New Roman"/>
          <w:sz w:val="25"/>
          <w:szCs w:val="25"/>
        </w:rPr>
      </w:pPr>
      <w:r w:rsidRPr="000B6B25">
        <w:rPr>
          <w:rFonts w:ascii="Aptos" w:eastAsia="Times New Roman" w:hAnsi="Aptos" w:cs="Times New Roman"/>
          <w:sz w:val="25"/>
          <w:szCs w:val="25"/>
        </w:rPr>
        <w:t xml:space="preserve">Motions to </w:t>
      </w:r>
      <w:r>
        <w:rPr>
          <w:rFonts w:ascii="Aptos" w:eastAsia="Times New Roman" w:hAnsi="Aptos" w:cs="Times New Roman"/>
          <w:sz w:val="25"/>
          <w:szCs w:val="25"/>
        </w:rPr>
        <w:t>d</w:t>
      </w:r>
      <w:r w:rsidRPr="000B6B25">
        <w:rPr>
          <w:rFonts w:ascii="Aptos" w:eastAsia="Times New Roman" w:hAnsi="Aptos" w:cs="Times New Roman"/>
          <w:sz w:val="25"/>
          <w:szCs w:val="25"/>
        </w:rPr>
        <w:t>ismiss should be approached with caution, particularly when</w:t>
      </w:r>
      <w:r>
        <w:rPr>
          <w:rFonts w:ascii="Aptos" w:eastAsia="Times New Roman" w:hAnsi="Aptos" w:cs="Times New Roman"/>
          <w:sz w:val="25"/>
          <w:szCs w:val="25"/>
        </w:rPr>
        <w:t>, as in the instant matter,</w:t>
      </w:r>
      <w:r w:rsidRPr="000B6B25">
        <w:rPr>
          <w:rFonts w:ascii="Aptos" w:eastAsia="Times New Roman" w:hAnsi="Aptos" w:cs="Times New Roman"/>
          <w:sz w:val="25"/>
          <w:szCs w:val="25"/>
        </w:rPr>
        <w:t xml:space="preserve"> the party filing the matter is </w:t>
      </w:r>
      <w:r w:rsidRPr="000B6B25">
        <w:rPr>
          <w:rFonts w:ascii="Aptos" w:eastAsia="Times New Roman" w:hAnsi="Aptos" w:cs="Times New Roman"/>
          <w:i/>
          <w:iCs/>
          <w:sz w:val="25"/>
          <w:szCs w:val="25"/>
        </w:rPr>
        <w:t>pro se</w:t>
      </w:r>
      <w:r w:rsidRPr="000B6B25">
        <w:rPr>
          <w:rStyle w:val="FootnoteReference"/>
          <w:rFonts w:ascii="Aptos" w:eastAsia="Times New Roman" w:hAnsi="Aptos" w:cs="Times New Roman"/>
          <w:i/>
          <w:iCs/>
          <w:sz w:val="25"/>
          <w:szCs w:val="25"/>
        </w:rPr>
        <w:footnoteReference w:id="9"/>
      </w:r>
      <w:r w:rsidRPr="000B6B25">
        <w:rPr>
          <w:rFonts w:ascii="Aptos" w:eastAsia="Times New Roman" w:hAnsi="Aptos" w:cs="Times New Roman"/>
          <w:sz w:val="25"/>
          <w:szCs w:val="25"/>
        </w:rPr>
        <w:t xml:space="preserve">.  </w:t>
      </w:r>
      <w:r w:rsidRPr="000B6B25">
        <w:rPr>
          <w:rFonts w:ascii="Aptos" w:hAnsi="Aptos" w:cs="Times New Roman"/>
          <w:color w:val="000000" w:themeColor="text1"/>
          <w:sz w:val="25"/>
          <w:szCs w:val="25"/>
        </w:rPr>
        <w:t>This principle aligns with “[o]</w:t>
      </w:r>
      <w:proofErr w:type="spellStart"/>
      <w:r w:rsidRPr="000B6B25">
        <w:rPr>
          <w:rFonts w:ascii="Aptos" w:hAnsi="Aptos" w:cs="Times New Roman"/>
          <w:color w:val="000000" w:themeColor="text1"/>
          <w:sz w:val="25"/>
          <w:szCs w:val="25"/>
        </w:rPr>
        <w:t>ur</w:t>
      </w:r>
      <w:proofErr w:type="spellEnd"/>
      <w:r w:rsidRPr="000B6B25">
        <w:rPr>
          <w:rFonts w:ascii="Aptos" w:hAnsi="Aptos" w:cs="Times New Roman"/>
          <w:color w:val="000000" w:themeColor="text1"/>
          <w:sz w:val="25"/>
          <w:szCs w:val="25"/>
        </w:rPr>
        <w:t xml:space="preserve"> judicial system [, which] zealously guards the attempts of</w:t>
      </w:r>
      <w:r w:rsidRPr="00A731E0">
        <w:rPr>
          <w:rFonts w:ascii="Aptos" w:hAnsi="Aptos" w:cs="Times New Roman"/>
          <w:i/>
          <w:iCs/>
          <w:color w:val="000000" w:themeColor="text1"/>
          <w:sz w:val="25"/>
          <w:szCs w:val="25"/>
        </w:rPr>
        <w:t xml:space="preserve"> pro se</w:t>
      </w:r>
      <w:r w:rsidRPr="000B6B25">
        <w:rPr>
          <w:rFonts w:ascii="Aptos" w:hAnsi="Aptos" w:cs="Times New Roman"/>
          <w:color w:val="000000" w:themeColor="text1"/>
          <w:sz w:val="25"/>
          <w:szCs w:val="25"/>
        </w:rPr>
        <w:t xml:space="preserve"> litigants on their own behalf” while not ignoring the need for compliance with procedural and substantive law</w:t>
      </w:r>
      <w:r w:rsidRPr="000B6B25">
        <w:rPr>
          <w:rStyle w:val="FootnoteReference"/>
          <w:rFonts w:ascii="Aptos" w:hAnsi="Aptos" w:cs="Times New Roman"/>
          <w:color w:val="000000" w:themeColor="text1"/>
          <w:sz w:val="25"/>
          <w:szCs w:val="25"/>
        </w:rPr>
        <w:footnoteReference w:id="10"/>
      </w:r>
      <w:r w:rsidRPr="000B6B25">
        <w:rPr>
          <w:rFonts w:ascii="Aptos" w:hAnsi="Aptos" w:cs="Times New Roman"/>
          <w:color w:val="000000" w:themeColor="text1"/>
          <w:sz w:val="25"/>
          <w:szCs w:val="25"/>
        </w:rPr>
        <w:t>.</w:t>
      </w:r>
      <w:r>
        <w:rPr>
          <w:rFonts w:ascii="Aptos" w:hAnsi="Aptos" w:cs="Times New Roman"/>
          <w:color w:val="000000" w:themeColor="text1"/>
          <w:sz w:val="25"/>
          <w:szCs w:val="25"/>
        </w:rPr>
        <w:t xml:space="preserve">  </w:t>
      </w:r>
      <w:r>
        <w:rPr>
          <w:rFonts w:ascii="Aptos" w:hAnsi="Aptos" w:cs="Times New Roman"/>
          <w:sz w:val="25"/>
          <w:szCs w:val="25"/>
        </w:rPr>
        <w:t>However, e</w:t>
      </w:r>
      <w:r w:rsidRPr="00BC4CA4">
        <w:rPr>
          <w:rFonts w:ascii="Aptos" w:hAnsi="Aptos" w:cs="Times New Roman"/>
          <w:sz w:val="25"/>
          <w:szCs w:val="25"/>
        </w:rPr>
        <w:t>ven in such cases,</w:t>
      </w:r>
      <w:r>
        <w:rPr>
          <w:rFonts w:ascii="Aptos" w:hAnsi="Aptos" w:cs="Times New Roman"/>
          <w:sz w:val="25"/>
          <w:szCs w:val="25"/>
        </w:rPr>
        <w:t xml:space="preserve"> </w:t>
      </w:r>
      <w:r w:rsidRPr="00BC4CA4">
        <w:rPr>
          <w:rFonts w:ascii="Aptos" w:hAnsi="Aptos" w:cs="Times New Roman"/>
          <w:sz w:val="25"/>
          <w:szCs w:val="25"/>
        </w:rPr>
        <w:t>“[w]</w:t>
      </w:r>
      <w:proofErr w:type="spellStart"/>
      <w:r w:rsidRPr="00BC4CA4">
        <w:rPr>
          <w:rFonts w:ascii="Aptos" w:hAnsi="Aptos" w:cs="Times New Roman"/>
          <w:sz w:val="25"/>
          <w:szCs w:val="25"/>
        </w:rPr>
        <w:t>hile</w:t>
      </w:r>
      <w:proofErr w:type="spellEnd"/>
      <w:r w:rsidRPr="00BC4CA4">
        <w:rPr>
          <w:rFonts w:ascii="Aptos" w:hAnsi="Aptos" w:cs="Times New Roman"/>
          <w:sz w:val="25"/>
          <w:szCs w:val="25"/>
        </w:rPr>
        <w:t xml:space="preserve"> ‘a trial judge is to employ less stringent standards in assessing </w:t>
      </w:r>
      <w:r w:rsidRPr="00BC4CA4">
        <w:rPr>
          <w:rFonts w:ascii="Aptos" w:hAnsi="Aptos" w:cs="Times New Roman"/>
          <w:i/>
          <w:iCs/>
          <w:sz w:val="25"/>
          <w:szCs w:val="25"/>
        </w:rPr>
        <w:t>pro se</w:t>
      </w:r>
      <w:r w:rsidRPr="00BC4CA4">
        <w:rPr>
          <w:rFonts w:ascii="Aptos" w:hAnsi="Aptos" w:cs="Times New Roman"/>
          <w:sz w:val="25"/>
          <w:szCs w:val="25"/>
        </w:rPr>
        <w:t xml:space="preserve"> pleadings ... than would be used to judge the final product of lawyers,’ this leniency does not permit the district court to act as counsel for a party or to rewrite deficient pleadings”</w:t>
      </w:r>
      <w:r>
        <w:rPr>
          <w:rStyle w:val="FootnoteReference"/>
          <w:rFonts w:ascii="Aptos" w:hAnsi="Aptos" w:cs="Times New Roman"/>
          <w:sz w:val="25"/>
          <w:szCs w:val="25"/>
        </w:rPr>
        <w:footnoteReference w:id="11"/>
      </w:r>
      <w:r w:rsidRPr="00BC4CA4">
        <w:rPr>
          <w:rFonts w:ascii="Aptos" w:hAnsi="Aptos" w:cs="Times New Roman"/>
          <w:sz w:val="25"/>
          <w:szCs w:val="25"/>
        </w:rPr>
        <w:t>.</w:t>
      </w:r>
      <w:r>
        <w:rPr>
          <w:rFonts w:ascii="Aptos" w:eastAsia="Times New Roman" w:hAnsi="Aptos" w:cs="Times New Roman"/>
          <w:i/>
          <w:iCs/>
          <w:sz w:val="25"/>
          <w:szCs w:val="25"/>
        </w:rPr>
        <w:t xml:space="preserve"> </w:t>
      </w:r>
    </w:p>
    <w:p w14:paraId="5B08822C" w14:textId="77777777" w:rsidR="00634259" w:rsidRPr="000370FF" w:rsidRDefault="00634259" w:rsidP="00634259">
      <w:pPr>
        <w:shd w:val="clear" w:color="auto" w:fill="FFFFFF"/>
        <w:rPr>
          <w:rFonts w:ascii="Aptos" w:hAnsi="Aptos"/>
          <w:color w:val="000000" w:themeColor="text1"/>
          <w:sz w:val="25"/>
          <w:szCs w:val="25"/>
        </w:rPr>
      </w:pPr>
      <w:r w:rsidRPr="000370FF">
        <w:rPr>
          <w:rFonts w:ascii="Aptos" w:hAnsi="Aptos"/>
          <w:sz w:val="25"/>
          <w:szCs w:val="25"/>
        </w:rPr>
        <w:t xml:space="preserve">  </w:t>
      </w:r>
    </w:p>
    <w:p w14:paraId="7076A813" w14:textId="77777777" w:rsidR="00634259" w:rsidRDefault="00634259" w:rsidP="00634259">
      <w:pPr>
        <w:shd w:val="clear" w:color="auto" w:fill="FFFFFF"/>
        <w:rPr>
          <w:rFonts w:ascii="Aptos" w:hAnsi="Aptos" w:cs="Times New Roman"/>
          <w:i/>
          <w:iCs/>
          <w:sz w:val="25"/>
          <w:szCs w:val="25"/>
        </w:rPr>
      </w:pPr>
      <w:r>
        <w:rPr>
          <w:rFonts w:ascii="Aptos" w:eastAsia="Times New Roman" w:hAnsi="Aptos" w:cs="Times New Roman"/>
          <w:i/>
          <w:iCs/>
          <w:sz w:val="25"/>
          <w:szCs w:val="25"/>
        </w:rPr>
        <w:t>2</w:t>
      </w:r>
      <w:r w:rsidRPr="000370FF">
        <w:rPr>
          <w:rFonts w:ascii="Aptos" w:eastAsia="Times New Roman" w:hAnsi="Aptos" w:cs="Times New Roman"/>
          <w:i/>
          <w:iCs/>
          <w:sz w:val="25"/>
          <w:szCs w:val="25"/>
        </w:rPr>
        <w:t>.</w:t>
      </w:r>
      <w:r w:rsidRPr="000370FF">
        <w:rPr>
          <w:rFonts w:ascii="Aptos" w:eastAsia="Times New Roman" w:hAnsi="Aptos" w:cs="Times New Roman"/>
          <w:i/>
          <w:iCs/>
          <w:sz w:val="25"/>
          <w:szCs w:val="25"/>
        </w:rPr>
        <w:tab/>
      </w:r>
      <w:r w:rsidRPr="000370FF">
        <w:rPr>
          <w:rFonts w:ascii="Aptos" w:hAnsi="Aptos" w:cs="Times New Roman"/>
          <w:i/>
          <w:iCs/>
          <w:sz w:val="25"/>
          <w:szCs w:val="25"/>
        </w:rPr>
        <w:t xml:space="preserve">Jurisdiction of BSEA </w:t>
      </w:r>
      <w:r>
        <w:rPr>
          <w:rFonts w:ascii="Aptos" w:hAnsi="Aptos" w:cs="Times New Roman"/>
          <w:i/>
          <w:iCs/>
          <w:sz w:val="25"/>
          <w:szCs w:val="25"/>
        </w:rPr>
        <w:t>and the Notice Pleading Standard</w:t>
      </w:r>
    </w:p>
    <w:p w14:paraId="131AD5CB" w14:textId="77777777" w:rsidR="00634259" w:rsidRPr="000370FF" w:rsidRDefault="00634259" w:rsidP="00634259">
      <w:pPr>
        <w:shd w:val="clear" w:color="auto" w:fill="FFFFFF"/>
        <w:rPr>
          <w:rFonts w:ascii="Aptos" w:hAnsi="Aptos" w:cs="Times New Roman"/>
          <w:i/>
          <w:iCs/>
          <w:sz w:val="25"/>
          <w:szCs w:val="25"/>
        </w:rPr>
      </w:pPr>
    </w:p>
    <w:p w14:paraId="07888E03" w14:textId="2FC141FD" w:rsidR="00634259" w:rsidRDefault="00634259" w:rsidP="00634259">
      <w:pPr>
        <w:shd w:val="clear" w:color="auto" w:fill="FFFFFF"/>
        <w:rPr>
          <w:rFonts w:ascii="Aptos" w:eastAsia="Times New Roman" w:hAnsi="Aptos" w:cs="Times New Roman"/>
          <w:bCs/>
          <w:color w:val="000000"/>
          <w:sz w:val="25"/>
          <w:szCs w:val="25"/>
        </w:rPr>
      </w:pPr>
      <w:r w:rsidRPr="00B2732F">
        <w:rPr>
          <w:sz w:val="25"/>
          <w:szCs w:val="25"/>
        </w:rPr>
        <w:t>The BSEA is not an agency of general jurisdiction</w:t>
      </w:r>
      <w:r w:rsidR="00107306">
        <w:rPr>
          <w:sz w:val="25"/>
          <w:szCs w:val="25"/>
        </w:rPr>
        <w:t>.  Rather,</w:t>
      </w:r>
      <w:r w:rsidRPr="00B2732F">
        <w:rPr>
          <w:sz w:val="25"/>
          <w:szCs w:val="25"/>
        </w:rPr>
        <w:t xml:space="preserve"> it is limited to considering “</w:t>
      </w:r>
      <w:r w:rsidRPr="00B2732F">
        <w:rPr>
          <w:rFonts w:ascii="Aptos" w:eastAsia="Times New Roman" w:hAnsi="Aptos" w:cs="Times New Roman"/>
          <w:bCs/>
          <w:color w:val="000000"/>
          <w:sz w:val="25"/>
          <w:szCs w:val="25"/>
        </w:rPr>
        <w:t>only those claims for which enabling statutes and regulations expressly grant authority</w:t>
      </w:r>
      <w:r w:rsidRPr="00B2732F">
        <w:rPr>
          <w:rFonts w:ascii="Aptos" w:hAnsi="Aptos"/>
          <w:sz w:val="25"/>
          <w:szCs w:val="25"/>
        </w:rPr>
        <w:t>”</w:t>
      </w:r>
      <w:r w:rsidRPr="00B2732F">
        <w:rPr>
          <w:rStyle w:val="FootnoteReference"/>
          <w:rFonts w:ascii="Aptos" w:hAnsi="Aptos"/>
          <w:sz w:val="25"/>
          <w:szCs w:val="25"/>
        </w:rPr>
        <w:footnoteReference w:id="12"/>
      </w:r>
      <w:r w:rsidRPr="00B2732F">
        <w:rPr>
          <w:rFonts w:ascii="Aptos" w:hAnsi="Aptos"/>
          <w:sz w:val="25"/>
          <w:szCs w:val="25"/>
        </w:rPr>
        <w:t xml:space="preserve">.  </w:t>
      </w:r>
      <w:r w:rsidR="00107306">
        <w:rPr>
          <w:rFonts w:ascii="Aptos" w:hAnsi="Aptos"/>
          <w:sz w:val="25"/>
          <w:szCs w:val="25"/>
        </w:rPr>
        <w:t xml:space="preserve">Under </w:t>
      </w:r>
      <w:r w:rsidRPr="004F6F05">
        <w:rPr>
          <w:rFonts w:ascii="Aptos" w:eastAsia="Times New Roman" w:hAnsi="Aptos" w:cs="Times New Roman"/>
          <w:bCs/>
          <w:color w:val="000000"/>
          <w:sz w:val="25"/>
          <w:szCs w:val="25"/>
        </w:rPr>
        <w:t>20 USC §1415(b)(6)</w:t>
      </w:r>
      <w:r w:rsidR="00B307F3">
        <w:rPr>
          <w:rFonts w:ascii="Aptos" w:eastAsia="Times New Roman" w:hAnsi="Aptos" w:cs="Times New Roman"/>
          <w:bCs/>
          <w:color w:val="000000"/>
          <w:sz w:val="25"/>
          <w:szCs w:val="25"/>
        </w:rPr>
        <w:t>,</w:t>
      </w:r>
      <w:r w:rsidRPr="004F6F05">
        <w:rPr>
          <w:rFonts w:ascii="Aptos" w:eastAsia="Times New Roman" w:hAnsi="Aptos" w:cs="Times New Roman"/>
          <w:bCs/>
          <w:color w:val="000000"/>
          <w:sz w:val="25"/>
          <w:szCs w:val="25"/>
        </w:rPr>
        <w:t xml:space="preserve"> </w:t>
      </w:r>
      <w:r w:rsidR="00107306">
        <w:rPr>
          <w:rFonts w:ascii="Aptos" w:eastAsia="Times New Roman" w:hAnsi="Aptos" w:cs="Times New Roman"/>
          <w:bCs/>
          <w:color w:val="000000"/>
          <w:sz w:val="25"/>
          <w:szCs w:val="25"/>
        </w:rPr>
        <w:t xml:space="preserve">parties may </w:t>
      </w:r>
      <w:r w:rsidRPr="004F6F05">
        <w:rPr>
          <w:rFonts w:ascii="Aptos" w:eastAsia="Times New Roman" w:hAnsi="Aptos" w:cs="Times New Roman"/>
          <w:bCs/>
          <w:color w:val="000000"/>
          <w:sz w:val="25"/>
          <w:szCs w:val="25"/>
        </w:rPr>
        <w:t>file timely complaints “with respect to any matter relating to the identification, evaluation or educational placement of the child, or the provision of a free appropriate public education to such child”</w:t>
      </w:r>
      <w:r w:rsidRPr="004F6F05">
        <w:rPr>
          <w:rStyle w:val="FootnoteReference"/>
          <w:rFonts w:ascii="Aptos" w:eastAsia="Times New Roman" w:hAnsi="Aptos" w:cs="Times New Roman"/>
          <w:bCs/>
          <w:color w:val="000000"/>
          <w:sz w:val="25"/>
          <w:szCs w:val="25"/>
        </w:rPr>
        <w:footnoteReference w:id="13"/>
      </w:r>
      <w:r w:rsidRPr="004F6F05">
        <w:rPr>
          <w:rFonts w:ascii="Aptos" w:eastAsia="Times New Roman" w:hAnsi="Aptos" w:cs="Times New Roman"/>
          <w:bCs/>
          <w:color w:val="000000"/>
          <w:sz w:val="25"/>
          <w:szCs w:val="25"/>
        </w:rPr>
        <w:t xml:space="preserve">.  Similarly, M.G.L. c. 71B §2A, establishing the BSEA, authorizes it to resolve special education disputes concerning, </w:t>
      </w:r>
    </w:p>
    <w:p w14:paraId="1CBCC496" w14:textId="77777777" w:rsidR="00634259" w:rsidRPr="004F6F05" w:rsidRDefault="00634259" w:rsidP="00634259">
      <w:pPr>
        <w:rPr>
          <w:rFonts w:ascii="Aptos" w:eastAsia="Times New Roman" w:hAnsi="Aptos" w:cs="Times New Roman"/>
          <w:bCs/>
          <w:color w:val="000000"/>
          <w:sz w:val="25"/>
          <w:szCs w:val="25"/>
        </w:rPr>
      </w:pPr>
    </w:p>
    <w:p w14:paraId="10CE6A83" w14:textId="77777777" w:rsidR="00634259" w:rsidRPr="004F6F05" w:rsidRDefault="00634259" w:rsidP="00634259">
      <w:pPr>
        <w:ind w:left="720" w:right="720"/>
        <w:rPr>
          <w:rFonts w:ascii="Aptos" w:eastAsia="Times New Roman" w:hAnsi="Aptos" w:cs="Times New Roman"/>
          <w:bCs/>
          <w:color w:val="000000"/>
          <w:sz w:val="25"/>
          <w:szCs w:val="25"/>
        </w:rPr>
      </w:pPr>
      <w:r w:rsidRPr="004F6F05">
        <w:rPr>
          <w:rFonts w:ascii="Aptos" w:eastAsia="Times New Roman" w:hAnsi="Aptos" w:cs="Times New Roman"/>
          <w:bCs/>
          <w:color w:val="000000"/>
          <w:sz w:val="25"/>
          <w:szCs w:val="25"/>
        </w:rPr>
        <w:t xml:space="preserve">“…(i) any matter relating to the identification, evaluation, education program or educational placement of a child with a disability or the provision of a </w:t>
      </w:r>
      <w:r>
        <w:rPr>
          <w:rFonts w:ascii="Aptos" w:eastAsia="Times New Roman" w:hAnsi="Aptos" w:cs="Times New Roman"/>
          <w:bCs/>
          <w:color w:val="000000"/>
          <w:sz w:val="25"/>
          <w:szCs w:val="25"/>
        </w:rPr>
        <w:t xml:space="preserve">[FAPE] </w:t>
      </w:r>
      <w:r w:rsidRPr="004F6F05">
        <w:rPr>
          <w:rFonts w:ascii="Aptos" w:eastAsia="Times New Roman" w:hAnsi="Aptos" w:cs="Times New Roman"/>
          <w:bCs/>
          <w:color w:val="000000"/>
          <w:sz w:val="25"/>
          <w:szCs w:val="25"/>
        </w:rPr>
        <w:t xml:space="preserve">to the child arising under this chapter and regulations promulgated hereunder or under the [IDEA], 20 U.S.C. </w:t>
      </w:r>
      <w:r>
        <w:rPr>
          <w:rFonts w:ascii="Aptos" w:eastAsia="Times New Roman" w:hAnsi="Aptos" w:cs="Times New Roman"/>
          <w:bCs/>
          <w:color w:val="000000"/>
          <w:sz w:val="25"/>
          <w:szCs w:val="25"/>
        </w:rPr>
        <w:t>[§]</w:t>
      </w:r>
      <w:r w:rsidRPr="004F6F05">
        <w:rPr>
          <w:rFonts w:ascii="Aptos" w:eastAsia="Times New Roman" w:hAnsi="Aptos" w:cs="Times New Roman"/>
          <w:bCs/>
          <w:color w:val="000000"/>
          <w:sz w:val="25"/>
          <w:szCs w:val="25"/>
        </w:rPr>
        <w:t xml:space="preserve">1400 et seq., and its regulations; or (ii) a student's rights under Section 504 of the Rehabilitation Act of 1973, 29 U.S.C. </w:t>
      </w:r>
      <w:r>
        <w:rPr>
          <w:rFonts w:ascii="Aptos" w:eastAsia="Times New Roman" w:hAnsi="Aptos" w:cs="Times New Roman"/>
          <w:bCs/>
          <w:color w:val="000000"/>
          <w:sz w:val="25"/>
          <w:szCs w:val="25"/>
        </w:rPr>
        <w:t>[§]</w:t>
      </w:r>
      <w:r w:rsidRPr="004F6F05">
        <w:rPr>
          <w:rFonts w:ascii="Aptos" w:eastAsia="Times New Roman" w:hAnsi="Aptos" w:cs="Times New Roman"/>
          <w:bCs/>
          <w:color w:val="000000"/>
          <w:sz w:val="25"/>
          <w:szCs w:val="25"/>
        </w:rPr>
        <w:t>794, and its regulations”</w:t>
      </w:r>
      <w:r>
        <w:rPr>
          <w:rStyle w:val="FootnoteReference"/>
          <w:rFonts w:ascii="Aptos" w:eastAsia="Times New Roman" w:hAnsi="Aptos" w:cs="Times New Roman"/>
          <w:bCs/>
          <w:color w:val="000000"/>
          <w:sz w:val="25"/>
          <w:szCs w:val="25"/>
        </w:rPr>
        <w:footnoteReference w:id="14"/>
      </w:r>
      <w:r w:rsidRPr="004F6F05">
        <w:rPr>
          <w:rFonts w:ascii="Aptos" w:eastAsia="Times New Roman" w:hAnsi="Aptos" w:cs="Times New Roman"/>
          <w:bCs/>
          <w:color w:val="000000"/>
          <w:sz w:val="25"/>
          <w:szCs w:val="25"/>
        </w:rPr>
        <w:t xml:space="preserve">. </w:t>
      </w:r>
    </w:p>
    <w:p w14:paraId="59D8EA05" w14:textId="77777777" w:rsidR="00634259" w:rsidRDefault="00634259" w:rsidP="00634259">
      <w:pPr>
        <w:jc w:val="both"/>
        <w:rPr>
          <w:rFonts w:ascii="Aptos" w:eastAsia="Times New Roman" w:hAnsi="Aptos" w:cs="Times New Roman"/>
          <w:bCs/>
          <w:color w:val="000000"/>
          <w:sz w:val="25"/>
          <w:szCs w:val="25"/>
        </w:rPr>
      </w:pPr>
    </w:p>
    <w:p w14:paraId="7196B820" w14:textId="50546460" w:rsidR="00634259" w:rsidRPr="000E5E5F" w:rsidRDefault="004946F7" w:rsidP="00634259">
      <w:pPr>
        <w:shd w:val="clear" w:color="auto" w:fill="FFFFFF"/>
        <w:rPr>
          <w:rFonts w:ascii="Aptos" w:eastAsia="Times New Roman" w:hAnsi="Aptos" w:cs="Times New Roman"/>
          <w:sz w:val="25"/>
          <w:szCs w:val="25"/>
        </w:rPr>
      </w:pPr>
      <w:r>
        <w:rPr>
          <w:rFonts w:ascii="Aptos" w:eastAsia="Times New Roman" w:hAnsi="Aptos" w:cs="Times New Roman"/>
          <w:sz w:val="25"/>
          <w:szCs w:val="25"/>
        </w:rPr>
        <w:t>H</w:t>
      </w:r>
      <w:r w:rsidR="00634259" w:rsidRPr="004F6F05">
        <w:rPr>
          <w:rFonts w:ascii="Aptos" w:eastAsia="Times New Roman" w:hAnsi="Aptos" w:cs="Times New Roman"/>
          <w:sz w:val="25"/>
          <w:szCs w:val="25"/>
        </w:rPr>
        <w:t>earing requests filed under the IDEA need only provide fair notice to the opposing party of the nature of the dispute</w:t>
      </w:r>
      <w:r w:rsidR="00634259" w:rsidRPr="004F6F05">
        <w:rPr>
          <w:rStyle w:val="FootnoteReference"/>
          <w:rFonts w:ascii="Aptos" w:eastAsia="Times New Roman" w:hAnsi="Aptos" w:cs="Times New Roman"/>
          <w:sz w:val="25"/>
          <w:szCs w:val="25"/>
        </w:rPr>
        <w:footnoteReference w:id="15"/>
      </w:r>
      <w:r w:rsidR="00634259" w:rsidRPr="004F6F05">
        <w:rPr>
          <w:rFonts w:ascii="Aptos" w:eastAsia="Times New Roman" w:hAnsi="Aptos" w:cs="Times New Roman"/>
          <w:sz w:val="25"/>
          <w:szCs w:val="25"/>
        </w:rPr>
        <w:t>.</w:t>
      </w:r>
      <w:r w:rsidR="00AB3CE8">
        <w:rPr>
          <w:rFonts w:ascii="Aptos" w:eastAsia="Times New Roman" w:hAnsi="Aptos" w:cs="Times New Roman"/>
          <w:sz w:val="25"/>
          <w:szCs w:val="25"/>
        </w:rPr>
        <w:t xml:space="preserve">  </w:t>
      </w:r>
      <w:r w:rsidR="008C4EB6">
        <w:rPr>
          <w:rFonts w:ascii="Aptos" w:eastAsia="Times New Roman" w:hAnsi="Aptos" w:cs="Times New Roman"/>
          <w:sz w:val="25"/>
          <w:szCs w:val="25"/>
        </w:rPr>
        <w:t>This is consistent with the FRCP notice pleading requirement</w:t>
      </w:r>
      <w:r w:rsidR="00AB3CE8">
        <w:rPr>
          <w:rStyle w:val="FootnoteReference"/>
          <w:rFonts w:ascii="Aptos" w:eastAsia="Times New Roman" w:hAnsi="Aptos" w:cs="Times New Roman"/>
          <w:sz w:val="25"/>
          <w:szCs w:val="25"/>
        </w:rPr>
        <w:footnoteReference w:id="16"/>
      </w:r>
      <w:r w:rsidR="008C4EB6">
        <w:rPr>
          <w:rFonts w:ascii="Aptos" w:eastAsia="Times New Roman" w:hAnsi="Aptos" w:cs="Times New Roman"/>
          <w:sz w:val="25"/>
          <w:szCs w:val="25"/>
        </w:rPr>
        <w:t xml:space="preserve">.  </w:t>
      </w:r>
      <w:r w:rsidR="00634259" w:rsidRPr="004F6F05">
        <w:rPr>
          <w:rFonts w:ascii="Aptos" w:eastAsia="Times New Roman" w:hAnsi="Aptos" w:cs="Times New Roman"/>
          <w:sz w:val="25"/>
          <w:szCs w:val="25"/>
        </w:rPr>
        <w:t>However, “[w]</w:t>
      </w:r>
      <w:proofErr w:type="spellStart"/>
      <w:r w:rsidR="00634259" w:rsidRPr="004F6F05">
        <w:rPr>
          <w:rFonts w:ascii="Aptos" w:eastAsia="Times New Roman" w:hAnsi="Aptos" w:cs="Times New Roman"/>
          <w:sz w:val="25"/>
          <w:szCs w:val="25"/>
        </w:rPr>
        <w:t>hile</w:t>
      </w:r>
      <w:proofErr w:type="spellEnd"/>
      <w:r w:rsidR="00634259" w:rsidRPr="004F6F05">
        <w:rPr>
          <w:rFonts w:ascii="Aptos" w:eastAsia="Times New Roman" w:hAnsi="Aptos" w:cs="Times New Roman"/>
          <w:sz w:val="25"/>
          <w:szCs w:val="25"/>
        </w:rPr>
        <w:t xml:space="preserve"> …. detailed factual allegations” are not necessary, “… a [Parent and Student’s] obligation to provide the ‘grounds’ of [their] ‘entitle[</w:t>
      </w:r>
      <w:proofErr w:type="spellStart"/>
      <w:r w:rsidR="00634259" w:rsidRPr="004F6F05">
        <w:rPr>
          <w:rFonts w:ascii="Aptos" w:eastAsia="Times New Roman" w:hAnsi="Aptos" w:cs="Times New Roman"/>
          <w:sz w:val="25"/>
          <w:szCs w:val="25"/>
        </w:rPr>
        <w:t>ment</w:t>
      </w:r>
      <w:proofErr w:type="spellEnd"/>
      <w:r w:rsidR="00634259" w:rsidRPr="004F6F05">
        <w:rPr>
          <w:rFonts w:ascii="Aptos" w:eastAsia="Times New Roman" w:hAnsi="Aptos" w:cs="Times New Roman"/>
          <w:sz w:val="25"/>
          <w:szCs w:val="25"/>
        </w:rPr>
        <w:t>] to relief’ requires more than labels and conclusions, and a formulaic recitation of the elements of a cause of action will not do”</w:t>
      </w:r>
      <w:r w:rsidR="00634259" w:rsidRPr="004F6F05">
        <w:rPr>
          <w:rStyle w:val="FootnoteReference"/>
          <w:rFonts w:ascii="Aptos" w:eastAsia="Times New Roman" w:hAnsi="Aptos" w:cs="Times New Roman"/>
          <w:sz w:val="25"/>
          <w:szCs w:val="25"/>
        </w:rPr>
        <w:footnoteReference w:id="17"/>
      </w:r>
      <w:r w:rsidR="00634259" w:rsidRPr="004F6F05">
        <w:rPr>
          <w:rFonts w:ascii="Aptos" w:eastAsia="Times New Roman" w:hAnsi="Aptos" w:cs="Times New Roman"/>
          <w:sz w:val="25"/>
          <w:szCs w:val="25"/>
        </w:rPr>
        <w:t xml:space="preserve">. </w:t>
      </w:r>
    </w:p>
    <w:p w14:paraId="3E229C8F" w14:textId="77777777" w:rsidR="00634259" w:rsidRPr="000370FF" w:rsidRDefault="00634259" w:rsidP="00634259">
      <w:pPr>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 xml:space="preserve"> </w:t>
      </w:r>
    </w:p>
    <w:p w14:paraId="50DCFA62" w14:textId="3E19F031" w:rsidR="00634259" w:rsidRPr="000370FF" w:rsidRDefault="00634259" w:rsidP="00634259">
      <w:pPr>
        <w:shd w:val="clear" w:color="auto" w:fill="FFFFFF"/>
        <w:rPr>
          <w:rFonts w:ascii="Aptos" w:hAnsi="Aptos" w:cs="Times New Roman"/>
          <w:i/>
          <w:iCs/>
          <w:sz w:val="25"/>
          <w:szCs w:val="25"/>
        </w:rPr>
      </w:pPr>
      <w:r>
        <w:rPr>
          <w:rFonts w:ascii="Aptos" w:eastAsia="Times New Roman" w:hAnsi="Aptos" w:cs="Times New Roman"/>
          <w:bCs/>
          <w:color w:val="000000"/>
          <w:sz w:val="25"/>
          <w:szCs w:val="25"/>
        </w:rPr>
        <w:t>3</w:t>
      </w:r>
      <w:r w:rsidRPr="000370FF">
        <w:rPr>
          <w:rFonts w:ascii="Aptos" w:eastAsia="Times New Roman" w:hAnsi="Aptos" w:cs="Times New Roman"/>
          <w:bCs/>
          <w:color w:val="000000"/>
          <w:sz w:val="25"/>
          <w:szCs w:val="25"/>
        </w:rPr>
        <w:t>.</w:t>
      </w:r>
      <w:r w:rsidRPr="000370FF">
        <w:rPr>
          <w:rFonts w:ascii="Aptos" w:eastAsia="Times New Roman" w:hAnsi="Aptos" w:cs="Times New Roman"/>
          <w:bCs/>
          <w:color w:val="000000"/>
          <w:sz w:val="25"/>
          <w:szCs w:val="25"/>
        </w:rPr>
        <w:tab/>
      </w:r>
      <w:r w:rsidR="00CE6509">
        <w:rPr>
          <w:rFonts w:ascii="Aptos" w:hAnsi="Aptos" w:cs="Times New Roman"/>
          <w:i/>
          <w:iCs/>
          <w:sz w:val="25"/>
          <w:szCs w:val="25"/>
        </w:rPr>
        <w:t>Section 504 Retaliation Claims</w:t>
      </w:r>
      <w:r w:rsidRPr="000370FF">
        <w:rPr>
          <w:rFonts w:ascii="Aptos" w:hAnsi="Aptos" w:cs="Times New Roman"/>
          <w:i/>
          <w:iCs/>
          <w:sz w:val="25"/>
          <w:szCs w:val="25"/>
        </w:rPr>
        <w:t xml:space="preserve"> </w:t>
      </w:r>
      <w:r w:rsidR="006B5CD1">
        <w:rPr>
          <w:rFonts w:ascii="Aptos" w:hAnsi="Aptos" w:cs="Times New Roman"/>
          <w:i/>
          <w:iCs/>
          <w:sz w:val="25"/>
          <w:szCs w:val="25"/>
        </w:rPr>
        <w:t xml:space="preserve">and the BSEA’s Jurisdiction </w:t>
      </w:r>
    </w:p>
    <w:p w14:paraId="393A5C54" w14:textId="5BCED38B" w:rsidR="003D4F89" w:rsidRDefault="00DA1272" w:rsidP="0073166A">
      <w:pPr>
        <w:shd w:val="clear" w:color="auto" w:fill="FFFFFF"/>
        <w:spacing w:before="240"/>
        <w:rPr>
          <w:rFonts w:ascii="Aptos" w:eastAsia="Times New Roman" w:hAnsi="Aptos" w:cs="Times New Roman"/>
          <w:sz w:val="25"/>
          <w:szCs w:val="25"/>
        </w:rPr>
      </w:pPr>
      <w:r>
        <w:rPr>
          <w:rFonts w:ascii="Aptos" w:eastAsia="Times New Roman" w:hAnsi="Aptos" w:cs="Times New Roman"/>
          <w:sz w:val="25"/>
          <w:szCs w:val="25"/>
        </w:rPr>
        <w:t xml:space="preserve">The BSEA </w:t>
      </w:r>
      <w:r w:rsidR="005C38F8">
        <w:rPr>
          <w:rFonts w:ascii="Aptos" w:eastAsia="Times New Roman" w:hAnsi="Aptos" w:cs="Times New Roman"/>
          <w:sz w:val="25"/>
          <w:szCs w:val="25"/>
        </w:rPr>
        <w:t>and</w:t>
      </w:r>
      <w:r w:rsidR="00401BEC">
        <w:rPr>
          <w:rFonts w:ascii="Aptos" w:eastAsia="Times New Roman" w:hAnsi="Aptos" w:cs="Times New Roman"/>
          <w:sz w:val="25"/>
          <w:szCs w:val="25"/>
        </w:rPr>
        <w:t>,</w:t>
      </w:r>
      <w:r w:rsidR="005C38F8">
        <w:rPr>
          <w:rFonts w:ascii="Aptos" w:eastAsia="Times New Roman" w:hAnsi="Aptos" w:cs="Times New Roman"/>
          <w:sz w:val="25"/>
          <w:szCs w:val="25"/>
        </w:rPr>
        <w:t xml:space="preserve"> </w:t>
      </w:r>
      <w:r w:rsidR="00E94678">
        <w:rPr>
          <w:rFonts w:ascii="Aptos" w:eastAsia="Times New Roman" w:hAnsi="Aptos" w:cs="Times New Roman"/>
          <w:sz w:val="25"/>
          <w:szCs w:val="25"/>
        </w:rPr>
        <w:t xml:space="preserve">recently, </w:t>
      </w:r>
      <w:r w:rsidR="005C38F8">
        <w:rPr>
          <w:rFonts w:ascii="Aptos" w:eastAsia="Times New Roman" w:hAnsi="Aptos" w:cs="Times New Roman"/>
          <w:sz w:val="25"/>
          <w:szCs w:val="25"/>
        </w:rPr>
        <w:t>this Hearing Officer</w:t>
      </w:r>
      <w:r w:rsidR="00CF0864">
        <w:rPr>
          <w:rFonts w:ascii="Aptos" w:eastAsia="Times New Roman" w:hAnsi="Aptos" w:cs="Times New Roman"/>
          <w:sz w:val="25"/>
          <w:szCs w:val="25"/>
        </w:rPr>
        <w:t>,</w:t>
      </w:r>
      <w:r w:rsidR="005C38F8">
        <w:rPr>
          <w:rFonts w:ascii="Aptos" w:eastAsia="Times New Roman" w:hAnsi="Aptos" w:cs="Times New Roman"/>
          <w:sz w:val="25"/>
          <w:szCs w:val="25"/>
        </w:rPr>
        <w:t xml:space="preserve"> </w:t>
      </w:r>
      <w:r>
        <w:rPr>
          <w:rFonts w:ascii="Aptos" w:eastAsia="Times New Roman" w:hAnsi="Aptos" w:cs="Times New Roman"/>
          <w:sz w:val="25"/>
          <w:szCs w:val="25"/>
        </w:rPr>
        <w:t>ha</w:t>
      </w:r>
      <w:r w:rsidR="005C38F8">
        <w:rPr>
          <w:rFonts w:ascii="Aptos" w:eastAsia="Times New Roman" w:hAnsi="Aptos" w:cs="Times New Roman"/>
          <w:sz w:val="25"/>
          <w:szCs w:val="25"/>
        </w:rPr>
        <w:t>ve</w:t>
      </w:r>
      <w:r>
        <w:rPr>
          <w:rFonts w:ascii="Aptos" w:eastAsia="Times New Roman" w:hAnsi="Aptos" w:cs="Times New Roman"/>
          <w:sz w:val="25"/>
          <w:szCs w:val="25"/>
        </w:rPr>
        <w:t xml:space="preserve"> </w:t>
      </w:r>
      <w:r w:rsidR="004268B8">
        <w:rPr>
          <w:rFonts w:ascii="Aptos" w:eastAsia="Times New Roman" w:hAnsi="Aptos" w:cs="Times New Roman"/>
          <w:sz w:val="25"/>
          <w:szCs w:val="25"/>
        </w:rPr>
        <w:t xml:space="preserve">consistently </w:t>
      </w:r>
      <w:r>
        <w:rPr>
          <w:rFonts w:ascii="Aptos" w:eastAsia="Times New Roman" w:hAnsi="Aptos" w:cs="Times New Roman"/>
          <w:sz w:val="25"/>
          <w:szCs w:val="25"/>
        </w:rPr>
        <w:t>recognized that r</w:t>
      </w:r>
      <w:r w:rsidR="00E42844">
        <w:rPr>
          <w:rFonts w:ascii="Aptos" w:eastAsia="Times New Roman" w:hAnsi="Aptos" w:cs="Times New Roman"/>
          <w:sz w:val="25"/>
          <w:szCs w:val="25"/>
        </w:rPr>
        <w:t xml:space="preserve">etaliation claims brought under Section 504 </w:t>
      </w:r>
      <w:r w:rsidR="00401BEC">
        <w:rPr>
          <w:rFonts w:ascii="Aptos" w:eastAsia="Times New Roman" w:hAnsi="Aptos" w:cs="Times New Roman"/>
          <w:sz w:val="25"/>
          <w:szCs w:val="25"/>
        </w:rPr>
        <w:t>that</w:t>
      </w:r>
      <w:r w:rsidR="00E42844">
        <w:rPr>
          <w:rFonts w:ascii="Aptos" w:eastAsia="Times New Roman" w:hAnsi="Aptos" w:cs="Times New Roman"/>
          <w:sz w:val="25"/>
          <w:szCs w:val="25"/>
        </w:rPr>
        <w:t xml:space="preserve"> pertain to </w:t>
      </w:r>
      <w:r>
        <w:rPr>
          <w:rFonts w:ascii="Aptos" w:eastAsia="Times New Roman" w:hAnsi="Aptos" w:cs="Times New Roman"/>
          <w:sz w:val="25"/>
          <w:szCs w:val="25"/>
        </w:rPr>
        <w:t xml:space="preserve">FAPE-related issues are </w:t>
      </w:r>
      <w:r>
        <w:rPr>
          <w:rFonts w:ascii="Aptos" w:eastAsia="Times New Roman" w:hAnsi="Aptos" w:cs="Times New Roman"/>
          <w:sz w:val="25"/>
          <w:szCs w:val="25"/>
        </w:rPr>
        <w:lastRenderedPageBreak/>
        <w:t>within its jurisdiction</w:t>
      </w:r>
      <w:r w:rsidR="006B5CD1">
        <w:rPr>
          <w:rStyle w:val="FootnoteReference"/>
          <w:rFonts w:ascii="Aptos" w:eastAsia="Times New Roman" w:hAnsi="Aptos" w:cs="Times New Roman"/>
          <w:sz w:val="25"/>
          <w:szCs w:val="25"/>
        </w:rPr>
        <w:footnoteReference w:id="18"/>
      </w:r>
      <w:r>
        <w:rPr>
          <w:rFonts w:ascii="Aptos" w:eastAsia="Times New Roman" w:hAnsi="Aptos" w:cs="Times New Roman"/>
          <w:sz w:val="25"/>
          <w:szCs w:val="25"/>
        </w:rPr>
        <w:t xml:space="preserve">. </w:t>
      </w:r>
      <w:r w:rsidR="00335610">
        <w:rPr>
          <w:rFonts w:ascii="Aptos" w:eastAsia="Times New Roman" w:hAnsi="Aptos" w:cs="Times New Roman"/>
          <w:sz w:val="25"/>
          <w:szCs w:val="25"/>
        </w:rPr>
        <w:t xml:space="preserve"> </w:t>
      </w:r>
      <w:r w:rsidR="00454DC5">
        <w:rPr>
          <w:rFonts w:ascii="Aptos" w:eastAsia="Times New Roman" w:hAnsi="Aptos" w:cs="Times New Roman"/>
          <w:sz w:val="25"/>
          <w:szCs w:val="25"/>
        </w:rPr>
        <w:t>According to the</w:t>
      </w:r>
      <w:r w:rsidR="00335610">
        <w:rPr>
          <w:rFonts w:ascii="Aptos" w:eastAsia="Times New Roman" w:hAnsi="Aptos" w:cs="Times New Roman"/>
          <w:sz w:val="25"/>
          <w:szCs w:val="25"/>
        </w:rPr>
        <w:t xml:space="preserve"> First Circuit</w:t>
      </w:r>
      <w:r w:rsidR="009B6FF1">
        <w:rPr>
          <w:rFonts w:ascii="Aptos" w:eastAsia="Times New Roman" w:hAnsi="Aptos" w:cs="Times New Roman"/>
          <w:sz w:val="25"/>
          <w:szCs w:val="25"/>
        </w:rPr>
        <w:t xml:space="preserve">, </w:t>
      </w:r>
      <w:r w:rsidR="00D50270">
        <w:rPr>
          <w:rFonts w:ascii="Aptos" w:eastAsia="Times New Roman" w:hAnsi="Aptos" w:cs="Times New Roman"/>
          <w:sz w:val="25"/>
          <w:szCs w:val="25"/>
        </w:rPr>
        <w:t>a party</w:t>
      </w:r>
      <w:r w:rsidR="009B6FF1">
        <w:rPr>
          <w:rFonts w:ascii="Aptos" w:eastAsia="Times New Roman" w:hAnsi="Aptos" w:cs="Times New Roman"/>
          <w:sz w:val="25"/>
          <w:szCs w:val="25"/>
        </w:rPr>
        <w:t xml:space="preserve"> who want</w:t>
      </w:r>
      <w:r w:rsidR="00D50270">
        <w:rPr>
          <w:rFonts w:ascii="Aptos" w:eastAsia="Times New Roman" w:hAnsi="Aptos" w:cs="Times New Roman"/>
          <w:sz w:val="25"/>
          <w:szCs w:val="25"/>
        </w:rPr>
        <w:t>s</w:t>
      </w:r>
      <w:r w:rsidR="009B6FF1">
        <w:rPr>
          <w:rFonts w:ascii="Aptos" w:eastAsia="Times New Roman" w:hAnsi="Aptos" w:cs="Times New Roman"/>
          <w:sz w:val="25"/>
          <w:szCs w:val="25"/>
        </w:rPr>
        <w:t xml:space="preserve"> to pursue </w:t>
      </w:r>
      <w:r w:rsidR="00270F58">
        <w:rPr>
          <w:rFonts w:ascii="Aptos" w:eastAsia="Times New Roman" w:hAnsi="Aptos" w:cs="Times New Roman"/>
          <w:sz w:val="25"/>
          <w:szCs w:val="25"/>
        </w:rPr>
        <w:t xml:space="preserve">such FAPE-based </w:t>
      </w:r>
      <w:r w:rsidR="009B6FF1">
        <w:rPr>
          <w:rFonts w:ascii="Aptos" w:eastAsia="Times New Roman" w:hAnsi="Aptos" w:cs="Times New Roman"/>
          <w:sz w:val="25"/>
          <w:szCs w:val="25"/>
        </w:rPr>
        <w:t xml:space="preserve">Section 504 </w:t>
      </w:r>
      <w:r w:rsidR="00270F58">
        <w:rPr>
          <w:rFonts w:ascii="Aptos" w:eastAsia="Times New Roman" w:hAnsi="Aptos" w:cs="Times New Roman"/>
          <w:sz w:val="25"/>
          <w:szCs w:val="25"/>
        </w:rPr>
        <w:t xml:space="preserve">retaliation claims, </w:t>
      </w:r>
      <w:r w:rsidR="00335610">
        <w:rPr>
          <w:rFonts w:ascii="Aptos" w:eastAsia="Times New Roman" w:hAnsi="Aptos" w:cs="Times New Roman"/>
          <w:sz w:val="25"/>
          <w:szCs w:val="25"/>
        </w:rPr>
        <w:t>must “invoke due process hearing procedures of IDEA before filing her retaliation claim in federal court pursuant to [Section 504]”</w:t>
      </w:r>
      <w:r w:rsidR="001A5DCB">
        <w:rPr>
          <w:rStyle w:val="FootnoteReference"/>
          <w:rFonts w:ascii="Aptos" w:eastAsia="Times New Roman" w:hAnsi="Aptos" w:cs="Times New Roman"/>
          <w:sz w:val="25"/>
          <w:szCs w:val="25"/>
        </w:rPr>
        <w:footnoteReference w:id="19"/>
      </w:r>
      <w:r w:rsidR="00335610">
        <w:rPr>
          <w:rFonts w:ascii="Aptos" w:eastAsia="Times New Roman" w:hAnsi="Aptos" w:cs="Times New Roman"/>
          <w:sz w:val="25"/>
          <w:szCs w:val="25"/>
        </w:rPr>
        <w:t>.</w:t>
      </w:r>
      <w:r w:rsidR="009B6FF1">
        <w:rPr>
          <w:rFonts w:ascii="Aptos" w:eastAsia="Times New Roman" w:hAnsi="Aptos" w:cs="Times New Roman"/>
          <w:sz w:val="25"/>
          <w:szCs w:val="25"/>
        </w:rPr>
        <w:t xml:space="preserve">  </w:t>
      </w:r>
      <w:r w:rsidR="006A0E97">
        <w:rPr>
          <w:rFonts w:ascii="Aptos" w:eastAsia="Times New Roman" w:hAnsi="Aptos" w:cs="Times New Roman"/>
          <w:sz w:val="25"/>
          <w:szCs w:val="25"/>
        </w:rPr>
        <w:t xml:space="preserve">As the </w:t>
      </w:r>
      <w:r w:rsidR="007952A3">
        <w:rPr>
          <w:rFonts w:ascii="Aptos" w:eastAsia="Times New Roman" w:hAnsi="Aptos" w:cs="Times New Roman"/>
          <w:i/>
          <w:iCs/>
          <w:sz w:val="25"/>
          <w:szCs w:val="25"/>
        </w:rPr>
        <w:t xml:space="preserve">Weber </w:t>
      </w:r>
      <w:r w:rsidR="006A0E97">
        <w:rPr>
          <w:rFonts w:ascii="Aptos" w:eastAsia="Times New Roman" w:hAnsi="Aptos" w:cs="Times New Roman"/>
          <w:sz w:val="25"/>
          <w:szCs w:val="25"/>
        </w:rPr>
        <w:t xml:space="preserve">Court reasoned, </w:t>
      </w:r>
      <w:r w:rsidR="009B6FF1">
        <w:rPr>
          <w:rFonts w:ascii="Aptos" w:eastAsia="Times New Roman" w:hAnsi="Aptos" w:cs="Times New Roman"/>
          <w:sz w:val="25"/>
          <w:szCs w:val="25"/>
        </w:rPr>
        <w:t>such claims are subject to the exhaustion requirement at the administrative level</w:t>
      </w:r>
      <w:r w:rsidR="006A0E97">
        <w:rPr>
          <w:rFonts w:ascii="Aptos" w:eastAsia="Times New Roman" w:hAnsi="Aptos" w:cs="Times New Roman"/>
          <w:sz w:val="25"/>
          <w:szCs w:val="25"/>
        </w:rPr>
        <w:t>, as they are within the “zone of interest” that is protected or regulated by the IDEA</w:t>
      </w:r>
      <w:r w:rsidR="009B6FF1">
        <w:rPr>
          <w:rStyle w:val="FootnoteReference"/>
          <w:rFonts w:ascii="Aptos" w:eastAsia="Times New Roman" w:hAnsi="Aptos" w:cs="Times New Roman"/>
          <w:sz w:val="25"/>
          <w:szCs w:val="25"/>
        </w:rPr>
        <w:footnoteReference w:id="20"/>
      </w:r>
      <w:r w:rsidR="009B6FF1">
        <w:rPr>
          <w:rFonts w:ascii="Aptos" w:eastAsia="Times New Roman" w:hAnsi="Aptos" w:cs="Times New Roman"/>
          <w:sz w:val="25"/>
          <w:szCs w:val="25"/>
        </w:rPr>
        <w:t>.</w:t>
      </w:r>
      <w:r w:rsidR="00B61064">
        <w:rPr>
          <w:rFonts w:ascii="Aptos" w:eastAsia="Times New Roman" w:hAnsi="Aptos" w:cs="Times New Roman"/>
          <w:sz w:val="25"/>
          <w:szCs w:val="25"/>
        </w:rPr>
        <w:t xml:space="preserve">  </w:t>
      </w:r>
    </w:p>
    <w:p w14:paraId="726470FF" w14:textId="2ACC80F9" w:rsidR="005A6AC7" w:rsidRDefault="005A6AC7" w:rsidP="0073166A">
      <w:pPr>
        <w:shd w:val="clear" w:color="auto" w:fill="FFFFFF"/>
        <w:spacing w:before="240"/>
        <w:rPr>
          <w:rFonts w:ascii="Aptos" w:eastAsia="Times New Roman" w:hAnsi="Aptos" w:cs="Times New Roman"/>
          <w:sz w:val="25"/>
          <w:szCs w:val="25"/>
        </w:rPr>
      </w:pPr>
      <w:r>
        <w:rPr>
          <w:rFonts w:ascii="Aptos" w:eastAsia="Times New Roman" w:hAnsi="Aptos" w:cs="Times New Roman"/>
          <w:sz w:val="25"/>
          <w:szCs w:val="25"/>
        </w:rPr>
        <w:t>T</w:t>
      </w:r>
      <w:r w:rsidR="00A06D47">
        <w:rPr>
          <w:rFonts w:ascii="Aptos" w:eastAsia="Times New Roman" w:hAnsi="Aptos" w:cs="Times New Roman"/>
          <w:sz w:val="25"/>
          <w:szCs w:val="25"/>
        </w:rPr>
        <w:t>he Courts apply a</w:t>
      </w:r>
      <w:r w:rsidR="00F8259B">
        <w:rPr>
          <w:rFonts w:ascii="Aptos" w:eastAsia="Times New Roman" w:hAnsi="Aptos" w:cs="Times New Roman"/>
          <w:sz w:val="25"/>
          <w:szCs w:val="25"/>
        </w:rPr>
        <w:t xml:space="preserve"> long-established</w:t>
      </w:r>
      <w:r w:rsidR="00A06D47">
        <w:rPr>
          <w:rFonts w:ascii="Aptos" w:eastAsia="Times New Roman" w:hAnsi="Aptos" w:cs="Times New Roman"/>
          <w:sz w:val="25"/>
          <w:szCs w:val="25"/>
        </w:rPr>
        <w:t xml:space="preserve"> burden-shifting framework in </w:t>
      </w:r>
      <w:r w:rsidR="00A0428E">
        <w:rPr>
          <w:rFonts w:ascii="Aptos" w:eastAsia="Times New Roman" w:hAnsi="Aptos" w:cs="Times New Roman"/>
          <w:sz w:val="25"/>
          <w:szCs w:val="25"/>
        </w:rPr>
        <w:t>assessing any retaliation claim</w:t>
      </w:r>
      <w:r w:rsidR="00A0428E">
        <w:rPr>
          <w:rStyle w:val="FootnoteReference"/>
          <w:rFonts w:ascii="Aptos" w:eastAsia="Times New Roman" w:hAnsi="Aptos" w:cs="Times New Roman"/>
          <w:sz w:val="25"/>
          <w:szCs w:val="25"/>
        </w:rPr>
        <w:footnoteReference w:id="21"/>
      </w:r>
      <w:r w:rsidR="00A0428E">
        <w:rPr>
          <w:rFonts w:ascii="Aptos" w:eastAsia="Times New Roman" w:hAnsi="Aptos" w:cs="Times New Roman"/>
          <w:sz w:val="25"/>
          <w:szCs w:val="25"/>
        </w:rPr>
        <w:t xml:space="preserve">.  </w:t>
      </w:r>
      <w:r w:rsidR="001175CE">
        <w:rPr>
          <w:rFonts w:ascii="Aptos" w:eastAsia="Times New Roman" w:hAnsi="Aptos" w:cs="Times New Roman"/>
          <w:sz w:val="25"/>
          <w:szCs w:val="25"/>
        </w:rPr>
        <w:t>Consistent with this framework, in the first instance</w:t>
      </w:r>
      <w:r w:rsidR="00A0428E">
        <w:rPr>
          <w:rFonts w:ascii="Aptos" w:eastAsia="Times New Roman" w:hAnsi="Aptos" w:cs="Times New Roman"/>
          <w:sz w:val="25"/>
          <w:szCs w:val="25"/>
        </w:rPr>
        <w:t xml:space="preserve">, for a parent to proceed with pursuing a </w:t>
      </w:r>
      <w:r>
        <w:rPr>
          <w:rFonts w:ascii="Aptos" w:eastAsia="Times New Roman" w:hAnsi="Aptos" w:cs="Times New Roman"/>
          <w:sz w:val="25"/>
          <w:szCs w:val="25"/>
        </w:rPr>
        <w:t>Section 504 FAPE-based retaliation claim</w:t>
      </w:r>
      <w:r w:rsidR="00A0428E">
        <w:rPr>
          <w:rFonts w:ascii="Aptos" w:eastAsia="Times New Roman" w:hAnsi="Aptos" w:cs="Times New Roman"/>
          <w:sz w:val="25"/>
          <w:szCs w:val="25"/>
        </w:rPr>
        <w:t xml:space="preserve">, </w:t>
      </w:r>
      <w:r w:rsidR="00C17815">
        <w:rPr>
          <w:rFonts w:ascii="Aptos" w:eastAsia="Times New Roman" w:hAnsi="Aptos" w:cs="Times New Roman"/>
          <w:sz w:val="25"/>
          <w:szCs w:val="25"/>
        </w:rPr>
        <w:t>the parent</w:t>
      </w:r>
      <w:r w:rsidR="00A0428E">
        <w:rPr>
          <w:rFonts w:ascii="Aptos" w:eastAsia="Times New Roman" w:hAnsi="Aptos" w:cs="Times New Roman"/>
          <w:sz w:val="25"/>
          <w:szCs w:val="25"/>
        </w:rPr>
        <w:t xml:space="preserve"> must</w:t>
      </w:r>
      <w:r w:rsidR="006E5814">
        <w:rPr>
          <w:rFonts w:ascii="Aptos" w:eastAsia="Times New Roman" w:hAnsi="Aptos" w:cs="Times New Roman"/>
          <w:sz w:val="25"/>
          <w:szCs w:val="25"/>
        </w:rPr>
        <w:t xml:space="preserve"> </w:t>
      </w:r>
      <w:r w:rsidR="00F8259B">
        <w:rPr>
          <w:rFonts w:ascii="Aptos" w:eastAsia="Times New Roman" w:hAnsi="Aptos" w:cs="Times New Roman"/>
          <w:sz w:val="25"/>
          <w:szCs w:val="25"/>
        </w:rPr>
        <w:t>“…show that (1) he or she engaged in protected conduct, (2) he or she was subjected to an adverse action by the defendant, and (3) there was a causal connection between the protected conduct and the adverse action”</w:t>
      </w:r>
      <w:r w:rsidR="001175CE">
        <w:rPr>
          <w:rStyle w:val="FootnoteReference"/>
          <w:rFonts w:ascii="Aptos" w:eastAsia="Times New Roman" w:hAnsi="Aptos" w:cs="Times New Roman"/>
          <w:sz w:val="25"/>
          <w:szCs w:val="25"/>
        </w:rPr>
        <w:footnoteReference w:id="22"/>
      </w:r>
      <w:r w:rsidR="00F8259B">
        <w:rPr>
          <w:rFonts w:ascii="Aptos" w:eastAsia="Times New Roman" w:hAnsi="Aptos" w:cs="Times New Roman"/>
          <w:sz w:val="25"/>
          <w:szCs w:val="25"/>
        </w:rPr>
        <w:t xml:space="preserve">.  </w:t>
      </w:r>
    </w:p>
    <w:p w14:paraId="2057A516" w14:textId="77777777" w:rsidR="00634259" w:rsidRDefault="00634259" w:rsidP="00634259">
      <w:pPr>
        <w:shd w:val="clear" w:color="auto" w:fill="FFFFFF"/>
        <w:jc w:val="center"/>
        <w:rPr>
          <w:rFonts w:ascii="Aptos" w:eastAsia="Times New Roman" w:hAnsi="Aptos" w:cs="Times New Roman"/>
          <w:b/>
          <w:bCs/>
          <w:sz w:val="25"/>
          <w:szCs w:val="25"/>
        </w:rPr>
      </w:pPr>
    </w:p>
    <w:p w14:paraId="5D64FEC7" w14:textId="77777777" w:rsidR="00634259" w:rsidRPr="000370FF" w:rsidRDefault="00634259" w:rsidP="00634259">
      <w:pPr>
        <w:shd w:val="clear" w:color="auto" w:fill="FFFFFF"/>
        <w:jc w:val="center"/>
        <w:rPr>
          <w:rFonts w:ascii="Aptos" w:eastAsia="Times New Roman" w:hAnsi="Aptos" w:cs="Times New Roman"/>
          <w:sz w:val="25"/>
          <w:szCs w:val="25"/>
        </w:rPr>
      </w:pPr>
      <w:r w:rsidRPr="000370FF">
        <w:rPr>
          <w:rFonts w:ascii="Aptos" w:eastAsia="Times New Roman" w:hAnsi="Aptos" w:cs="Times New Roman"/>
          <w:b/>
          <w:bCs/>
          <w:sz w:val="25"/>
          <w:szCs w:val="25"/>
        </w:rPr>
        <w:t>APPLICATION OF LEGAL STANDARDS</w:t>
      </w:r>
    </w:p>
    <w:p w14:paraId="068F0491" w14:textId="77777777" w:rsidR="00634259" w:rsidRPr="000370FF" w:rsidRDefault="00634259" w:rsidP="00634259">
      <w:pPr>
        <w:shd w:val="clear" w:color="auto" w:fill="FFFFFF"/>
        <w:rPr>
          <w:rFonts w:ascii="Aptos" w:eastAsia="Times New Roman" w:hAnsi="Aptos" w:cs="Times New Roman"/>
          <w:sz w:val="25"/>
          <w:szCs w:val="25"/>
        </w:rPr>
      </w:pPr>
    </w:p>
    <w:p w14:paraId="45048BCB" w14:textId="77777777" w:rsidR="00A433D4" w:rsidRDefault="00634259" w:rsidP="002B45CB">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After reviewing the </w:t>
      </w:r>
      <w:r w:rsidR="007709BE" w:rsidRPr="007709BE">
        <w:rPr>
          <w:rFonts w:ascii="Aptos" w:eastAsia="Times New Roman" w:hAnsi="Aptos" w:cs="Times New Roman"/>
          <w:sz w:val="25"/>
          <w:szCs w:val="25"/>
        </w:rPr>
        <w:t>Retaliation Claim</w:t>
      </w:r>
      <w:r w:rsidR="007709BE">
        <w:rPr>
          <w:rFonts w:ascii="Aptos" w:eastAsia="Times New Roman" w:hAnsi="Aptos" w:cs="Times New Roman"/>
          <w:i/>
          <w:iCs/>
          <w:sz w:val="25"/>
          <w:szCs w:val="25"/>
        </w:rPr>
        <w:t xml:space="preserve"> </w:t>
      </w:r>
      <w:r w:rsidRPr="000370FF">
        <w:rPr>
          <w:rFonts w:ascii="Aptos" w:eastAsia="Times New Roman" w:hAnsi="Aptos" w:cs="Times New Roman"/>
          <w:sz w:val="25"/>
          <w:szCs w:val="25"/>
        </w:rPr>
        <w:t xml:space="preserve">in the light most favorable to </w:t>
      </w:r>
      <w:r>
        <w:rPr>
          <w:rFonts w:ascii="Aptos" w:eastAsia="Times New Roman" w:hAnsi="Aptos" w:cs="Times New Roman"/>
          <w:sz w:val="25"/>
          <w:szCs w:val="25"/>
        </w:rPr>
        <w:t xml:space="preserve">Parents </w:t>
      </w:r>
      <w:r w:rsidR="007709BE">
        <w:rPr>
          <w:rFonts w:ascii="Aptos" w:eastAsia="Times New Roman" w:hAnsi="Aptos" w:cs="Times New Roman"/>
          <w:sz w:val="25"/>
          <w:szCs w:val="25"/>
        </w:rPr>
        <w:t xml:space="preserve">and </w:t>
      </w:r>
      <w:r w:rsidR="00702BAF">
        <w:rPr>
          <w:rFonts w:ascii="Aptos" w:eastAsia="Times New Roman" w:hAnsi="Aptos" w:cs="Times New Roman"/>
          <w:sz w:val="25"/>
          <w:szCs w:val="25"/>
        </w:rPr>
        <w:t xml:space="preserve">viewing it deferentially </w:t>
      </w:r>
      <w:proofErr w:type="gramStart"/>
      <w:r w:rsidR="00702BAF">
        <w:rPr>
          <w:rFonts w:ascii="Aptos" w:eastAsia="Times New Roman" w:hAnsi="Aptos" w:cs="Times New Roman"/>
          <w:sz w:val="25"/>
          <w:szCs w:val="25"/>
        </w:rPr>
        <w:t>in light of</w:t>
      </w:r>
      <w:proofErr w:type="gramEnd"/>
      <w:r w:rsidR="00702BAF">
        <w:rPr>
          <w:rFonts w:ascii="Aptos" w:eastAsia="Times New Roman" w:hAnsi="Aptos" w:cs="Times New Roman"/>
          <w:sz w:val="25"/>
          <w:szCs w:val="25"/>
        </w:rPr>
        <w:t xml:space="preserve"> Parents’ </w:t>
      </w:r>
      <w:r w:rsidR="007709BE">
        <w:rPr>
          <w:rFonts w:ascii="Aptos" w:eastAsia="Times New Roman" w:hAnsi="Aptos" w:cs="Times New Roman"/>
          <w:i/>
          <w:iCs/>
          <w:sz w:val="25"/>
          <w:szCs w:val="25"/>
        </w:rPr>
        <w:t xml:space="preserve">pro se </w:t>
      </w:r>
      <w:r w:rsidR="007709BE">
        <w:rPr>
          <w:rFonts w:ascii="Aptos" w:eastAsia="Times New Roman" w:hAnsi="Aptos" w:cs="Times New Roman"/>
          <w:sz w:val="25"/>
          <w:szCs w:val="25"/>
        </w:rPr>
        <w:t xml:space="preserve">status, </w:t>
      </w:r>
      <w:r w:rsidR="00CD5BE8" w:rsidRPr="000370FF">
        <w:rPr>
          <w:rFonts w:ascii="Aptos" w:eastAsia="Times New Roman" w:hAnsi="Aptos" w:cs="Times New Roman"/>
          <w:sz w:val="25"/>
          <w:szCs w:val="25"/>
        </w:rPr>
        <w:t xml:space="preserve">as I am required to do, </w:t>
      </w:r>
      <w:r w:rsidR="007709BE">
        <w:rPr>
          <w:rFonts w:ascii="Aptos" w:eastAsia="Times New Roman" w:hAnsi="Aptos" w:cs="Times New Roman"/>
          <w:sz w:val="25"/>
          <w:szCs w:val="25"/>
        </w:rPr>
        <w:t>I conclude that</w:t>
      </w:r>
      <w:r w:rsidR="00BF3DD0">
        <w:rPr>
          <w:rFonts w:ascii="Aptos" w:eastAsia="Times New Roman" w:hAnsi="Aptos" w:cs="Times New Roman"/>
          <w:sz w:val="25"/>
          <w:szCs w:val="25"/>
        </w:rPr>
        <w:t>,</w:t>
      </w:r>
      <w:r w:rsidR="007709BE">
        <w:rPr>
          <w:rFonts w:ascii="Aptos" w:eastAsia="Times New Roman" w:hAnsi="Aptos" w:cs="Times New Roman"/>
          <w:sz w:val="25"/>
          <w:szCs w:val="25"/>
        </w:rPr>
        <w:t xml:space="preserve"> </w:t>
      </w:r>
      <w:r w:rsidR="005C5FEA">
        <w:rPr>
          <w:rFonts w:ascii="Aptos" w:eastAsia="Times New Roman" w:hAnsi="Aptos" w:cs="Times New Roman"/>
          <w:sz w:val="25"/>
          <w:szCs w:val="25"/>
        </w:rPr>
        <w:t xml:space="preserve">as presented, </w:t>
      </w:r>
      <w:r w:rsidR="00E51B98">
        <w:rPr>
          <w:rFonts w:ascii="Aptos" w:eastAsia="Times New Roman" w:hAnsi="Aptos" w:cs="Times New Roman"/>
          <w:sz w:val="25"/>
          <w:szCs w:val="25"/>
        </w:rPr>
        <w:t xml:space="preserve">it </w:t>
      </w:r>
      <w:r w:rsidR="00702BAF">
        <w:rPr>
          <w:rFonts w:ascii="Aptos" w:eastAsia="Times New Roman" w:hAnsi="Aptos" w:cs="Times New Roman"/>
          <w:sz w:val="25"/>
          <w:szCs w:val="25"/>
        </w:rPr>
        <w:t>must be dismissed without prejudice</w:t>
      </w:r>
      <w:r w:rsidR="007709BE">
        <w:rPr>
          <w:rFonts w:ascii="Aptos" w:eastAsia="Times New Roman" w:hAnsi="Aptos" w:cs="Times New Roman"/>
          <w:sz w:val="25"/>
          <w:szCs w:val="25"/>
        </w:rPr>
        <w:t xml:space="preserve">.  </w:t>
      </w:r>
    </w:p>
    <w:p w14:paraId="25E204D2" w14:textId="77777777" w:rsidR="00A433D4" w:rsidRDefault="00A433D4" w:rsidP="002B45CB">
      <w:pPr>
        <w:shd w:val="clear" w:color="auto" w:fill="FFFFFF"/>
        <w:rPr>
          <w:rFonts w:ascii="Aptos" w:eastAsia="Times New Roman" w:hAnsi="Aptos" w:cs="Times New Roman"/>
          <w:sz w:val="25"/>
          <w:szCs w:val="25"/>
        </w:rPr>
      </w:pPr>
    </w:p>
    <w:p w14:paraId="60A1B2A9" w14:textId="5A73C1E3" w:rsidR="002B45CB" w:rsidRDefault="00321F96" w:rsidP="002B45CB">
      <w:pPr>
        <w:shd w:val="clear" w:color="auto" w:fill="FFFFFF"/>
        <w:rPr>
          <w:rFonts w:ascii="Aptos" w:eastAsia="Times New Roman" w:hAnsi="Aptos" w:cs="Times New Roman"/>
          <w:sz w:val="25"/>
          <w:szCs w:val="25"/>
        </w:rPr>
      </w:pPr>
      <w:r>
        <w:rPr>
          <w:rFonts w:ascii="Aptos" w:eastAsia="Times New Roman" w:hAnsi="Aptos" w:cs="Times New Roman"/>
          <w:sz w:val="25"/>
          <w:szCs w:val="25"/>
        </w:rPr>
        <w:t xml:space="preserve">As the District properly acknowledged in its </w:t>
      </w:r>
      <w:r w:rsidR="00051F58">
        <w:rPr>
          <w:rFonts w:ascii="Aptos" w:eastAsia="Times New Roman" w:hAnsi="Aptos" w:cs="Times New Roman"/>
          <w:i/>
          <w:iCs/>
          <w:sz w:val="25"/>
          <w:szCs w:val="25"/>
        </w:rPr>
        <w:t>Response</w:t>
      </w:r>
      <w:r>
        <w:rPr>
          <w:rFonts w:ascii="Aptos" w:eastAsia="Times New Roman" w:hAnsi="Aptos" w:cs="Times New Roman"/>
          <w:sz w:val="25"/>
          <w:szCs w:val="25"/>
        </w:rPr>
        <w:t xml:space="preserve">, and as noted, </w:t>
      </w:r>
      <w:r>
        <w:rPr>
          <w:rFonts w:ascii="Aptos" w:eastAsia="Times New Roman" w:hAnsi="Aptos" w:cs="Times New Roman"/>
          <w:i/>
          <w:iCs/>
          <w:sz w:val="25"/>
          <w:szCs w:val="25"/>
        </w:rPr>
        <w:t>supra</w:t>
      </w:r>
      <w:r>
        <w:rPr>
          <w:rFonts w:ascii="Aptos" w:eastAsia="Times New Roman" w:hAnsi="Aptos" w:cs="Times New Roman"/>
          <w:sz w:val="25"/>
          <w:szCs w:val="25"/>
        </w:rPr>
        <w:t>, the First Circuit has clearly held that FAPE-based retaliation claims must be exhausted before the BSEA</w:t>
      </w:r>
      <w:r>
        <w:rPr>
          <w:rStyle w:val="FootnoteReference"/>
          <w:rFonts w:ascii="Aptos" w:eastAsia="Times New Roman" w:hAnsi="Aptos" w:cs="Times New Roman"/>
          <w:sz w:val="25"/>
          <w:szCs w:val="25"/>
        </w:rPr>
        <w:footnoteReference w:id="23"/>
      </w:r>
      <w:r w:rsidR="005F5736">
        <w:rPr>
          <w:rFonts w:ascii="Aptos" w:eastAsia="Times New Roman" w:hAnsi="Aptos" w:cs="Times New Roman"/>
          <w:sz w:val="25"/>
          <w:szCs w:val="25"/>
        </w:rPr>
        <w:t>.  T</w:t>
      </w:r>
      <w:r w:rsidR="00FF52E1">
        <w:rPr>
          <w:rFonts w:ascii="Aptos" w:eastAsia="Times New Roman" w:hAnsi="Aptos" w:cs="Times New Roman"/>
          <w:sz w:val="25"/>
          <w:szCs w:val="25"/>
        </w:rPr>
        <w:t xml:space="preserve">hus, such </w:t>
      </w:r>
      <w:r w:rsidR="00BF3DD0">
        <w:rPr>
          <w:rFonts w:ascii="Aptos" w:eastAsia="Times New Roman" w:hAnsi="Aptos" w:cs="Times New Roman"/>
          <w:sz w:val="25"/>
          <w:szCs w:val="25"/>
        </w:rPr>
        <w:t xml:space="preserve">FAPE-based </w:t>
      </w:r>
      <w:r w:rsidR="00FF52E1">
        <w:rPr>
          <w:rFonts w:ascii="Aptos" w:eastAsia="Times New Roman" w:hAnsi="Aptos" w:cs="Times New Roman"/>
          <w:sz w:val="25"/>
          <w:szCs w:val="25"/>
        </w:rPr>
        <w:t>retaliation claims are within the BSEA’s jurisdiction</w:t>
      </w:r>
      <w:r>
        <w:rPr>
          <w:rFonts w:ascii="Aptos" w:eastAsia="Times New Roman" w:hAnsi="Aptos" w:cs="Times New Roman"/>
          <w:sz w:val="25"/>
          <w:szCs w:val="25"/>
        </w:rPr>
        <w:t xml:space="preserve">.  </w:t>
      </w:r>
      <w:r w:rsidR="002C578A">
        <w:rPr>
          <w:rFonts w:ascii="Aptos" w:eastAsia="Times New Roman" w:hAnsi="Aptos" w:cs="Times New Roman"/>
          <w:sz w:val="25"/>
          <w:szCs w:val="25"/>
        </w:rPr>
        <w:t xml:space="preserve">As such, </w:t>
      </w:r>
      <w:r w:rsidR="007A7C38">
        <w:rPr>
          <w:rFonts w:ascii="Aptos" w:eastAsia="Times New Roman" w:hAnsi="Aptos" w:cs="Times New Roman"/>
          <w:sz w:val="25"/>
          <w:szCs w:val="25"/>
        </w:rPr>
        <w:t xml:space="preserve">my analysis turns on whether the Retaliation Claim </w:t>
      </w:r>
      <w:r w:rsidR="00FF52E1">
        <w:rPr>
          <w:rFonts w:ascii="Aptos" w:eastAsia="Times New Roman" w:hAnsi="Aptos" w:cs="Times New Roman"/>
          <w:sz w:val="25"/>
          <w:szCs w:val="25"/>
        </w:rPr>
        <w:t xml:space="preserve">contains </w:t>
      </w:r>
      <w:r w:rsidR="002C578A">
        <w:rPr>
          <w:rFonts w:ascii="Aptos" w:eastAsia="Times New Roman" w:hAnsi="Aptos" w:cs="Times New Roman"/>
          <w:sz w:val="25"/>
          <w:szCs w:val="25"/>
        </w:rPr>
        <w:t xml:space="preserve">sufficient </w:t>
      </w:r>
      <w:r w:rsidR="00FF52E1">
        <w:rPr>
          <w:rFonts w:ascii="Aptos" w:eastAsia="Times New Roman" w:hAnsi="Aptos" w:cs="Times New Roman"/>
          <w:sz w:val="25"/>
          <w:szCs w:val="25"/>
        </w:rPr>
        <w:t>factual allegations to establish a prima facie case of FAPE-based retaliation.</w:t>
      </w:r>
      <w:r w:rsidR="00297D4E">
        <w:rPr>
          <w:rFonts w:ascii="Aptos" w:eastAsia="Times New Roman" w:hAnsi="Aptos" w:cs="Times New Roman"/>
          <w:sz w:val="25"/>
          <w:szCs w:val="25"/>
        </w:rPr>
        <w:t xml:space="preserve">  </w:t>
      </w:r>
    </w:p>
    <w:p w14:paraId="34173B65" w14:textId="77777777" w:rsidR="002B45CB" w:rsidRDefault="002B45CB" w:rsidP="002B45CB">
      <w:pPr>
        <w:shd w:val="clear" w:color="auto" w:fill="FFFFFF"/>
        <w:rPr>
          <w:rFonts w:ascii="Aptos" w:eastAsia="Times New Roman" w:hAnsi="Aptos" w:cs="Times New Roman"/>
          <w:sz w:val="25"/>
          <w:szCs w:val="25"/>
        </w:rPr>
      </w:pPr>
    </w:p>
    <w:p w14:paraId="605F5488" w14:textId="7A9F18B5" w:rsidR="00745EE0" w:rsidRDefault="00A433D4" w:rsidP="002B45CB">
      <w:pPr>
        <w:shd w:val="clear" w:color="auto" w:fill="FFFFFF"/>
        <w:rPr>
          <w:rFonts w:ascii="Aptos" w:eastAsia="Times New Roman" w:hAnsi="Aptos" w:cs="Times New Roman"/>
          <w:sz w:val="25"/>
          <w:szCs w:val="25"/>
        </w:rPr>
      </w:pPr>
      <w:r>
        <w:rPr>
          <w:rFonts w:ascii="Aptos" w:eastAsia="Times New Roman" w:hAnsi="Aptos" w:cs="Times New Roman"/>
          <w:sz w:val="25"/>
          <w:szCs w:val="25"/>
        </w:rPr>
        <w:lastRenderedPageBreak/>
        <w:t>I find that</w:t>
      </w:r>
      <w:r w:rsidR="00DD4374">
        <w:rPr>
          <w:rFonts w:ascii="Aptos" w:eastAsia="Times New Roman" w:hAnsi="Aptos" w:cs="Times New Roman"/>
          <w:sz w:val="25"/>
          <w:szCs w:val="25"/>
        </w:rPr>
        <w:t xml:space="preserve"> the information presented in the </w:t>
      </w:r>
      <w:r w:rsidR="00DD4374">
        <w:rPr>
          <w:rFonts w:ascii="Aptos" w:eastAsia="Times New Roman" w:hAnsi="Aptos" w:cs="Times New Roman"/>
          <w:i/>
          <w:iCs/>
          <w:sz w:val="25"/>
          <w:szCs w:val="25"/>
        </w:rPr>
        <w:t xml:space="preserve">Hearing </w:t>
      </w:r>
      <w:r w:rsidR="00DD4374" w:rsidRPr="00A433D4">
        <w:rPr>
          <w:rFonts w:ascii="Aptos" w:eastAsia="Times New Roman" w:hAnsi="Aptos" w:cs="Times New Roman"/>
          <w:i/>
          <w:iCs/>
          <w:sz w:val="25"/>
          <w:szCs w:val="25"/>
        </w:rPr>
        <w:t>Request</w:t>
      </w:r>
      <w:r>
        <w:rPr>
          <w:rFonts w:ascii="Aptos" w:eastAsia="Times New Roman" w:hAnsi="Aptos" w:cs="Times New Roman"/>
          <w:sz w:val="25"/>
          <w:szCs w:val="25"/>
        </w:rPr>
        <w:t xml:space="preserve">, even when considered in tandem with </w:t>
      </w:r>
      <w:r w:rsidR="00DD4374" w:rsidRPr="00A433D4">
        <w:rPr>
          <w:rFonts w:ascii="Aptos" w:eastAsia="Times New Roman" w:hAnsi="Aptos" w:cs="Times New Roman"/>
          <w:sz w:val="25"/>
          <w:szCs w:val="25"/>
        </w:rPr>
        <w:t>the</w:t>
      </w:r>
      <w:r w:rsidR="00DD4374">
        <w:rPr>
          <w:rFonts w:ascii="Aptos" w:eastAsia="Times New Roman" w:hAnsi="Aptos" w:cs="Times New Roman"/>
          <w:sz w:val="25"/>
          <w:szCs w:val="25"/>
        </w:rPr>
        <w:t xml:space="preserve"> </w:t>
      </w:r>
      <w:r w:rsidR="00DD4374">
        <w:rPr>
          <w:rFonts w:ascii="Aptos" w:eastAsia="Times New Roman" w:hAnsi="Aptos" w:cs="Times New Roman"/>
          <w:i/>
          <w:iCs/>
          <w:sz w:val="25"/>
          <w:szCs w:val="25"/>
        </w:rPr>
        <w:t>Opposition</w:t>
      </w:r>
      <w:r w:rsidR="00DD4374" w:rsidRPr="00120BC1">
        <w:rPr>
          <w:rStyle w:val="FootnoteReference"/>
          <w:rFonts w:ascii="Aptos" w:eastAsia="Times New Roman" w:hAnsi="Aptos" w:cs="Times New Roman"/>
          <w:sz w:val="25"/>
          <w:szCs w:val="25"/>
        </w:rPr>
        <w:footnoteReference w:id="24"/>
      </w:r>
      <w:r w:rsidR="00DD4374" w:rsidRPr="00120BC1">
        <w:rPr>
          <w:rFonts w:ascii="Aptos" w:eastAsia="Times New Roman" w:hAnsi="Aptos" w:cs="Times New Roman"/>
          <w:sz w:val="25"/>
          <w:szCs w:val="25"/>
        </w:rPr>
        <w:t>,</w:t>
      </w:r>
      <w:r w:rsidR="00DD4374">
        <w:rPr>
          <w:rFonts w:ascii="Aptos" w:eastAsia="Times New Roman" w:hAnsi="Aptos" w:cs="Times New Roman"/>
          <w:sz w:val="25"/>
          <w:szCs w:val="25"/>
        </w:rPr>
        <w:t xml:space="preserve"> </w:t>
      </w:r>
      <w:r w:rsidR="004C6D35">
        <w:rPr>
          <w:rFonts w:ascii="Aptos" w:eastAsia="Times New Roman" w:hAnsi="Aptos" w:cs="Times New Roman"/>
          <w:sz w:val="25"/>
          <w:szCs w:val="25"/>
        </w:rPr>
        <w:t xml:space="preserve">fails to meet the </w:t>
      </w:r>
      <w:r w:rsidR="00AB795A">
        <w:rPr>
          <w:rFonts w:ascii="Aptos" w:eastAsia="Times New Roman" w:hAnsi="Aptos" w:cs="Times New Roman"/>
          <w:sz w:val="25"/>
          <w:szCs w:val="25"/>
        </w:rPr>
        <w:t xml:space="preserve">second and third </w:t>
      </w:r>
      <w:r w:rsidR="00F12693">
        <w:rPr>
          <w:rFonts w:ascii="Aptos" w:eastAsia="Times New Roman" w:hAnsi="Aptos" w:cs="Times New Roman"/>
          <w:sz w:val="25"/>
          <w:szCs w:val="25"/>
        </w:rPr>
        <w:t xml:space="preserve">elements </w:t>
      </w:r>
      <w:r w:rsidR="004E79F2">
        <w:rPr>
          <w:rFonts w:ascii="Aptos" w:eastAsia="Times New Roman" w:hAnsi="Aptos" w:cs="Times New Roman"/>
          <w:sz w:val="25"/>
          <w:szCs w:val="25"/>
        </w:rPr>
        <w:t xml:space="preserve">required to pursue a claim </w:t>
      </w:r>
      <w:r w:rsidR="00AB795A">
        <w:rPr>
          <w:rFonts w:ascii="Aptos" w:eastAsia="Times New Roman" w:hAnsi="Aptos" w:cs="Times New Roman"/>
          <w:sz w:val="25"/>
          <w:szCs w:val="25"/>
        </w:rPr>
        <w:t>of FAPE-based retaliation</w:t>
      </w:r>
      <w:r w:rsidR="00C5673C">
        <w:rPr>
          <w:rStyle w:val="FootnoteReference"/>
          <w:rFonts w:ascii="Aptos" w:eastAsia="Times New Roman" w:hAnsi="Aptos" w:cs="Times New Roman"/>
          <w:sz w:val="25"/>
          <w:szCs w:val="25"/>
        </w:rPr>
        <w:footnoteReference w:id="25"/>
      </w:r>
      <w:r w:rsidR="00AB795A">
        <w:rPr>
          <w:rFonts w:ascii="Aptos" w:eastAsia="Times New Roman" w:hAnsi="Aptos" w:cs="Times New Roman"/>
          <w:sz w:val="25"/>
          <w:szCs w:val="25"/>
        </w:rPr>
        <w:t xml:space="preserve">.  </w:t>
      </w:r>
      <w:r w:rsidR="00DD4374">
        <w:rPr>
          <w:rFonts w:ascii="Aptos" w:eastAsia="Times New Roman" w:hAnsi="Aptos" w:cs="Times New Roman"/>
          <w:sz w:val="25"/>
          <w:szCs w:val="25"/>
        </w:rPr>
        <w:t xml:space="preserve">Specifically, </w:t>
      </w:r>
      <w:r w:rsidR="0022103F">
        <w:rPr>
          <w:rFonts w:ascii="Aptos" w:eastAsia="Times New Roman" w:hAnsi="Aptos" w:cs="Times New Roman"/>
          <w:sz w:val="25"/>
          <w:szCs w:val="25"/>
        </w:rPr>
        <w:t xml:space="preserve">although Parents have alleged that District staff threatened </w:t>
      </w:r>
      <w:r w:rsidR="000F4493">
        <w:rPr>
          <w:rFonts w:ascii="Aptos" w:eastAsia="Times New Roman" w:hAnsi="Aptos" w:cs="Times New Roman"/>
          <w:sz w:val="25"/>
          <w:szCs w:val="25"/>
        </w:rPr>
        <w:t xml:space="preserve">to </w:t>
      </w:r>
      <w:r w:rsidR="0022103F">
        <w:rPr>
          <w:rFonts w:ascii="Aptos" w:eastAsia="Times New Roman" w:hAnsi="Aptos" w:cs="Times New Roman"/>
          <w:sz w:val="25"/>
          <w:szCs w:val="25"/>
        </w:rPr>
        <w:t xml:space="preserve">retaliate against Student if Parents continued to advocate for her, </w:t>
      </w:r>
      <w:r w:rsidR="00AB795A">
        <w:rPr>
          <w:rFonts w:ascii="Aptos" w:eastAsia="Times New Roman" w:hAnsi="Aptos" w:cs="Times New Roman"/>
          <w:sz w:val="25"/>
          <w:szCs w:val="25"/>
        </w:rPr>
        <w:t>there is no information presented as to</w:t>
      </w:r>
      <w:r w:rsidR="00FA7D1A">
        <w:rPr>
          <w:rFonts w:ascii="Aptos" w:eastAsia="Times New Roman" w:hAnsi="Aptos" w:cs="Times New Roman"/>
          <w:sz w:val="25"/>
          <w:szCs w:val="25"/>
        </w:rPr>
        <w:t xml:space="preserve"> when this threat was made,</w:t>
      </w:r>
      <w:r w:rsidR="00AB795A">
        <w:rPr>
          <w:rFonts w:ascii="Aptos" w:eastAsia="Times New Roman" w:hAnsi="Aptos" w:cs="Times New Roman"/>
          <w:sz w:val="25"/>
          <w:szCs w:val="25"/>
        </w:rPr>
        <w:t xml:space="preserve"> what, if any</w:t>
      </w:r>
      <w:r w:rsidR="00DD4374">
        <w:rPr>
          <w:rFonts w:ascii="Aptos" w:eastAsia="Times New Roman" w:hAnsi="Aptos" w:cs="Times New Roman"/>
          <w:sz w:val="25"/>
          <w:szCs w:val="25"/>
        </w:rPr>
        <w:t xml:space="preserve">, </w:t>
      </w:r>
      <w:r w:rsidR="009C7490">
        <w:rPr>
          <w:rFonts w:ascii="Aptos" w:eastAsia="Times New Roman" w:hAnsi="Aptos" w:cs="Times New Roman"/>
          <w:sz w:val="25"/>
          <w:szCs w:val="25"/>
        </w:rPr>
        <w:t xml:space="preserve">specific </w:t>
      </w:r>
      <w:r w:rsidR="00DD4374">
        <w:rPr>
          <w:rFonts w:ascii="Aptos" w:eastAsia="Times New Roman" w:hAnsi="Aptos" w:cs="Times New Roman"/>
          <w:sz w:val="25"/>
          <w:szCs w:val="25"/>
        </w:rPr>
        <w:t>alleged adverse action Student</w:t>
      </w:r>
      <w:r w:rsidR="009C7490">
        <w:rPr>
          <w:rFonts w:ascii="Aptos" w:eastAsia="Times New Roman" w:hAnsi="Aptos" w:cs="Times New Roman"/>
          <w:sz w:val="25"/>
          <w:szCs w:val="25"/>
        </w:rPr>
        <w:t xml:space="preserve"> (or Parents)</w:t>
      </w:r>
      <w:r w:rsidR="00DD4374">
        <w:rPr>
          <w:rFonts w:ascii="Aptos" w:eastAsia="Times New Roman" w:hAnsi="Aptos" w:cs="Times New Roman"/>
          <w:sz w:val="25"/>
          <w:szCs w:val="25"/>
        </w:rPr>
        <w:t xml:space="preserve"> ha</w:t>
      </w:r>
      <w:r w:rsidR="009C7490">
        <w:rPr>
          <w:rFonts w:ascii="Aptos" w:eastAsia="Times New Roman" w:hAnsi="Aptos" w:cs="Times New Roman"/>
          <w:sz w:val="25"/>
          <w:szCs w:val="25"/>
        </w:rPr>
        <w:t>ve</w:t>
      </w:r>
      <w:r w:rsidR="00DD4374">
        <w:rPr>
          <w:rFonts w:ascii="Aptos" w:eastAsia="Times New Roman" w:hAnsi="Aptos" w:cs="Times New Roman"/>
          <w:sz w:val="25"/>
          <w:szCs w:val="25"/>
        </w:rPr>
        <w:t xml:space="preserve"> been subjected to a</w:t>
      </w:r>
      <w:r w:rsidR="0022103F">
        <w:rPr>
          <w:rFonts w:ascii="Aptos" w:eastAsia="Times New Roman" w:hAnsi="Aptos" w:cs="Times New Roman"/>
          <w:sz w:val="25"/>
          <w:szCs w:val="25"/>
        </w:rPr>
        <w:t xml:space="preserve">fter this threat was made, or </w:t>
      </w:r>
      <w:r w:rsidR="00FA7D1A">
        <w:rPr>
          <w:rFonts w:ascii="Aptos" w:eastAsia="Times New Roman" w:hAnsi="Aptos" w:cs="Times New Roman"/>
          <w:sz w:val="25"/>
          <w:szCs w:val="25"/>
        </w:rPr>
        <w:t xml:space="preserve">how this threat related to </w:t>
      </w:r>
      <w:r w:rsidR="00DD4374">
        <w:rPr>
          <w:rFonts w:ascii="Aptos" w:eastAsia="Times New Roman" w:hAnsi="Aptos" w:cs="Times New Roman"/>
          <w:sz w:val="25"/>
          <w:szCs w:val="25"/>
        </w:rPr>
        <w:t xml:space="preserve">any of the other claims in the </w:t>
      </w:r>
      <w:r w:rsidR="00DD4374">
        <w:rPr>
          <w:rFonts w:ascii="Aptos" w:eastAsia="Times New Roman" w:hAnsi="Aptos" w:cs="Times New Roman"/>
          <w:i/>
          <w:iCs/>
          <w:sz w:val="25"/>
          <w:szCs w:val="25"/>
        </w:rPr>
        <w:t xml:space="preserve">Hearing Request, </w:t>
      </w:r>
      <w:r w:rsidR="0022103F">
        <w:rPr>
          <w:rFonts w:ascii="Aptos" w:eastAsia="Times New Roman" w:hAnsi="Aptos" w:cs="Times New Roman"/>
          <w:sz w:val="25"/>
          <w:szCs w:val="25"/>
        </w:rPr>
        <w:t xml:space="preserve">that could otherwise potentially </w:t>
      </w:r>
      <w:r w:rsidR="00DD4374">
        <w:rPr>
          <w:rFonts w:ascii="Aptos" w:eastAsia="Times New Roman" w:hAnsi="Aptos" w:cs="Times New Roman"/>
          <w:sz w:val="25"/>
          <w:szCs w:val="25"/>
        </w:rPr>
        <w:t>provide a causal connection between Parents’ advocacy and any potential adverse action</w:t>
      </w:r>
      <w:r w:rsidR="00E41B7B">
        <w:rPr>
          <w:rStyle w:val="FootnoteReference"/>
          <w:rFonts w:ascii="Aptos" w:eastAsia="Times New Roman" w:hAnsi="Aptos" w:cs="Times New Roman"/>
          <w:sz w:val="25"/>
          <w:szCs w:val="25"/>
        </w:rPr>
        <w:footnoteReference w:id="26"/>
      </w:r>
      <w:r w:rsidR="00DD4374">
        <w:rPr>
          <w:rFonts w:ascii="Aptos" w:eastAsia="Times New Roman" w:hAnsi="Aptos" w:cs="Times New Roman"/>
          <w:sz w:val="25"/>
          <w:szCs w:val="25"/>
        </w:rPr>
        <w:t xml:space="preserve">.  </w:t>
      </w:r>
    </w:p>
    <w:p w14:paraId="1DB3666C" w14:textId="77777777" w:rsidR="00745EE0" w:rsidRDefault="00745EE0" w:rsidP="002B45CB">
      <w:pPr>
        <w:shd w:val="clear" w:color="auto" w:fill="FFFFFF"/>
        <w:rPr>
          <w:rFonts w:ascii="Aptos" w:eastAsia="Times New Roman" w:hAnsi="Aptos" w:cs="Times New Roman"/>
          <w:sz w:val="25"/>
          <w:szCs w:val="25"/>
        </w:rPr>
      </w:pPr>
    </w:p>
    <w:p w14:paraId="5308E736" w14:textId="6FD12E50" w:rsidR="00A240EA" w:rsidRPr="002B45CB" w:rsidRDefault="00A240EA" w:rsidP="002B45CB">
      <w:pPr>
        <w:shd w:val="clear" w:color="auto" w:fill="FFFFFF"/>
        <w:rPr>
          <w:rFonts w:ascii="Aptos" w:eastAsia="Times New Roman" w:hAnsi="Aptos" w:cs="Times New Roman"/>
          <w:sz w:val="25"/>
          <w:szCs w:val="25"/>
        </w:rPr>
      </w:pPr>
      <w:r>
        <w:rPr>
          <w:rFonts w:ascii="Aptos" w:eastAsia="Times New Roman" w:hAnsi="Aptos" w:cs="Times New Roman"/>
          <w:sz w:val="25"/>
          <w:szCs w:val="25"/>
        </w:rPr>
        <w:t>I</w:t>
      </w:r>
      <w:r w:rsidR="00745EE0">
        <w:rPr>
          <w:rFonts w:ascii="Aptos" w:eastAsia="Times New Roman" w:hAnsi="Aptos" w:cs="Times New Roman"/>
          <w:sz w:val="25"/>
          <w:szCs w:val="25"/>
        </w:rPr>
        <w:t xml:space="preserve">, therefore, </w:t>
      </w:r>
      <w:r>
        <w:rPr>
          <w:rFonts w:ascii="Aptos" w:eastAsia="Times New Roman" w:hAnsi="Aptos" w:cs="Times New Roman"/>
          <w:sz w:val="25"/>
          <w:szCs w:val="25"/>
        </w:rPr>
        <w:t xml:space="preserve">find </w:t>
      </w:r>
      <w:r w:rsidR="008F602C">
        <w:rPr>
          <w:rFonts w:ascii="Aptos" w:eastAsia="Times New Roman" w:hAnsi="Aptos" w:cs="Times New Roman"/>
          <w:sz w:val="25"/>
          <w:szCs w:val="25"/>
        </w:rPr>
        <w:t>that</w:t>
      </w:r>
      <w:r w:rsidR="00D51714">
        <w:rPr>
          <w:rFonts w:ascii="Aptos" w:eastAsia="Times New Roman" w:hAnsi="Aptos" w:cs="Times New Roman"/>
          <w:sz w:val="25"/>
          <w:szCs w:val="25"/>
        </w:rPr>
        <w:t>, as currently presented,</w:t>
      </w:r>
      <w:r w:rsidR="008F602C">
        <w:rPr>
          <w:rFonts w:ascii="Aptos" w:eastAsia="Times New Roman" w:hAnsi="Aptos" w:cs="Times New Roman"/>
          <w:sz w:val="25"/>
          <w:szCs w:val="25"/>
        </w:rPr>
        <w:t xml:space="preserve"> </w:t>
      </w:r>
      <w:r>
        <w:rPr>
          <w:rFonts w:ascii="Aptos" w:eastAsia="Times New Roman" w:hAnsi="Aptos" w:cs="Times New Roman"/>
          <w:sz w:val="25"/>
          <w:szCs w:val="25"/>
        </w:rPr>
        <w:t>the Retaliation Claim lack</w:t>
      </w:r>
      <w:r w:rsidR="00BC15C5">
        <w:rPr>
          <w:rFonts w:ascii="Aptos" w:eastAsia="Times New Roman" w:hAnsi="Aptos" w:cs="Times New Roman"/>
          <w:sz w:val="25"/>
          <w:szCs w:val="25"/>
        </w:rPr>
        <w:t>s</w:t>
      </w:r>
      <w:r>
        <w:rPr>
          <w:rFonts w:ascii="Aptos" w:eastAsia="Times New Roman" w:hAnsi="Aptos" w:cs="Times New Roman"/>
          <w:sz w:val="25"/>
          <w:szCs w:val="25"/>
        </w:rPr>
        <w:t xml:space="preserve"> </w:t>
      </w:r>
      <w:r w:rsidR="0044453C">
        <w:rPr>
          <w:rFonts w:ascii="Aptos" w:eastAsia="Times New Roman" w:hAnsi="Aptos" w:cs="Times New Roman"/>
          <w:sz w:val="25"/>
          <w:szCs w:val="25"/>
        </w:rPr>
        <w:t xml:space="preserve">sufficient factual allegations to provide the District with </w:t>
      </w:r>
      <w:r>
        <w:rPr>
          <w:rFonts w:ascii="Aptos" w:eastAsia="Times New Roman" w:hAnsi="Aptos" w:cs="Times New Roman"/>
          <w:sz w:val="25"/>
          <w:szCs w:val="25"/>
        </w:rPr>
        <w:t>fair notice as to the nature of the</w:t>
      </w:r>
      <w:r w:rsidR="0044453C">
        <w:rPr>
          <w:rFonts w:ascii="Aptos" w:eastAsia="Times New Roman" w:hAnsi="Aptos" w:cs="Times New Roman"/>
          <w:sz w:val="25"/>
          <w:szCs w:val="25"/>
        </w:rPr>
        <w:t xml:space="preserve"> retaliation</w:t>
      </w:r>
      <w:r>
        <w:rPr>
          <w:rFonts w:ascii="Aptos" w:eastAsia="Times New Roman" w:hAnsi="Aptos" w:cs="Times New Roman"/>
          <w:sz w:val="25"/>
          <w:szCs w:val="25"/>
        </w:rPr>
        <w:t xml:space="preserve"> dispute</w:t>
      </w:r>
      <w:r w:rsidR="00276695">
        <w:rPr>
          <w:rStyle w:val="FootnoteReference"/>
          <w:rFonts w:ascii="Aptos" w:eastAsia="Times New Roman" w:hAnsi="Aptos" w:cs="Times New Roman"/>
          <w:sz w:val="25"/>
          <w:szCs w:val="25"/>
        </w:rPr>
        <w:footnoteReference w:id="27"/>
      </w:r>
      <w:r>
        <w:rPr>
          <w:rFonts w:ascii="Aptos" w:eastAsia="Times New Roman" w:hAnsi="Aptos" w:cs="Times New Roman"/>
          <w:sz w:val="25"/>
          <w:szCs w:val="25"/>
        </w:rPr>
        <w:t xml:space="preserve">.  </w:t>
      </w:r>
      <w:r w:rsidR="00201944">
        <w:rPr>
          <w:rFonts w:ascii="Aptos" w:eastAsia="Times New Roman" w:hAnsi="Aptos" w:cs="Times New Roman"/>
          <w:sz w:val="25"/>
          <w:szCs w:val="25"/>
        </w:rPr>
        <w:t xml:space="preserve">However, </w:t>
      </w:r>
      <w:r w:rsidR="00D51714">
        <w:rPr>
          <w:rFonts w:ascii="Aptos" w:eastAsia="Times New Roman" w:hAnsi="Aptos" w:cs="Times New Roman"/>
          <w:sz w:val="25"/>
          <w:szCs w:val="25"/>
        </w:rPr>
        <w:t>since</w:t>
      </w:r>
      <w:r w:rsidR="00201944">
        <w:rPr>
          <w:rFonts w:ascii="Aptos" w:eastAsia="Times New Roman" w:hAnsi="Aptos" w:cs="Times New Roman"/>
          <w:sz w:val="25"/>
          <w:szCs w:val="25"/>
        </w:rPr>
        <w:t xml:space="preserve"> this deficiency may be cur</w:t>
      </w:r>
      <w:r w:rsidR="00D51714">
        <w:rPr>
          <w:rFonts w:ascii="Aptos" w:eastAsia="Times New Roman" w:hAnsi="Aptos" w:cs="Times New Roman"/>
          <w:sz w:val="25"/>
          <w:szCs w:val="25"/>
        </w:rPr>
        <w:t>ed</w:t>
      </w:r>
      <w:r w:rsidR="00201944">
        <w:rPr>
          <w:rFonts w:ascii="Aptos" w:eastAsia="Times New Roman" w:hAnsi="Aptos" w:cs="Times New Roman"/>
          <w:sz w:val="25"/>
          <w:szCs w:val="25"/>
        </w:rPr>
        <w:t>, and if so</w:t>
      </w:r>
      <w:r w:rsidR="005677BE">
        <w:rPr>
          <w:rFonts w:ascii="Aptos" w:eastAsia="Times New Roman" w:hAnsi="Aptos" w:cs="Times New Roman"/>
          <w:sz w:val="25"/>
          <w:szCs w:val="25"/>
        </w:rPr>
        <w:t xml:space="preserve"> cured</w:t>
      </w:r>
      <w:r w:rsidR="00201944">
        <w:rPr>
          <w:rFonts w:ascii="Aptos" w:eastAsia="Times New Roman" w:hAnsi="Aptos" w:cs="Times New Roman"/>
          <w:sz w:val="25"/>
          <w:szCs w:val="25"/>
        </w:rPr>
        <w:t xml:space="preserve">, </w:t>
      </w:r>
      <w:r w:rsidR="005677BE">
        <w:rPr>
          <w:rFonts w:ascii="Aptos" w:eastAsia="Times New Roman" w:hAnsi="Aptos" w:cs="Times New Roman"/>
          <w:sz w:val="25"/>
          <w:szCs w:val="25"/>
        </w:rPr>
        <w:t xml:space="preserve">conceivably could </w:t>
      </w:r>
      <w:r w:rsidR="00201944">
        <w:rPr>
          <w:rFonts w:ascii="Aptos" w:eastAsia="Times New Roman" w:hAnsi="Aptos" w:cs="Times New Roman"/>
          <w:sz w:val="25"/>
          <w:szCs w:val="25"/>
        </w:rPr>
        <w:t>involve a viable FAPE-based retaliation claim, dismissal with prejudice</w:t>
      </w:r>
      <w:r w:rsidR="005677BE">
        <w:rPr>
          <w:rFonts w:ascii="Aptos" w:eastAsia="Times New Roman" w:hAnsi="Aptos" w:cs="Times New Roman"/>
          <w:sz w:val="25"/>
          <w:szCs w:val="25"/>
        </w:rPr>
        <w:t>,</w:t>
      </w:r>
      <w:r w:rsidR="00201944">
        <w:rPr>
          <w:rFonts w:ascii="Aptos" w:eastAsia="Times New Roman" w:hAnsi="Aptos" w:cs="Times New Roman"/>
          <w:sz w:val="25"/>
          <w:szCs w:val="25"/>
        </w:rPr>
        <w:t xml:space="preserve"> as the District requests</w:t>
      </w:r>
      <w:r w:rsidR="005677BE">
        <w:rPr>
          <w:rFonts w:ascii="Aptos" w:eastAsia="Times New Roman" w:hAnsi="Aptos" w:cs="Times New Roman"/>
          <w:sz w:val="25"/>
          <w:szCs w:val="25"/>
        </w:rPr>
        <w:t>,</w:t>
      </w:r>
      <w:r w:rsidR="00201944">
        <w:rPr>
          <w:rFonts w:ascii="Aptos" w:eastAsia="Times New Roman" w:hAnsi="Aptos" w:cs="Times New Roman"/>
          <w:sz w:val="25"/>
          <w:szCs w:val="25"/>
        </w:rPr>
        <w:t xml:space="preserve"> is not warranted.  </w:t>
      </w:r>
      <w:r>
        <w:rPr>
          <w:rFonts w:ascii="Aptos" w:eastAsia="Times New Roman" w:hAnsi="Aptos" w:cs="Times New Roman"/>
          <w:sz w:val="25"/>
          <w:szCs w:val="25"/>
        </w:rPr>
        <w:t xml:space="preserve">As such, the Retaliation Claim is hereby </w:t>
      </w:r>
      <w:r>
        <w:rPr>
          <w:rFonts w:ascii="Aptos" w:eastAsia="Times New Roman" w:hAnsi="Aptos" w:cs="Times New Roman"/>
          <w:b/>
          <w:bCs/>
          <w:sz w:val="25"/>
          <w:szCs w:val="25"/>
        </w:rPr>
        <w:t>DISMISSED without prejudice.</w:t>
      </w:r>
    </w:p>
    <w:p w14:paraId="5F13FC00" w14:textId="77777777" w:rsidR="00634259" w:rsidRPr="00CE130D" w:rsidRDefault="00634259" w:rsidP="00634259">
      <w:pPr>
        <w:shd w:val="clear" w:color="auto" w:fill="FFFFFF"/>
        <w:rPr>
          <w:rFonts w:eastAsia="Times New Roman" w:cs="Times New Roman"/>
          <w:sz w:val="25"/>
          <w:szCs w:val="25"/>
        </w:rPr>
      </w:pPr>
    </w:p>
    <w:p w14:paraId="1CB78204" w14:textId="77777777" w:rsidR="00634259" w:rsidRPr="000370FF" w:rsidRDefault="00634259" w:rsidP="00634259">
      <w:pPr>
        <w:shd w:val="clear" w:color="auto" w:fill="FFFFFF"/>
        <w:jc w:val="center"/>
        <w:rPr>
          <w:rFonts w:ascii="Aptos" w:eastAsia="Times New Roman" w:hAnsi="Aptos" w:cs="Times New Roman"/>
          <w:b/>
          <w:bCs/>
          <w:sz w:val="25"/>
          <w:szCs w:val="25"/>
        </w:rPr>
      </w:pPr>
      <w:r w:rsidRPr="000370FF">
        <w:rPr>
          <w:rFonts w:ascii="Aptos" w:eastAsia="Times New Roman" w:hAnsi="Aptos" w:cs="Times New Roman"/>
          <w:b/>
          <w:bCs/>
          <w:sz w:val="25"/>
          <w:szCs w:val="25"/>
        </w:rPr>
        <w:t>ORDER</w:t>
      </w:r>
    </w:p>
    <w:p w14:paraId="47038A27" w14:textId="77777777" w:rsidR="00634259" w:rsidRPr="000370FF" w:rsidRDefault="00634259" w:rsidP="00634259">
      <w:pPr>
        <w:shd w:val="clear" w:color="auto" w:fill="FFFFFF"/>
        <w:jc w:val="center"/>
        <w:rPr>
          <w:rFonts w:ascii="Aptos" w:eastAsia="Times New Roman" w:hAnsi="Aptos" w:cs="Times New Roman"/>
          <w:sz w:val="25"/>
          <w:szCs w:val="25"/>
        </w:rPr>
      </w:pPr>
    </w:p>
    <w:p w14:paraId="6DD7C492" w14:textId="5933F545" w:rsidR="00634259" w:rsidRPr="00085F3E" w:rsidRDefault="00634259" w:rsidP="00634259">
      <w:pPr>
        <w:shd w:val="clear" w:color="auto" w:fill="FFFFFF"/>
        <w:rPr>
          <w:rFonts w:ascii="Aptos" w:eastAsia="Times New Roman" w:hAnsi="Aptos" w:cs="Times New Roman"/>
          <w:sz w:val="25"/>
          <w:szCs w:val="25"/>
        </w:rPr>
      </w:pPr>
      <w:r>
        <w:rPr>
          <w:rFonts w:ascii="Aptos" w:eastAsia="Times New Roman" w:hAnsi="Aptos" w:cs="Times New Roman"/>
          <w:sz w:val="25"/>
          <w:szCs w:val="25"/>
        </w:rPr>
        <w:t>The District’s</w:t>
      </w:r>
      <w:r w:rsidRPr="00085F3E">
        <w:rPr>
          <w:rFonts w:ascii="Aptos" w:eastAsia="Times New Roman" w:hAnsi="Aptos" w:cs="Times New Roman"/>
          <w:sz w:val="25"/>
          <w:szCs w:val="25"/>
        </w:rPr>
        <w:t xml:space="preserve"> </w:t>
      </w:r>
      <w:r w:rsidRPr="00085F3E">
        <w:rPr>
          <w:rFonts w:ascii="Aptos" w:eastAsia="Times New Roman" w:hAnsi="Aptos" w:cs="Times New Roman"/>
          <w:i/>
          <w:iCs/>
          <w:sz w:val="25"/>
          <w:szCs w:val="25"/>
        </w:rPr>
        <w:t>Motion</w:t>
      </w:r>
      <w:r w:rsidRPr="00085F3E">
        <w:rPr>
          <w:rFonts w:ascii="Aptos" w:eastAsia="Times New Roman" w:hAnsi="Aptos" w:cs="Times New Roman"/>
          <w:sz w:val="25"/>
          <w:szCs w:val="25"/>
        </w:rPr>
        <w:t xml:space="preserve"> is </w:t>
      </w:r>
      <w:r w:rsidRPr="00085F3E">
        <w:rPr>
          <w:rFonts w:ascii="Aptos" w:eastAsia="Times New Roman" w:hAnsi="Aptos" w:cs="Times New Roman"/>
          <w:b/>
          <w:bCs/>
          <w:sz w:val="25"/>
          <w:szCs w:val="25"/>
        </w:rPr>
        <w:t>ALLOWED</w:t>
      </w:r>
      <w:r w:rsidR="005677BE">
        <w:rPr>
          <w:rFonts w:ascii="Aptos" w:eastAsia="Times New Roman" w:hAnsi="Aptos" w:cs="Times New Roman"/>
          <w:b/>
          <w:bCs/>
          <w:sz w:val="25"/>
          <w:szCs w:val="25"/>
        </w:rPr>
        <w:t xml:space="preserve"> in part </w:t>
      </w:r>
      <w:r w:rsidR="00447AA8" w:rsidRPr="00BE0852">
        <w:rPr>
          <w:rFonts w:ascii="Aptos" w:eastAsia="Times New Roman" w:hAnsi="Aptos" w:cs="Times New Roman"/>
          <w:b/>
          <w:bCs/>
          <w:sz w:val="25"/>
          <w:szCs w:val="25"/>
        </w:rPr>
        <w:t xml:space="preserve">as the </w:t>
      </w:r>
      <w:r w:rsidR="00BE0852">
        <w:rPr>
          <w:rFonts w:ascii="Aptos" w:eastAsia="Times New Roman" w:hAnsi="Aptos" w:cs="Times New Roman"/>
          <w:b/>
          <w:bCs/>
          <w:sz w:val="25"/>
          <w:szCs w:val="25"/>
        </w:rPr>
        <w:t>R</w:t>
      </w:r>
      <w:r w:rsidR="00447AA8" w:rsidRPr="00BE0852">
        <w:rPr>
          <w:rFonts w:ascii="Aptos" w:eastAsia="Times New Roman" w:hAnsi="Aptos" w:cs="Times New Roman"/>
          <w:b/>
          <w:bCs/>
          <w:sz w:val="25"/>
          <w:szCs w:val="25"/>
        </w:rPr>
        <w:t xml:space="preserve">etaliation </w:t>
      </w:r>
      <w:r w:rsidR="00BE0852">
        <w:rPr>
          <w:rFonts w:ascii="Aptos" w:eastAsia="Times New Roman" w:hAnsi="Aptos" w:cs="Times New Roman"/>
          <w:b/>
          <w:bCs/>
          <w:sz w:val="25"/>
          <w:szCs w:val="25"/>
        </w:rPr>
        <w:t>C</w:t>
      </w:r>
      <w:r w:rsidR="00447AA8" w:rsidRPr="00BE0852">
        <w:rPr>
          <w:rFonts w:ascii="Aptos" w:eastAsia="Times New Roman" w:hAnsi="Aptos" w:cs="Times New Roman"/>
          <w:b/>
          <w:bCs/>
          <w:sz w:val="25"/>
          <w:szCs w:val="25"/>
        </w:rPr>
        <w:t xml:space="preserve">laim is DISMISSED but </w:t>
      </w:r>
      <w:r w:rsidR="005677BE" w:rsidRPr="00BE0852">
        <w:rPr>
          <w:rFonts w:ascii="Aptos" w:eastAsia="Times New Roman" w:hAnsi="Aptos" w:cs="Times New Roman"/>
          <w:b/>
          <w:bCs/>
          <w:sz w:val="25"/>
          <w:szCs w:val="25"/>
        </w:rPr>
        <w:t xml:space="preserve">DENIED </w:t>
      </w:r>
      <w:r w:rsidR="00447AA8" w:rsidRPr="00BE0852">
        <w:rPr>
          <w:rFonts w:ascii="Aptos" w:eastAsia="Times New Roman" w:hAnsi="Aptos" w:cs="Times New Roman"/>
          <w:b/>
          <w:bCs/>
          <w:sz w:val="25"/>
          <w:szCs w:val="25"/>
        </w:rPr>
        <w:t xml:space="preserve">insofar as the </w:t>
      </w:r>
      <w:r w:rsidR="00447AA8" w:rsidRPr="00BE0852">
        <w:rPr>
          <w:rFonts w:ascii="Aptos" w:eastAsia="Times New Roman" w:hAnsi="Aptos" w:cs="Times New Roman"/>
          <w:b/>
          <w:bCs/>
          <w:i/>
          <w:iCs/>
          <w:sz w:val="25"/>
          <w:szCs w:val="25"/>
        </w:rPr>
        <w:t>Motion</w:t>
      </w:r>
      <w:r w:rsidR="00447AA8" w:rsidRPr="00BE0852">
        <w:rPr>
          <w:rFonts w:ascii="Aptos" w:eastAsia="Times New Roman" w:hAnsi="Aptos" w:cs="Times New Roman"/>
          <w:b/>
          <w:bCs/>
          <w:sz w:val="25"/>
          <w:szCs w:val="25"/>
        </w:rPr>
        <w:t xml:space="preserve"> seeks that such dismissal is with prejudice</w:t>
      </w:r>
      <w:r w:rsidR="00BF3DD0">
        <w:rPr>
          <w:rFonts w:ascii="Aptos" w:eastAsia="Times New Roman" w:hAnsi="Aptos" w:cs="Times New Roman"/>
          <w:sz w:val="25"/>
          <w:szCs w:val="25"/>
        </w:rPr>
        <w:t>.</w:t>
      </w:r>
      <w:r w:rsidRPr="00085F3E">
        <w:rPr>
          <w:rFonts w:ascii="Aptos" w:eastAsia="Times New Roman" w:hAnsi="Aptos" w:cs="Times New Roman"/>
          <w:b/>
          <w:bCs/>
          <w:sz w:val="25"/>
          <w:szCs w:val="25"/>
        </w:rPr>
        <w:t xml:space="preserve"> </w:t>
      </w:r>
      <w:r w:rsidR="0069668E">
        <w:rPr>
          <w:rFonts w:ascii="Aptos" w:eastAsia="Times New Roman" w:hAnsi="Aptos" w:cs="Times New Roman"/>
          <w:sz w:val="25"/>
          <w:szCs w:val="25"/>
        </w:rPr>
        <w:t xml:space="preserve">The Hearing will proceed in accordance with the April 1, 2026 Ruling on all remaining claims in the </w:t>
      </w:r>
      <w:r w:rsidR="0069668E">
        <w:rPr>
          <w:rFonts w:ascii="Aptos" w:eastAsia="Times New Roman" w:hAnsi="Aptos" w:cs="Times New Roman"/>
          <w:i/>
          <w:iCs/>
          <w:sz w:val="25"/>
          <w:szCs w:val="25"/>
        </w:rPr>
        <w:t>Hearing Request</w:t>
      </w:r>
      <w:r w:rsidR="0069668E">
        <w:rPr>
          <w:rFonts w:ascii="Aptos" w:eastAsia="Times New Roman" w:hAnsi="Aptos" w:cs="Times New Roman"/>
          <w:sz w:val="25"/>
          <w:szCs w:val="25"/>
        </w:rPr>
        <w:t xml:space="preserve">.  </w:t>
      </w:r>
    </w:p>
    <w:p w14:paraId="099CFD0B" w14:textId="77777777" w:rsidR="00634259" w:rsidRPr="000370FF" w:rsidRDefault="00634259" w:rsidP="00634259">
      <w:pPr>
        <w:shd w:val="clear" w:color="auto" w:fill="FFFFFF"/>
        <w:rPr>
          <w:rFonts w:ascii="Aptos" w:eastAsia="Times New Roman" w:hAnsi="Aptos" w:cs="Times New Roman"/>
          <w:sz w:val="25"/>
          <w:szCs w:val="25"/>
        </w:rPr>
      </w:pPr>
    </w:p>
    <w:p w14:paraId="474365DF" w14:textId="12AC4510" w:rsidR="00634259" w:rsidRPr="00057D63" w:rsidRDefault="00634259" w:rsidP="00634259">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By the Hearing Officer, </w:t>
      </w:r>
    </w:p>
    <w:p w14:paraId="747FBC9F" w14:textId="320D07B7" w:rsidR="00634259" w:rsidRDefault="00634259" w:rsidP="00057D63">
      <w:pPr>
        <w:shd w:val="clear" w:color="auto" w:fill="FFFFFF"/>
        <w:rPr>
          <w:rFonts w:ascii="Aptos" w:eastAsia="Times New Roman" w:hAnsi="Aptos" w:cs="Times New Roman"/>
          <w:sz w:val="25"/>
          <w:szCs w:val="25"/>
        </w:rPr>
      </w:pPr>
      <w:r w:rsidRPr="00085F3E">
        <w:rPr>
          <w:rFonts w:ascii="Lucida Handwriting" w:eastAsia="Times New Roman" w:hAnsi="Lucida Handwriting" w:cs="Times New Roman"/>
          <w:sz w:val="25"/>
          <w:szCs w:val="25"/>
          <w:u w:val="single"/>
        </w:rPr>
        <w:t>/s/ Marguerite M. Mitchell</w:t>
      </w:r>
      <w:r w:rsidRPr="000370FF">
        <w:rPr>
          <w:rFonts w:ascii="Aptos" w:eastAsia="Times New Roman" w:hAnsi="Aptos" w:cs="Times New Roman"/>
          <w:sz w:val="25"/>
          <w:szCs w:val="25"/>
          <w:u w:val="single"/>
        </w:rPr>
        <w:br/>
      </w:r>
      <w:r w:rsidRPr="000370FF">
        <w:rPr>
          <w:rFonts w:ascii="Aptos" w:eastAsia="Times New Roman" w:hAnsi="Aptos" w:cs="Times New Roman"/>
          <w:sz w:val="25"/>
          <w:szCs w:val="25"/>
        </w:rPr>
        <w:t>Marguerite M. Mitchell</w:t>
      </w:r>
      <w:r w:rsidR="00057D63">
        <w:rPr>
          <w:rFonts w:ascii="Aptos" w:eastAsia="Times New Roman" w:hAnsi="Aptos" w:cs="Times New Roman"/>
          <w:sz w:val="25"/>
          <w:szCs w:val="25"/>
        </w:rPr>
        <w:tab/>
      </w:r>
      <w:r w:rsidR="00057D63">
        <w:rPr>
          <w:rFonts w:ascii="Aptos" w:eastAsia="Times New Roman" w:hAnsi="Aptos" w:cs="Times New Roman"/>
          <w:sz w:val="25"/>
          <w:szCs w:val="25"/>
        </w:rPr>
        <w:tab/>
      </w:r>
      <w:r w:rsidR="00057D63">
        <w:rPr>
          <w:rFonts w:ascii="Aptos" w:eastAsia="Times New Roman" w:hAnsi="Aptos" w:cs="Times New Roman"/>
          <w:sz w:val="25"/>
          <w:szCs w:val="25"/>
        </w:rPr>
        <w:tab/>
      </w:r>
      <w:r w:rsidR="00057D63">
        <w:rPr>
          <w:rFonts w:ascii="Aptos" w:eastAsia="Times New Roman" w:hAnsi="Aptos" w:cs="Times New Roman"/>
          <w:sz w:val="25"/>
          <w:szCs w:val="25"/>
        </w:rPr>
        <w:tab/>
      </w:r>
      <w:r w:rsidR="00057D63">
        <w:rPr>
          <w:rFonts w:ascii="Aptos" w:eastAsia="Times New Roman" w:hAnsi="Aptos" w:cs="Times New Roman"/>
          <w:sz w:val="25"/>
          <w:szCs w:val="25"/>
        </w:rPr>
        <w:tab/>
      </w:r>
      <w:r w:rsidR="00057D63">
        <w:rPr>
          <w:rFonts w:ascii="Aptos" w:eastAsia="Times New Roman" w:hAnsi="Aptos" w:cs="Times New Roman"/>
          <w:sz w:val="25"/>
          <w:szCs w:val="25"/>
        </w:rPr>
        <w:tab/>
      </w:r>
      <w:r w:rsidR="00057D63" w:rsidRPr="000370FF">
        <w:rPr>
          <w:rFonts w:ascii="Aptos" w:eastAsia="Times New Roman" w:hAnsi="Aptos" w:cs="Times New Roman"/>
          <w:sz w:val="25"/>
          <w:szCs w:val="25"/>
        </w:rPr>
        <w:t xml:space="preserve">Date: </w:t>
      </w:r>
      <w:r w:rsidR="00057D63">
        <w:rPr>
          <w:rFonts w:ascii="Aptos" w:eastAsia="Times New Roman" w:hAnsi="Aptos" w:cs="Times New Roman"/>
          <w:sz w:val="25"/>
          <w:szCs w:val="25"/>
        </w:rPr>
        <w:t>April 14, 202</w:t>
      </w:r>
      <w:r w:rsidR="00750C2D">
        <w:rPr>
          <w:rFonts w:ascii="Aptos" w:eastAsia="Times New Roman" w:hAnsi="Aptos" w:cs="Times New Roman"/>
          <w:sz w:val="25"/>
          <w:szCs w:val="25"/>
        </w:rPr>
        <w:t>6</w:t>
      </w:r>
      <w:r>
        <w:rPr>
          <w:rFonts w:ascii="Aptos" w:eastAsia="Times New Roman" w:hAnsi="Aptos" w:cs="Times New Roman"/>
          <w:sz w:val="25"/>
          <w:szCs w:val="25"/>
        </w:rPr>
        <w:br w:type="page"/>
      </w:r>
    </w:p>
    <w:p w14:paraId="63740969" w14:textId="77777777" w:rsidR="00634259" w:rsidRPr="006A114C" w:rsidRDefault="00634259" w:rsidP="00634259">
      <w:pPr>
        <w:spacing w:line="259" w:lineRule="auto"/>
        <w:jc w:val="center"/>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lastRenderedPageBreak/>
        <w:t>COMMONWEALTH OF MASSACHUSETTS</w:t>
      </w:r>
    </w:p>
    <w:p w14:paraId="7599DF7A" w14:textId="77777777" w:rsidR="00634259" w:rsidRPr="006A114C" w:rsidRDefault="00634259" w:rsidP="00634259">
      <w:pPr>
        <w:spacing w:line="259" w:lineRule="auto"/>
        <w:ind w:right="250"/>
        <w:jc w:val="center"/>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BUREAU OF SPECIAL EDUCATION APPEALS</w:t>
      </w:r>
    </w:p>
    <w:p w14:paraId="2B1F3F76" w14:textId="77777777" w:rsidR="00634259" w:rsidRPr="006A114C" w:rsidRDefault="00634259" w:rsidP="00634259">
      <w:pPr>
        <w:tabs>
          <w:tab w:val="center" w:pos="440"/>
          <w:tab w:val="center" w:pos="4627"/>
        </w:tabs>
        <w:spacing w:after="533" w:line="259" w:lineRule="auto"/>
        <w:jc w:val="center"/>
        <w:rPr>
          <w:rFonts w:ascii="Aptos" w:eastAsia="Times New Roman" w:hAnsi="Aptos" w:cs="Times New Roman"/>
          <w:color w:val="000000"/>
          <w:sz w:val="24"/>
          <w:szCs w:val="24"/>
        </w:rPr>
      </w:pPr>
      <w:r w:rsidRPr="006A114C">
        <w:rPr>
          <w:rFonts w:ascii="Aptos" w:eastAsia="Times New Roman" w:hAnsi="Aptos" w:cs="Times New Roman"/>
          <w:color w:val="000000"/>
          <w:sz w:val="24"/>
          <w:szCs w:val="24"/>
          <w:u w:val="single" w:color="000000"/>
        </w:rPr>
        <w:t>EFFECT OF FINAL BSEA ACTIONS AND RIGHTS OF APPEAL</w:t>
      </w:r>
    </w:p>
    <w:p w14:paraId="68D25A52" w14:textId="77777777" w:rsidR="00634259" w:rsidRPr="006A114C" w:rsidRDefault="00634259" w:rsidP="00634259">
      <w:pPr>
        <w:keepNext/>
        <w:keepLines/>
        <w:spacing w:after="261" w:line="259" w:lineRule="auto"/>
        <w:ind w:left="38"/>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Effect of BSEA Decision, Dismissal with Prejudice and Allowance of Motion for Summary Judgment</w:t>
      </w:r>
    </w:p>
    <w:p w14:paraId="68DFEE6D" w14:textId="77777777" w:rsidR="00634259" w:rsidRPr="006A114C" w:rsidRDefault="00634259" w:rsidP="00634259">
      <w:pPr>
        <w:spacing w:after="312" w:line="250" w:lineRule="auto"/>
        <w:ind w:left="43" w:firstLine="5"/>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20 U.S.C. s. 1415(i)(1)(B) requires that a decision of the Bureau of Special Education Appeals be final and subject to no further agency review. Similarly, </w:t>
      </w:r>
      <w:proofErr w:type="gramStart"/>
      <w:r w:rsidRPr="006A114C">
        <w:rPr>
          <w:rFonts w:ascii="Aptos" w:eastAsia="Times New Roman" w:hAnsi="Aptos" w:cs="Times New Roman"/>
          <w:color w:val="000000"/>
          <w:sz w:val="24"/>
          <w:szCs w:val="24"/>
        </w:rPr>
        <w:t>a Ruling</w:t>
      </w:r>
      <w:proofErr w:type="gramEnd"/>
      <w:r w:rsidRPr="006A114C">
        <w:rPr>
          <w:rFonts w:ascii="Aptos" w:eastAsia="Times New Roman" w:hAnsi="Aptos" w:cs="Times New Roman"/>
          <w:color w:val="000000"/>
          <w:sz w:val="24"/>
          <w:szCs w:val="24"/>
        </w:rPr>
        <w:t xml:space="preserve"> Dismissing a Matter with Prejudice and </w:t>
      </w:r>
      <w:proofErr w:type="gramStart"/>
      <w:r w:rsidRPr="006A114C">
        <w:rPr>
          <w:rFonts w:ascii="Aptos" w:eastAsia="Times New Roman" w:hAnsi="Aptos" w:cs="Times New Roman"/>
          <w:color w:val="000000"/>
          <w:sz w:val="24"/>
          <w:szCs w:val="24"/>
        </w:rPr>
        <w:t>a Ruling</w:t>
      </w:r>
      <w:proofErr w:type="gramEnd"/>
      <w:r w:rsidRPr="006A114C">
        <w:rPr>
          <w:rFonts w:ascii="Aptos" w:eastAsia="Times New Roman" w:hAnsi="Aptos" w:cs="Times New Roman"/>
          <w:color w:val="000000"/>
          <w:sz w:val="24"/>
          <w:szCs w:val="24"/>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71CAC85A" w14:textId="77777777" w:rsidR="00634259" w:rsidRPr="006A114C" w:rsidRDefault="00634259" w:rsidP="00634259">
      <w:pPr>
        <w:spacing w:after="312" w:line="250" w:lineRule="auto"/>
        <w:ind w:left="43" w:firstLine="5"/>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Accordingly</w:t>
      </w:r>
      <w:r w:rsidRPr="006A114C">
        <w:rPr>
          <w:rFonts w:ascii="Aptos" w:eastAsia="Times New Roman" w:hAnsi="Aptos" w:cs="Times New Roman"/>
          <w:strike/>
          <w:color w:val="000000"/>
          <w:sz w:val="24"/>
          <w:szCs w:val="24"/>
        </w:rPr>
        <w:t>,</w:t>
      </w:r>
      <w:r w:rsidRPr="006A114C">
        <w:rPr>
          <w:rFonts w:ascii="Aptos" w:eastAsia="Times New Roman" w:hAnsi="Aptos" w:cs="Times New Roman"/>
          <w:color w:val="000000"/>
          <w:sz w:val="24"/>
          <w:szCs w:val="24"/>
        </w:rPr>
        <w:t xml:space="preserve"> the Bureau cannot permit motions to reconsider or to re-open either a Bureau decision or the Rulings set forth above once they have issued. They are final subject only to judicial (court) review.</w:t>
      </w:r>
    </w:p>
    <w:p w14:paraId="0B750F19" w14:textId="77777777" w:rsidR="00634259" w:rsidRPr="006A114C" w:rsidRDefault="00634259" w:rsidP="00634259">
      <w:pPr>
        <w:spacing w:after="292" w:line="243" w:lineRule="auto"/>
        <w:ind w:left="19" w:right="6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w:t>
      </w:r>
      <w:r>
        <w:rPr>
          <w:rFonts w:ascii="Aptos" w:eastAsia="Times New Roman" w:hAnsi="Aptos" w:cs="Times New Roman"/>
          <w:color w:val="000000"/>
          <w:sz w:val="24"/>
          <w:szCs w:val="24"/>
        </w:rPr>
        <w:t xml:space="preserve"> </w:t>
      </w:r>
      <w:r w:rsidRPr="006A114C">
        <w:rPr>
          <w:rFonts w:ascii="Aptos" w:eastAsia="Times New Roman" w:hAnsi="Aptos" w:cs="Times New Roman"/>
          <w:color w:val="000000"/>
          <w:sz w:val="24"/>
          <w:szCs w:val="24"/>
        </w:rPr>
        <w:t>Rather, a party seeking to stay—that is, delay implementation of-- the decision of the Bureau must request and obtain such stay from the court having jurisdiction over the party’s appeal.</w:t>
      </w:r>
    </w:p>
    <w:p w14:paraId="24D0E2DD" w14:textId="77777777" w:rsidR="00634259" w:rsidRPr="006A114C" w:rsidRDefault="00634259" w:rsidP="00634259">
      <w:pPr>
        <w:spacing w:after="292" w:line="243" w:lineRule="auto"/>
        <w:ind w:left="19" w:right="6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7C9BF546" w14:textId="77777777" w:rsidR="00634259" w:rsidRPr="006A114C" w:rsidRDefault="00634259" w:rsidP="00634259">
      <w:pPr>
        <w:spacing w:after="292" w:line="243" w:lineRule="auto"/>
        <w:ind w:left="19" w:right="6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6A114C">
        <w:rPr>
          <w:rFonts w:ascii="Aptos" w:eastAsia="Times New Roman" w:hAnsi="Aptos" w:cs="Times New Roman"/>
          <w:i/>
          <w:iCs/>
          <w:color w:val="000000"/>
          <w:sz w:val="24"/>
          <w:szCs w:val="24"/>
        </w:rPr>
        <w:t>School Committee of Burlington v. Massachusetts Department of Education</w:t>
      </w:r>
      <w:r w:rsidRPr="006A114C">
        <w:rPr>
          <w:rFonts w:ascii="Aptos" w:eastAsia="Times New Roman" w:hAnsi="Aptos" w:cs="Times New Roman"/>
          <w:color w:val="000000"/>
          <w:sz w:val="24"/>
          <w:szCs w:val="24"/>
        </w:rPr>
        <w:t xml:space="preserve">, 471 U.S. 359 (1985).  Otherwise, a party seeking to change the child’s placement while judicial proceedings are pending must ask the court </w:t>
      </w:r>
      <w:proofErr w:type="gramStart"/>
      <w:r w:rsidRPr="006A114C">
        <w:rPr>
          <w:rFonts w:ascii="Aptos" w:eastAsia="Times New Roman" w:hAnsi="Aptos" w:cs="Times New Roman"/>
          <w:color w:val="000000"/>
          <w:sz w:val="24"/>
          <w:szCs w:val="24"/>
        </w:rPr>
        <w:t>having</w:t>
      </w:r>
      <w:proofErr w:type="gramEnd"/>
      <w:r w:rsidRPr="006A114C">
        <w:rPr>
          <w:rFonts w:ascii="Aptos" w:eastAsia="Times New Roman" w:hAnsi="Aptos" w:cs="Times New Roman"/>
          <w:color w:val="000000"/>
          <w:sz w:val="24"/>
          <w:szCs w:val="24"/>
        </w:rPr>
        <w:t xml:space="preserve"> jurisdiction over the appeal to grant a preliminary injunction ordering such a change in placement. </w:t>
      </w:r>
      <w:r w:rsidRPr="006A114C">
        <w:rPr>
          <w:rFonts w:ascii="Aptos" w:eastAsia="Times New Roman" w:hAnsi="Aptos" w:cs="Times New Roman"/>
          <w:i/>
          <w:iCs/>
          <w:color w:val="000000"/>
          <w:sz w:val="24"/>
          <w:szCs w:val="24"/>
        </w:rPr>
        <w:t>Honig v. Doe</w:t>
      </w:r>
      <w:r w:rsidRPr="006A114C">
        <w:rPr>
          <w:rFonts w:ascii="Aptos" w:eastAsia="Times New Roman" w:hAnsi="Aptos" w:cs="Times New Roman"/>
          <w:color w:val="000000"/>
          <w:sz w:val="24"/>
          <w:szCs w:val="24"/>
        </w:rPr>
        <w:t xml:space="preserve">, 484 U.S. 305 (1988); </w:t>
      </w:r>
      <w:r w:rsidRPr="006A114C">
        <w:rPr>
          <w:rFonts w:ascii="Aptos" w:eastAsia="Times New Roman" w:hAnsi="Aptos" w:cs="Times New Roman"/>
          <w:i/>
          <w:iCs/>
          <w:color w:val="000000"/>
          <w:sz w:val="24"/>
          <w:szCs w:val="24"/>
        </w:rPr>
        <w:t>Doe v. Brookline</w:t>
      </w:r>
      <w:r w:rsidRPr="006A114C">
        <w:rPr>
          <w:rFonts w:ascii="Aptos" w:eastAsia="Times New Roman" w:hAnsi="Aptos" w:cs="Times New Roman"/>
          <w:color w:val="000000"/>
          <w:sz w:val="24"/>
          <w:szCs w:val="24"/>
        </w:rPr>
        <w:t>, 722 F.2d 910 (1</w:t>
      </w:r>
      <w:r w:rsidRPr="006A114C">
        <w:rPr>
          <w:rFonts w:ascii="Aptos" w:eastAsia="Times New Roman" w:hAnsi="Aptos" w:cs="Times New Roman"/>
          <w:color w:val="000000"/>
          <w:sz w:val="24"/>
          <w:szCs w:val="24"/>
          <w:vertAlign w:val="superscript"/>
        </w:rPr>
        <w:t>st</w:t>
      </w:r>
      <w:r w:rsidRPr="006A114C">
        <w:rPr>
          <w:rFonts w:ascii="Aptos" w:eastAsia="Times New Roman" w:hAnsi="Aptos" w:cs="Times New Roman"/>
          <w:color w:val="000000"/>
          <w:sz w:val="24"/>
          <w:szCs w:val="24"/>
        </w:rPr>
        <w:t xml:space="preserve"> Cir. 1983).</w:t>
      </w:r>
    </w:p>
    <w:p w14:paraId="061D7917" w14:textId="77777777" w:rsidR="00634259" w:rsidRPr="006A114C" w:rsidRDefault="00634259" w:rsidP="00634259">
      <w:pPr>
        <w:keepNext/>
        <w:keepLines/>
        <w:spacing w:after="252" w:line="259" w:lineRule="auto"/>
        <w:ind w:left="96" w:hanging="10"/>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lastRenderedPageBreak/>
        <w:t>Compliance</w:t>
      </w:r>
    </w:p>
    <w:p w14:paraId="33BB282B" w14:textId="77777777" w:rsidR="00634259" w:rsidRPr="006A114C" w:rsidRDefault="00634259" w:rsidP="00634259">
      <w:pPr>
        <w:spacing w:after="292"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6A114C">
        <w:rPr>
          <w:rFonts w:ascii="Aptos" w:eastAsia="Times New Roman" w:hAnsi="Aptos" w:cs="Times New Roman"/>
          <w:color w:val="000000"/>
          <w:sz w:val="24"/>
          <w:szCs w:val="24"/>
        </w:rPr>
        <w:t>such a</w:t>
      </w:r>
      <w:proofErr w:type="gramEnd"/>
      <w:r w:rsidRPr="006A114C">
        <w:rPr>
          <w:rFonts w:ascii="Aptos" w:eastAsia="Times New Roman" w:hAnsi="Aptos" w:cs="Times New Roman"/>
          <w:color w:val="000000"/>
          <w:sz w:val="24"/>
          <w:szCs w:val="24"/>
        </w:rPr>
        <w:t xml:space="preserve"> nature as to excuse performance, and facts bearing on a remedy. Upon </w:t>
      </w:r>
      <w:proofErr w:type="gramStart"/>
      <w:r w:rsidRPr="006A114C">
        <w:rPr>
          <w:rFonts w:ascii="Aptos" w:eastAsia="Times New Roman" w:hAnsi="Aptos" w:cs="Times New Roman"/>
          <w:color w:val="000000"/>
          <w:sz w:val="24"/>
          <w:szCs w:val="24"/>
        </w:rPr>
        <w:t>a finding of</w:t>
      </w:r>
      <w:proofErr w:type="gramEnd"/>
      <w:r w:rsidRPr="006A114C">
        <w:rPr>
          <w:rFonts w:ascii="Aptos" w:eastAsia="Times New Roman" w:hAnsi="Aptos" w:cs="Times New Roman"/>
          <w:color w:val="000000"/>
          <w:sz w:val="24"/>
          <w:szCs w:val="24"/>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2E00D808" w14:textId="77777777" w:rsidR="00634259" w:rsidRPr="006A114C" w:rsidRDefault="00634259" w:rsidP="00634259">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Rights of Appeal</w:t>
      </w:r>
    </w:p>
    <w:p w14:paraId="716C7FA6" w14:textId="77777777" w:rsidR="00634259" w:rsidRPr="006A114C" w:rsidRDefault="00634259" w:rsidP="00634259">
      <w:pPr>
        <w:spacing w:after="292"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6A69EDDA" w14:textId="77777777" w:rsidR="00634259" w:rsidRDefault="00634259" w:rsidP="00634259">
      <w:pPr>
        <w:spacing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An appeal of a Bureau decision to state superior court or to federal district court must be filed within ninety (90) days from the date of the decision. 20 U.S.C. s. 1415(i)(2)(B).</w:t>
      </w:r>
    </w:p>
    <w:p w14:paraId="7CD6A96C" w14:textId="77777777" w:rsidR="00634259" w:rsidRPr="006A114C" w:rsidRDefault="00634259" w:rsidP="00634259">
      <w:pPr>
        <w:spacing w:line="243" w:lineRule="auto"/>
        <w:ind w:left="19" w:right="172"/>
        <w:jc w:val="both"/>
        <w:rPr>
          <w:rFonts w:ascii="Aptos" w:eastAsia="Times New Roman" w:hAnsi="Aptos" w:cs="Times New Roman"/>
          <w:color w:val="000000"/>
          <w:sz w:val="24"/>
          <w:szCs w:val="24"/>
        </w:rPr>
      </w:pPr>
    </w:p>
    <w:p w14:paraId="522E7D48" w14:textId="77777777" w:rsidR="00634259" w:rsidRPr="006A114C" w:rsidRDefault="00634259" w:rsidP="00634259">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Confidentiality</w:t>
      </w:r>
    </w:p>
    <w:p w14:paraId="5C892678" w14:textId="77777777" w:rsidR="00634259" w:rsidRPr="006A114C" w:rsidRDefault="00634259" w:rsidP="00634259">
      <w:pPr>
        <w:spacing w:line="243" w:lineRule="auto"/>
        <w:ind w:left="19" w:right="34"/>
        <w:jc w:val="both"/>
        <w:rPr>
          <w:rFonts w:ascii="Aptos" w:eastAsia="Times New Roman" w:hAnsi="Aptos" w:cs="Times New Roman"/>
          <w:i/>
          <w:iCs/>
          <w:color w:val="000000"/>
          <w:sz w:val="24"/>
          <w:szCs w:val="24"/>
        </w:rPr>
      </w:pPr>
      <w:r w:rsidRPr="006A114C">
        <w:rPr>
          <w:rFonts w:ascii="Aptos" w:eastAsia="Times New Roman" w:hAnsi="Aptos" w:cs="Times New Roman"/>
          <w:color w:val="000000"/>
          <w:sz w:val="24"/>
          <w:szCs w:val="24"/>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6A114C">
        <w:rPr>
          <w:rFonts w:ascii="Aptos" w:eastAsia="Times New Roman" w:hAnsi="Aptos" w:cs="Times New Roman"/>
          <w:i/>
          <w:iCs/>
          <w:color w:val="000000"/>
          <w:sz w:val="24"/>
          <w:szCs w:val="24"/>
        </w:rPr>
        <w:t>Webster Grove</w:t>
      </w:r>
      <w:r>
        <w:rPr>
          <w:rFonts w:ascii="Aptos" w:eastAsia="Times New Roman" w:hAnsi="Aptos" w:cs="Times New Roman"/>
          <w:i/>
          <w:iCs/>
          <w:color w:val="000000"/>
          <w:sz w:val="24"/>
          <w:szCs w:val="24"/>
        </w:rPr>
        <w:t xml:space="preserve"> </w:t>
      </w:r>
      <w:r w:rsidRPr="006A114C">
        <w:rPr>
          <w:rFonts w:ascii="Aptos" w:eastAsia="Times New Roman" w:hAnsi="Aptos" w:cs="Times New Roman"/>
          <w:i/>
          <w:iCs/>
          <w:color w:val="000000"/>
          <w:sz w:val="24"/>
          <w:szCs w:val="24"/>
        </w:rPr>
        <w:t>School District v. Pulitzer Publishing</w:t>
      </w:r>
      <w:r>
        <w:rPr>
          <w:rFonts w:ascii="Aptos" w:eastAsia="Times New Roman" w:hAnsi="Aptos" w:cs="Times New Roman"/>
          <w:i/>
          <w:iCs/>
          <w:color w:val="000000"/>
          <w:sz w:val="24"/>
          <w:szCs w:val="24"/>
        </w:rPr>
        <w:t xml:space="preserve"> </w:t>
      </w:r>
      <w:r w:rsidRPr="006A114C">
        <w:rPr>
          <w:rFonts w:ascii="Aptos" w:eastAsia="Times New Roman" w:hAnsi="Aptos" w:cs="Times New Roman"/>
          <w:i/>
          <w:iCs/>
          <w:color w:val="000000"/>
          <w:sz w:val="24"/>
          <w:szCs w:val="24"/>
        </w:rPr>
        <w:t>Company</w:t>
      </w:r>
      <w:r w:rsidRPr="006A114C">
        <w:rPr>
          <w:rFonts w:ascii="Aptos" w:eastAsia="Times New Roman" w:hAnsi="Aptos" w:cs="Times New Roman"/>
          <w:color w:val="000000"/>
          <w:sz w:val="24"/>
          <w:szCs w:val="24"/>
        </w:rPr>
        <w:t>, 898 F.2d 1371 (8th. Cir. 1990). If the appealing party does not seek to impound the documents, the Bureau of Special Education Appeals, through the Attorney General's Office, may move to impound the documents.</w:t>
      </w:r>
    </w:p>
    <w:p w14:paraId="1495B857" w14:textId="77777777" w:rsidR="00634259" w:rsidRDefault="00634259" w:rsidP="00634259">
      <w:pPr>
        <w:spacing w:line="259" w:lineRule="auto"/>
        <w:ind w:left="62"/>
        <w:rPr>
          <w:rFonts w:ascii="Aptos" w:eastAsia="Times New Roman" w:hAnsi="Aptos" w:cs="Times New Roman"/>
          <w:color w:val="000000"/>
          <w:sz w:val="24"/>
          <w:szCs w:val="24"/>
          <w:u w:val="single"/>
        </w:rPr>
      </w:pPr>
    </w:p>
    <w:p w14:paraId="4ECDA6EA" w14:textId="77777777" w:rsidR="00634259" w:rsidRDefault="00634259" w:rsidP="00634259">
      <w:pPr>
        <w:spacing w:line="259" w:lineRule="auto"/>
        <w:rPr>
          <w:rFonts w:ascii="Aptos" w:eastAsia="Times New Roman" w:hAnsi="Aptos" w:cs="Times New Roman"/>
          <w:color w:val="000000"/>
          <w:sz w:val="24"/>
          <w:szCs w:val="24"/>
          <w:u w:val="single"/>
        </w:rPr>
      </w:pPr>
      <w:r w:rsidRPr="006A114C">
        <w:rPr>
          <w:rFonts w:ascii="Aptos" w:eastAsia="Times New Roman" w:hAnsi="Aptos" w:cs="Times New Roman"/>
          <w:color w:val="000000"/>
          <w:sz w:val="24"/>
          <w:szCs w:val="24"/>
          <w:u w:val="single"/>
        </w:rPr>
        <w:t>Record of the Hearing</w:t>
      </w:r>
    </w:p>
    <w:p w14:paraId="42893985" w14:textId="77777777" w:rsidR="00634259" w:rsidRPr="006A114C" w:rsidRDefault="00634259" w:rsidP="00634259">
      <w:pPr>
        <w:spacing w:line="259" w:lineRule="auto"/>
        <w:rPr>
          <w:rFonts w:ascii="Aptos" w:eastAsia="Times New Roman" w:hAnsi="Aptos" w:cs="Times New Roman"/>
          <w:color w:val="000000"/>
          <w:sz w:val="24"/>
          <w:szCs w:val="24"/>
          <w:u w:val="single"/>
        </w:rPr>
      </w:pPr>
    </w:p>
    <w:p w14:paraId="25708D58" w14:textId="77777777" w:rsidR="00634259" w:rsidRPr="006A114C" w:rsidRDefault="00634259" w:rsidP="00634259">
      <w:pPr>
        <w:spacing w:after="292"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69EB1D44" w14:textId="77777777" w:rsidR="00634259" w:rsidRDefault="00634259" w:rsidP="00634259"/>
    <w:p w14:paraId="7BCEB1A9" w14:textId="77777777" w:rsidR="00634259" w:rsidRDefault="00634259" w:rsidP="00634259"/>
    <w:p w14:paraId="0F420867" w14:textId="77777777" w:rsidR="00E82A3C" w:rsidRDefault="00E82A3C"/>
    <w:sectPr w:rsidR="00E82A3C" w:rsidSect="00634259">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985B" w14:textId="77777777" w:rsidR="00CB0AB1" w:rsidRDefault="00CB0AB1" w:rsidP="00634259">
      <w:r>
        <w:separator/>
      </w:r>
    </w:p>
  </w:endnote>
  <w:endnote w:type="continuationSeparator" w:id="0">
    <w:p w14:paraId="172EC938" w14:textId="77777777" w:rsidR="00CB0AB1" w:rsidRDefault="00CB0AB1" w:rsidP="0063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838375"/>
      <w:docPartObj>
        <w:docPartGallery w:val="Page Numbers (Bottom of Page)"/>
        <w:docPartUnique/>
      </w:docPartObj>
    </w:sdtPr>
    <w:sdtEndPr>
      <w:rPr>
        <w:noProof/>
        <w:sz w:val="25"/>
        <w:szCs w:val="25"/>
      </w:rPr>
    </w:sdtEndPr>
    <w:sdtContent>
      <w:p w14:paraId="1FC10A6E" w14:textId="326DE9D1" w:rsidR="00686E5A" w:rsidRPr="00A665EF" w:rsidRDefault="00686E5A">
        <w:pPr>
          <w:pStyle w:val="Footer"/>
          <w:jc w:val="center"/>
          <w:rPr>
            <w:sz w:val="25"/>
            <w:szCs w:val="25"/>
          </w:rPr>
        </w:pPr>
        <w:r w:rsidRPr="00A665EF">
          <w:rPr>
            <w:sz w:val="25"/>
            <w:szCs w:val="25"/>
          </w:rPr>
          <w:fldChar w:fldCharType="begin"/>
        </w:r>
        <w:r w:rsidRPr="00A665EF">
          <w:rPr>
            <w:sz w:val="25"/>
            <w:szCs w:val="25"/>
          </w:rPr>
          <w:instrText xml:space="preserve"> PAGE   \* MERGEFORMAT </w:instrText>
        </w:r>
        <w:r w:rsidRPr="00A665EF">
          <w:rPr>
            <w:sz w:val="25"/>
            <w:szCs w:val="25"/>
          </w:rPr>
          <w:fldChar w:fldCharType="separate"/>
        </w:r>
        <w:r w:rsidRPr="00A665EF">
          <w:rPr>
            <w:noProof/>
            <w:sz w:val="25"/>
            <w:szCs w:val="25"/>
          </w:rPr>
          <w:t>2</w:t>
        </w:r>
        <w:r w:rsidRPr="00A665EF">
          <w:rPr>
            <w:noProof/>
            <w:sz w:val="25"/>
            <w:szCs w:val="25"/>
          </w:rPr>
          <w:fldChar w:fldCharType="end"/>
        </w:r>
      </w:p>
    </w:sdtContent>
  </w:sdt>
  <w:p w14:paraId="4E1951DF" w14:textId="77777777" w:rsidR="00634259" w:rsidRDefault="00634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A768" w14:textId="77777777" w:rsidR="00CB0AB1" w:rsidRDefault="00CB0AB1" w:rsidP="00634259">
      <w:r>
        <w:separator/>
      </w:r>
    </w:p>
  </w:footnote>
  <w:footnote w:type="continuationSeparator" w:id="0">
    <w:p w14:paraId="1229990C" w14:textId="77777777" w:rsidR="00CB0AB1" w:rsidRDefault="00CB0AB1" w:rsidP="00634259">
      <w:r>
        <w:continuationSeparator/>
      </w:r>
    </w:p>
  </w:footnote>
  <w:footnote w:id="1">
    <w:p w14:paraId="61BF1D20" w14:textId="3E4F14A6" w:rsidR="00634259" w:rsidRDefault="00634259">
      <w:pPr>
        <w:pStyle w:val="FootnoteText"/>
      </w:pPr>
      <w:r>
        <w:rPr>
          <w:rStyle w:val="FootnoteReference"/>
        </w:rPr>
        <w:footnoteRef/>
      </w:r>
      <w:r>
        <w:t xml:space="preserve">   As noted in my April 1, 2026 </w:t>
      </w:r>
      <w:r>
        <w:rPr>
          <w:i/>
          <w:iCs/>
        </w:rPr>
        <w:t xml:space="preserve">Ruling on Joint Request to Postpone Hearing and to Convene Hearing </w:t>
      </w:r>
      <w:r w:rsidRPr="00634259">
        <w:rPr>
          <w:i/>
          <w:iCs/>
        </w:rPr>
        <w:t>Virtually</w:t>
      </w:r>
      <w:r w:rsidR="0069668E">
        <w:t xml:space="preserve"> (April 1, 2026 Ruling)</w:t>
      </w:r>
      <w:r>
        <w:t>, d</w:t>
      </w:r>
      <w:r w:rsidRPr="00634259">
        <w:t>uring</w:t>
      </w:r>
      <w:r>
        <w:t xml:space="preserve"> the initial Conference Call in this matter on March 30, 2026, the District clarified that </w:t>
      </w:r>
      <w:r w:rsidR="00EE1E0D">
        <w:t xml:space="preserve">it was only seeking </w:t>
      </w:r>
      <w:r>
        <w:t>a partial dismissal</w:t>
      </w:r>
      <w:r w:rsidR="00EE1E0D">
        <w:t xml:space="preserve"> in the </w:t>
      </w:r>
      <w:r w:rsidR="00EE1E0D">
        <w:rPr>
          <w:i/>
          <w:iCs/>
        </w:rPr>
        <w:t>Motion</w:t>
      </w:r>
      <w:r>
        <w:t xml:space="preserve">, </w:t>
      </w:r>
      <w:r w:rsidR="00EE1E0D">
        <w:t xml:space="preserve">specifically dismissal of </w:t>
      </w:r>
      <w:r>
        <w:t>the retaliation claim,</w:t>
      </w:r>
      <w:r w:rsidR="00B13C99">
        <w:t xml:space="preserve"> as argued in </w:t>
      </w:r>
      <w:r>
        <w:t xml:space="preserve">section 4 on page 3 of the </w:t>
      </w:r>
      <w:r>
        <w:rPr>
          <w:i/>
          <w:iCs/>
        </w:rPr>
        <w:t>Motion</w:t>
      </w:r>
      <w:r>
        <w:t xml:space="preserve">.   </w:t>
      </w:r>
    </w:p>
  </w:footnote>
  <w:footnote w:id="2">
    <w:p w14:paraId="4382992E" w14:textId="77777777" w:rsidR="00634259" w:rsidRPr="001C7828" w:rsidRDefault="00634259" w:rsidP="00634259">
      <w:pPr>
        <w:pStyle w:val="FootnoteText"/>
        <w:rPr>
          <w:rFonts w:ascii="Aptos" w:hAnsi="Aptos"/>
        </w:rPr>
      </w:pPr>
      <w:r w:rsidRPr="001C7828">
        <w:rPr>
          <w:rStyle w:val="FootnoteReference"/>
          <w:rFonts w:ascii="Aptos" w:hAnsi="Aptos"/>
        </w:rPr>
        <w:footnoteRef/>
      </w:r>
      <w:r w:rsidRPr="001C7828">
        <w:rPr>
          <w:rFonts w:ascii="Aptos" w:hAnsi="Aptos"/>
        </w:rPr>
        <w:t xml:space="preserve">   The factual statements contained herein are taken as true for purposes of this </w:t>
      </w:r>
      <w:r w:rsidRPr="001C7828">
        <w:rPr>
          <w:rFonts w:ascii="Aptos" w:hAnsi="Aptos"/>
          <w:i/>
          <w:iCs/>
        </w:rPr>
        <w:t>Ruling</w:t>
      </w:r>
      <w:r w:rsidRPr="001C7828">
        <w:rPr>
          <w:rFonts w:ascii="Aptos" w:hAnsi="Aptos"/>
        </w:rPr>
        <w:t xml:space="preserve"> only.</w:t>
      </w:r>
    </w:p>
  </w:footnote>
  <w:footnote w:id="3">
    <w:p w14:paraId="6EF14E8E" w14:textId="6B9E4FD6" w:rsidR="00E87213" w:rsidRPr="001F0ED6" w:rsidRDefault="00E87213" w:rsidP="00E87213">
      <w:pPr>
        <w:pStyle w:val="FootnoteText"/>
      </w:pPr>
      <w:r>
        <w:rPr>
          <w:rStyle w:val="FootnoteReference"/>
        </w:rPr>
        <w:footnoteRef/>
      </w:r>
      <w:r>
        <w:t xml:space="preserve">   The </w:t>
      </w:r>
      <w:r>
        <w:rPr>
          <w:i/>
          <w:iCs/>
        </w:rPr>
        <w:t>Opposition</w:t>
      </w:r>
      <w:r>
        <w:t xml:space="preserve"> also included a request for </w:t>
      </w:r>
      <w:r w:rsidR="002E2D67">
        <w:t>sanctions</w:t>
      </w:r>
      <w:r w:rsidR="00962EBA">
        <w:t>,</w:t>
      </w:r>
      <w:r>
        <w:t xml:space="preserve"> against the District’s attorney “and her associates” “to compel them to comply with confidentiality laws</w:t>
      </w:r>
      <w:r w:rsidR="00C74CA9">
        <w:t>,</w:t>
      </w:r>
      <w:r>
        <w:t>”</w:t>
      </w:r>
      <w:r w:rsidR="00C74CA9">
        <w:t xml:space="preserve"> alleging that </w:t>
      </w:r>
      <w:r w:rsidR="00351278">
        <w:t xml:space="preserve">the </w:t>
      </w:r>
      <w:r>
        <w:t xml:space="preserve">District’s </w:t>
      </w:r>
      <w:r w:rsidR="009D5588">
        <w:t>a</w:t>
      </w:r>
      <w:r>
        <w:t xml:space="preserve">ttorney “has, on numerous occasions, sent emails to the wrong person.  In this case alone, documents are addressed to the wrong party and emails containing sensitive information have been sent to the wrong party.”  In its </w:t>
      </w:r>
      <w:r>
        <w:rPr>
          <w:i/>
          <w:iCs/>
        </w:rPr>
        <w:t>Response</w:t>
      </w:r>
      <w:r>
        <w:t xml:space="preserve">, the District advised it will “continue to maintain confidentiality of the Student information and records”.  I note that the Parties discussed </w:t>
      </w:r>
      <w:r w:rsidR="00351278">
        <w:t xml:space="preserve">these confidentiality </w:t>
      </w:r>
      <w:r>
        <w:t xml:space="preserve">concerns during the initial Conference Call </w:t>
      </w:r>
      <w:r w:rsidR="00351278">
        <w:t xml:space="preserve">held </w:t>
      </w:r>
      <w:r>
        <w:t xml:space="preserve">the day </w:t>
      </w:r>
      <w:r w:rsidR="000A152F">
        <w:t xml:space="preserve">before Parents filed their </w:t>
      </w:r>
      <w:r w:rsidR="000A152F">
        <w:rPr>
          <w:i/>
          <w:iCs/>
        </w:rPr>
        <w:t>Opposition</w:t>
      </w:r>
      <w:r>
        <w:t xml:space="preserve">.  </w:t>
      </w:r>
      <w:r w:rsidR="00797AC7">
        <w:t>The</w:t>
      </w:r>
      <w:r w:rsidR="00A57499">
        <w:t>y reviewed the</w:t>
      </w:r>
      <w:r w:rsidR="00797AC7">
        <w:t xml:space="preserve"> only </w:t>
      </w:r>
      <w:r>
        <w:t xml:space="preserve">email </w:t>
      </w:r>
      <w:r w:rsidR="003B27C6">
        <w:t>sent</w:t>
      </w:r>
      <w:r w:rsidR="00981064">
        <w:t>,</w:t>
      </w:r>
      <w:r w:rsidR="003B27C6">
        <w:t xml:space="preserve"> to date</w:t>
      </w:r>
      <w:r w:rsidR="00981064">
        <w:t>,</w:t>
      </w:r>
      <w:r w:rsidR="003B27C6">
        <w:t xml:space="preserve"> </w:t>
      </w:r>
      <w:r>
        <w:t xml:space="preserve">from the District’s </w:t>
      </w:r>
      <w:r w:rsidR="00DC3F13">
        <w:t>a</w:t>
      </w:r>
      <w:r>
        <w:t xml:space="preserve">ttorney’s office </w:t>
      </w:r>
      <w:r w:rsidR="00A57499">
        <w:t xml:space="preserve">and discussed each </w:t>
      </w:r>
      <w:r>
        <w:t>email address</w:t>
      </w:r>
      <w:r w:rsidR="00A57499">
        <w:t xml:space="preserve"> copied to it.  </w:t>
      </w:r>
      <w:r w:rsidR="00367B51">
        <w:t xml:space="preserve">The </w:t>
      </w:r>
      <w:r w:rsidR="00B54CD5">
        <w:t xml:space="preserve">District acknowledged it had </w:t>
      </w:r>
      <w:r>
        <w:t>erroneously sent the email</w:t>
      </w:r>
      <w:r w:rsidR="00367B51">
        <w:t xml:space="preserve"> to the District’s</w:t>
      </w:r>
      <w:r>
        <w:t xml:space="preserve"> </w:t>
      </w:r>
      <w:r w:rsidR="00367B51">
        <w:t xml:space="preserve">former Special Education Administrator at </w:t>
      </w:r>
      <w:r>
        <w:t xml:space="preserve">her </w:t>
      </w:r>
      <w:r w:rsidR="00367B51">
        <w:t>then-</w:t>
      </w:r>
      <w:r>
        <w:t xml:space="preserve">District email address, rather than to the current Special Education Administrator.  </w:t>
      </w:r>
      <w:r w:rsidR="00C4032F">
        <w:t>However, a</w:t>
      </w:r>
      <w:r w:rsidR="00367B51">
        <w:t xml:space="preserve">s this error involved an </w:t>
      </w:r>
      <w:r>
        <w:t xml:space="preserve">email to a District email address that </w:t>
      </w:r>
      <w:r w:rsidR="00535A2D">
        <w:t>i</w:t>
      </w:r>
      <w:r>
        <w:t xml:space="preserve">s no longer viable, </w:t>
      </w:r>
      <w:r w:rsidR="00535A2D">
        <w:t xml:space="preserve">rather than to an unrelated third party, </w:t>
      </w:r>
      <w:r>
        <w:t xml:space="preserve">I do not find there </w:t>
      </w:r>
      <w:r w:rsidR="00535A2D">
        <w:t xml:space="preserve">to have been any </w:t>
      </w:r>
      <w:r>
        <w:t xml:space="preserve">violation of confidentiality.  </w:t>
      </w:r>
      <w:r w:rsidR="002E2D67">
        <w:t>Parents do not present any other evidence of alleged confidentiality breaches</w:t>
      </w:r>
      <w:r w:rsidR="00B476F9">
        <w:t xml:space="preserve"> in this matter, beyond their unspecified claim</w:t>
      </w:r>
      <w:r w:rsidR="002E2D67">
        <w:t xml:space="preserve">.  Thus, sanctions are not warranted, and </w:t>
      </w:r>
      <w:r>
        <w:t>Parents</w:t>
      </w:r>
      <w:r w:rsidR="00981064">
        <w:t>’</w:t>
      </w:r>
      <w:r>
        <w:t xml:space="preserve"> request is denied.  </w:t>
      </w:r>
    </w:p>
  </w:footnote>
  <w:footnote w:id="4">
    <w:p w14:paraId="608B9C6C" w14:textId="4CD69C2D" w:rsidR="000A754F" w:rsidRPr="001251F9" w:rsidRDefault="000A754F">
      <w:pPr>
        <w:pStyle w:val="FootnoteText"/>
        <w:rPr>
          <w:rFonts w:ascii="Aptos" w:hAnsi="Aptos"/>
          <w:i/>
          <w:iCs/>
        </w:rPr>
      </w:pPr>
      <w:r>
        <w:rPr>
          <w:rStyle w:val="FootnoteReference"/>
        </w:rPr>
        <w:footnoteRef/>
      </w:r>
      <w:r>
        <w:t xml:space="preserve">   Although Parents reference their “children”, I consider their argument</w:t>
      </w:r>
      <w:r w:rsidR="00F76233">
        <w:t>s</w:t>
      </w:r>
      <w:r>
        <w:t xml:space="preserve"> solely </w:t>
      </w:r>
      <w:proofErr w:type="gramStart"/>
      <w:r w:rsidR="00981064">
        <w:t>with regard to</w:t>
      </w:r>
      <w:proofErr w:type="gramEnd"/>
      <w:r w:rsidR="002E1B36">
        <w:t xml:space="preserve"> </w:t>
      </w:r>
      <w:r>
        <w:t>Student</w:t>
      </w:r>
      <w:r w:rsidR="0028574C">
        <w:t>,</w:t>
      </w:r>
      <w:r>
        <w:t xml:space="preserve"> as the BSEA </w:t>
      </w:r>
      <w:r w:rsidR="00A159BD">
        <w:t xml:space="preserve">lacks </w:t>
      </w:r>
      <w:r>
        <w:t xml:space="preserve">jurisdiction </w:t>
      </w:r>
      <w:r w:rsidR="00A97F01">
        <w:t xml:space="preserve">over </w:t>
      </w:r>
      <w:r>
        <w:t xml:space="preserve">allegations </w:t>
      </w:r>
      <w:r w:rsidR="00D7615C">
        <w:t>over</w:t>
      </w:r>
      <w:r w:rsidR="00A97F01">
        <w:t xml:space="preserve"> </w:t>
      </w:r>
      <w:r>
        <w:t xml:space="preserve">more than one student at a time in </w:t>
      </w:r>
      <w:r w:rsidR="0028574C">
        <w:t xml:space="preserve">any </w:t>
      </w:r>
      <w:r>
        <w:t xml:space="preserve">matter.  </w:t>
      </w:r>
      <w:r w:rsidR="00404A7E">
        <w:rPr>
          <w:rFonts w:ascii="Aptos" w:hAnsi="Aptos"/>
          <w:i/>
          <w:iCs/>
        </w:rPr>
        <w:t>Weber v. Cranston Sch. Comm.</w:t>
      </w:r>
      <w:r w:rsidR="00404A7E">
        <w:rPr>
          <w:rFonts w:ascii="Aptos" w:hAnsi="Aptos"/>
        </w:rPr>
        <w:t>, 212 F.3d 41, 51 (</w:t>
      </w:r>
      <w:r w:rsidR="001C5700">
        <w:rPr>
          <w:rFonts w:ascii="Aptos" w:hAnsi="Aptos"/>
        </w:rPr>
        <w:t xml:space="preserve">1st </w:t>
      </w:r>
      <w:r w:rsidR="00404A7E">
        <w:rPr>
          <w:rFonts w:ascii="Aptos" w:hAnsi="Aptos"/>
        </w:rPr>
        <w:t xml:space="preserve">Cir., 2000) (recognizing that for a party to have standing to pursue an IDEA claim “the harm asserted cannot be a ‘generalized grievance’ shared in equal measure by all or a large class of citizens”) quoting </w:t>
      </w:r>
      <w:r w:rsidR="00404A7E">
        <w:rPr>
          <w:rFonts w:ascii="Aptos" w:hAnsi="Aptos"/>
          <w:i/>
          <w:iCs/>
        </w:rPr>
        <w:t xml:space="preserve">Warth v. </w:t>
      </w:r>
      <w:r w:rsidR="00404A7E" w:rsidRPr="00FD57DB">
        <w:rPr>
          <w:rFonts w:ascii="Aptos" w:hAnsi="Aptos"/>
          <w:i/>
          <w:iCs/>
        </w:rPr>
        <w:t>Seldin</w:t>
      </w:r>
      <w:r w:rsidR="00404A7E">
        <w:rPr>
          <w:rFonts w:ascii="Aptos" w:hAnsi="Aptos"/>
        </w:rPr>
        <w:t>, 422 US 490, 4</w:t>
      </w:r>
      <w:r w:rsidR="00293E42">
        <w:rPr>
          <w:rFonts w:ascii="Aptos" w:hAnsi="Aptos"/>
        </w:rPr>
        <w:t>99</w:t>
      </w:r>
      <w:r w:rsidR="00404A7E">
        <w:rPr>
          <w:rFonts w:ascii="Aptos" w:hAnsi="Aptos"/>
        </w:rPr>
        <w:t xml:space="preserve"> (1975); </w:t>
      </w:r>
      <w:r w:rsidR="00042C8C">
        <w:t>s</w:t>
      </w:r>
      <w:r>
        <w:t xml:space="preserve">ee </w:t>
      </w:r>
      <w:r w:rsidR="00042C8C" w:rsidRPr="004E4EE7">
        <w:rPr>
          <w:rFonts w:ascii="Aptos" w:hAnsi="Aptos"/>
          <w:i/>
          <w:iCs/>
        </w:rPr>
        <w:t xml:space="preserve">In Re: Student &amp; Quincy </w:t>
      </w:r>
      <w:r w:rsidR="00042C8C">
        <w:rPr>
          <w:rFonts w:ascii="Aptos" w:hAnsi="Aptos"/>
          <w:i/>
          <w:iCs/>
        </w:rPr>
        <w:t>&amp; DESE</w:t>
      </w:r>
      <w:r w:rsidR="00042C8C" w:rsidRPr="004E4EE7">
        <w:rPr>
          <w:rFonts w:ascii="Aptos" w:hAnsi="Aptos"/>
          <w:i/>
          <w:iCs/>
        </w:rPr>
        <w:t xml:space="preserve">, </w:t>
      </w:r>
      <w:r w:rsidR="00042C8C" w:rsidRPr="004E4EE7">
        <w:rPr>
          <w:rFonts w:ascii="Aptos" w:hAnsi="Aptos"/>
        </w:rPr>
        <w:t xml:space="preserve">BSEA </w:t>
      </w:r>
      <w:r w:rsidR="007F554C">
        <w:rPr>
          <w:rFonts w:ascii="Aptos" w:hAnsi="Aptos"/>
        </w:rPr>
        <w:t xml:space="preserve">No. </w:t>
      </w:r>
      <w:r w:rsidR="00042C8C" w:rsidRPr="004E4EE7">
        <w:rPr>
          <w:rFonts w:ascii="Aptos" w:hAnsi="Aptos"/>
        </w:rPr>
        <w:t>2408249</w:t>
      </w:r>
      <w:r w:rsidR="00042C8C">
        <w:rPr>
          <w:rFonts w:ascii="Aptos" w:hAnsi="Aptos"/>
        </w:rPr>
        <w:t xml:space="preserve">, 30 MSER 176 (Mitchell, 2024); </w:t>
      </w:r>
      <w:r w:rsidR="001251F9" w:rsidRPr="001C7828">
        <w:rPr>
          <w:rFonts w:ascii="Aptos" w:hAnsi="Aptos"/>
          <w:i/>
          <w:iCs/>
        </w:rPr>
        <w:t>In Re: Holyoke Pub</w:t>
      </w:r>
      <w:r w:rsidR="001251F9">
        <w:rPr>
          <w:rFonts w:ascii="Aptos" w:hAnsi="Aptos"/>
          <w:i/>
          <w:iCs/>
        </w:rPr>
        <w:t>.</w:t>
      </w:r>
      <w:r w:rsidR="001251F9" w:rsidRPr="001C7828">
        <w:rPr>
          <w:rFonts w:ascii="Aptos" w:hAnsi="Aptos"/>
          <w:i/>
          <w:iCs/>
        </w:rPr>
        <w:t xml:space="preserve"> Sch</w:t>
      </w:r>
      <w:r w:rsidR="001251F9">
        <w:rPr>
          <w:rFonts w:ascii="Aptos" w:hAnsi="Aptos"/>
          <w:i/>
          <w:iCs/>
        </w:rPr>
        <w:t>ools</w:t>
      </w:r>
      <w:r w:rsidR="001251F9" w:rsidRPr="001C7828">
        <w:rPr>
          <w:rFonts w:ascii="Aptos" w:hAnsi="Aptos"/>
          <w:i/>
          <w:iCs/>
        </w:rPr>
        <w:t xml:space="preserve"> and Jay</w:t>
      </w:r>
      <w:r w:rsidR="001251F9" w:rsidRPr="001C7828">
        <w:rPr>
          <w:rFonts w:ascii="Aptos" w:hAnsi="Aptos"/>
        </w:rPr>
        <w:t xml:space="preserve">, </w:t>
      </w:r>
      <w:r w:rsidR="001251F9">
        <w:rPr>
          <w:rFonts w:ascii="Aptos" w:hAnsi="Aptos"/>
        </w:rPr>
        <w:t xml:space="preserve">BSEA </w:t>
      </w:r>
      <w:r w:rsidR="007F554C">
        <w:rPr>
          <w:rFonts w:ascii="Aptos" w:hAnsi="Aptos"/>
        </w:rPr>
        <w:t xml:space="preserve">No. </w:t>
      </w:r>
      <w:r w:rsidR="001251F9">
        <w:rPr>
          <w:rFonts w:ascii="Aptos" w:hAnsi="Aptos"/>
        </w:rPr>
        <w:t xml:space="preserve">1800619, </w:t>
      </w:r>
      <w:r w:rsidR="001251F9" w:rsidRPr="001C7828">
        <w:rPr>
          <w:rFonts w:ascii="Aptos" w:hAnsi="Aptos"/>
        </w:rPr>
        <w:t xml:space="preserve">24 MSER 20 (Oliver, 2018); </w:t>
      </w:r>
      <w:r w:rsidR="001251F9" w:rsidRPr="001C7828">
        <w:rPr>
          <w:rFonts w:ascii="Aptos" w:hAnsi="Aptos"/>
          <w:i/>
          <w:iCs/>
        </w:rPr>
        <w:t>In Re: Springfield P</w:t>
      </w:r>
      <w:r w:rsidR="001251F9">
        <w:rPr>
          <w:rFonts w:ascii="Aptos" w:hAnsi="Aptos"/>
          <w:i/>
          <w:iCs/>
        </w:rPr>
        <w:t xml:space="preserve">ub. </w:t>
      </w:r>
      <w:r w:rsidR="001251F9" w:rsidRPr="001C7828">
        <w:rPr>
          <w:rFonts w:ascii="Aptos" w:hAnsi="Aptos"/>
          <w:i/>
          <w:iCs/>
        </w:rPr>
        <w:t>S</w:t>
      </w:r>
      <w:r w:rsidR="001251F9">
        <w:rPr>
          <w:rFonts w:ascii="Aptos" w:hAnsi="Aptos"/>
          <w:i/>
          <w:iCs/>
        </w:rPr>
        <w:t>chools</w:t>
      </w:r>
      <w:r w:rsidR="001251F9" w:rsidRPr="001C7828">
        <w:rPr>
          <w:rFonts w:ascii="Aptos" w:hAnsi="Aptos"/>
        </w:rPr>
        <w:t xml:space="preserve">, </w:t>
      </w:r>
      <w:r w:rsidR="001251F9">
        <w:rPr>
          <w:rFonts w:ascii="Aptos" w:hAnsi="Aptos"/>
        </w:rPr>
        <w:t xml:space="preserve">BSEA </w:t>
      </w:r>
      <w:r w:rsidR="007F554C">
        <w:rPr>
          <w:rFonts w:ascii="Aptos" w:hAnsi="Aptos"/>
        </w:rPr>
        <w:t xml:space="preserve">No. </w:t>
      </w:r>
      <w:r w:rsidR="001251F9">
        <w:rPr>
          <w:rFonts w:ascii="Aptos" w:hAnsi="Aptos"/>
        </w:rPr>
        <w:t>1309716,</w:t>
      </w:r>
      <w:r w:rsidR="001251F9" w:rsidRPr="001C7828">
        <w:rPr>
          <w:rFonts w:ascii="Aptos" w:hAnsi="Aptos"/>
        </w:rPr>
        <w:t>19 MSER 294 (Oliver, 2013)</w:t>
      </w:r>
      <w:r w:rsidR="0074471A">
        <w:rPr>
          <w:rFonts w:ascii="Aptos" w:hAnsi="Aptos"/>
        </w:rPr>
        <w:t>.</w:t>
      </w:r>
      <w:r w:rsidR="001251F9">
        <w:rPr>
          <w:rFonts w:ascii="Aptos" w:hAnsi="Aptos"/>
        </w:rPr>
        <w:t xml:space="preserve"> </w:t>
      </w:r>
    </w:p>
  </w:footnote>
  <w:footnote w:id="5">
    <w:p w14:paraId="0993823B" w14:textId="77777777" w:rsidR="00036622" w:rsidRPr="004E4EE7" w:rsidRDefault="00036622" w:rsidP="00036622">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Pr="004E4EE7">
        <w:rPr>
          <w:rFonts w:ascii="Aptos" w:eastAsia="Times New Roman" w:hAnsi="Aptos" w:cs="Times New Roman"/>
        </w:rPr>
        <w:t>As these rules/regulations are analogous to Rule 12(b)(6) of the Federal and Massachusetts Rules of Civil Procedure (FRCP and MRCP, respectively), hearing officers are generally guided by federal court decisions in deciding such motions.</w:t>
      </w:r>
    </w:p>
  </w:footnote>
  <w:footnote w:id="6">
    <w:p w14:paraId="4CAFFEDB" w14:textId="77777777" w:rsidR="00634259" w:rsidRPr="004E4EE7" w:rsidRDefault="00634259" w:rsidP="00634259">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Pr="004E4EE7">
        <w:rPr>
          <w:rFonts w:ascii="Aptos" w:eastAsia="Times New Roman" w:hAnsi="Aptos" w:cs="Times New Roman"/>
          <w:i/>
          <w:iCs/>
        </w:rPr>
        <w:t>Iannocchino v. Ford Motor Co.</w:t>
      </w:r>
      <w:r w:rsidRPr="004E4EE7">
        <w:rPr>
          <w:rFonts w:ascii="Aptos" w:eastAsia="Times New Roman" w:hAnsi="Aptos" w:cs="Times New Roman"/>
        </w:rPr>
        <w:t>, 451 Mass. 623, 636 (2008) quoting </w:t>
      </w:r>
      <w:r w:rsidRPr="004E4EE7">
        <w:rPr>
          <w:rFonts w:ascii="Aptos" w:eastAsia="Times New Roman" w:hAnsi="Aptos" w:cs="Times New Roman"/>
          <w:i/>
          <w:iCs/>
        </w:rPr>
        <w:t>Bell Atl. Corp. v. Twombly</w:t>
      </w:r>
      <w:r w:rsidRPr="004E4EE7">
        <w:rPr>
          <w:rFonts w:ascii="Aptos" w:eastAsia="Times New Roman" w:hAnsi="Aptos" w:cs="Times New Roman"/>
        </w:rPr>
        <w:t>, 550 U.S. 544, 557 (2007).</w:t>
      </w:r>
    </w:p>
  </w:footnote>
  <w:footnote w:id="7">
    <w:p w14:paraId="16D101BC" w14:textId="77777777" w:rsidR="00634259" w:rsidRPr="004E4EE7" w:rsidRDefault="00634259" w:rsidP="00634259">
      <w:pPr>
        <w:pStyle w:val="FootnoteText"/>
        <w:rPr>
          <w:rFonts w:ascii="Aptos" w:eastAsia="Times New Roman"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Pr="004E4EE7">
        <w:rPr>
          <w:rFonts w:ascii="Aptos" w:eastAsia="Times New Roman" w:hAnsi="Aptos" w:cs="Times New Roman"/>
          <w:i/>
          <w:iCs/>
        </w:rPr>
        <w:t>Blank v. Chelmsford Ob/Gyn, P.C.</w:t>
      </w:r>
      <w:r w:rsidRPr="004E4EE7">
        <w:rPr>
          <w:rFonts w:ascii="Aptos" w:eastAsia="Times New Roman" w:hAnsi="Aptos" w:cs="Times New Roman"/>
        </w:rPr>
        <w:t>, 420 Mass. 404, 407 (1995).</w:t>
      </w:r>
    </w:p>
  </w:footnote>
  <w:footnote w:id="8">
    <w:p w14:paraId="6B3C4B88" w14:textId="2CCFDAEF" w:rsidR="00634259" w:rsidRPr="004E4EE7" w:rsidRDefault="00634259" w:rsidP="00634259">
      <w:pPr>
        <w:pStyle w:val="FootnoteText"/>
        <w:rPr>
          <w:rFonts w:ascii="Aptos" w:hAnsi="Aptos"/>
        </w:rPr>
      </w:pPr>
      <w:r w:rsidRPr="004E4EE7">
        <w:rPr>
          <w:rStyle w:val="FootnoteReference"/>
          <w:rFonts w:ascii="Aptos" w:hAnsi="Aptos"/>
        </w:rPr>
        <w:footnoteRef/>
      </w:r>
      <w:r w:rsidRPr="004E4EE7">
        <w:rPr>
          <w:rFonts w:ascii="Aptos" w:hAnsi="Aptos"/>
        </w:rPr>
        <w:t xml:space="preserve"> </w:t>
      </w:r>
      <w:r>
        <w:rPr>
          <w:rFonts w:ascii="Aptos" w:hAnsi="Aptos"/>
        </w:rPr>
        <w:t xml:space="preserve">  </w:t>
      </w:r>
      <w:r w:rsidRPr="004E4EE7">
        <w:rPr>
          <w:rFonts w:ascii="Aptos" w:eastAsia="Times New Roman" w:hAnsi="Aptos" w:cs="Times New Roman"/>
          <w:i/>
          <w:iCs/>
        </w:rPr>
        <w:t>Iannocchino</w:t>
      </w:r>
      <w:r w:rsidR="002F4E09">
        <w:rPr>
          <w:rFonts w:ascii="Aptos" w:eastAsia="Times New Roman" w:hAnsi="Aptos" w:cs="Times New Roman"/>
        </w:rPr>
        <w:t>,</w:t>
      </w:r>
      <w:r w:rsidRPr="004E4EE7">
        <w:rPr>
          <w:rFonts w:ascii="Aptos" w:eastAsia="Times New Roman" w:hAnsi="Aptos" w:cs="Times New Roman"/>
          <w:i/>
          <w:iCs/>
        </w:rPr>
        <w:t xml:space="preserve"> </w:t>
      </w:r>
      <w:r w:rsidRPr="004E4EE7">
        <w:rPr>
          <w:rFonts w:ascii="Aptos" w:eastAsia="Times New Roman" w:hAnsi="Aptos" w:cs="Times New Roman"/>
        </w:rPr>
        <w:t>451 Mass. at 636 (quoting </w:t>
      </w:r>
      <w:r w:rsidRPr="004E4EE7">
        <w:rPr>
          <w:rFonts w:ascii="Aptos" w:eastAsia="Times New Roman" w:hAnsi="Aptos" w:cs="Times New Roman"/>
          <w:i/>
          <w:iCs/>
        </w:rPr>
        <w:t>Bell Atl. Corp.</w:t>
      </w:r>
      <w:r w:rsidRPr="004E4EE7">
        <w:rPr>
          <w:rFonts w:ascii="Aptos" w:eastAsia="Times New Roman" w:hAnsi="Aptos" w:cs="Times New Roman"/>
        </w:rPr>
        <w:t xml:space="preserve">, 550 U.S. at 555); see </w:t>
      </w:r>
      <w:r w:rsidRPr="004E4EE7">
        <w:rPr>
          <w:rFonts w:ascii="Aptos" w:hAnsi="Aptos" w:cs="Times New Roman"/>
          <w:i/>
          <w:iCs/>
        </w:rPr>
        <w:t>Ocasio-Hernandez v. Fortuno-Burset</w:t>
      </w:r>
      <w:r w:rsidRPr="004E4EE7">
        <w:rPr>
          <w:rFonts w:ascii="Aptos" w:hAnsi="Aptos" w:cs="Times New Roman"/>
        </w:rPr>
        <w:t>, 640 F.3d 1, 12 (1st Cir. 2011)</w:t>
      </w:r>
      <w:r w:rsidRPr="004E4EE7">
        <w:rPr>
          <w:rFonts w:ascii="Aptos" w:eastAsia="Times New Roman" w:hAnsi="Aptos" w:cs="Times New Roman"/>
        </w:rPr>
        <w:t>.</w:t>
      </w:r>
    </w:p>
  </w:footnote>
  <w:footnote w:id="9">
    <w:p w14:paraId="032A9021" w14:textId="77777777" w:rsidR="00634259" w:rsidRPr="004E4EE7" w:rsidRDefault="00634259" w:rsidP="00634259">
      <w:pPr>
        <w:pStyle w:val="FootnoteText"/>
        <w:rPr>
          <w:rFonts w:ascii="Aptos" w:hAnsi="Aptos"/>
        </w:rPr>
      </w:pPr>
      <w:r w:rsidRPr="004E4EE7">
        <w:rPr>
          <w:rStyle w:val="FootnoteReference"/>
          <w:rFonts w:ascii="Aptos" w:hAnsi="Aptos"/>
        </w:rPr>
        <w:footnoteRef/>
      </w:r>
      <w:r w:rsidRPr="004E4EE7">
        <w:rPr>
          <w:rFonts w:ascii="Aptos" w:hAnsi="Aptos"/>
        </w:rPr>
        <w:t xml:space="preserve">   </w:t>
      </w:r>
      <w:r w:rsidRPr="004E4EE7">
        <w:rPr>
          <w:rFonts w:ascii="Aptos" w:eastAsia="Times New Roman" w:hAnsi="Aptos" w:cs="Times New Roman"/>
          <w:bCs/>
          <w:i/>
          <w:iCs/>
          <w:color w:val="000000"/>
        </w:rPr>
        <w:t>Haines v. Kerner</w:t>
      </w:r>
      <w:r w:rsidRPr="004E4EE7">
        <w:rPr>
          <w:rFonts w:ascii="Aptos" w:eastAsia="Times New Roman" w:hAnsi="Aptos" w:cs="Times New Roman"/>
          <w:bCs/>
          <w:color w:val="000000"/>
        </w:rPr>
        <w:t>, 404 U.S. 519, 520 (1972) (allegations contained in a hearing request are to be held to “less stringent standards than formal pleadings drafted by lawyers”)</w:t>
      </w:r>
      <w:r w:rsidRPr="004E4EE7">
        <w:rPr>
          <w:rFonts w:ascii="Aptos" w:hAnsi="Aptos" w:cs="Times New Roman"/>
        </w:rPr>
        <w:t xml:space="preserve">; </w:t>
      </w:r>
      <w:r w:rsidRPr="004E4EE7">
        <w:rPr>
          <w:rFonts w:ascii="Aptos" w:hAnsi="Aptos" w:cs="Times New Roman"/>
          <w:i/>
          <w:iCs/>
          <w:color w:val="000000" w:themeColor="text1"/>
        </w:rPr>
        <w:t>Ahmed v. Rosenblatt</w:t>
      </w:r>
      <w:r w:rsidRPr="004E4EE7">
        <w:rPr>
          <w:rFonts w:ascii="Aptos" w:hAnsi="Aptos" w:cs="Times New Roman"/>
          <w:color w:val="000000" w:themeColor="text1"/>
        </w:rPr>
        <w:t xml:space="preserve">, 118 F.3d 886, 890 (1st Cir. 1997) </w:t>
      </w:r>
      <w:r w:rsidRPr="004E4EE7">
        <w:rPr>
          <w:rFonts w:ascii="Aptos" w:hAnsi="Aptos" w:cs="Times New Roman"/>
        </w:rPr>
        <w:t>(</w:t>
      </w:r>
      <w:r w:rsidRPr="004E4EE7">
        <w:rPr>
          <w:rFonts w:ascii="Aptos" w:hAnsi="Aptos" w:cs="Times New Roman"/>
          <w:color w:val="000000" w:themeColor="text1"/>
        </w:rPr>
        <w:t>“The policy behind affording pro se plaintiffs liberal interpretation [of their hearing request] is that if they present sufficient facts [to state a claim], the court may intuit the correct cause of action, even if it was imperfectly pled”)</w:t>
      </w:r>
      <w:r w:rsidRPr="004E4EE7">
        <w:rPr>
          <w:rFonts w:ascii="Aptos" w:hAnsi="Aptos" w:cs="Times New Roman"/>
        </w:rPr>
        <w:t xml:space="preserve">; </w:t>
      </w:r>
      <w:r w:rsidRPr="004E4EE7">
        <w:rPr>
          <w:rFonts w:ascii="Aptos" w:hAnsi="Aptos" w:cs="Times New Roman"/>
          <w:i/>
          <w:iCs/>
        </w:rPr>
        <w:t xml:space="preserve">In Re: Springfield Pub. </w:t>
      </w:r>
      <w:proofErr w:type="spellStart"/>
      <w:r w:rsidRPr="004E4EE7">
        <w:rPr>
          <w:rFonts w:ascii="Aptos" w:hAnsi="Aptos" w:cs="Times New Roman"/>
          <w:i/>
          <w:iCs/>
        </w:rPr>
        <w:t>Schs</w:t>
      </w:r>
      <w:proofErr w:type="spellEnd"/>
      <w:r w:rsidRPr="004E4EE7">
        <w:rPr>
          <w:rFonts w:ascii="Aptos" w:hAnsi="Aptos" w:cs="Times New Roman"/>
          <w:i/>
          <w:iCs/>
        </w:rPr>
        <w:t>.</w:t>
      </w:r>
      <w:r w:rsidRPr="004E4EE7">
        <w:rPr>
          <w:rFonts w:ascii="Aptos" w:hAnsi="Aptos" w:cs="Times New Roman"/>
        </w:rPr>
        <w:t xml:space="preserve">, BSEA No. 2203555, 22 MSER 109, </w:t>
      </w:r>
      <w:r w:rsidRPr="00F70150">
        <w:rPr>
          <w:rFonts w:ascii="Aptos" w:hAnsi="Aptos" w:cs="Times New Roman"/>
        </w:rPr>
        <w:t>(Berman, 2022);</w:t>
      </w:r>
      <w:r w:rsidRPr="004E4EE7">
        <w:rPr>
          <w:rFonts w:ascii="Aptos" w:hAnsi="Aptos" w:cs="Times New Roman"/>
        </w:rPr>
        <w:t xml:space="preserve"> see </w:t>
      </w:r>
      <w:r w:rsidRPr="004E4EE7">
        <w:rPr>
          <w:rFonts w:ascii="Aptos" w:hAnsi="Aptos" w:cs="Times New Roman"/>
          <w:i/>
          <w:iCs/>
        </w:rPr>
        <w:t>In Re: Easthampton Pub. Sch.</w:t>
      </w:r>
      <w:r w:rsidRPr="004E4EE7">
        <w:rPr>
          <w:rFonts w:ascii="Aptos" w:hAnsi="Aptos" w:cs="Times New Roman"/>
        </w:rPr>
        <w:t>, BSEA No. 2203513, 28 MSER 35</w:t>
      </w:r>
      <w:r w:rsidRPr="00F70150">
        <w:rPr>
          <w:rFonts w:ascii="Aptos" w:hAnsi="Aptos" w:cs="Times New Roman"/>
        </w:rPr>
        <w:t>, (Kantor Nir, 2022).</w:t>
      </w:r>
    </w:p>
  </w:footnote>
  <w:footnote w:id="10">
    <w:p w14:paraId="12E7EEE0" w14:textId="77777777" w:rsidR="00634259" w:rsidRPr="004E4EE7" w:rsidRDefault="00634259" w:rsidP="00634259">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Pr>
          <w:rFonts w:ascii="Aptos" w:hAnsi="Aptos" w:cs="Times New Roman"/>
        </w:rPr>
        <w:t xml:space="preserve"> </w:t>
      </w:r>
      <w:r w:rsidRPr="004E4EE7">
        <w:rPr>
          <w:rFonts w:ascii="Aptos" w:hAnsi="Aptos" w:cs="Times New Roman"/>
          <w:i/>
          <w:iCs/>
        </w:rPr>
        <w:t>Ahmed</w:t>
      </w:r>
      <w:r w:rsidRPr="004E4EE7">
        <w:rPr>
          <w:rFonts w:ascii="Aptos" w:hAnsi="Aptos" w:cs="Times New Roman"/>
        </w:rPr>
        <w:t>, 118 F.3d at 890.</w:t>
      </w:r>
    </w:p>
  </w:footnote>
  <w:footnote w:id="11">
    <w:p w14:paraId="66C3B349" w14:textId="77777777" w:rsidR="00634259" w:rsidRPr="004E4EE7" w:rsidRDefault="00634259" w:rsidP="00634259">
      <w:pPr>
        <w:pStyle w:val="FootnoteText"/>
        <w:rPr>
          <w:rFonts w:ascii="Aptos" w:hAnsi="Aptos"/>
        </w:rPr>
      </w:pPr>
      <w:r w:rsidRPr="004E4EE7">
        <w:rPr>
          <w:rStyle w:val="FootnoteReference"/>
          <w:rFonts w:ascii="Aptos" w:hAnsi="Aptos"/>
        </w:rPr>
        <w:footnoteRef/>
      </w:r>
      <w:r>
        <w:rPr>
          <w:rFonts w:ascii="Aptos" w:hAnsi="Aptos"/>
        </w:rPr>
        <w:t xml:space="preserve"> </w:t>
      </w:r>
      <w:r w:rsidRPr="004E4EE7">
        <w:rPr>
          <w:rFonts w:ascii="Aptos" w:hAnsi="Aptos"/>
        </w:rPr>
        <w:t xml:space="preserve">  </w:t>
      </w:r>
      <w:r w:rsidRPr="004E4EE7">
        <w:rPr>
          <w:rFonts w:ascii="Aptos" w:hAnsi="Aptos" w:cs="Times New Roman"/>
          <w:i/>
          <w:iCs/>
        </w:rPr>
        <w:t>Lampkin-Asam v. Volusia Cnty. Sch. Bd.</w:t>
      </w:r>
      <w:r w:rsidRPr="004E4EE7">
        <w:rPr>
          <w:rFonts w:ascii="Aptos" w:hAnsi="Aptos" w:cs="Times New Roman"/>
        </w:rPr>
        <w:t xml:space="preserve">, 261 </w:t>
      </w:r>
      <w:proofErr w:type="spellStart"/>
      <w:r w:rsidRPr="004E4EE7">
        <w:rPr>
          <w:rFonts w:ascii="Aptos" w:hAnsi="Aptos" w:cs="Times New Roman"/>
        </w:rPr>
        <w:t>F.App'x</w:t>
      </w:r>
      <w:proofErr w:type="spellEnd"/>
      <w:r w:rsidRPr="004E4EE7">
        <w:rPr>
          <w:rFonts w:ascii="Aptos" w:hAnsi="Aptos" w:cs="Times New Roman"/>
        </w:rPr>
        <w:t xml:space="preserve"> 274, 276–77 (11th Cir. 2008) quoting </w:t>
      </w:r>
      <w:r w:rsidRPr="004E4EE7">
        <w:rPr>
          <w:rFonts w:ascii="Aptos" w:hAnsi="Aptos" w:cs="Times New Roman"/>
          <w:i/>
          <w:iCs/>
        </w:rPr>
        <w:t>Hepperle v. Johnston,</w:t>
      </w:r>
      <w:r w:rsidRPr="004E4EE7">
        <w:rPr>
          <w:rFonts w:ascii="Aptos" w:hAnsi="Aptos" w:cs="Times New Roman"/>
        </w:rPr>
        <w:t xml:space="preserve"> 544 F.2d 201, 202 (5th Cir.1976).</w:t>
      </w:r>
    </w:p>
  </w:footnote>
  <w:footnote w:id="12">
    <w:p w14:paraId="7CC1D2EE" w14:textId="795C5841" w:rsidR="00634259" w:rsidRPr="004E4EE7" w:rsidRDefault="00634259" w:rsidP="00634259">
      <w:pPr>
        <w:rPr>
          <w:rFonts w:ascii="Aptos" w:eastAsia="Times New Roman" w:hAnsi="Aptos" w:cs="Times New Roman"/>
          <w:bCs/>
          <w:color w:val="000000"/>
          <w:sz w:val="20"/>
          <w:szCs w:val="20"/>
        </w:rPr>
      </w:pPr>
      <w:r w:rsidRPr="004E4EE7">
        <w:rPr>
          <w:rStyle w:val="FootnoteReference"/>
          <w:rFonts w:ascii="Aptos" w:hAnsi="Aptos"/>
        </w:rPr>
        <w:footnoteRef/>
      </w:r>
      <w:r w:rsidRPr="004E4EE7">
        <w:rPr>
          <w:rFonts w:ascii="Aptos" w:hAnsi="Aptos"/>
          <w:sz w:val="20"/>
          <w:szCs w:val="20"/>
        </w:rPr>
        <w:t xml:space="preserve">   </w:t>
      </w:r>
      <w:r w:rsidRPr="00FD57DB">
        <w:rPr>
          <w:rFonts w:ascii="Aptos" w:hAnsi="Aptos"/>
          <w:sz w:val="20"/>
          <w:szCs w:val="20"/>
        </w:rPr>
        <w:t>In</w:t>
      </w:r>
      <w:r w:rsidRPr="004E4EE7">
        <w:rPr>
          <w:rFonts w:ascii="Aptos" w:hAnsi="Aptos"/>
          <w:i/>
          <w:iCs/>
          <w:sz w:val="20"/>
          <w:szCs w:val="20"/>
        </w:rPr>
        <w:t xml:space="preserve"> Re: Springfield Pub. </w:t>
      </w:r>
      <w:proofErr w:type="spellStart"/>
      <w:r w:rsidRPr="004E4EE7">
        <w:rPr>
          <w:rFonts w:ascii="Aptos" w:hAnsi="Aptos"/>
          <w:i/>
          <w:iCs/>
          <w:sz w:val="20"/>
          <w:szCs w:val="20"/>
        </w:rPr>
        <w:t>Schs</w:t>
      </w:r>
      <w:proofErr w:type="spellEnd"/>
      <w:r w:rsidRPr="004E4EE7">
        <w:rPr>
          <w:rFonts w:ascii="Aptos" w:hAnsi="Aptos"/>
          <w:i/>
          <w:iCs/>
          <w:sz w:val="20"/>
          <w:szCs w:val="20"/>
        </w:rPr>
        <w:t>.</w:t>
      </w:r>
      <w:r w:rsidRPr="004E4EE7">
        <w:rPr>
          <w:rFonts w:ascii="Aptos" w:hAnsi="Aptos"/>
          <w:sz w:val="20"/>
          <w:szCs w:val="20"/>
        </w:rPr>
        <w:t xml:space="preserve">, BSEA No. 2203555, 28 MSER 111 (Berman, 2022) citing </w:t>
      </w:r>
      <w:r w:rsidRPr="004E4EE7">
        <w:rPr>
          <w:rFonts w:ascii="Aptos" w:eastAsia="Times New Roman" w:hAnsi="Aptos" w:cs="Times New Roman"/>
          <w:bCs/>
          <w:i/>
          <w:iCs/>
          <w:color w:val="000000"/>
          <w:sz w:val="20"/>
          <w:szCs w:val="20"/>
        </w:rPr>
        <w:t>Globe Newspaper Co. v. Beacon Hill Architectural Comm.</w:t>
      </w:r>
      <w:r w:rsidRPr="004E4EE7">
        <w:rPr>
          <w:rFonts w:ascii="Aptos" w:eastAsia="Times New Roman" w:hAnsi="Aptos" w:cs="Times New Roman"/>
          <w:bCs/>
          <w:color w:val="000000"/>
          <w:sz w:val="20"/>
          <w:szCs w:val="20"/>
        </w:rPr>
        <w:t>, 421 Mass. 570, 586 (1996) (“Any judicial review of agency action embodies the principle that an agency has no inherent authority beyond its enabling act and therefore it may do nothing that contradicts such legislation”)</w:t>
      </w:r>
      <w:r w:rsidR="00235CBC">
        <w:rPr>
          <w:rFonts w:ascii="Aptos" w:hAnsi="Aptos"/>
          <w:sz w:val="20"/>
          <w:szCs w:val="20"/>
        </w:rPr>
        <w:t>;</w:t>
      </w:r>
      <w:r w:rsidR="007A5D18">
        <w:rPr>
          <w:rFonts w:ascii="Aptos" w:hAnsi="Aptos"/>
          <w:sz w:val="20"/>
          <w:szCs w:val="20"/>
        </w:rPr>
        <w:t xml:space="preserve">  </w:t>
      </w:r>
      <w:r w:rsidR="007A5D18" w:rsidRPr="004E4EE7">
        <w:rPr>
          <w:rFonts w:ascii="Aptos" w:eastAsia="Times New Roman" w:hAnsi="Aptos" w:cs="Times New Roman"/>
          <w:bCs/>
          <w:color w:val="000000"/>
          <w:sz w:val="20"/>
          <w:szCs w:val="20"/>
        </w:rPr>
        <w:t>see</w:t>
      </w:r>
      <w:r w:rsidR="007A5D18" w:rsidRPr="004E4EE7">
        <w:rPr>
          <w:rFonts w:ascii="Aptos" w:hAnsi="Aptos"/>
          <w:sz w:val="20"/>
          <w:szCs w:val="20"/>
        </w:rPr>
        <w:t xml:space="preserve"> </w:t>
      </w:r>
      <w:r w:rsidR="007A5D18" w:rsidRPr="004E4EE7">
        <w:rPr>
          <w:rFonts w:ascii="Aptos" w:hAnsi="Aptos" w:cs="Times New Roman"/>
          <w:sz w:val="20"/>
          <w:szCs w:val="20"/>
        </w:rPr>
        <w:t>20 U.S.C. §1400 </w:t>
      </w:r>
      <w:r w:rsidR="007A5D18" w:rsidRPr="004E4EE7">
        <w:rPr>
          <w:rFonts w:ascii="Aptos" w:hAnsi="Aptos" w:cs="Times New Roman"/>
          <w:i/>
          <w:iCs/>
          <w:sz w:val="20"/>
          <w:szCs w:val="20"/>
        </w:rPr>
        <w:t>et. seq</w:t>
      </w:r>
      <w:r w:rsidR="007A5D18" w:rsidRPr="004E4EE7">
        <w:rPr>
          <w:rFonts w:ascii="Aptos" w:hAnsi="Aptos" w:cs="Times New Roman"/>
          <w:sz w:val="20"/>
          <w:szCs w:val="20"/>
        </w:rPr>
        <w:t xml:space="preserve">; M.G.L. 71B; 29 U.S.C. §794; </w:t>
      </w:r>
      <w:r w:rsidR="007A5D18" w:rsidRPr="004E4EE7">
        <w:rPr>
          <w:rFonts w:ascii="Aptos" w:hAnsi="Aptos"/>
          <w:i/>
          <w:iCs/>
          <w:sz w:val="20"/>
          <w:szCs w:val="20"/>
        </w:rPr>
        <w:t xml:space="preserve">In Re: Student &amp; Quincy </w:t>
      </w:r>
      <w:r w:rsidR="007043D3">
        <w:rPr>
          <w:rFonts w:ascii="Aptos" w:hAnsi="Aptos"/>
          <w:i/>
          <w:iCs/>
          <w:sz w:val="20"/>
          <w:szCs w:val="20"/>
        </w:rPr>
        <w:t xml:space="preserve">&amp; </w:t>
      </w:r>
      <w:r w:rsidR="007A5D18">
        <w:rPr>
          <w:rFonts w:ascii="Aptos" w:hAnsi="Aptos"/>
          <w:i/>
          <w:iCs/>
          <w:sz w:val="20"/>
          <w:szCs w:val="20"/>
        </w:rPr>
        <w:t>DESE</w:t>
      </w:r>
      <w:r w:rsidR="007A5D18" w:rsidRPr="004E4EE7">
        <w:rPr>
          <w:rFonts w:ascii="Aptos" w:hAnsi="Aptos"/>
          <w:i/>
          <w:iCs/>
          <w:sz w:val="20"/>
          <w:szCs w:val="20"/>
        </w:rPr>
        <w:t xml:space="preserve">, </w:t>
      </w:r>
      <w:r w:rsidR="007A5D18" w:rsidRPr="004E4EE7">
        <w:rPr>
          <w:rFonts w:ascii="Aptos" w:hAnsi="Aptos"/>
          <w:sz w:val="20"/>
          <w:szCs w:val="20"/>
        </w:rPr>
        <w:t xml:space="preserve">BSEA No. 2408249; </w:t>
      </w:r>
      <w:r w:rsidR="007A5D18" w:rsidRPr="004E4EE7">
        <w:rPr>
          <w:rFonts w:ascii="Aptos" w:hAnsi="Aptos"/>
          <w:i/>
          <w:iCs/>
          <w:sz w:val="20"/>
          <w:szCs w:val="20"/>
        </w:rPr>
        <w:t>In Re: Holyoke and Jay</w:t>
      </w:r>
      <w:r w:rsidR="007A5D18" w:rsidRPr="004E4EE7">
        <w:rPr>
          <w:rFonts w:ascii="Aptos" w:hAnsi="Aptos"/>
          <w:sz w:val="20"/>
          <w:szCs w:val="20"/>
        </w:rPr>
        <w:t>, BSEA No. 1800619.</w:t>
      </w:r>
    </w:p>
  </w:footnote>
  <w:footnote w:id="13">
    <w:p w14:paraId="32C5E561" w14:textId="77777777" w:rsidR="00634259" w:rsidRPr="004E4EE7" w:rsidRDefault="00634259" w:rsidP="00634259">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See 34 CFR 300.507(a)(1).</w:t>
      </w:r>
    </w:p>
  </w:footnote>
  <w:footnote w:id="14">
    <w:p w14:paraId="6CFD89E2" w14:textId="66B2BD4E" w:rsidR="00634259" w:rsidRPr="004E4EE7" w:rsidRDefault="00634259" w:rsidP="00634259">
      <w:pPr>
        <w:pStyle w:val="FootnoteText"/>
        <w:rPr>
          <w:rFonts w:ascii="Aptos" w:hAnsi="Aptos"/>
        </w:rPr>
      </w:pPr>
      <w:r w:rsidRPr="004E4EE7">
        <w:rPr>
          <w:rStyle w:val="FootnoteReference"/>
          <w:rFonts w:ascii="Aptos" w:hAnsi="Aptos"/>
        </w:rPr>
        <w:footnoteRef/>
      </w:r>
      <w:r w:rsidRPr="004E4EE7">
        <w:rPr>
          <w:rFonts w:ascii="Aptos" w:hAnsi="Aptos"/>
        </w:rPr>
        <w:t xml:space="preserve">   See </w:t>
      </w:r>
      <w:r w:rsidRPr="004E4EE7">
        <w:rPr>
          <w:rFonts w:ascii="Aptos" w:hAnsi="Aptos" w:cs="Times New Roman"/>
        </w:rPr>
        <w:t>603 CMR 28.08(3)(a) (providing for the BSEA to hear “… any matter concerning the eligibility, evaluation, placement, IEP, provision of special education in accordance with state and federal law or the procedural protections of state and federal law for students with disabilities”)</w:t>
      </w:r>
      <w:r w:rsidR="00CB647E">
        <w:rPr>
          <w:rFonts w:ascii="Aptos" w:hAnsi="Aptos" w:cs="Times New Roman"/>
        </w:rPr>
        <w:t>.</w:t>
      </w:r>
    </w:p>
  </w:footnote>
  <w:footnote w:id="15">
    <w:p w14:paraId="559FA686" w14:textId="12C20E77" w:rsidR="00634259" w:rsidRPr="004E4EE7" w:rsidRDefault="00634259" w:rsidP="00634259">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00116AB7">
        <w:rPr>
          <w:rFonts w:ascii="Aptos" w:hAnsi="Aptos" w:cs="Times New Roman"/>
        </w:rPr>
        <w:t>See 20 USC 1415(7)(ii) setting forth the requirements for a due process complaint under the IDEA.  The only substantive requirements consist of “</w:t>
      </w:r>
      <w:r w:rsidR="00116AB7" w:rsidRPr="00A3078A">
        <w:rPr>
          <w:rFonts w:ascii="Aptos" w:hAnsi="Aptos" w:cs="Times New Roman"/>
        </w:rPr>
        <w:t xml:space="preserve">a description of the nature of the problem of the child relating to such proposed initiation or change, </w:t>
      </w:r>
      <w:r w:rsidR="00116AB7" w:rsidRPr="00292E86">
        <w:rPr>
          <w:rFonts w:ascii="Aptos" w:hAnsi="Aptos" w:cs="Times New Roman"/>
          <w:i/>
          <w:iCs/>
        </w:rPr>
        <w:t>including facts relating to such problem</w:t>
      </w:r>
      <w:r w:rsidR="00116AB7">
        <w:rPr>
          <w:rFonts w:ascii="Aptos" w:hAnsi="Aptos" w:cs="Times New Roman"/>
        </w:rPr>
        <w:t>”</w:t>
      </w:r>
      <w:r w:rsidR="00116AB7" w:rsidRPr="00A3078A">
        <w:rPr>
          <w:rFonts w:ascii="Aptos" w:hAnsi="Aptos" w:cs="Times New Roman"/>
        </w:rPr>
        <w:t xml:space="preserve"> and</w:t>
      </w:r>
      <w:r w:rsidR="00116AB7">
        <w:rPr>
          <w:rFonts w:ascii="Aptos" w:hAnsi="Aptos" w:cs="Times New Roman"/>
        </w:rPr>
        <w:t xml:space="preserve"> “</w:t>
      </w:r>
      <w:r w:rsidR="00116AB7" w:rsidRPr="00A3078A">
        <w:rPr>
          <w:rFonts w:ascii="Aptos" w:hAnsi="Aptos" w:cs="Times New Roman"/>
        </w:rPr>
        <w:t>a proposed resolution of the problem to the extent known and available to the party at the time</w:t>
      </w:r>
      <w:r w:rsidR="00116AB7">
        <w:rPr>
          <w:rFonts w:ascii="Aptos" w:hAnsi="Aptos" w:cs="Times New Roman"/>
        </w:rPr>
        <w:t>” (emphasis added)</w:t>
      </w:r>
      <w:r w:rsidR="00116AB7" w:rsidRPr="004E4EE7">
        <w:rPr>
          <w:rFonts w:ascii="Aptos" w:hAnsi="Aptos" w:cs="Times New Roman"/>
        </w:rPr>
        <w:t>.</w:t>
      </w:r>
    </w:p>
  </w:footnote>
  <w:footnote w:id="16">
    <w:p w14:paraId="509B9BCD" w14:textId="7285275F" w:rsidR="00AB3CE8" w:rsidRPr="00AB3CE8" w:rsidRDefault="00AB3CE8">
      <w:pPr>
        <w:pStyle w:val="FootnoteText"/>
        <w:rPr>
          <w:rFonts w:ascii="Aptos" w:hAnsi="Aptos" w:cs="Times New Roman"/>
        </w:rPr>
      </w:pPr>
      <w:r>
        <w:rPr>
          <w:rStyle w:val="FootnoteReference"/>
        </w:rPr>
        <w:footnoteRef/>
      </w:r>
      <w:r>
        <w:t xml:space="preserve">   </w:t>
      </w:r>
      <w:r w:rsidRPr="004E4EE7">
        <w:rPr>
          <w:rFonts w:ascii="Aptos" w:hAnsi="Aptos" w:cs="Times New Roman"/>
          <w:i/>
          <w:iCs/>
        </w:rPr>
        <w:t>Bell Atl. Corp.</w:t>
      </w:r>
      <w:r w:rsidRPr="004E4EE7">
        <w:rPr>
          <w:rFonts w:ascii="Aptos" w:hAnsi="Aptos" w:cs="Times New Roman"/>
        </w:rPr>
        <w:t>, 550 U.S. at 555; see FRCP 8(a), “</w:t>
      </w:r>
      <w:r w:rsidRPr="004E4EE7">
        <w:rPr>
          <w:rFonts w:ascii="Aptos" w:hAnsi="Aptos" w:cs="Times New Roman"/>
          <w:i/>
          <w:iCs/>
        </w:rPr>
        <w:t>Claim for Relief.</w:t>
      </w:r>
      <w:r w:rsidRPr="004E4EE7">
        <w:rPr>
          <w:rFonts w:ascii="Aptos" w:hAnsi="Aptos" w:cs="Times New Roman"/>
        </w:rPr>
        <w:t> A pleading that states a claim for relief must contain: … (2)</w:t>
      </w:r>
      <w:r w:rsidRPr="004E4EE7">
        <w:rPr>
          <w:rFonts w:ascii="Aptos" w:hAnsi="Aptos" w:cs="Times New Roman"/>
          <w:b/>
          <w:bCs/>
        </w:rPr>
        <w:t> </w:t>
      </w:r>
      <w:r w:rsidRPr="004E4EE7">
        <w:rPr>
          <w:rFonts w:ascii="Aptos" w:hAnsi="Aptos" w:cs="Times New Roman"/>
        </w:rPr>
        <w:t>a short and plain statement of the claim showing that the pleader is entitled to relief….”</w:t>
      </w:r>
      <w:r>
        <w:rPr>
          <w:rFonts w:ascii="Aptos" w:hAnsi="Aptos" w:cs="Times New Roman"/>
        </w:rPr>
        <w:t>.</w:t>
      </w:r>
    </w:p>
  </w:footnote>
  <w:footnote w:id="17">
    <w:p w14:paraId="68C45398" w14:textId="37D3D7E9" w:rsidR="00634259" w:rsidRPr="004E4EE7" w:rsidRDefault="00634259" w:rsidP="00634259">
      <w:pPr>
        <w:pStyle w:val="FootnoteText"/>
        <w:rPr>
          <w:rFonts w:ascii="Aptos" w:hAnsi="Aptos" w:cs="Times New Roman"/>
        </w:rPr>
      </w:pPr>
      <w:r w:rsidRPr="004E4EE7">
        <w:rPr>
          <w:rStyle w:val="FootnoteReference"/>
          <w:rFonts w:ascii="Aptos" w:hAnsi="Aptos" w:cs="Times New Roman"/>
        </w:rPr>
        <w:footnoteRef/>
      </w:r>
      <w:r w:rsidRPr="004E4EE7">
        <w:rPr>
          <w:rFonts w:ascii="Aptos" w:hAnsi="Aptos" w:cs="Times New Roman"/>
        </w:rPr>
        <w:t xml:space="preserve">   </w:t>
      </w:r>
      <w:r w:rsidRPr="004E4EE7">
        <w:rPr>
          <w:rFonts w:ascii="Aptos" w:hAnsi="Aptos" w:cs="Times New Roman"/>
          <w:i/>
          <w:iCs/>
        </w:rPr>
        <w:t>Id</w:t>
      </w:r>
      <w:r w:rsidRPr="004E4EE7">
        <w:rPr>
          <w:rFonts w:ascii="Aptos" w:hAnsi="Aptos" w:cs="Times New Roman"/>
        </w:rPr>
        <w:t>., citing </w:t>
      </w:r>
      <w:r w:rsidRPr="00F53727">
        <w:rPr>
          <w:rFonts w:ascii="Aptos" w:hAnsi="Aptos" w:cs="Times New Roman"/>
          <w:i/>
          <w:iCs/>
        </w:rPr>
        <w:t>Papasan v. Allain,</w:t>
      </w:r>
      <w:r w:rsidRPr="00F53727">
        <w:rPr>
          <w:rFonts w:ascii="Aptos" w:hAnsi="Aptos" w:cs="Times New Roman"/>
        </w:rPr>
        <w:t> 478 U.S. 265, 286, (1986)</w:t>
      </w:r>
      <w:r w:rsidR="00A54B74">
        <w:rPr>
          <w:rFonts w:ascii="Aptos" w:hAnsi="Aptos" w:cs="Times New Roman"/>
        </w:rPr>
        <w:t xml:space="preserve">; </w:t>
      </w:r>
      <w:r w:rsidR="00CB647E">
        <w:rPr>
          <w:rFonts w:ascii="Aptos" w:hAnsi="Aptos" w:cs="Times New Roman"/>
        </w:rPr>
        <w:t>s</w:t>
      </w:r>
      <w:r w:rsidR="00A54B74">
        <w:rPr>
          <w:rFonts w:ascii="Aptos" w:hAnsi="Aptos" w:cs="Times New Roman"/>
        </w:rPr>
        <w:t xml:space="preserve">ee </w:t>
      </w:r>
      <w:r w:rsidR="00A54B74">
        <w:rPr>
          <w:rFonts w:ascii="Aptos" w:hAnsi="Aptos" w:cs="Times New Roman"/>
          <w:i/>
          <w:iCs/>
        </w:rPr>
        <w:t>In Re: Student &amp; Wes</w:t>
      </w:r>
      <w:r w:rsidR="008E26A6">
        <w:rPr>
          <w:rFonts w:ascii="Aptos" w:hAnsi="Aptos" w:cs="Times New Roman"/>
          <w:i/>
          <w:iCs/>
        </w:rPr>
        <w:t>ton</w:t>
      </w:r>
      <w:r w:rsidR="00A54B74">
        <w:rPr>
          <w:rFonts w:ascii="Aptos" w:hAnsi="Aptos" w:cs="Times New Roman"/>
          <w:i/>
          <w:iCs/>
        </w:rPr>
        <w:t xml:space="preserve"> Pub. Sch</w:t>
      </w:r>
      <w:r>
        <w:rPr>
          <w:rFonts w:ascii="Aptos" w:hAnsi="Aptos" w:cs="Times New Roman"/>
        </w:rPr>
        <w:t>.</w:t>
      </w:r>
      <w:r w:rsidR="0085355A">
        <w:rPr>
          <w:rFonts w:ascii="Aptos" w:hAnsi="Aptos" w:cs="Times New Roman"/>
        </w:rPr>
        <w:t xml:space="preserve">, BSEA </w:t>
      </w:r>
      <w:r w:rsidR="007F554C">
        <w:rPr>
          <w:rFonts w:ascii="Aptos" w:hAnsi="Aptos" w:cs="Times New Roman"/>
        </w:rPr>
        <w:t xml:space="preserve">No. </w:t>
      </w:r>
      <w:r w:rsidR="0085355A">
        <w:rPr>
          <w:rFonts w:ascii="Aptos" w:hAnsi="Aptos" w:cs="Times New Roman"/>
        </w:rPr>
        <w:t>2602235, 31 MSER 398 (Mitchell, 2025).</w:t>
      </w:r>
    </w:p>
  </w:footnote>
  <w:footnote w:id="18">
    <w:p w14:paraId="66E49E0E" w14:textId="187E7FB6" w:rsidR="006B5CD1" w:rsidRPr="00CF7FF5" w:rsidRDefault="006B5CD1">
      <w:pPr>
        <w:pStyle w:val="FootnoteText"/>
      </w:pPr>
      <w:r>
        <w:rPr>
          <w:rStyle w:val="FootnoteReference"/>
        </w:rPr>
        <w:footnoteRef/>
      </w:r>
      <w:r>
        <w:t xml:space="preserve">  </w:t>
      </w:r>
      <w:r w:rsidR="007B0817">
        <w:t xml:space="preserve"> </w:t>
      </w:r>
      <w:r w:rsidR="00E94678">
        <w:rPr>
          <w:i/>
          <w:iCs/>
        </w:rPr>
        <w:t>In Re: Dudley-Charlton Reg’l Sch. Dist.</w:t>
      </w:r>
      <w:r w:rsidR="00E94678">
        <w:t xml:space="preserve">, BSEA No. 2605107, 32 MSER 23 </w:t>
      </w:r>
      <w:r w:rsidR="00F70150">
        <w:t>(</w:t>
      </w:r>
      <w:r w:rsidR="00E94678">
        <w:t>Mitchell, 2026)</w:t>
      </w:r>
      <w:r w:rsidR="00241C6A">
        <w:t xml:space="preserve">; see </w:t>
      </w:r>
      <w:r w:rsidR="00B85CA3">
        <w:rPr>
          <w:i/>
          <w:iCs/>
        </w:rPr>
        <w:t xml:space="preserve">In Re:  Student v. Dracut Pub. </w:t>
      </w:r>
      <w:proofErr w:type="spellStart"/>
      <w:r w:rsidR="00B85CA3">
        <w:rPr>
          <w:i/>
          <w:iCs/>
        </w:rPr>
        <w:t>Schs</w:t>
      </w:r>
      <w:proofErr w:type="spellEnd"/>
      <w:r w:rsidR="00B85CA3">
        <w:rPr>
          <w:i/>
          <w:iCs/>
        </w:rPr>
        <w:t>.</w:t>
      </w:r>
      <w:r w:rsidR="00B85CA3">
        <w:t xml:space="preserve">, BSEA No.  2312210, 29 MSER 177 at </w:t>
      </w:r>
      <w:proofErr w:type="spellStart"/>
      <w:r w:rsidR="00B85CA3">
        <w:t>Ftnt</w:t>
      </w:r>
      <w:proofErr w:type="spellEnd"/>
      <w:r w:rsidR="00B85CA3">
        <w:t xml:space="preserve"> 77 (Kantor Nir, 2023) (</w:t>
      </w:r>
      <w:r w:rsidR="00E21F1E">
        <w:t>dismissing only the non-FAPE-based retaliation claims)</w:t>
      </w:r>
      <w:r w:rsidR="00B85CA3">
        <w:t xml:space="preserve">; </w:t>
      </w:r>
      <w:r w:rsidR="00EA5FF1">
        <w:rPr>
          <w:i/>
          <w:iCs/>
        </w:rPr>
        <w:t xml:space="preserve">In Re: </w:t>
      </w:r>
      <w:r w:rsidR="004268B8" w:rsidRPr="00B356E6">
        <w:rPr>
          <w:rFonts w:ascii="Aptos" w:hAnsi="Aptos"/>
          <w:i/>
          <w:iCs/>
        </w:rPr>
        <w:t xml:space="preserve">Springfield </w:t>
      </w:r>
      <w:r w:rsidR="004268B8" w:rsidRPr="00EA5FF1">
        <w:rPr>
          <w:rFonts w:ascii="Aptos" w:hAnsi="Aptos"/>
          <w:i/>
          <w:iCs/>
        </w:rPr>
        <w:t xml:space="preserve">Pub. </w:t>
      </w:r>
      <w:proofErr w:type="spellStart"/>
      <w:r w:rsidR="004268B8" w:rsidRPr="00EA5FF1">
        <w:rPr>
          <w:rFonts w:ascii="Aptos" w:hAnsi="Aptos"/>
          <w:i/>
          <w:iCs/>
        </w:rPr>
        <w:t>Schs</w:t>
      </w:r>
      <w:proofErr w:type="spellEnd"/>
      <w:r w:rsidR="004268B8" w:rsidRPr="00EA5FF1">
        <w:rPr>
          <w:rFonts w:ascii="Aptos" w:hAnsi="Aptos"/>
          <w:i/>
          <w:iCs/>
        </w:rPr>
        <w:t>.</w:t>
      </w:r>
      <w:r w:rsidR="004268B8" w:rsidRPr="00B356E6">
        <w:rPr>
          <w:rFonts w:ascii="Aptos" w:hAnsi="Aptos"/>
        </w:rPr>
        <w:t xml:space="preserve">, BSEA #2208440, 28 MSER 250 (Kantor Nir, 2022); </w:t>
      </w:r>
      <w:r w:rsidR="004268B8" w:rsidRPr="00B356E6">
        <w:rPr>
          <w:rFonts w:ascii="Aptos" w:hAnsi="Aptos"/>
          <w:i/>
          <w:iCs/>
        </w:rPr>
        <w:t xml:space="preserve">In Re: Ollie v. Springfield Pub </w:t>
      </w:r>
      <w:proofErr w:type="spellStart"/>
      <w:r w:rsidR="004268B8" w:rsidRPr="00B356E6">
        <w:rPr>
          <w:rFonts w:ascii="Aptos" w:hAnsi="Aptos"/>
          <w:i/>
          <w:iCs/>
        </w:rPr>
        <w:t>Schs</w:t>
      </w:r>
      <w:proofErr w:type="spellEnd"/>
      <w:r w:rsidR="004268B8" w:rsidRPr="00B356E6">
        <w:rPr>
          <w:rFonts w:ascii="Aptos" w:hAnsi="Aptos"/>
          <w:i/>
          <w:iCs/>
        </w:rPr>
        <w:t>.</w:t>
      </w:r>
      <w:r w:rsidR="004268B8" w:rsidRPr="00B356E6">
        <w:rPr>
          <w:rFonts w:ascii="Aptos" w:hAnsi="Aptos"/>
        </w:rPr>
        <w:t>, BSEA #2004776, 26 MSER 62 (Reichbach, 2020) (concluding that unless a claim of retaliation is tied to a FAPE claim, it is outside the jurisdiction of the BSEA)</w:t>
      </w:r>
      <w:r w:rsidR="00241C6A">
        <w:t xml:space="preserve">; </w:t>
      </w:r>
      <w:r w:rsidR="00CF7FF5">
        <w:rPr>
          <w:i/>
          <w:iCs/>
        </w:rPr>
        <w:t xml:space="preserve">In Re:  Oxford Pub. </w:t>
      </w:r>
      <w:proofErr w:type="spellStart"/>
      <w:r w:rsidR="00CF7FF5">
        <w:rPr>
          <w:i/>
          <w:iCs/>
        </w:rPr>
        <w:t>Schs</w:t>
      </w:r>
      <w:proofErr w:type="spellEnd"/>
      <w:r w:rsidR="00CF7FF5">
        <w:rPr>
          <w:i/>
          <w:iCs/>
        </w:rPr>
        <w:t>.</w:t>
      </w:r>
      <w:r w:rsidR="00CF7FF5">
        <w:t>, BSEA No. 1506886</w:t>
      </w:r>
      <w:r w:rsidR="00982C95">
        <w:t xml:space="preserve"> at </w:t>
      </w:r>
      <w:proofErr w:type="spellStart"/>
      <w:r w:rsidR="00982C95">
        <w:t>Ftnt</w:t>
      </w:r>
      <w:proofErr w:type="spellEnd"/>
      <w:r w:rsidR="00982C95">
        <w:t xml:space="preserve"> 5 (Berman, 2015).</w:t>
      </w:r>
    </w:p>
  </w:footnote>
  <w:footnote w:id="19">
    <w:p w14:paraId="6C7330C0" w14:textId="64E21A11" w:rsidR="001A5DCB" w:rsidRPr="001A5DCB" w:rsidRDefault="001A5DCB">
      <w:pPr>
        <w:pStyle w:val="FootnoteText"/>
      </w:pPr>
      <w:r>
        <w:rPr>
          <w:rStyle w:val="FootnoteReference"/>
        </w:rPr>
        <w:footnoteRef/>
      </w:r>
      <w:r>
        <w:t xml:space="preserve">   </w:t>
      </w:r>
      <w:r w:rsidR="00EA5FF1" w:rsidRPr="00B356E6">
        <w:rPr>
          <w:rFonts w:ascii="Aptos" w:hAnsi="Aptos"/>
          <w:i/>
          <w:iCs/>
        </w:rPr>
        <w:t>Weber</w:t>
      </w:r>
      <w:r w:rsidR="00EA5FF1" w:rsidRPr="00B356E6">
        <w:rPr>
          <w:rFonts w:ascii="Aptos" w:hAnsi="Aptos"/>
        </w:rPr>
        <w:t xml:space="preserve">, 212 F.3d </w:t>
      </w:r>
      <w:r w:rsidR="006701D3">
        <w:rPr>
          <w:rFonts w:ascii="Aptos" w:hAnsi="Aptos"/>
        </w:rPr>
        <w:t xml:space="preserve">at </w:t>
      </w:r>
      <w:r w:rsidR="00EA5FF1" w:rsidRPr="00B356E6">
        <w:rPr>
          <w:rFonts w:ascii="Aptos" w:hAnsi="Aptos"/>
        </w:rPr>
        <w:t>51</w:t>
      </w:r>
      <w:r w:rsidR="00241C6A">
        <w:rPr>
          <w:rFonts w:ascii="Aptos" w:hAnsi="Aptos"/>
        </w:rPr>
        <w:t>-52</w:t>
      </w:r>
      <w:r w:rsidR="00EA5FF1" w:rsidRPr="00B356E6">
        <w:rPr>
          <w:rFonts w:ascii="Aptos" w:hAnsi="Aptos"/>
        </w:rPr>
        <w:t xml:space="preserve"> (“Weber’s claim of retaliation is literally ‘related’ to the identification, evaluation, or educational placement of [her] ‘child.'”)</w:t>
      </w:r>
      <w:r w:rsidR="00EA5FF1">
        <w:rPr>
          <w:rFonts w:ascii="Aptos" w:hAnsi="Aptos"/>
        </w:rPr>
        <w:t xml:space="preserve">; see </w:t>
      </w:r>
      <w:r w:rsidR="00EA5FF1" w:rsidRPr="00B356E6">
        <w:rPr>
          <w:rFonts w:ascii="Aptos" w:hAnsi="Aptos"/>
          <w:i/>
          <w:iCs/>
        </w:rPr>
        <w:t>Rose v. Yeaw</w:t>
      </w:r>
      <w:r w:rsidR="00EA5FF1" w:rsidRPr="00B356E6">
        <w:rPr>
          <w:rFonts w:ascii="Aptos" w:hAnsi="Aptos"/>
        </w:rPr>
        <w:t>, 214 F.3d 206, 210 (1st Cir. 2000)</w:t>
      </w:r>
      <w:r w:rsidR="00EA5FF1" w:rsidRPr="00B356E6">
        <w:rPr>
          <w:rFonts w:ascii="Aptos" w:hAnsi="Aptos"/>
          <w:i/>
          <w:iCs/>
        </w:rPr>
        <w:t xml:space="preserve"> </w:t>
      </w:r>
      <w:r w:rsidR="00EA5FF1" w:rsidRPr="00B356E6">
        <w:rPr>
          <w:rFonts w:ascii="Aptos" w:hAnsi="Aptos"/>
        </w:rPr>
        <w:t xml:space="preserve">(holding all </w:t>
      </w:r>
      <w:r w:rsidR="006C5B3D">
        <w:rPr>
          <w:rFonts w:ascii="Aptos" w:hAnsi="Aptos"/>
        </w:rPr>
        <w:t xml:space="preserve">plaintiff’s </w:t>
      </w:r>
      <w:r w:rsidR="00EA5FF1" w:rsidRPr="00B356E6">
        <w:rPr>
          <w:rFonts w:ascii="Aptos" w:hAnsi="Aptos"/>
        </w:rPr>
        <w:t>claims, including that the school “retaliated against [the student] in response to the [parents’] efforts to enforce his educational rights,” were subject to the IDEA’s exhaustion requirement because they “relate unmistakably to the evaluation and educational placement of [the student]”).</w:t>
      </w:r>
      <w:r w:rsidR="00EA5FF1">
        <w:rPr>
          <w:rFonts w:ascii="Aptos" w:hAnsi="Aptos"/>
        </w:rPr>
        <w:t xml:space="preserve"> </w:t>
      </w:r>
    </w:p>
  </w:footnote>
  <w:footnote w:id="20">
    <w:p w14:paraId="3CE4F24B" w14:textId="720AFB28" w:rsidR="009B6FF1" w:rsidRDefault="009B6FF1">
      <w:pPr>
        <w:pStyle w:val="FootnoteText"/>
      </w:pPr>
      <w:r>
        <w:rPr>
          <w:rStyle w:val="FootnoteReference"/>
        </w:rPr>
        <w:footnoteRef/>
      </w:r>
      <w:r>
        <w:t xml:space="preserve">   </w:t>
      </w:r>
      <w:r w:rsidR="00EA5FF1" w:rsidRPr="00EA5FF1">
        <w:rPr>
          <w:i/>
          <w:iCs/>
        </w:rPr>
        <w:t>Weber</w:t>
      </w:r>
      <w:r w:rsidR="00EA5FF1">
        <w:t xml:space="preserve">, 212 F.3d </w:t>
      </w:r>
      <w:r w:rsidR="006A0E97" w:rsidRPr="00EA5FF1">
        <w:t>at</w:t>
      </w:r>
      <w:r w:rsidR="006A0E97">
        <w:t xml:space="preserve"> 51.</w:t>
      </w:r>
    </w:p>
  </w:footnote>
  <w:footnote w:id="21">
    <w:p w14:paraId="6EFBAB2B" w14:textId="433852CF" w:rsidR="00A0428E" w:rsidRPr="00BB69B1" w:rsidRDefault="00A0428E" w:rsidP="00A0428E">
      <w:pPr>
        <w:pStyle w:val="FootnoteText"/>
      </w:pPr>
      <w:r>
        <w:rPr>
          <w:rStyle w:val="FootnoteReference"/>
        </w:rPr>
        <w:footnoteRef/>
      </w:r>
      <w:r>
        <w:t xml:space="preserve">   </w:t>
      </w:r>
      <w:r>
        <w:rPr>
          <w:i/>
          <w:iCs/>
        </w:rPr>
        <w:t>McDonnell Douglas Corp. v. Green</w:t>
      </w:r>
      <w:r>
        <w:t>, 411 US 792, 801-03 (1973)</w:t>
      </w:r>
      <w:r w:rsidR="00C0708A">
        <w:t xml:space="preserve">; </w:t>
      </w:r>
      <w:r w:rsidR="00C0708A">
        <w:rPr>
          <w:i/>
          <w:iCs/>
        </w:rPr>
        <w:t xml:space="preserve">D.B. </w:t>
      </w:r>
      <w:r w:rsidR="00FB2B9E">
        <w:rPr>
          <w:i/>
          <w:iCs/>
        </w:rPr>
        <w:t>ex re. Elizabeth B. v. Esposito</w:t>
      </w:r>
      <w:r w:rsidR="00FB2B9E">
        <w:t>, 675 F.3d 26</w:t>
      </w:r>
      <w:r w:rsidR="00BB69B1">
        <w:t xml:space="preserve">, 41 </w:t>
      </w:r>
      <w:r w:rsidR="006701D3">
        <w:t>(1st</w:t>
      </w:r>
      <w:r w:rsidR="00BB69B1">
        <w:t xml:space="preserve"> Cir, 2012) (recognizing that the standard for analyzing Section 504 retaliation claims is the same as ADA retaliation claims) (internal citations omitted)</w:t>
      </w:r>
      <w:r w:rsidR="00C24E4A">
        <w:t>.</w:t>
      </w:r>
    </w:p>
  </w:footnote>
  <w:footnote w:id="22">
    <w:p w14:paraId="1C5A920B" w14:textId="2EBB38D5" w:rsidR="001175CE" w:rsidRPr="001175CE" w:rsidRDefault="001175CE">
      <w:pPr>
        <w:pStyle w:val="FootnoteText"/>
      </w:pPr>
      <w:r>
        <w:rPr>
          <w:rStyle w:val="FootnoteReference"/>
        </w:rPr>
        <w:footnoteRef/>
      </w:r>
      <w:r>
        <w:t xml:space="preserve">   </w:t>
      </w:r>
      <w:r>
        <w:rPr>
          <w:i/>
          <w:iCs/>
        </w:rPr>
        <w:t>D.B.</w:t>
      </w:r>
      <w:r>
        <w:t>, 675 F.3d at 41.</w:t>
      </w:r>
    </w:p>
  </w:footnote>
  <w:footnote w:id="23">
    <w:p w14:paraId="3640299A" w14:textId="383F6F6A" w:rsidR="00321F96" w:rsidRPr="00321F96" w:rsidRDefault="00321F96">
      <w:pPr>
        <w:pStyle w:val="FootnoteText"/>
      </w:pPr>
      <w:r>
        <w:rPr>
          <w:rStyle w:val="FootnoteReference"/>
        </w:rPr>
        <w:footnoteRef/>
      </w:r>
      <w:r>
        <w:t xml:space="preserve">   </w:t>
      </w:r>
      <w:r w:rsidR="006909CC" w:rsidRPr="006909CC">
        <w:rPr>
          <w:i/>
          <w:iCs/>
        </w:rPr>
        <w:t>Rose</w:t>
      </w:r>
      <w:r w:rsidR="006909CC">
        <w:t xml:space="preserve">, 214 F.3d at </w:t>
      </w:r>
      <w:r w:rsidR="00720F25">
        <w:t>210;</w:t>
      </w:r>
      <w:r w:rsidR="006909CC">
        <w:t xml:space="preserve"> </w:t>
      </w:r>
      <w:r w:rsidRPr="00720F25">
        <w:rPr>
          <w:i/>
          <w:iCs/>
        </w:rPr>
        <w:t>Weber</w:t>
      </w:r>
      <w:r w:rsidR="00720F25">
        <w:t>, 212 F.3d</w:t>
      </w:r>
      <w:r>
        <w:t xml:space="preserve"> at 51-52.</w:t>
      </w:r>
    </w:p>
  </w:footnote>
  <w:footnote w:id="24">
    <w:p w14:paraId="765E9156" w14:textId="29C5353A" w:rsidR="00DD4374" w:rsidRPr="00DD4374" w:rsidRDefault="00DD4374">
      <w:pPr>
        <w:pStyle w:val="FootnoteText"/>
      </w:pPr>
      <w:r>
        <w:rPr>
          <w:rStyle w:val="FootnoteReference"/>
        </w:rPr>
        <w:footnoteRef/>
      </w:r>
      <w:r>
        <w:t xml:space="preserve">   </w:t>
      </w:r>
      <w:r w:rsidR="001604B2">
        <w:t>While</w:t>
      </w:r>
      <w:r w:rsidR="00BF3DD0">
        <w:t>,</w:t>
      </w:r>
      <w:r w:rsidR="001604B2">
        <w:t xml:space="preserve"> typically</w:t>
      </w:r>
      <w:r w:rsidR="00BF3DD0">
        <w:t>,</w:t>
      </w:r>
      <w:r>
        <w:t xml:space="preserve"> motion</w:t>
      </w:r>
      <w:r w:rsidR="001604B2">
        <w:t>s</w:t>
      </w:r>
      <w:r>
        <w:t xml:space="preserve"> to dismiss, </w:t>
      </w:r>
      <w:r w:rsidR="001604B2">
        <w:t xml:space="preserve">should be analyzed only considering </w:t>
      </w:r>
      <w:r>
        <w:t xml:space="preserve">the initial pleadings (i.e., the </w:t>
      </w:r>
      <w:r>
        <w:rPr>
          <w:i/>
          <w:iCs/>
        </w:rPr>
        <w:t>Hearing Request</w:t>
      </w:r>
      <w:r>
        <w:t>) not subsequent information</w:t>
      </w:r>
      <w:r w:rsidR="0065706C">
        <w:t xml:space="preserve">, given </w:t>
      </w:r>
      <w:r>
        <w:t xml:space="preserve">Parents’ </w:t>
      </w:r>
      <w:r>
        <w:rPr>
          <w:i/>
          <w:iCs/>
        </w:rPr>
        <w:t>pro se</w:t>
      </w:r>
      <w:r>
        <w:t xml:space="preserve"> status, </w:t>
      </w:r>
      <w:r w:rsidR="005B61F0">
        <w:t xml:space="preserve">I have considered both pleadings, consistent with my obligation to assess </w:t>
      </w:r>
      <w:r w:rsidR="005B61F0" w:rsidRPr="005B61F0">
        <w:rPr>
          <w:i/>
          <w:iCs/>
        </w:rPr>
        <w:t>pro se</w:t>
      </w:r>
      <w:r w:rsidR="005B61F0">
        <w:t xml:space="preserve"> </w:t>
      </w:r>
      <w:r>
        <w:t xml:space="preserve">pleadings less stringently, and </w:t>
      </w:r>
      <w:r w:rsidR="005B61F0">
        <w:t xml:space="preserve">liberally interpret </w:t>
      </w:r>
      <w:r>
        <w:t>them so as to “intuit a correct cause of action even if imperfectly pled”</w:t>
      </w:r>
      <w:r w:rsidR="005B61F0">
        <w:t>,</w:t>
      </w:r>
      <w:r>
        <w:t xml:space="preserve"> if possible.  </w:t>
      </w:r>
      <w:r w:rsidRPr="004E4EE7">
        <w:rPr>
          <w:rFonts w:ascii="Aptos" w:hAnsi="Aptos" w:cs="Times New Roman"/>
          <w:i/>
          <w:iCs/>
        </w:rPr>
        <w:t>Ahmed</w:t>
      </w:r>
      <w:r w:rsidRPr="004E4EE7">
        <w:rPr>
          <w:rFonts w:ascii="Aptos" w:hAnsi="Aptos" w:cs="Times New Roman"/>
        </w:rPr>
        <w:t>, 118 F.3d at 890</w:t>
      </w:r>
      <w:r>
        <w:rPr>
          <w:rFonts w:ascii="Aptos" w:hAnsi="Aptos" w:cs="Times New Roman"/>
        </w:rPr>
        <w:t>.</w:t>
      </w:r>
      <w:r>
        <w:t xml:space="preserve"> </w:t>
      </w:r>
    </w:p>
  </w:footnote>
  <w:footnote w:id="25">
    <w:p w14:paraId="5BB59A03" w14:textId="47F61CAB" w:rsidR="00C5673C" w:rsidRPr="00C5673C" w:rsidRDefault="00C5673C">
      <w:pPr>
        <w:pStyle w:val="FootnoteText"/>
      </w:pPr>
      <w:r>
        <w:rPr>
          <w:rStyle w:val="FootnoteReference"/>
        </w:rPr>
        <w:footnoteRef/>
      </w:r>
      <w:r w:rsidR="007B0817">
        <w:t xml:space="preserve"> </w:t>
      </w:r>
      <w:r>
        <w:t xml:space="preserve">  See </w:t>
      </w:r>
      <w:r>
        <w:rPr>
          <w:i/>
          <w:iCs/>
        </w:rPr>
        <w:t>D.B.</w:t>
      </w:r>
      <w:r>
        <w:t>, 675 F.3d at 41.</w:t>
      </w:r>
      <w:r w:rsidR="00120BC1">
        <w:t xml:space="preserve">  I quoted verbatim all parts of Parents’ pleadings </w:t>
      </w:r>
      <w:r w:rsidR="005F75C2">
        <w:t xml:space="preserve">involving </w:t>
      </w:r>
      <w:r w:rsidR="00120BC1">
        <w:t xml:space="preserve">the Retaliation Claim.  </w:t>
      </w:r>
    </w:p>
  </w:footnote>
  <w:footnote w:id="26">
    <w:p w14:paraId="0A03A8D5" w14:textId="0DD4DCD4" w:rsidR="00E41B7B" w:rsidRPr="00E41B7B" w:rsidRDefault="00E41B7B">
      <w:pPr>
        <w:pStyle w:val="FootnoteText"/>
      </w:pPr>
      <w:r>
        <w:rPr>
          <w:rStyle w:val="FootnoteReference"/>
        </w:rPr>
        <w:footnoteRef/>
      </w:r>
      <w:r>
        <w:t xml:space="preserve">   </w:t>
      </w:r>
      <w:r w:rsidR="0097559C">
        <w:t xml:space="preserve">The only allegations Parents make that could conceivably be related to these elements is the </w:t>
      </w:r>
      <w:r w:rsidR="0097559C">
        <w:rPr>
          <w:i/>
          <w:iCs/>
        </w:rPr>
        <w:t xml:space="preserve">Opposition’s </w:t>
      </w:r>
      <w:r w:rsidR="0097559C">
        <w:t xml:space="preserve">statement that the alleged “lack of communication and retaliation” “impacted” </w:t>
      </w:r>
      <w:r w:rsidR="0097559C" w:rsidRPr="00BB3DB3">
        <w:t>Student’s “ability to receive a complete extended evaluation</w:t>
      </w:r>
      <w:r w:rsidR="0097559C">
        <w:t xml:space="preserve"> </w:t>
      </w:r>
      <w:r w:rsidR="0097559C" w:rsidRPr="00BB3DB3">
        <w:rPr>
          <w:rFonts w:ascii="Aptos" w:hAnsi="Aptos" w:cs="Times New Roman"/>
        </w:rPr>
        <w:t>which resulted in a crisis situation in fall of 2025</w:t>
      </w:r>
      <w:r w:rsidR="0097559C" w:rsidRPr="00BB3DB3">
        <w:t>”</w:t>
      </w:r>
      <w:r w:rsidR="0097559C">
        <w:t xml:space="preserve">.  However, this statement fails to provide sufficient specificity or the necessary requisite causal connection to the alleged retaliatory “threat”.  </w:t>
      </w:r>
      <w:r>
        <w:t xml:space="preserve">Compare </w:t>
      </w:r>
      <w:r>
        <w:rPr>
          <w:i/>
          <w:iCs/>
        </w:rPr>
        <w:t xml:space="preserve">D.B., </w:t>
      </w:r>
      <w:r w:rsidR="00204FA9">
        <w:t xml:space="preserve">675 F.3d at 42 (recognizing </w:t>
      </w:r>
      <w:r w:rsidR="00F66F27">
        <w:t xml:space="preserve">retaliation may take the form of “… </w:t>
      </w:r>
      <w:r w:rsidR="00A42B2E" w:rsidRPr="00A42B2E">
        <w:t>withholding additional services or accommodations the student otherwise would have received</w:t>
      </w:r>
      <w:r w:rsidR="00A42B2E">
        <w:t>… [or]</w:t>
      </w:r>
      <w:r w:rsidR="00A42B2E" w:rsidRPr="00A42B2E">
        <w:t xml:space="preserve"> making the process of designing the student's curriculum unusually contentious</w:t>
      </w:r>
      <w:r w:rsidR="000661A6">
        <w:t xml:space="preserve">.  </w:t>
      </w:r>
      <w:r w:rsidR="00606522">
        <w:t xml:space="preserve">However, </w:t>
      </w:r>
      <w:r w:rsidR="00A42B2E" w:rsidRPr="00A42B2E">
        <w:t>in the face of a school system's compliance with the IDEA, as in this case, a plaintiff who asserts that the content of an IEP or the conduct of an IEP process was retaliatory must show evidence of something more than a disappointing IEP or the predictable back-and-forth associated with the IEP process in order to survive summary judgment</w:t>
      </w:r>
      <w:r w:rsidR="000661A6">
        <w:t>.</w:t>
      </w:r>
      <w:r w:rsidR="00A42B2E">
        <w:t xml:space="preserve">”); </w:t>
      </w:r>
      <w:r w:rsidR="00A42B2E">
        <w:rPr>
          <w:i/>
          <w:iCs/>
        </w:rPr>
        <w:t>Weber</w:t>
      </w:r>
      <w:r w:rsidR="00A42B2E">
        <w:t>, 212 F.3d at 44 (FAPE-based retaliation claim alleged Parent was denied access to school records, restricted from communicating with teachers and threatened to be reported to the state child welfare agency).</w:t>
      </w:r>
      <w:r w:rsidR="00A42B2E" w:rsidRPr="00A42B2E">
        <w:t xml:space="preserve"> </w:t>
      </w:r>
    </w:p>
  </w:footnote>
  <w:footnote w:id="27">
    <w:p w14:paraId="09C383D9" w14:textId="20D5C020" w:rsidR="00276695" w:rsidRDefault="00276695">
      <w:pPr>
        <w:pStyle w:val="FootnoteText"/>
      </w:pPr>
      <w:r>
        <w:rPr>
          <w:rStyle w:val="FootnoteReference"/>
        </w:rPr>
        <w:footnoteRef/>
      </w:r>
      <w:r>
        <w:t xml:space="preserve">   </w:t>
      </w:r>
      <w:r w:rsidRPr="004E4EE7">
        <w:rPr>
          <w:rFonts w:ascii="Aptos" w:hAnsi="Aptos" w:cs="Times New Roman"/>
          <w:i/>
          <w:iCs/>
        </w:rPr>
        <w:t>Bell Atl. Corp.</w:t>
      </w:r>
      <w:r w:rsidRPr="004E4EE7">
        <w:rPr>
          <w:rFonts w:ascii="Aptos" w:hAnsi="Aptos" w:cs="Times New Roman"/>
        </w:rPr>
        <w:t>, 550 U.S. at 555</w:t>
      </w:r>
      <w:r w:rsidR="00C24E4A">
        <w:rPr>
          <w:rFonts w:ascii="Aptos" w:hAnsi="Aptos"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59"/>
    <w:rsid w:val="00024927"/>
    <w:rsid w:val="00036622"/>
    <w:rsid w:val="00042C8C"/>
    <w:rsid w:val="00044F4F"/>
    <w:rsid w:val="00051F58"/>
    <w:rsid w:val="00057D63"/>
    <w:rsid w:val="000661A6"/>
    <w:rsid w:val="000766E0"/>
    <w:rsid w:val="00086D25"/>
    <w:rsid w:val="000944F2"/>
    <w:rsid w:val="000A152F"/>
    <w:rsid w:val="000A754F"/>
    <w:rsid w:val="000C3139"/>
    <w:rsid w:val="000E72CA"/>
    <w:rsid w:val="000F4493"/>
    <w:rsid w:val="00107306"/>
    <w:rsid w:val="001107E8"/>
    <w:rsid w:val="00116AB7"/>
    <w:rsid w:val="001175CE"/>
    <w:rsid w:val="00120BC1"/>
    <w:rsid w:val="001251F9"/>
    <w:rsid w:val="001604B2"/>
    <w:rsid w:val="0018775C"/>
    <w:rsid w:val="001953DB"/>
    <w:rsid w:val="001A5DCB"/>
    <w:rsid w:val="001C0650"/>
    <w:rsid w:val="001C5700"/>
    <w:rsid w:val="001F0ED6"/>
    <w:rsid w:val="00201944"/>
    <w:rsid w:val="00204FA9"/>
    <w:rsid w:val="0022103F"/>
    <w:rsid w:val="0022186C"/>
    <w:rsid w:val="00221F67"/>
    <w:rsid w:val="00235CBC"/>
    <w:rsid w:val="00241C6A"/>
    <w:rsid w:val="00251638"/>
    <w:rsid w:val="00261360"/>
    <w:rsid w:val="00270F58"/>
    <w:rsid w:val="00276695"/>
    <w:rsid w:val="0028574C"/>
    <w:rsid w:val="00286BB0"/>
    <w:rsid w:val="00292FA9"/>
    <w:rsid w:val="00293E42"/>
    <w:rsid w:val="00297B95"/>
    <w:rsid w:val="00297D4E"/>
    <w:rsid w:val="002A56E7"/>
    <w:rsid w:val="002B0A77"/>
    <w:rsid w:val="002B45CB"/>
    <w:rsid w:val="002C578A"/>
    <w:rsid w:val="002D5AF8"/>
    <w:rsid w:val="002E17F2"/>
    <w:rsid w:val="002E1B36"/>
    <w:rsid w:val="002E2D67"/>
    <w:rsid w:val="002F4E09"/>
    <w:rsid w:val="00321F96"/>
    <w:rsid w:val="00335610"/>
    <w:rsid w:val="00346BD4"/>
    <w:rsid w:val="00351278"/>
    <w:rsid w:val="00367B51"/>
    <w:rsid w:val="0038501B"/>
    <w:rsid w:val="003933D9"/>
    <w:rsid w:val="003B27C6"/>
    <w:rsid w:val="003B653B"/>
    <w:rsid w:val="003C7379"/>
    <w:rsid w:val="003D0691"/>
    <w:rsid w:val="003D41C5"/>
    <w:rsid w:val="003D4F89"/>
    <w:rsid w:val="00401BEC"/>
    <w:rsid w:val="00404A7E"/>
    <w:rsid w:val="004178FE"/>
    <w:rsid w:val="004268B8"/>
    <w:rsid w:val="0044453C"/>
    <w:rsid w:val="00447AA8"/>
    <w:rsid w:val="00452917"/>
    <w:rsid w:val="00454DC5"/>
    <w:rsid w:val="004609BC"/>
    <w:rsid w:val="00476F98"/>
    <w:rsid w:val="00482F1A"/>
    <w:rsid w:val="004857CC"/>
    <w:rsid w:val="004946F7"/>
    <w:rsid w:val="00495B6D"/>
    <w:rsid w:val="004B2E77"/>
    <w:rsid w:val="004C57F9"/>
    <w:rsid w:val="004C6D35"/>
    <w:rsid w:val="004E0D53"/>
    <w:rsid w:val="004E79F2"/>
    <w:rsid w:val="00535A2D"/>
    <w:rsid w:val="00537338"/>
    <w:rsid w:val="005374F8"/>
    <w:rsid w:val="005677BE"/>
    <w:rsid w:val="00596232"/>
    <w:rsid w:val="005A6AC7"/>
    <w:rsid w:val="005B61F0"/>
    <w:rsid w:val="005C38F8"/>
    <w:rsid w:val="005C4CB1"/>
    <w:rsid w:val="005C5FEA"/>
    <w:rsid w:val="005E2C1B"/>
    <w:rsid w:val="005E4CB6"/>
    <w:rsid w:val="005F5736"/>
    <w:rsid w:val="005F75C2"/>
    <w:rsid w:val="00606522"/>
    <w:rsid w:val="00634259"/>
    <w:rsid w:val="00654F15"/>
    <w:rsid w:val="0065706C"/>
    <w:rsid w:val="006628F4"/>
    <w:rsid w:val="006701D3"/>
    <w:rsid w:val="00681370"/>
    <w:rsid w:val="00686E5A"/>
    <w:rsid w:val="006909CC"/>
    <w:rsid w:val="00693C8B"/>
    <w:rsid w:val="0069668E"/>
    <w:rsid w:val="006A0E97"/>
    <w:rsid w:val="006B5CD1"/>
    <w:rsid w:val="006C5B3D"/>
    <w:rsid w:val="006E3A22"/>
    <w:rsid w:val="006E4A7A"/>
    <w:rsid w:val="006E5814"/>
    <w:rsid w:val="00702BAF"/>
    <w:rsid w:val="007043D3"/>
    <w:rsid w:val="0070788F"/>
    <w:rsid w:val="007126B3"/>
    <w:rsid w:val="00720F25"/>
    <w:rsid w:val="0073166A"/>
    <w:rsid w:val="0074471A"/>
    <w:rsid w:val="00745EE0"/>
    <w:rsid w:val="00750C2D"/>
    <w:rsid w:val="007709BE"/>
    <w:rsid w:val="007952A3"/>
    <w:rsid w:val="00797AC7"/>
    <w:rsid w:val="007A5D18"/>
    <w:rsid w:val="007A7C38"/>
    <w:rsid w:val="007B0817"/>
    <w:rsid w:val="007B1B57"/>
    <w:rsid w:val="007C1760"/>
    <w:rsid w:val="007D63FF"/>
    <w:rsid w:val="007D7D3A"/>
    <w:rsid w:val="007F554C"/>
    <w:rsid w:val="00821875"/>
    <w:rsid w:val="008342B8"/>
    <w:rsid w:val="00841BFF"/>
    <w:rsid w:val="0085355A"/>
    <w:rsid w:val="00882D92"/>
    <w:rsid w:val="00891BF7"/>
    <w:rsid w:val="008A340D"/>
    <w:rsid w:val="008C4EB6"/>
    <w:rsid w:val="008C6C91"/>
    <w:rsid w:val="008D34C0"/>
    <w:rsid w:val="008E26A6"/>
    <w:rsid w:val="008F602C"/>
    <w:rsid w:val="00930705"/>
    <w:rsid w:val="009374AE"/>
    <w:rsid w:val="00946EBE"/>
    <w:rsid w:val="009616AB"/>
    <w:rsid w:val="00962EBA"/>
    <w:rsid w:val="0097559C"/>
    <w:rsid w:val="00981064"/>
    <w:rsid w:val="00982C95"/>
    <w:rsid w:val="009B6FF1"/>
    <w:rsid w:val="009C7490"/>
    <w:rsid w:val="009D5588"/>
    <w:rsid w:val="009E22E9"/>
    <w:rsid w:val="00A0428E"/>
    <w:rsid w:val="00A06D47"/>
    <w:rsid w:val="00A159BD"/>
    <w:rsid w:val="00A240EA"/>
    <w:rsid w:val="00A25AF5"/>
    <w:rsid w:val="00A300B8"/>
    <w:rsid w:val="00A42671"/>
    <w:rsid w:val="00A42B2E"/>
    <w:rsid w:val="00A433D4"/>
    <w:rsid w:val="00A451C3"/>
    <w:rsid w:val="00A54B74"/>
    <w:rsid w:val="00A57499"/>
    <w:rsid w:val="00A63D06"/>
    <w:rsid w:val="00A665EF"/>
    <w:rsid w:val="00A67DB3"/>
    <w:rsid w:val="00A704B3"/>
    <w:rsid w:val="00A83ADE"/>
    <w:rsid w:val="00A9619E"/>
    <w:rsid w:val="00A97F01"/>
    <w:rsid w:val="00AA6BFD"/>
    <w:rsid w:val="00AB3CE8"/>
    <w:rsid w:val="00AB795A"/>
    <w:rsid w:val="00B00291"/>
    <w:rsid w:val="00B13C99"/>
    <w:rsid w:val="00B17830"/>
    <w:rsid w:val="00B307F3"/>
    <w:rsid w:val="00B476F9"/>
    <w:rsid w:val="00B54CD5"/>
    <w:rsid w:val="00B61064"/>
    <w:rsid w:val="00B679A5"/>
    <w:rsid w:val="00B85CA3"/>
    <w:rsid w:val="00BB3DB3"/>
    <w:rsid w:val="00BB69B1"/>
    <w:rsid w:val="00BC15C5"/>
    <w:rsid w:val="00BD67AF"/>
    <w:rsid w:val="00BE0852"/>
    <w:rsid w:val="00BF3DD0"/>
    <w:rsid w:val="00C0708A"/>
    <w:rsid w:val="00C07E1C"/>
    <w:rsid w:val="00C115CD"/>
    <w:rsid w:val="00C12DFB"/>
    <w:rsid w:val="00C17815"/>
    <w:rsid w:val="00C24E4A"/>
    <w:rsid w:val="00C33873"/>
    <w:rsid w:val="00C4032F"/>
    <w:rsid w:val="00C565AA"/>
    <w:rsid w:val="00C5673C"/>
    <w:rsid w:val="00C74CA9"/>
    <w:rsid w:val="00CB0AB1"/>
    <w:rsid w:val="00CB647E"/>
    <w:rsid w:val="00CC714E"/>
    <w:rsid w:val="00CD5BE8"/>
    <w:rsid w:val="00CE156E"/>
    <w:rsid w:val="00CE6509"/>
    <w:rsid w:val="00CF0864"/>
    <w:rsid w:val="00CF0ACE"/>
    <w:rsid w:val="00CF24A6"/>
    <w:rsid w:val="00CF7FF5"/>
    <w:rsid w:val="00D42756"/>
    <w:rsid w:val="00D50270"/>
    <w:rsid w:val="00D51714"/>
    <w:rsid w:val="00D74DD9"/>
    <w:rsid w:val="00D7615C"/>
    <w:rsid w:val="00D77895"/>
    <w:rsid w:val="00D84A2E"/>
    <w:rsid w:val="00DA1272"/>
    <w:rsid w:val="00DA4AF2"/>
    <w:rsid w:val="00DC3F13"/>
    <w:rsid w:val="00DD4374"/>
    <w:rsid w:val="00DD6461"/>
    <w:rsid w:val="00E00B56"/>
    <w:rsid w:val="00E12C12"/>
    <w:rsid w:val="00E21F1E"/>
    <w:rsid w:val="00E41B7B"/>
    <w:rsid w:val="00E41B86"/>
    <w:rsid w:val="00E42844"/>
    <w:rsid w:val="00E51B98"/>
    <w:rsid w:val="00E82A3C"/>
    <w:rsid w:val="00E87213"/>
    <w:rsid w:val="00E913EA"/>
    <w:rsid w:val="00E94678"/>
    <w:rsid w:val="00EA3DD6"/>
    <w:rsid w:val="00EA5FF1"/>
    <w:rsid w:val="00EB246A"/>
    <w:rsid w:val="00EE1E0D"/>
    <w:rsid w:val="00F12693"/>
    <w:rsid w:val="00F62DFC"/>
    <w:rsid w:val="00F66F27"/>
    <w:rsid w:val="00F70150"/>
    <w:rsid w:val="00F731B5"/>
    <w:rsid w:val="00F76233"/>
    <w:rsid w:val="00F8259B"/>
    <w:rsid w:val="00F9122E"/>
    <w:rsid w:val="00FA7D1A"/>
    <w:rsid w:val="00FB2B9E"/>
    <w:rsid w:val="00FC4B23"/>
    <w:rsid w:val="00FD57DB"/>
    <w:rsid w:val="00FE0A2E"/>
    <w:rsid w:val="00FE5DF4"/>
    <w:rsid w:val="00FF2806"/>
    <w:rsid w:val="00FF52E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CFDCC"/>
  <w15:chartTrackingRefBased/>
  <w15:docId w15:val="{A95298EA-2F47-4890-AFD0-E37B20A4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59"/>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634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2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2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2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2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259"/>
    <w:rPr>
      <w:rFonts w:eastAsiaTheme="majorEastAsia" w:cstheme="majorBidi"/>
      <w:color w:val="272727" w:themeColor="text1" w:themeTint="D8"/>
    </w:rPr>
  </w:style>
  <w:style w:type="paragraph" w:styleId="Title">
    <w:name w:val="Title"/>
    <w:basedOn w:val="Normal"/>
    <w:next w:val="Normal"/>
    <w:link w:val="TitleChar"/>
    <w:uiPriority w:val="10"/>
    <w:qFormat/>
    <w:rsid w:val="006342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259"/>
    <w:pPr>
      <w:spacing w:before="160"/>
      <w:jc w:val="center"/>
    </w:pPr>
    <w:rPr>
      <w:i/>
      <w:iCs/>
      <w:color w:val="404040" w:themeColor="text1" w:themeTint="BF"/>
    </w:rPr>
  </w:style>
  <w:style w:type="character" w:customStyle="1" w:styleId="QuoteChar">
    <w:name w:val="Quote Char"/>
    <w:basedOn w:val="DefaultParagraphFont"/>
    <w:link w:val="Quote"/>
    <w:uiPriority w:val="29"/>
    <w:rsid w:val="00634259"/>
    <w:rPr>
      <w:i/>
      <w:iCs/>
      <w:color w:val="404040" w:themeColor="text1" w:themeTint="BF"/>
    </w:rPr>
  </w:style>
  <w:style w:type="paragraph" w:styleId="ListParagraph">
    <w:name w:val="List Paragraph"/>
    <w:basedOn w:val="Normal"/>
    <w:uiPriority w:val="34"/>
    <w:qFormat/>
    <w:rsid w:val="00634259"/>
    <w:pPr>
      <w:ind w:left="720"/>
      <w:contextualSpacing/>
    </w:pPr>
  </w:style>
  <w:style w:type="character" w:styleId="IntenseEmphasis">
    <w:name w:val="Intense Emphasis"/>
    <w:basedOn w:val="DefaultParagraphFont"/>
    <w:uiPriority w:val="21"/>
    <w:qFormat/>
    <w:rsid w:val="00634259"/>
    <w:rPr>
      <w:i/>
      <w:iCs/>
      <w:color w:val="0F4761" w:themeColor="accent1" w:themeShade="BF"/>
    </w:rPr>
  </w:style>
  <w:style w:type="paragraph" w:styleId="IntenseQuote">
    <w:name w:val="Intense Quote"/>
    <w:basedOn w:val="Normal"/>
    <w:next w:val="Normal"/>
    <w:link w:val="IntenseQuoteChar"/>
    <w:uiPriority w:val="30"/>
    <w:qFormat/>
    <w:rsid w:val="00634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259"/>
    <w:rPr>
      <w:i/>
      <w:iCs/>
      <w:color w:val="0F4761" w:themeColor="accent1" w:themeShade="BF"/>
    </w:rPr>
  </w:style>
  <w:style w:type="character" w:styleId="IntenseReference">
    <w:name w:val="Intense Reference"/>
    <w:basedOn w:val="DefaultParagraphFont"/>
    <w:uiPriority w:val="32"/>
    <w:qFormat/>
    <w:rsid w:val="00634259"/>
    <w:rPr>
      <w:b/>
      <w:bCs/>
      <w:smallCaps/>
      <w:color w:val="0F4761" w:themeColor="accent1" w:themeShade="BF"/>
      <w:spacing w:val="5"/>
    </w:rPr>
  </w:style>
  <w:style w:type="paragraph" w:styleId="FootnoteText">
    <w:name w:val="footnote text"/>
    <w:basedOn w:val="Normal"/>
    <w:link w:val="FootnoteTextChar"/>
    <w:uiPriority w:val="99"/>
    <w:unhideWhenUsed/>
    <w:rsid w:val="00634259"/>
    <w:rPr>
      <w:sz w:val="20"/>
      <w:szCs w:val="20"/>
    </w:rPr>
  </w:style>
  <w:style w:type="character" w:customStyle="1" w:styleId="FootnoteTextChar">
    <w:name w:val="Footnote Text Char"/>
    <w:basedOn w:val="DefaultParagraphFont"/>
    <w:link w:val="FootnoteText"/>
    <w:uiPriority w:val="99"/>
    <w:rsid w:val="00634259"/>
    <w:rPr>
      <w:kern w:val="0"/>
      <w:sz w:val="20"/>
      <w:szCs w:val="20"/>
      <w14:ligatures w14:val="none"/>
    </w:rPr>
  </w:style>
  <w:style w:type="character" w:styleId="FootnoteReference">
    <w:name w:val="footnote reference"/>
    <w:basedOn w:val="DefaultParagraphFont"/>
    <w:uiPriority w:val="99"/>
    <w:unhideWhenUsed/>
    <w:rsid w:val="00634259"/>
    <w:rPr>
      <w:vertAlign w:val="superscript"/>
    </w:rPr>
  </w:style>
  <w:style w:type="paragraph" w:styleId="Footer">
    <w:name w:val="footer"/>
    <w:basedOn w:val="Normal"/>
    <w:link w:val="FooterChar"/>
    <w:uiPriority w:val="99"/>
    <w:unhideWhenUsed/>
    <w:rsid w:val="00634259"/>
    <w:pPr>
      <w:tabs>
        <w:tab w:val="center" w:pos="4680"/>
        <w:tab w:val="right" w:pos="9360"/>
      </w:tabs>
    </w:pPr>
  </w:style>
  <w:style w:type="character" w:customStyle="1" w:styleId="FooterChar">
    <w:name w:val="Footer Char"/>
    <w:basedOn w:val="DefaultParagraphFont"/>
    <w:link w:val="Footer"/>
    <w:uiPriority w:val="99"/>
    <w:rsid w:val="00634259"/>
    <w:rPr>
      <w:kern w:val="0"/>
      <w:sz w:val="22"/>
      <w:szCs w:val="22"/>
      <w14:ligatures w14:val="none"/>
    </w:rPr>
  </w:style>
  <w:style w:type="paragraph" w:styleId="NormalWeb">
    <w:name w:val="Normal (Web)"/>
    <w:basedOn w:val="Normal"/>
    <w:uiPriority w:val="99"/>
    <w:unhideWhenUsed/>
    <w:rsid w:val="0063425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4259"/>
    <w:rPr>
      <w:color w:val="467886" w:themeColor="hyperlink"/>
      <w:u w:val="single"/>
    </w:rPr>
  </w:style>
  <w:style w:type="paragraph" w:styleId="EndnoteText">
    <w:name w:val="endnote text"/>
    <w:basedOn w:val="Normal"/>
    <w:link w:val="EndnoteTextChar"/>
    <w:uiPriority w:val="99"/>
    <w:semiHidden/>
    <w:unhideWhenUsed/>
    <w:rsid w:val="000A754F"/>
    <w:rPr>
      <w:sz w:val="20"/>
      <w:szCs w:val="20"/>
    </w:rPr>
  </w:style>
  <w:style w:type="character" w:customStyle="1" w:styleId="EndnoteTextChar">
    <w:name w:val="Endnote Text Char"/>
    <w:basedOn w:val="DefaultParagraphFont"/>
    <w:link w:val="EndnoteText"/>
    <w:uiPriority w:val="99"/>
    <w:semiHidden/>
    <w:rsid w:val="000A754F"/>
    <w:rPr>
      <w:kern w:val="0"/>
      <w:sz w:val="20"/>
      <w:szCs w:val="20"/>
      <w14:ligatures w14:val="none"/>
    </w:rPr>
  </w:style>
  <w:style w:type="character" w:styleId="EndnoteReference">
    <w:name w:val="endnote reference"/>
    <w:basedOn w:val="DefaultParagraphFont"/>
    <w:uiPriority w:val="99"/>
    <w:semiHidden/>
    <w:unhideWhenUsed/>
    <w:rsid w:val="000A754F"/>
    <w:rPr>
      <w:vertAlign w:val="superscript"/>
    </w:rPr>
  </w:style>
  <w:style w:type="paragraph" w:styleId="Header">
    <w:name w:val="header"/>
    <w:basedOn w:val="Normal"/>
    <w:link w:val="HeaderChar"/>
    <w:uiPriority w:val="99"/>
    <w:unhideWhenUsed/>
    <w:rsid w:val="00686E5A"/>
    <w:pPr>
      <w:tabs>
        <w:tab w:val="center" w:pos="4680"/>
        <w:tab w:val="right" w:pos="9360"/>
      </w:tabs>
    </w:pPr>
  </w:style>
  <w:style w:type="character" w:customStyle="1" w:styleId="HeaderChar">
    <w:name w:val="Header Char"/>
    <w:basedOn w:val="DefaultParagraphFont"/>
    <w:link w:val="Header"/>
    <w:uiPriority w:val="99"/>
    <w:rsid w:val="00686E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B4AE-97F9-4A8C-9307-3819AD55D4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2323</Words>
  <Characters>13247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2026-04-17T13:18:00Z</dcterms:created>
  <dcterms:modified xsi:type="dcterms:W3CDTF">2026-04-17T13:18:00Z</dcterms:modified>
</cp:coreProperties>
</file>