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1B3770" w:rsidRDefault="00E54083" w:rsidP="00D6127B">
      <w:pPr>
        <w:jc w:val="center"/>
        <w:rPr>
          <w:rFonts w:ascii="Aptos" w:hAnsi="Aptos"/>
          <w:b/>
          <w:color w:val="000000" w:themeColor="text1"/>
        </w:rPr>
      </w:pPr>
    </w:p>
    <w:p w14:paraId="68C5C43D" w14:textId="1A63DA05" w:rsidR="00E54083" w:rsidRPr="00DA0B06" w:rsidRDefault="00DA0B06" w:rsidP="00D6127B">
      <w:pPr>
        <w:pStyle w:val="Heading1"/>
        <w:spacing w:before="0"/>
        <w:jc w:val="center"/>
        <w:rPr>
          <w:rFonts w:ascii="Aptos" w:hAnsi="Aptos"/>
          <w:b/>
          <w:bCs/>
          <w:color w:val="000000" w:themeColor="text1"/>
          <w:sz w:val="24"/>
          <w:szCs w:val="24"/>
        </w:rPr>
      </w:pPr>
      <w:r w:rsidRPr="00DA0B06">
        <w:rPr>
          <w:rFonts w:ascii="Aptos" w:hAnsi="Aptos"/>
          <w:b/>
          <w:bCs/>
          <w:color w:val="000000" w:themeColor="text1"/>
          <w:sz w:val="24"/>
          <w:szCs w:val="24"/>
        </w:rPr>
        <w:t>COMMONWEALTH OF MASSACHUSETTS</w:t>
      </w:r>
    </w:p>
    <w:p w14:paraId="060650E0"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DIVISION OF ADMINISTRATIVE LAW APPEALS</w:t>
      </w:r>
    </w:p>
    <w:p w14:paraId="3B594664"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BUREAU OF SPECIAL EDUCATION APPEALS</w:t>
      </w:r>
    </w:p>
    <w:p w14:paraId="6AEE39D3" w14:textId="77777777" w:rsidR="00E54083" w:rsidRPr="001B3770" w:rsidRDefault="00E54083" w:rsidP="00D6127B">
      <w:pPr>
        <w:rPr>
          <w:rFonts w:ascii="Aptos" w:hAnsi="Aptos"/>
          <w:b/>
          <w:color w:val="000000" w:themeColor="text1"/>
        </w:rPr>
      </w:pPr>
    </w:p>
    <w:p w14:paraId="62848A2F" w14:textId="29200916" w:rsidR="00D13814" w:rsidRPr="001B3770" w:rsidRDefault="00E54083" w:rsidP="00D6127B">
      <w:pPr>
        <w:rPr>
          <w:rFonts w:ascii="Aptos" w:hAnsi="Aptos"/>
          <w:b/>
          <w:bCs/>
          <w:color w:val="000000" w:themeColor="text1"/>
        </w:rPr>
      </w:pPr>
      <w:r w:rsidRPr="001B3770">
        <w:rPr>
          <w:rFonts w:ascii="Aptos" w:hAnsi="Aptos"/>
          <w:b/>
          <w:bCs/>
          <w:color w:val="000000" w:themeColor="text1"/>
        </w:rPr>
        <w:t xml:space="preserve">In Re: Student v. </w:t>
      </w:r>
      <w:r w:rsidR="007A7993">
        <w:rPr>
          <w:rFonts w:ascii="Aptos" w:hAnsi="Aptos"/>
          <w:b/>
          <w:bCs/>
          <w:color w:val="000000" w:themeColor="text1"/>
        </w:rPr>
        <w:t>Bureau of Special Education Appeals</w:t>
      </w:r>
      <w:r w:rsidRPr="001B3770">
        <w:rPr>
          <w:rFonts w:ascii="Aptos" w:hAnsi="Aptos"/>
          <w:b/>
          <w:bCs/>
          <w:color w:val="000000" w:themeColor="text1"/>
        </w:rPr>
        <w:tab/>
      </w:r>
      <w:r w:rsidR="00AE4BD7" w:rsidRPr="001B3770">
        <w:rPr>
          <w:rFonts w:ascii="Aptos" w:hAnsi="Aptos"/>
          <w:b/>
          <w:bCs/>
          <w:color w:val="000000" w:themeColor="text1"/>
        </w:rPr>
        <w:tab/>
      </w:r>
      <w:r w:rsidR="00D54D4C" w:rsidRPr="001B3770">
        <w:rPr>
          <w:rFonts w:ascii="Aptos" w:hAnsi="Aptos"/>
          <w:b/>
          <w:bCs/>
          <w:color w:val="000000" w:themeColor="text1"/>
        </w:rPr>
        <w:t xml:space="preserve">BSEA # </w:t>
      </w:r>
      <w:r w:rsidR="007A7993">
        <w:rPr>
          <w:rFonts w:ascii="Aptos" w:hAnsi="Aptos"/>
          <w:b/>
          <w:bCs/>
          <w:color w:val="000000" w:themeColor="text1"/>
        </w:rPr>
        <w:t xml:space="preserve"> </w:t>
      </w:r>
      <w:r w:rsidR="00022EE2" w:rsidRPr="00022EE2">
        <w:rPr>
          <w:rFonts w:ascii="Aptos" w:hAnsi="Aptos"/>
          <w:b/>
          <w:bCs/>
          <w:color w:val="000000" w:themeColor="text1"/>
        </w:rPr>
        <w:t>2610215</w:t>
      </w:r>
      <w:r w:rsidRPr="001B3770">
        <w:rPr>
          <w:rFonts w:ascii="Aptos" w:hAnsi="Aptos"/>
          <w:b/>
          <w:bCs/>
          <w:color w:val="000000" w:themeColor="text1"/>
        </w:rPr>
        <w:tab/>
      </w:r>
    </w:p>
    <w:p w14:paraId="79AE9FDC" w14:textId="77777777" w:rsidR="00480338" w:rsidRDefault="00480338" w:rsidP="00480338">
      <w:pPr>
        <w:jc w:val="center"/>
        <w:rPr>
          <w:rFonts w:ascii="Aptos" w:hAnsi="Aptos"/>
          <w:b/>
          <w:bCs/>
          <w:color w:val="000000" w:themeColor="text1"/>
        </w:rPr>
      </w:pPr>
    </w:p>
    <w:p w14:paraId="550B0661" w14:textId="2B27786C" w:rsidR="00D13814" w:rsidRDefault="00480338" w:rsidP="00D13814">
      <w:pPr>
        <w:jc w:val="center"/>
        <w:rPr>
          <w:rFonts w:ascii="Aptos" w:hAnsi="Aptos"/>
          <w:b/>
          <w:bCs/>
          <w:color w:val="000000" w:themeColor="text1"/>
        </w:rPr>
      </w:pPr>
      <w:r w:rsidRPr="00EE1640">
        <w:rPr>
          <w:rFonts w:ascii="Aptos" w:hAnsi="Aptos"/>
          <w:b/>
          <w:bCs/>
          <w:i/>
          <w:iCs/>
          <w:color w:val="000000" w:themeColor="text1"/>
        </w:rPr>
        <w:t>SUA SPONTE</w:t>
      </w:r>
      <w:r w:rsidRPr="00480338">
        <w:rPr>
          <w:rFonts w:ascii="Aptos" w:hAnsi="Aptos"/>
          <w:b/>
          <w:bCs/>
          <w:color w:val="000000" w:themeColor="text1"/>
        </w:rPr>
        <w:t xml:space="preserve"> DISMISSAL </w:t>
      </w:r>
      <w:r w:rsidR="00D13814">
        <w:rPr>
          <w:rFonts w:ascii="Aptos" w:hAnsi="Aptos"/>
          <w:b/>
          <w:bCs/>
          <w:color w:val="000000" w:themeColor="text1"/>
        </w:rPr>
        <w:t xml:space="preserve">OF HEARING REQUEST </w:t>
      </w:r>
    </w:p>
    <w:p w14:paraId="745BBCB9" w14:textId="24438BB9" w:rsidR="00E54083" w:rsidRPr="001B3770" w:rsidRDefault="00480338" w:rsidP="00D13814">
      <w:pPr>
        <w:jc w:val="center"/>
        <w:rPr>
          <w:rFonts w:ascii="Aptos" w:hAnsi="Aptos"/>
          <w:b/>
          <w:bCs/>
          <w:color w:val="000000" w:themeColor="text1"/>
        </w:rPr>
      </w:pPr>
      <w:r w:rsidRPr="00480338">
        <w:rPr>
          <w:rFonts w:ascii="Aptos" w:hAnsi="Aptos"/>
          <w:b/>
          <w:bCs/>
          <w:color w:val="000000" w:themeColor="text1"/>
        </w:rPr>
        <w:t>FILED AGAINST BUREAU OF SPECIAL EDUCATION APPEALS</w:t>
      </w:r>
    </w:p>
    <w:p w14:paraId="785C8849" w14:textId="77777777" w:rsidR="00E21596" w:rsidRDefault="00D42EBA" w:rsidP="00845F7B">
      <w:pPr>
        <w:pStyle w:val="NormalWeb"/>
        <w:rPr>
          <w:rFonts w:ascii="Aptos" w:hAnsi="Aptos"/>
          <w:color w:val="000000" w:themeColor="text1"/>
        </w:rPr>
      </w:pPr>
      <w:r w:rsidRPr="00D42EBA">
        <w:rPr>
          <w:rFonts w:ascii="Aptos" w:hAnsi="Aptos"/>
          <w:color w:val="000000" w:themeColor="text1"/>
        </w:rPr>
        <w:t xml:space="preserve">On </w:t>
      </w:r>
      <w:r w:rsidR="00D13814">
        <w:rPr>
          <w:rFonts w:ascii="Aptos" w:hAnsi="Aptos"/>
          <w:color w:val="000000" w:themeColor="text1"/>
        </w:rPr>
        <w:t>March 12, 2026</w:t>
      </w:r>
      <w:r w:rsidRPr="00D42EBA">
        <w:rPr>
          <w:rFonts w:ascii="Aptos" w:hAnsi="Aptos"/>
          <w:color w:val="000000" w:themeColor="text1"/>
        </w:rPr>
        <w:t xml:space="preserve">, Parent filed a Hearing Request against </w:t>
      </w:r>
      <w:r w:rsidR="00D13814">
        <w:rPr>
          <w:rFonts w:ascii="Aptos" w:hAnsi="Aptos"/>
          <w:color w:val="000000" w:themeColor="text1"/>
        </w:rPr>
        <w:t xml:space="preserve">the Bureau of Special Education Appeals </w:t>
      </w:r>
      <w:r w:rsidR="0033737C">
        <w:rPr>
          <w:rFonts w:ascii="Aptos" w:hAnsi="Aptos"/>
          <w:color w:val="000000" w:themeColor="text1"/>
        </w:rPr>
        <w:t>“</w:t>
      </w:r>
      <w:r w:rsidR="00D13814" w:rsidRPr="00D13814">
        <w:rPr>
          <w:rFonts w:ascii="Aptos" w:hAnsi="Aptos"/>
          <w:color w:val="000000" w:themeColor="text1"/>
        </w:rPr>
        <w:t xml:space="preserve">concerning the actions and omissions of the Bureau of Special Education Appeals ("BSEA") in refusing to exercise its jurisdiction to address unlawful </w:t>
      </w:r>
      <w:r w:rsidR="0033737C">
        <w:rPr>
          <w:rFonts w:ascii="Aptos" w:hAnsi="Aptos"/>
          <w:color w:val="000000" w:themeColor="text1"/>
        </w:rPr>
        <w:t>r</w:t>
      </w:r>
      <w:r w:rsidR="00D13814" w:rsidRPr="00D13814">
        <w:rPr>
          <w:rFonts w:ascii="Aptos" w:hAnsi="Aptos"/>
          <w:color w:val="000000" w:themeColor="text1"/>
        </w:rPr>
        <w:t xml:space="preserve">estrictions placed on parental communication </w:t>
      </w:r>
      <w:r w:rsidR="0033737C">
        <w:rPr>
          <w:rFonts w:ascii="Aptos" w:hAnsi="Aptos"/>
          <w:color w:val="000000" w:themeColor="text1"/>
        </w:rPr>
        <w:t>by</w:t>
      </w:r>
      <w:r w:rsidR="00D13814" w:rsidRPr="00D13814">
        <w:rPr>
          <w:rFonts w:ascii="Aptos" w:hAnsi="Aptos"/>
          <w:color w:val="000000" w:themeColor="text1"/>
        </w:rPr>
        <w:t xml:space="preserve"> the Dudley-Charlton Regional School District</w:t>
      </w:r>
      <w:r w:rsidR="0033737C">
        <w:rPr>
          <w:rFonts w:ascii="Aptos" w:hAnsi="Aptos"/>
          <w:color w:val="000000" w:themeColor="text1"/>
        </w:rPr>
        <w:t>.”</w:t>
      </w:r>
      <w:r w:rsidR="0006449C">
        <w:rPr>
          <w:rFonts w:ascii="Aptos" w:hAnsi="Aptos"/>
          <w:color w:val="000000" w:themeColor="text1"/>
        </w:rPr>
        <w:t xml:space="preserve"> Parents argue that </w:t>
      </w:r>
      <w:r w:rsidR="0006449C" w:rsidRPr="0006449C">
        <w:rPr>
          <w:rFonts w:ascii="Aptos" w:hAnsi="Aptos"/>
          <w:color w:val="000000" w:themeColor="text1"/>
        </w:rPr>
        <w:t xml:space="preserve">the </w:t>
      </w:r>
      <w:r w:rsidR="0006449C">
        <w:rPr>
          <w:rFonts w:ascii="Aptos" w:hAnsi="Aptos"/>
          <w:color w:val="000000" w:themeColor="text1"/>
        </w:rPr>
        <w:t xml:space="preserve">BSEA has “jurisdiction over disputes,” but </w:t>
      </w:r>
      <w:r w:rsidR="00054F05">
        <w:rPr>
          <w:rFonts w:ascii="Aptos" w:hAnsi="Aptos"/>
          <w:color w:val="000000" w:themeColor="text1"/>
        </w:rPr>
        <w:t>the agency</w:t>
      </w:r>
      <w:r w:rsidR="0006449C" w:rsidRPr="0006449C">
        <w:rPr>
          <w:rFonts w:ascii="Aptos" w:hAnsi="Aptos"/>
          <w:color w:val="000000" w:themeColor="text1"/>
        </w:rPr>
        <w:t xml:space="preserve"> has </w:t>
      </w:r>
      <w:r w:rsidR="004A42C1">
        <w:rPr>
          <w:rFonts w:ascii="Aptos" w:hAnsi="Aptos"/>
          <w:color w:val="000000" w:themeColor="text1"/>
        </w:rPr>
        <w:t>“</w:t>
      </w:r>
      <w:r w:rsidR="0006449C" w:rsidRPr="0006449C">
        <w:rPr>
          <w:rFonts w:ascii="Aptos" w:hAnsi="Aptos"/>
          <w:color w:val="000000" w:themeColor="text1"/>
        </w:rPr>
        <w:t>refused to exercise that jurisdiction, creating а procedural barrier that effective</w:t>
      </w:r>
      <w:r w:rsidR="0006449C">
        <w:rPr>
          <w:rFonts w:ascii="Aptos" w:hAnsi="Aptos"/>
          <w:color w:val="000000" w:themeColor="text1"/>
        </w:rPr>
        <w:t>l</w:t>
      </w:r>
      <w:r w:rsidR="0006449C" w:rsidRPr="0006449C">
        <w:rPr>
          <w:rFonts w:ascii="Aptos" w:hAnsi="Aptos"/>
          <w:color w:val="000000" w:themeColor="text1"/>
        </w:rPr>
        <w:t xml:space="preserve">y denies the parents access to the hearing process guaranteed under federal and state </w:t>
      </w:r>
      <w:r w:rsidR="0006449C">
        <w:rPr>
          <w:rFonts w:ascii="Aptos" w:hAnsi="Aptos"/>
          <w:color w:val="000000" w:themeColor="text1"/>
        </w:rPr>
        <w:t>l</w:t>
      </w:r>
      <w:r w:rsidR="0006449C" w:rsidRPr="0006449C">
        <w:rPr>
          <w:rFonts w:ascii="Aptos" w:hAnsi="Aptos"/>
          <w:color w:val="000000" w:themeColor="text1"/>
        </w:rPr>
        <w:t>aw. Because the BSEA's refusa</w:t>
      </w:r>
      <w:r w:rsidR="0006449C">
        <w:rPr>
          <w:rFonts w:ascii="Aptos" w:hAnsi="Aptos"/>
          <w:color w:val="000000" w:themeColor="text1"/>
        </w:rPr>
        <w:t>l</w:t>
      </w:r>
      <w:r w:rsidR="0006449C" w:rsidRPr="0006449C">
        <w:rPr>
          <w:rFonts w:ascii="Aptos" w:hAnsi="Aptos"/>
          <w:color w:val="000000" w:themeColor="text1"/>
        </w:rPr>
        <w:t xml:space="preserve"> to address the issue prevents enforcement of </w:t>
      </w:r>
      <w:r w:rsidR="00630223">
        <w:rPr>
          <w:rFonts w:ascii="Aptos" w:hAnsi="Aptos"/>
          <w:color w:val="000000" w:themeColor="text1"/>
        </w:rPr>
        <w:t>IDEA</w:t>
      </w:r>
      <w:r w:rsidR="0006449C" w:rsidRPr="0006449C">
        <w:rPr>
          <w:rFonts w:ascii="Aptos" w:hAnsi="Aptos"/>
          <w:color w:val="000000" w:themeColor="text1"/>
        </w:rPr>
        <w:t xml:space="preserve"> procedural safeguards, the parents bring </w:t>
      </w:r>
      <w:r w:rsidR="00F52BD0">
        <w:rPr>
          <w:rFonts w:ascii="Aptos" w:hAnsi="Aptos"/>
          <w:color w:val="000000" w:themeColor="text1"/>
        </w:rPr>
        <w:t>this [hearing]</w:t>
      </w:r>
      <w:r w:rsidR="0006449C" w:rsidRPr="0006449C">
        <w:rPr>
          <w:rFonts w:ascii="Aptos" w:hAnsi="Aptos"/>
          <w:color w:val="000000" w:themeColor="text1"/>
        </w:rPr>
        <w:t xml:space="preserve"> request to compel adjudication of the dispute.</w:t>
      </w:r>
      <w:r w:rsidR="0006449C">
        <w:rPr>
          <w:rFonts w:ascii="Aptos" w:hAnsi="Aptos"/>
          <w:color w:val="000000" w:themeColor="text1"/>
        </w:rPr>
        <w:t>”</w:t>
      </w:r>
      <w:r w:rsidR="009C1FA6">
        <w:rPr>
          <w:rFonts w:ascii="Aptos" w:hAnsi="Aptos"/>
          <w:color w:val="000000" w:themeColor="text1"/>
        </w:rPr>
        <w:t xml:space="preserve"> </w:t>
      </w:r>
    </w:p>
    <w:p w14:paraId="4C985F37" w14:textId="16A1D9DA" w:rsidR="007B6A44" w:rsidRPr="0016111B" w:rsidRDefault="009C1FA6" w:rsidP="00EE1640">
      <w:pPr>
        <w:pStyle w:val="NormalWeb"/>
        <w:rPr>
          <w:rFonts w:ascii="Aptos" w:hAnsi="Aptos"/>
          <w:color w:val="000000"/>
        </w:rPr>
      </w:pPr>
      <w:r>
        <w:rPr>
          <w:rFonts w:ascii="Aptos" w:hAnsi="Aptos"/>
          <w:color w:val="000000" w:themeColor="text1"/>
        </w:rPr>
        <w:t>According to Parents, on</w:t>
      </w:r>
      <w:r w:rsidRPr="009C1FA6">
        <w:rPr>
          <w:rFonts w:ascii="Aptos" w:hAnsi="Aptos"/>
          <w:color w:val="000000" w:themeColor="text1"/>
        </w:rPr>
        <w:t xml:space="preserve"> or about January 29, 2026, the Dudley-Charlton Regional School District implemented а "Communication Plan</w:t>
      </w:r>
      <w:r>
        <w:rPr>
          <w:rFonts w:ascii="Aptos" w:hAnsi="Aptos"/>
          <w:color w:val="000000" w:themeColor="text1"/>
        </w:rPr>
        <w:t>”</w:t>
      </w:r>
      <w:r w:rsidRPr="009C1FA6">
        <w:rPr>
          <w:rFonts w:ascii="Aptos" w:hAnsi="Aptos"/>
          <w:color w:val="000000" w:themeColor="text1"/>
        </w:rPr>
        <w:t xml:space="preserve"> governing </w:t>
      </w:r>
      <w:r>
        <w:rPr>
          <w:rFonts w:ascii="Aptos" w:hAnsi="Aptos"/>
          <w:color w:val="000000" w:themeColor="text1"/>
        </w:rPr>
        <w:t>P</w:t>
      </w:r>
      <w:r w:rsidRPr="009C1FA6">
        <w:rPr>
          <w:rFonts w:ascii="Aptos" w:hAnsi="Aptos"/>
          <w:color w:val="000000" w:themeColor="text1"/>
        </w:rPr>
        <w:t>arents' ability to communicate with district staff</w:t>
      </w:r>
      <w:r w:rsidR="00146BD3">
        <w:rPr>
          <w:rFonts w:ascii="Aptos" w:hAnsi="Aptos"/>
          <w:color w:val="000000" w:themeColor="text1"/>
        </w:rPr>
        <w:t xml:space="preserve">, and, as such, </w:t>
      </w:r>
      <w:r w:rsidR="00FC0547">
        <w:rPr>
          <w:rFonts w:ascii="Aptos" w:hAnsi="Aptos"/>
          <w:color w:val="000000" w:themeColor="text1"/>
        </w:rPr>
        <w:t>denying Parents meanin</w:t>
      </w:r>
      <w:r w:rsidR="00FC0547" w:rsidRPr="00FC0547">
        <w:rPr>
          <w:rFonts w:ascii="Aptos" w:hAnsi="Aptos"/>
          <w:color w:val="000000" w:themeColor="text1"/>
        </w:rPr>
        <w:t>gful parental participation in the IEP process</w:t>
      </w:r>
      <w:r w:rsidR="0023211A">
        <w:rPr>
          <w:rFonts w:ascii="Aptos" w:hAnsi="Aptos"/>
          <w:color w:val="000000" w:themeColor="text1"/>
        </w:rPr>
        <w:t xml:space="preserve"> and limiting Parents’ a</w:t>
      </w:r>
      <w:r w:rsidR="0023211A" w:rsidRPr="0023211A">
        <w:rPr>
          <w:rFonts w:ascii="Aptos" w:hAnsi="Aptos"/>
          <w:color w:val="000000" w:themeColor="text1"/>
        </w:rPr>
        <w:t>ccess to educational information necessary to make decisions</w:t>
      </w:r>
      <w:r w:rsidR="00146BD3">
        <w:rPr>
          <w:rFonts w:ascii="Aptos" w:hAnsi="Aptos"/>
          <w:color w:val="000000" w:themeColor="text1"/>
        </w:rPr>
        <w:t xml:space="preserve"> and </w:t>
      </w:r>
      <w:r w:rsidR="00377BE8">
        <w:rPr>
          <w:rFonts w:ascii="Aptos" w:hAnsi="Aptos"/>
          <w:color w:val="000000" w:themeColor="text1"/>
        </w:rPr>
        <w:t xml:space="preserve">their ability to </w:t>
      </w:r>
      <w:r w:rsidR="0023211A">
        <w:rPr>
          <w:rFonts w:ascii="Aptos" w:hAnsi="Aptos"/>
          <w:color w:val="000000" w:themeColor="text1"/>
        </w:rPr>
        <w:t>c</w:t>
      </w:r>
      <w:r w:rsidR="0023211A" w:rsidRPr="0023211A">
        <w:rPr>
          <w:rFonts w:ascii="Aptos" w:hAnsi="Aptos"/>
          <w:color w:val="000000" w:themeColor="text1"/>
        </w:rPr>
        <w:t>ommunicat</w:t>
      </w:r>
      <w:r w:rsidR="00DC1672">
        <w:rPr>
          <w:rFonts w:ascii="Aptos" w:hAnsi="Aptos"/>
          <w:color w:val="000000" w:themeColor="text1"/>
        </w:rPr>
        <w:t>e</w:t>
      </w:r>
      <w:r w:rsidR="0023211A" w:rsidRPr="0023211A">
        <w:rPr>
          <w:rFonts w:ascii="Aptos" w:hAnsi="Aptos"/>
          <w:color w:val="000000" w:themeColor="text1"/>
        </w:rPr>
        <w:t xml:space="preserve"> with the IEP team</w:t>
      </w:r>
      <w:r w:rsidR="00146BD3">
        <w:rPr>
          <w:rFonts w:ascii="Aptos" w:hAnsi="Aptos"/>
          <w:color w:val="000000" w:themeColor="text1"/>
        </w:rPr>
        <w:t>.</w:t>
      </w:r>
      <w:r w:rsidR="00377BE8">
        <w:rPr>
          <w:rFonts w:ascii="Aptos" w:hAnsi="Aptos"/>
          <w:color w:val="000000" w:themeColor="text1"/>
        </w:rPr>
        <w:t xml:space="preserve"> Parents argue that “[r]</w:t>
      </w:r>
      <w:r w:rsidR="00377BE8" w:rsidRPr="00377BE8">
        <w:rPr>
          <w:rFonts w:ascii="Aptos" w:hAnsi="Aptos"/>
          <w:color w:val="000000" w:themeColor="text1"/>
        </w:rPr>
        <w:t xml:space="preserve">estrictions that prevent parents from communicating with the IEP team directly affect the provision of FAPE and the procedural safeguards that protect it. The BSEA's refusal to address the matter therefore constitutes а denial of the hearing rights guaranteed </w:t>
      </w:r>
      <w:r w:rsidR="00377BE8">
        <w:rPr>
          <w:rFonts w:ascii="Aptos" w:hAnsi="Aptos"/>
          <w:color w:val="000000" w:themeColor="text1"/>
        </w:rPr>
        <w:t>by</w:t>
      </w:r>
      <w:r w:rsidR="00377BE8" w:rsidRPr="00377BE8">
        <w:rPr>
          <w:rFonts w:ascii="Aptos" w:hAnsi="Aptos"/>
          <w:color w:val="000000" w:themeColor="text1"/>
        </w:rPr>
        <w:t xml:space="preserve"> </w:t>
      </w:r>
      <w:r w:rsidR="00DF7D2C">
        <w:rPr>
          <w:rFonts w:ascii="Aptos" w:hAnsi="Aptos"/>
          <w:color w:val="000000" w:themeColor="text1"/>
        </w:rPr>
        <w:t>[</w:t>
      </w:r>
      <w:r w:rsidR="00DF7D2C" w:rsidRPr="00491E69">
        <w:rPr>
          <w:rFonts w:ascii="Aptos" w:hAnsi="Aptos"/>
          <w:color w:val="000000" w:themeColor="text1"/>
        </w:rPr>
        <w:t xml:space="preserve">Individuals with Disabilities Education Act </w:t>
      </w:r>
      <w:r w:rsidR="00DF7D2C">
        <w:rPr>
          <w:rFonts w:ascii="Aptos" w:hAnsi="Aptos"/>
          <w:color w:val="000000" w:themeColor="text1"/>
        </w:rPr>
        <w:t>(</w:t>
      </w:r>
      <w:r w:rsidR="00377BE8" w:rsidRPr="00377BE8">
        <w:rPr>
          <w:rFonts w:ascii="Aptos" w:hAnsi="Aptos"/>
          <w:color w:val="000000" w:themeColor="text1"/>
        </w:rPr>
        <w:t>IDEA</w:t>
      </w:r>
      <w:r w:rsidR="00DF7D2C">
        <w:rPr>
          <w:rFonts w:ascii="Aptos" w:hAnsi="Aptos"/>
          <w:color w:val="000000" w:themeColor="text1"/>
        </w:rPr>
        <w:t>)]</w:t>
      </w:r>
      <w:r w:rsidR="00377BE8" w:rsidRPr="00377BE8">
        <w:rPr>
          <w:rFonts w:ascii="Aptos" w:hAnsi="Aptos"/>
          <w:color w:val="000000" w:themeColor="text1"/>
        </w:rPr>
        <w:t>.</w:t>
      </w:r>
      <w:r w:rsidR="00377BE8">
        <w:rPr>
          <w:rFonts w:ascii="Aptos" w:hAnsi="Aptos"/>
          <w:color w:val="000000" w:themeColor="text1"/>
        </w:rPr>
        <w:t>”</w:t>
      </w:r>
    </w:p>
    <w:p w14:paraId="303C751B" w14:textId="72F2F7EF" w:rsidR="0070458D" w:rsidRPr="001B3770" w:rsidRDefault="0070458D" w:rsidP="00D6127B">
      <w:pPr>
        <w:rPr>
          <w:rFonts w:ascii="Aptos" w:hAnsi="Aptos"/>
          <w:b/>
          <w:bCs/>
          <w:color w:val="000000" w:themeColor="text1"/>
        </w:rPr>
      </w:pPr>
      <w:r w:rsidRPr="001B3770">
        <w:rPr>
          <w:rFonts w:ascii="Aptos" w:hAnsi="Aptos"/>
          <w:b/>
          <w:bCs/>
          <w:color w:val="000000" w:themeColor="text1"/>
        </w:rPr>
        <w:t xml:space="preserve">LEGAL </w:t>
      </w:r>
      <w:r w:rsidR="000D376B" w:rsidRPr="001B3770">
        <w:rPr>
          <w:rFonts w:ascii="Aptos" w:hAnsi="Aptos"/>
          <w:b/>
          <w:bCs/>
          <w:color w:val="000000" w:themeColor="text1"/>
        </w:rPr>
        <w:t>STANDARDS</w:t>
      </w:r>
      <w:r w:rsidR="00686B78" w:rsidRPr="001B3770">
        <w:rPr>
          <w:rFonts w:ascii="Aptos" w:hAnsi="Aptos"/>
          <w:b/>
          <w:bCs/>
          <w:color w:val="000000" w:themeColor="text1"/>
        </w:rPr>
        <w:t xml:space="preserve"> AND APPLICATION OF LEGAL STANDARDS</w:t>
      </w:r>
      <w:r w:rsidRPr="001B3770">
        <w:rPr>
          <w:rFonts w:ascii="Aptos" w:hAnsi="Aptos"/>
          <w:b/>
          <w:bCs/>
          <w:color w:val="000000" w:themeColor="text1"/>
        </w:rPr>
        <w:t>:</w:t>
      </w:r>
    </w:p>
    <w:p w14:paraId="738E6454" w14:textId="77777777" w:rsidR="00E90201" w:rsidRPr="001B3770" w:rsidRDefault="00E90201" w:rsidP="00D6127B">
      <w:pPr>
        <w:rPr>
          <w:rFonts w:ascii="Aptos" w:hAnsi="Aptos"/>
          <w:b/>
          <w:bCs/>
          <w:color w:val="000000" w:themeColor="text1"/>
        </w:rPr>
      </w:pPr>
    </w:p>
    <w:p w14:paraId="52446C33" w14:textId="3BD50CED" w:rsidR="001840BD" w:rsidRPr="001840BD" w:rsidRDefault="000F4D1B" w:rsidP="001840BD">
      <w:pPr>
        <w:rPr>
          <w:rFonts w:ascii="Aptos" w:hAnsi="Aptos"/>
          <w:color w:val="000000" w:themeColor="text1"/>
        </w:rPr>
      </w:pPr>
      <w:r>
        <w:rPr>
          <w:rFonts w:ascii="Aptos" w:hAnsi="Aptos"/>
          <w:color w:val="000000" w:themeColor="text1"/>
        </w:rPr>
        <w:t>For</w:t>
      </w:r>
      <w:r w:rsidR="001840BD" w:rsidRPr="001840BD">
        <w:rPr>
          <w:rFonts w:ascii="Aptos" w:hAnsi="Aptos"/>
          <w:color w:val="000000" w:themeColor="text1"/>
        </w:rPr>
        <w:t xml:space="preserve"> the purposes of this analysis, as with the evaluation of a motion to dismiss, I take as true “the allegations of the complaint, as well as such inferences as may be drawn therefrom in the plaintiff's favor.”</w:t>
      </w:r>
      <w:r>
        <w:rPr>
          <w:rStyle w:val="FootnoteReference"/>
          <w:rFonts w:ascii="Aptos" w:hAnsi="Aptos"/>
          <w:color w:val="000000" w:themeColor="text1"/>
        </w:rPr>
        <w:footnoteReference w:id="1"/>
      </w:r>
    </w:p>
    <w:p w14:paraId="25F7C4C9" w14:textId="77777777" w:rsidR="001840BD" w:rsidRPr="001840BD" w:rsidRDefault="001840BD" w:rsidP="001840BD">
      <w:pPr>
        <w:rPr>
          <w:rFonts w:ascii="Aptos" w:hAnsi="Aptos"/>
          <w:color w:val="000000" w:themeColor="text1"/>
        </w:rPr>
      </w:pPr>
    </w:p>
    <w:p w14:paraId="2D4507D8" w14:textId="77777777" w:rsidR="001840BD" w:rsidRPr="00DF7D2C" w:rsidRDefault="001840BD" w:rsidP="001840BD">
      <w:pPr>
        <w:rPr>
          <w:rFonts w:ascii="Aptos" w:hAnsi="Aptos"/>
          <w:b/>
          <w:bCs/>
          <w:color w:val="000000" w:themeColor="text1"/>
          <w:u w:val="single"/>
        </w:rPr>
      </w:pPr>
      <w:r w:rsidRPr="00DF7D2C">
        <w:rPr>
          <w:rFonts w:ascii="Aptos" w:hAnsi="Aptos"/>
          <w:b/>
          <w:bCs/>
          <w:color w:val="000000" w:themeColor="text1"/>
          <w:u w:val="single"/>
        </w:rPr>
        <w:t>A. Legal Standards</w:t>
      </w:r>
    </w:p>
    <w:p w14:paraId="4C4AC57B" w14:textId="77777777" w:rsidR="001840BD" w:rsidRPr="001840BD" w:rsidRDefault="001840BD" w:rsidP="001840BD">
      <w:pPr>
        <w:rPr>
          <w:rFonts w:ascii="Aptos" w:hAnsi="Aptos"/>
          <w:color w:val="000000" w:themeColor="text1"/>
        </w:rPr>
      </w:pPr>
    </w:p>
    <w:p w14:paraId="6B86DB9E" w14:textId="4AA6CFB0" w:rsidR="001840BD" w:rsidRPr="00DA25A9" w:rsidRDefault="001840BD" w:rsidP="0016111B">
      <w:pPr>
        <w:pStyle w:val="ListParagraph"/>
        <w:numPr>
          <w:ilvl w:val="0"/>
          <w:numId w:val="22"/>
        </w:numPr>
        <w:rPr>
          <w:rFonts w:ascii="Aptos" w:hAnsi="Aptos"/>
          <w:i/>
          <w:iCs/>
          <w:color w:val="000000" w:themeColor="text1"/>
        </w:rPr>
      </w:pPr>
      <w:r w:rsidRPr="00DA25A9">
        <w:rPr>
          <w:rFonts w:ascii="Aptos" w:hAnsi="Aptos"/>
          <w:i/>
          <w:iCs/>
          <w:color w:val="000000" w:themeColor="text1"/>
        </w:rPr>
        <w:t>Sua Sponte Dismissals</w:t>
      </w:r>
    </w:p>
    <w:p w14:paraId="2FA437BB" w14:textId="77777777" w:rsidR="001840BD" w:rsidRPr="001840BD" w:rsidRDefault="001840BD" w:rsidP="001840BD">
      <w:pPr>
        <w:rPr>
          <w:rFonts w:ascii="Aptos" w:hAnsi="Aptos"/>
          <w:color w:val="000000" w:themeColor="text1"/>
        </w:rPr>
      </w:pPr>
    </w:p>
    <w:p w14:paraId="49FADA06" w14:textId="12ECB2A8" w:rsidR="001840BD" w:rsidRPr="001840BD" w:rsidRDefault="001840BD" w:rsidP="001840BD">
      <w:pPr>
        <w:rPr>
          <w:rFonts w:ascii="Aptos" w:hAnsi="Aptos"/>
          <w:color w:val="000000" w:themeColor="text1"/>
        </w:rPr>
      </w:pPr>
      <w:r w:rsidRPr="001840BD">
        <w:rPr>
          <w:rFonts w:ascii="Aptos" w:hAnsi="Aptos"/>
          <w:color w:val="000000" w:themeColor="text1"/>
        </w:rPr>
        <w:t xml:space="preserve">It is well-established that judges possess inherent authority to dismiss claims </w:t>
      </w:r>
      <w:r w:rsidRPr="00EE1640">
        <w:rPr>
          <w:rFonts w:ascii="Aptos" w:hAnsi="Aptos"/>
          <w:i/>
          <w:iCs/>
          <w:color w:val="000000" w:themeColor="text1"/>
        </w:rPr>
        <w:t>sua sponte</w:t>
      </w:r>
      <w:r w:rsidRPr="001840BD">
        <w:rPr>
          <w:rFonts w:ascii="Aptos" w:hAnsi="Aptos"/>
          <w:color w:val="000000" w:themeColor="text1"/>
        </w:rPr>
        <w:t xml:space="preserve"> in certain circumstances, such as the absence of certain aspects of subject matter </w:t>
      </w:r>
      <w:r w:rsidRPr="001840BD">
        <w:rPr>
          <w:rFonts w:ascii="Aptos" w:hAnsi="Aptos"/>
          <w:color w:val="000000" w:themeColor="text1"/>
        </w:rPr>
        <w:lastRenderedPageBreak/>
        <w:t>jurisdiction (i.e. standing) or the inability of the plaintiff to produce evidence to support the necessary findings to prevail.</w:t>
      </w:r>
      <w:r w:rsidR="0016111B">
        <w:rPr>
          <w:rStyle w:val="FootnoteReference"/>
          <w:rFonts w:ascii="Aptos" w:hAnsi="Aptos"/>
          <w:color w:val="000000" w:themeColor="text1"/>
        </w:rPr>
        <w:footnoteReference w:id="2"/>
      </w:r>
      <w:r w:rsidRPr="001840BD">
        <w:rPr>
          <w:rFonts w:ascii="Aptos" w:hAnsi="Aptos"/>
          <w:color w:val="000000" w:themeColor="text1"/>
        </w:rPr>
        <w:t xml:space="preserve"> Such powers are “a necessary incident to the right and duty to keep the judicial system in efficient operation.”</w:t>
      </w:r>
      <w:r w:rsidR="00DE50F8">
        <w:rPr>
          <w:rStyle w:val="FootnoteReference"/>
          <w:rFonts w:ascii="Aptos" w:hAnsi="Aptos"/>
          <w:color w:val="000000" w:themeColor="text1"/>
        </w:rPr>
        <w:footnoteReference w:id="3"/>
      </w:r>
      <w:r w:rsidRPr="001840BD">
        <w:rPr>
          <w:rFonts w:ascii="Aptos" w:hAnsi="Aptos"/>
          <w:color w:val="000000" w:themeColor="text1"/>
        </w:rPr>
        <w:t xml:space="preserve"> Generally, parties should be provided notice that the judge is considering dismissal, except where “it is crystal clear that the plaintiff cannot prevail and that amending the complaint would be futile.”</w:t>
      </w:r>
      <w:r w:rsidR="00D0766F">
        <w:rPr>
          <w:rStyle w:val="FootnoteReference"/>
          <w:rFonts w:ascii="Aptos" w:hAnsi="Aptos"/>
          <w:color w:val="000000" w:themeColor="text1"/>
        </w:rPr>
        <w:footnoteReference w:id="4"/>
      </w:r>
    </w:p>
    <w:p w14:paraId="378AF0E5" w14:textId="77777777" w:rsidR="001840BD" w:rsidRPr="001840BD" w:rsidRDefault="001840BD" w:rsidP="001840BD">
      <w:pPr>
        <w:rPr>
          <w:rFonts w:ascii="Aptos" w:hAnsi="Aptos"/>
          <w:color w:val="000000" w:themeColor="text1"/>
        </w:rPr>
      </w:pPr>
    </w:p>
    <w:p w14:paraId="68485D6D" w14:textId="13CF24C2" w:rsidR="001840BD" w:rsidRPr="00DA25A9" w:rsidRDefault="001840BD" w:rsidP="00D0766F">
      <w:pPr>
        <w:pStyle w:val="ListParagraph"/>
        <w:numPr>
          <w:ilvl w:val="0"/>
          <w:numId w:val="22"/>
        </w:numPr>
        <w:rPr>
          <w:rFonts w:ascii="Aptos" w:hAnsi="Aptos"/>
          <w:i/>
          <w:iCs/>
          <w:color w:val="000000" w:themeColor="text1"/>
        </w:rPr>
      </w:pPr>
      <w:r w:rsidRPr="00DA25A9">
        <w:rPr>
          <w:rFonts w:ascii="Aptos" w:hAnsi="Aptos"/>
          <w:i/>
          <w:iCs/>
          <w:color w:val="000000" w:themeColor="text1"/>
        </w:rPr>
        <w:t>BSEA Jurisdiction</w:t>
      </w:r>
    </w:p>
    <w:p w14:paraId="3B350F71" w14:textId="77777777" w:rsidR="001840BD" w:rsidRPr="001840BD" w:rsidRDefault="001840BD" w:rsidP="001840BD">
      <w:pPr>
        <w:rPr>
          <w:rFonts w:ascii="Aptos" w:hAnsi="Aptos"/>
          <w:color w:val="000000" w:themeColor="text1"/>
        </w:rPr>
      </w:pPr>
    </w:p>
    <w:p w14:paraId="7D9E2AA7" w14:textId="0932EF48" w:rsidR="001840BD" w:rsidRPr="001840BD" w:rsidRDefault="001840BD" w:rsidP="001840BD">
      <w:pPr>
        <w:rPr>
          <w:rFonts w:ascii="Aptos" w:hAnsi="Aptos"/>
          <w:color w:val="000000" w:themeColor="text1"/>
        </w:rPr>
      </w:pPr>
      <w:r w:rsidRPr="001840BD">
        <w:rPr>
          <w:rFonts w:ascii="Aptos" w:hAnsi="Aptos"/>
          <w:color w:val="000000" w:themeColor="text1"/>
        </w:rPr>
        <w:t>Under 20 U.S.C. § 1415(b)(6), the BSEA has jurisdiction over timely complaints filed by a parent/guardian or school district “with respect to any matter relating to the identification, evaluation, or educational placement of [a] child, or the provision of a free appropriate public education to such child.”</w:t>
      </w:r>
      <w:r w:rsidR="00D0766F">
        <w:rPr>
          <w:rStyle w:val="FootnoteReference"/>
          <w:rFonts w:ascii="Aptos" w:hAnsi="Aptos"/>
          <w:color w:val="000000" w:themeColor="text1"/>
        </w:rPr>
        <w:footnoteReference w:id="5"/>
      </w:r>
      <w:r w:rsidR="00D0766F">
        <w:rPr>
          <w:rFonts w:ascii="Aptos" w:hAnsi="Aptos"/>
          <w:color w:val="000000" w:themeColor="text1"/>
        </w:rPr>
        <w:t xml:space="preserve"> </w:t>
      </w:r>
      <w:r w:rsidRPr="001840BD">
        <w:rPr>
          <w:rFonts w:ascii="Aptos" w:hAnsi="Aptos"/>
          <w:color w:val="000000" w:themeColor="text1"/>
        </w:rPr>
        <w:t>In Massachusetts, parents may request hearings on any matter concerning the “eligibility, evaluation, placement, IEP, provision of special education in accordance with state and federal law, or procedural protections of state and federal law for students with disabilities.”</w:t>
      </w:r>
      <w:r w:rsidR="00D0766F">
        <w:rPr>
          <w:rStyle w:val="FootnoteReference"/>
          <w:rFonts w:ascii="Aptos" w:hAnsi="Aptos"/>
          <w:color w:val="000000" w:themeColor="text1"/>
        </w:rPr>
        <w:footnoteReference w:id="6"/>
      </w:r>
    </w:p>
    <w:p w14:paraId="37D7493F" w14:textId="77777777" w:rsidR="001840BD" w:rsidRPr="001840BD" w:rsidRDefault="001840BD" w:rsidP="001840BD">
      <w:pPr>
        <w:rPr>
          <w:rFonts w:ascii="Aptos" w:hAnsi="Aptos"/>
          <w:color w:val="000000" w:themeColor="text1"/>
        </w:rPr>
      </w:pPr>
    </w:p>
    <w:p w14:paraId="5921C409" w14:textId="15927C91" w:rsidR="001840BD" w:rsidRPr="00DA25A9" w:rsidRDefault="001840BD" w:rsidP="00D0766F">
      <w:pPr>
        <w:pStyle w:val="ListParagraph"/>
        <w:numPr>
          <w:ilvl w:val="0"/>
          <w:numId w:val="22"/>
        </w:numPr>
        <w:rPr>
          <w:rFonts w:ascii="Aptos" w:hAnsi="Aptos"/>
          <w:i/>
          <w:iCs/>
          <w:color w:val="000000" w:themeColor="text1"/>
        </w:rPr>
      </w:pPr>
      <w:r w:rsidRPr="00DA25A9">
        <w:rPr>
          <w:rFonts w:ascii="Aptos" w:hAnsi="Aptos"/>
          <w:i/>
          <w:iCs/>
          <w:color w:val="000000" w:themeColor="text1"/>
        </w:rPr>
        <w:t>Recusal</w:t>
      </w:r>
    </w:p>
    <w:p w14:paraId="7F6A786A" w14:textId="77777777" w:rsidR="001840BD" w:rsidRPr="001840BD" w:rsidRDefault="001840BD" w:rsidP="001840BD">
      <w:pPr>
        <w:rPr>
          <w:rFonts w:ascii="Aptos" w:hAnsi="Aptos"/>
          <w:color w:val="000000" w:themeColor="text1"/>
        </w:rPr>
      </w:pPr>
    </w:p>
    <w:p w14:paraId="329A70F8" w14:textId="158B3CC8" w:rsidR="001840BD" w:rsidRPr="001840BD" w:rsidRDefault="001840BD" w:rsidP="001840BD">
      <w:pPr>
        <w:rPr>
          <w:rFonts w:ascii="Aptos" w:hAnsi="Aptos"/>
          <w:color w:val="000000" w:themeColor="text1"/>
        </w:rPr>
      </w:pPr>
      <w:r w:rsidRPr="001840BD">
        <w:rPr>
          <w:rFonts w:ascii="Aptos" w:hAnsi="Aptos"/>
          <w:color w:val="000000" w:themeColor="text1"/>
        </w:rPr>
        <w:t>The Supreme Court has recognized that “no man can be a judge in his own case and no man is permitted to try cases where he has an interest in the outcome.”</w:t>
      </w:r>
      <w:r w:rsidR="00D0766F">
        <w:rPr>
          <w:rStyle w:val="FootnoteReference"/>
          <w:rFonts w:ascii="Aptos" w:hAnsi="Aptos"/>
          <w:color w:val="000000" w:themeColor="text1"/>
        </w:rPr>
        <w:footnoteReference w:id="7"/>
      </w:r>
      <w:r w:rsidRPr="001840BD">
        <w:rPr>
          <w:rFonts w:ascii="Aptos" w:hAnsi="Aptos"/>
          <w:color w:val="000000" w:themeColor="text1"/>
        </w:rPr>
        <w:t xml:space="preserve"> To “promote confidence in the judiciary by avoiding even the appearance of impropriety whenever possible,”</w:t>
      </w:r>
      <w:r w:rsidR="00195FA6">
        <w:rPr>
          <w:rStyle w:val="FootnoteReference"/>
          <w:rFonts w:ascii="Aptos" w:hAnsi="Aptos"/>
          <w:color w:val="000000" w:themeColor="text1"/>
        </w:rPr>
        <w:footnoteReference w:id="8"/>
      </w:r>
      <w:r w:rsidR="00195FA6">
        <w:rPr>
          <w:rFonts w:ascii="Aptos" w:hAnsi="Aptos"/>
          <w:color w:val="000000" w:themeColor="text1"/>
        </w:rPr>
        <w:t xml:space="preserve"> </w:t>
      </w:r>
      <w:r w:rsidRPr="001840BD">
        <w:rPr>
          <w:rFonts w:ascii="Aptos" w:hAnsi="Aptos"/>
          <w:color w:val="000000" w:themeColor="text1"/>
        </w:rPr>
        <w:t>judges are expected to recuse themselves in any proceeding in which their “impartiality might reasonably be questioned,”</w:t>
      </w:r>
      <w:r w:rsidR="00195FA6">
        <w:rPr>
          <w:rStyle w:val="FootnoteReference"/>
          <w:rFonts w:ascii="Aptos" w:hAnsi="Aptos"/>
          <w:color w:val="000000" w:themeColor="text1"/>
        </w:rPr>
        <w:footnoteReference w:id="9"/>
      </w:r>
      <w:r w:rsidRPr="001840BD">
        <w:rPr>
          <w:rFonts w:ascii="Aptos" w:hAnsi="Aptos"/>
          <w:color w:val="000000" w:themeColor="text1"/>
        </w:rPr>
        <w:t xml:space="preserve"> or where specific circumstances exist that </w:t>
      </w:r>
      <w:r w:rsidRPr="001840BD">
        <w:rPr>
          <w:rFonts w:ascii="Aptos" w:hAnsi="Aptos"/>
          <w:color w:val="000000" w:themeColor="text1"/>
        </w:rPr>
        <w:lastRenderedPageBreak/>
        <w:t>might show partiality.</w:t>
      </w:r>
      <w:r w:rsidR="00195FA6">
        <w:rPr>
          <w:rStyle w:val="FootnoteReference"/>
          <w:rFonts w:ascii="Aptos" w:hAnsi="Aptos"/>
          <w:color w:val="000000" w:themeColor="text1"/>
        </w:rPr>
        <w:footnoteReference w:id="10"/>
      </w:r>
      <w:r w:rsidRPr="001840BD">
        <w:rPr>
          <w:rFonts w:ascii="Aptos" w:hAnsi="Aptos"/>
          <w:color w:val="000000" w:themeColor="text1"/>
        </w:rPr>
        <w:t xml:space="preserve"> </w:t>
      </w:r>
      <w:r w:rsidR="00677324">
        <w:rPr>
          <w:rFonts w:ascii="Aptos" w:hAnsi="Aptos"/>
          <w:color w:val="000000" w:themeColor="text1"/>
        </w:rPr>
        <w:t xml:space="preserve">One such </w:t>
      </w:r>
      <w:r w:rsidRPr="001840BD">
        <w:rPr>
          <w:rFonts w:ascii="Aptos" w:hAnsi="Aptos"/>
          <w:color w:val="000000" w:themeColor="text1"/>
        </w:rPr>
        <w:t xml:space="preserve">circumstance </w:t>
      </w:r>
      <w:r w:rsidR="00677324">
        <w:rPr>
          <w:rFonts w:ascii="Aptos" w:hAnsi="Aptos"/>
          <w:color w:val="000000" w:themeColor="text1"/>
        </w:rPr>
        <w:t xml:space="preserve">is </w:t>
      </w:r>
      <w:r w:rsidRPr="001840BD">
        <w:rPr>
          <w:rFonts w:ascii="Aptos" w:hAnsi="Aptos"/>
          <w:color w:val="000000" w:themeColor="text1"/>
        </w:rPr>
        <w:t>when the judge is named a party to the proceedings.</w:t>
      </w:r>
      <w:r w:rsidR="00195FA6">
        <w:rPr>
          <w:rStyle w:val="FootnoteReference"/>
          <w:rFonts w:ascii="Aptos" w:hAnsi="Aptos"/>
          <w:color w:val="000000" w:themeColor="text1"/>
        </w:rPr>
        <w:footnoteReference w:id="11"/>
      </w:r>
      <w:r w:rsidRPr="001840BD">
        <w:rPr>
          <w:rFonts w:ascii="Aptos" w:hAnsi="Aptos"/>
          <w:color w:val="000000" w:themeColor="text1"/>
        </w:rPr>
        <w:t xml:space="preserve"> Any doubts must be resolved in favor of recusal, particularly in these circumstances, as “the potential for conflicts of interest [is] readily apparent.”</w:t>
      </w:r>
      <w:r w:rsidR="00195FA6">
        <w:rPr>
          <w:rStyle w:val="FootnoteReference"/>
          <w:rFonts w:ascii="Aptos" w:hAnsi="Aptos"/>
          <w:color w:val="000000" w:themeColor="text1"/>
        </w:rPr>
        <w:footnoteReference w:id="12"/>
      </w:r>
      <w:r w:rsidR="008E4DA2">
        <w:rPr>
          <w:rFonts w:ascii="Aptos" w:hAnsi="Aptos"/>
          <w:color w:val="000000" w:themeColor="text1"/>
        </w:rPr>
        <w:t xml:space="preserve"> </w:t>
      </w:r>
      <w:r w:rsidRPr="001840BD">
        <w:rPr>
          <w:rFonts w:ascii="Aptos" w:hAnsi="Aptos"/>
          <w:color w:val="000000" w:themeColor="text1"/>
        </w:rPr>
        <w:t>Generally, when a judge is a named defendant, recusal is mandatory.</w:t>
      </w:r>
      <w:r w:rsidR="008E4DA2">
        <w:rPr>
          <w:rStyle w:val="FootnoteReference"/>
          <w:rFonts w:ascii="Aptos" w:hAnsi="Aptos"/>
          <w:color w:val="000000" w:themeColor="text1"/>
        </w:rPr>
        <w:footnoteReference w:id="13"/>
      </w:r>
      <w:r w:rsidRPr="001840BD">
        <w:rPr>
          <w:rFonts w:ascii="Aptos" w:hAnsi="Aptos"/>
          <w:color w:val="000000" w:themeColor="text1"/>
        </w:rPr>
        <w:t xml:space="preserve"> There is an “exception to this rule, however, in cases where ‘the case cannot be heard otherwise.’”</w:t>
      </w:r>
      <w:r w:rsidR="00473328">
        <w:rPr>
          <w:rStyle w:val="FootnoteReference"/>
          <w:rFonts w:ascii="Aptos" w:hAnsi="Aptos"/>
          <w:color w:val="000000" w:themeColor="text1"/>
        </w:rPr>
        <w:footnoteReference w:id="14"/>
      </w:r>
      <w:r w:rsidRPr="001840BD">
        <w:rPr>
          <w:rFonts w:ascii="Aptos" w:hAnsi="Aptos"/>
          <w:color w:val="000000" w:themeColor="text1"/>
        </w:rPr>
        <w:t xml:space="preserve"> “Under this ‘rule of necessity,’ a judge is not disqualified due to a personal interest if there is no other judge available to hear the case,” because, for example, they all share that same interest.</w:t>
      </w:r>
      <w:r w:rsidR="00312B44">
        <w:rPr>
          <w:rStyle w:val="FootnoteReference"/>
          <w:rFonts w:ascii="Aptos" w:hAnsi="Aptos"/>
          <w:color w:val="000000" w:themeColor="text1"/>
        </w:rPr>
        <w:footnoteReference w:id="15"/>
      </w:r>
    </w:p>
    <w:p w14:paraId="69ECBAAD" w14:textId="77777777" w:rsidR="001840BD" w:rsidRPr="001840BD" w:rsidRDefault="001840BD" w:rsidP="001840BD">
      <w:pPr>
        <w:rPr>
          <w:rFonts w:ascii="Aptos" w:hAnsi="Aptos"/>
          <w:color w:val="000000" w:themeColor="text1"/>
        </w:rPr>
      </w:pPr>
    </w:p>
    <w:p w14:paraId="39C25DDC" w14:textId="77777777" w:rsidR="001840BD" w:rsidRPr="00B84331" w:rsidRDefault="001840BD" w:rsidP="001840BD">
      <w:pPr>
        <w:rPr>
          <w:rFonts w:ascii="Aptos" w:hAnsi="Aptos"/>
          <w:b/>
          <w:bCs/>
          <w:color w:val="000000" w:themeColor="text1"/>
          <w:u w:val="single"/>
        </w:rPr>
      </w:pPr>
      <w:r w:rsidRPr="00B84331">
        <w:rPr>
          <w:rFonts w:ascii="Aptos" w:hAnsi="Aptos"/>
          <w:b/>
          <w:bCs/>
          <w:color w:val="000000" w:themeColor="text1"/>
          <w:u w:val="single"/>
        </w:rPr>
        <w:t>B. Application of Legal Standards</w:t>
      </w:r>
    </w:p>
    <w:p w14:paraId="709780AF" w14:textId="77777777" w:rsidR="001840BD" w:rsidRPr="001840BD" w:rsidRDefault="001840BD" w:rsidP="001840BD">
      <w:pPr>
        <w:rPr>
          <w:rFonts w:ascii="Aptos" w:hAnsi="Aptos"/>
          <w:color w:val="000000" w:themeColor="text1"/>
        </w:rPr>
      </w:pPr>
    </w:p>
    <w:p w14:paraId="7F30A983" w14:textId="7F18288C" w:rsidR="001840BD" w:rsidRPr="001840BD" w:rsidRDefault="001840BD" w:rsidP="001840BD">
      <w:pPr>
        <w:rPr>
          <w:rFonts w:ascii="Aptos" w:hAnsi="Aptos"/>
          <w:color w:val="000000" w:themeColor="text1"/>
        </w:rPr>
      </w:pPr>
      <w:r w:rsidRPr="001840BD">
        <w:rPr>
          <w:rFonts w:ascii="Aptos" w:hAnsi="Aptos"/>
          <w:color w:val="000000" w:themeColor="text1"/>
        </w:rPr>
        <w:t>In this matter, I believe there exists a potential ground for recusal</w:t>
      </w:r>
      <w:r w:rsidR="00B92B87">
        <w:rPr>
          <w:rFonts w:ascii="Aptos" w:hAnsi="Aptos"/>
          <w:color w:val="000000" w:themeColor="text1"/>
        </w:rPr>
        <w:t xml:space="preserve">, </w:t>
      </w:r>
      <w:r w:rsidRPr="001840BD">
        <w:rPr>
          <w:rFonts w:ascii="Aptos" w:hAnsi="Aptos"/>
          <w:color w:val="000000" w:themeColor="text1"/>
        </w:rPr>
        <w:t xml:space="preserve">namely, that my </w:t>
      </w:r>
      <w:r w:rsidR="00201071">
        <w:rPr>
          <w:rFonts w:ascii="Aptos" w:hAnsi="Aptos"/>
          <w:color w:val="000000" w:themeColor="text1"/>
        </w:rPr>
        <w:t>employing agency</w:t>
      </w:r>
      <w:r w:rsidRPr="001840BD">
        <w:rPr>
          <w:rFonts w:ascii="Aptos" w:hAnsi="Aptos"/>
          <w:color w:val="000000" w:themeColor="text1"/>
        </w:rPr>
        <w:t xml:space="preserve"> has been named a defendant, which might lead to the appearance of impropriety.</w:t>
      </w:r>
      <w:r w:rsidR="00312B44">
        <w:rPr>
          <w:rStyle w:val="FootnoteReference"/>
          <w:rFonts w:ascii="Aptos" w:hAnsi="Aptos"/>
          <w:color w:val="000000" w:themeColor="text1"/>
        </w:rPr>
        <w:footnoteReference w:id="16"/>
      </w:r>
      <w:r w:rsidRPr="001840BD">
        <w:rPr>
          <w:rFonts w:ascii="Aptos" w:hAnsi="Aptos"/>
          <w:color w:val="000000" w:themeColor="text1"/>
        </w:rPr>
        <w:t xml:space="preserve"> All other BSEA Hearing Officers, however, share this same personal interest, such that under the rule of necessity, I need not disqualify myself from hearing the case. As such, I continue my analysis.</w:t>
      </w:r>
    </w:p>
    <w:p w14:paraId="08E41508" w14:textId="77777777" w:rsidR="001840BD" w:rsidRPr="001840BD" w:rsidRDefault="001840BD" w:rsidP="001840BD">
      <w:pPr>
        <w:rPr>
          <w:rFonts w:ascii="Aptos" w:hAnsi="Aptos"/>
          <w:color w:val="000000" w:themeColor="text1"/>
        </w:rPr>
      </w:pPr>
    </w:p>
    <w:p w14:paraId="0A9C385C" w14:textId="77A80ED2" w:rsidR="001840BD" w:rsidRDefault="001840BD" w:rsidP="001840BD">
      <w:pPr>
        <w:rPr>
          <w:rFonts w:ascii="Aptos" w:hAnsi="Aptos"/>
          <w:color w:val="000000" w:themeColor="text1"/>
        </w:rPr>
      </w:pPr>
      <w:r w:rsidRPr="001840BD">
        <w:rPr>
          <w:rFonts w:ascii="Aptos" w:hAnsi="Aptos"/>
          <w:color w:val="000000" w:themeColor="text1"/>
        </w:rPr>
        <w:t xml:space="preserve">Pursuant to my discussion of </w:t>
      </w:r>
      <w:r w:rsidRPr="00201071">
        <w:rPr>
          <w:rFonts w:ascii="Aptos" w:hAnsi="Aptos"/>
          <w:i/>
          <w:iCs/>
          <w:color w:val="000000" w:themeColor="text1"/>
        </w:rPr>
        <w:t>sua sponte</w:t>
      </w:r>
      <w:r w:rsidRPr="001840BD">
        <w:rPr>
          <w:rFonts w:ascii="Aptos" w:hAnsi="Aptos"/>
          <w:color w:val="000000" w:themeColor="text1"/>
        </w:rPr>
        <w:t xml:space="preserve"> dismissals, above, I have the authority to dismiss the </w:t>
      </w:r>
      <w:r w:rsidR="00FF26A9">
        <w:rPr>
          <w:rFonts w:ascii="Aptos" w:hAnsi="Aptos"/>
          <w:color w:val="000000" w:themeColor="text1"/>
        </w:rPr>
        <w:t xml:space="preserve">instant </w:t>
      </w:r>
      <w:r w:rsidRPr="001840BD">
        <w:rPr>
          <w:rFonts w:ascii="Aptos" w:hAnsi="Aptos"/>
          <w:color w:val="000000" w:themeColor="text1"/>
        </w:rPr>
        <w:t>Hearing Request as allege</w:t>
      </w:r>
      <w:r w:rsidR="00201071">
        <w:rPr>
          <w:rFonts w:ascii="Aptos" w:hAnsi="Aptos"/>
          <w:color w:val="000000" w:themeColor="text1"/>
        </w:rPr>
        <w:t>d</w:t>
      </w:r>
      <w:r w:rsidRPr="001840BD">
        <w:rPr>
          <w:rFonts w:ascii="Aptos" w:hAnsi="Aptos"/>
          <w:color w:val="000000" w:themeColor="text1"/>
        </w:rPr>
        <w:t xml:space="preserve"> against the BSEA, should I find that the BSEA lacks subject matter jurisdiction as to the claims</w:t>
      </w:r>
      <w:r w:rsidR="00201071">
        <w:rPr>
          <w:rFonts w:ascii="Aptos" w:hAnsi="Aptos"/>
          <w:color w:val="000000" w:themeColor="text1"/>
        </w:rPr>
        <w:t xml:space="preserve"> asserted in the He</w:t>
      </w:r>
      <w:r w:rsidR="000E7DE5">
        <w:rPr>
          <w:rFonts w:ascii="Aptos" w:hAnsi="Aptos"/>
          <w:color w:val="000000" w:themeColor="text1"/>
        </w:rPr>
        <w:t>a</w:t>
      </w:r>
      <w:r w:rsidR="00201071">
        <w:rPr>
          <w:rFonts w:ascii="Aptos" w:hAnsi="Aptos"/>
          <w:color w:val="000000" w:themeColor="text1"/>
        </w:rPr>
        <w:t>ring Request</w:t>
      </w:r>
      <w:r w:rsidRPr="001840BD">
        <w:rPr>
          <w:rFonts w:ascii="Aptos" w:hAnsi="Aptos"/>
          <w:color w:val="000000" w:themeColor="text1"/>
        </w:rPr>
        <w:t>.</w:t>
      </w:r>
      <w:r w:rsidR="00312B44">
        <w:rPr>
          <w:rStyle w:val="FootnoteReference"/>
          <w:rFonts w:ascii="Aptos" w:hAnsi="Aptos"/>
          <w:color w:val="000000" w:themeColor="text1"/>
        </w:rPr>
        <w:footnoteReference w:id="17"/>
      </w:r>
      <w:r w:rsidRPr="001840BD">
        <w:rPr>
          <w:rFonts w:ascii="Aptos" w:hAnsi="Aptos"/>
          <w:color w:val="000000" w:themeColor="text1"/>
        </w:rPr>
        <w:t xml:space="preserve"> I may do so without a hearing only if it is evident that Parent</w:t>
      </w:r>
      <w:r w:rsidR="00201071">
        <w:rPr>
          <w:rFonts w:ascii="Aptos" w:hAnsi="Aptos"/>
          <w:color w:val="000000" w:themeColor="text1"/>
        </w:rPr>
        <w:t>s</w:t>
      </w:r>
      <w:r w:rsidRPr="001840BD">
        <w:rPr>
          <w:rFonts w:ascii="Aptos" w:hAnsi="Aptos"/>
          <w:color w:val="000000" w:themeColor="text1"/>
        </w:rPr>
        <w:t xml:space="preserve"> cannot prevail in </w:t>
      </w:r>
      <w:r w:rsidR="00201071">
        <w:rPr>
          <w:rFonts w:ascii="Aptos" w:hAnsi="Aptos"/>
          <w:color w:val="000000" w:themeColor="text1"/>
        </w:rPr>
        <w:t>their</w:t>
      </w:r>
      <w:r w:rsidRPr="001840BD">
        <w:rPr>
          <w:rFonts w:ascii="Aptos" w:hAnsi="Aptos"/>
          <w:color w:val="000000" w:themeColor="text1"/>
        </w:rPr>
        <w:t xml:space="preserve"> claims, and amending the Hearing Request would not cure the deficits.</w:t>
      </w:r>
      <w:r w:rsidR="00312B44">
        <w:rPr>
          <w:rStyle w:val="FootnoteReference"/>
          <w:rFonts w:ascii="Aptos" w:hAnsi="Aptos"/>
          <w:color w:val="000000" w:themeColor="text1"/>
        </w:rPr>
        <w:footnoteReference w:id="18"/>
      </w:r>
    </w:p>
    <w:p w14:paraId="09D95B1D" w14:textId="77777777" w:rsidR="00C90AEA" w:rsidRPr="001840BD" w:rsidRDefault="00C90AEA" w:rsidP="001840BD">
      <w:pPr>
        <w:rPr>
          <w:rFonts w:ascii="Aptos" w:hAnsi="Aptos"/>
          <w:color w:val="000000" w:themeColor="text1"/>
        </w:rPr>
      </w:pPr>
    </w:p>
    <w:p w14:paraId="0665EC81" w14:textId="10A89952" w:rsidR="00076B8E" w:rsidRDefault="003479DA" w:rsidP="00076B8E">
      <w:pPr>
        <w:rPr>
          <w:rFonts w:ascii="Aptos" w:hAnsi="Aptos"/>
          <w:color w:val="000000" w:themeColor="text1"/>
        </w:rPr>
      </w:pPr>
      <w:r>
        <w:rPr>
          <w:rFonts w:ascii="Aptos" w:hAnsi="Aptos"/>
          <w:color w:val="000000" w:themeColor="text1"/>
        </w:rPr>
        <w:lastRenderedPageBreak/>
        <w:t>T</w:t>
      </w:r>
      <w:r w:rsidRPr="003479DA">
        <w:rPr>
          <w:rFonts w:ascii="Aptos" w:hAnsi="Aptos"/>
          <w:color w:val="000000" w:themeColor="text1"/>
        </w:rPr>
        <w:t>he IDEA authorizes hearings only to resolve</w:t>
      </w:r>
      <w:r w:rsidR="000514C9">
        <w:rPr>
          <w:rFonts w:ascii="Aptos" w:hAnsi="Aptos"/>
          <w:color w:val="000000" w:themeColor="text1"/>
        </w:rPr>
        <w:t xml:space="preserve"> </w:t>
      </w:r>
      <w:r w:rsidR="00F37E40">
        <w:rPr>
          <w:rFonts w:ascii="Aptos" w:hAnsi="Aptos"/>
          <w:color w:val="000000" w:themeColor="text1"/>
        </w:rPr>
        <w:t xml:space="preserve">parental </w:t>
      </w:r>
      <w:r w:rsidRPr="003479DA">
        <w:rPr>
          <w:rFonts w:ascii="Aptos" w:hAnsi="Aptos"/>
          <w:color w:val="000000" w:themeColor="text1"/>
        </w:rPr>
        <w:t>disputes</w:t>
      </w:r>
      <w:r w:rsidR="00280559">
        <w:rPr>
          <w:rFonts w:ascii="Aptos" w:hAnsi="Aptos"/>
          <w:color w:val="000000" w:themeColor="text1"/>
        </w:rPr>
        <w:t xml:space="preserve"> </w:t>
      </w:r>
      <w:r w:rsidRPr="003479DA">
        <w:rPr>
          <w:rFonts w:ascii="Aptos" w:hAnsi="Aptos"/>
          <w:color w:val="000000" w:themeColor="text1"/>
        </w:rPr>
        <w:t xml:space="preserve"> with educational agencies</w:t>
      </w:r>
      <w:r w:rsidR="00A0299C">
        <w:rPr>
          <w:rFonts w:ascii="Aptos" w:hAnsi="Aptos"/>
          <w:color w:val="000000" w:themeColor="text1"/>
        </w:rPr>
        <w:t xml:space="preserve"> (or in limited cases, the SEA</w:t>
      </w:r>
      <w:r w:rsidR="00AD4072">
        <w:rPr>
          <w:rStyle w:val="FootnoteReference"/>
          <w:rFonts w:ascii="Aptos" w:hAnsi="Aptos"/>
          <w:color w:val="000000" w:themeColor="text1"/>
        </w:rPr>
        <w:footnoteReference w:id="19"/>
      </w:r>
      <w:r w:rsidR="00A0299C">
        <w:rPr>
          <w:rFonts w:ascii="Aptos" w:hAnsi="Aptos"/>
          <w:color w:val="000000" w:themeColor="text1"/>
        </w:rPr>
        <w:t>)</w:t>
      </w:r>
      <w:r w:rsidRPr="003479DA">
        <w:rPr>
          <w:rFonts w:ascii="Aptos" w:hAnsi="Aptos"/>
          <w:color w:val="000000" w:themeColor="text1"/>
        </w:rPr>
        <w:t xml:space="preserve">, </w:t>
      </w:r>
      <w:r w:rsidR="006C08B4">
        <w:rPr>
          <w:rFonts w:ascii="Aptos" w:hAnsi="Aptos"/>
          <w:color w:val="000000" w:themeColor="text1"/>
        </w:rPr>
        <w:t xml:space="preserve">and designated state agencies, </w:t>
      </w:r>
      <w:r w:rsidRPr="003479DA">
        <w:rPr>
          <w:rFonts w:ascii="Aptos" w:hAnsi="Aptos"/>
          <w:color w:val="000000" w:themeColor="text1"/>
        </w:rPr>
        <w:t>not the adjudicatory body.</w:t>
      </w:r>
      <w:r w:rsidR="00393DA3" w:rsidRPr="00393DA3">
        <w:rPr>
          <w:rStyle w:val="FootnoteReference"/>
          <w:rFonts w:ascii="Aptos" w:hAnsi="Aptos"/>
          <w:color w:val="000000" w:themeColor="text1"/>
        </w:rPr>
        <w:t xml:space="preserve"> </w:t>
      </w:r>
      <w:r w:rsidR="00393DA3">
        <w:rPr>
          <w:rStyle w:val="FootnoteReference"/>
          <w:rFonts w:ascii="Aptos" w:hAnsi="Aptos"/>
          <w:color w:val="000000" w:themeColor="text1"/>
        </w:rPr>
        <w:footnoteReference w:id="20"/>
      </w:r>
      <w:r w:rsidR="00711C73">
        <w:rPr>
          <w:rFonts w:ascii="Aptos" w:hAnsi="Aptos"/>
          <w:color w:val="000000" w:themeColor="text1"/>
        </w:rPr>
        <w:t xml:space="preserve"> </w:t>
      </w:r>
      <w:r w:rsidR="00B84331">
        <w:rPr>
          <w:rFonts w:ascii="Aptos" w:hAnsi="Aptos"/>
          <w:color w:val="000000" w:themeColor="text1"/>
        </w:rPr>
        <w:t xml:space="preserve">In the instant matter, </w:t>
      </w:r>
      <w:r w:rsidRPr="003479DA">
        <w:rPr>
          <w:rFonts w:ascii="Aptos" w:hAnsi="Aptos"/>
          <w:color w:val="000000" w:themeColor="text1"/>
        </w:rPr>
        <w:t>Parents’ claim</w:t>
      </w:r>
      <w:r w:rsidR="00B84331">
        <w:rPr>
          <w:rFonts w:ascii="Aptos" w:hAnsi="Aptos"/>
          <w:color w:val="000000" w:themeColor="text1"/>
        </w:rPr>
        <w:t>s</w:t>
      </w:r>
      <w:r w:rsidRPr="003479DA">
        <w:rPr>
          <w:rFonts w:ascii="Aptos" w:hAnsi="Aptos"/>
          <w:color w:val="000000" w:themeColor="text1"/>
        </w:rPr>
        <w:t xml:space="preserve"> do not challenge a </w:t>
      </w:r>
      <w:r w:rsidR="00524C8A">
        <w:rPr>
          <w:rFonts w:ascii="Aptos" w:hAnsi="Aptos"/>
          <w:color w:val="000000" w:themeColor="text1"/>
        </w:rPr>
        <w:t xml:space="preserve">school district's </w:t>
      </w:r>
      <w:r w:rsidRPr="003479DA">
        <w:rPr>
          <w:rFonts w:ascii="Aptos" w:hAnsi="Aptos"/>
          <w:color w:val="000000" w:themeColor="text1"/>
        </w:rPr>
        <w:t>decision regarding identification, evaluation, placement, or FAPE</w:t>
      </w:r>
      <w:r w:rsidR="00393DA3">
        <w:rPr>
          <w:rFonts w:ascii="Aptos" w:hAnsi="Aptos"/>
          <w:color w:val="000000" w:themeColor="text1"/>
        </w:rPr>
        <w:t>;</w:t>
      </w:r>
      <w:r w:rsidRPr="003479DA">
        <w:rPr>
          <w:rFonts w:ascii="Aptos" w:hAnsi="Aptos"/>
          <w:color w:val="000000" w:themeColor="text1"/>
        </w:rPr>
        <w:t xml:space="preserve"> </w:t>
      </w:r>
      <w:r w:rsidR="00393DA3">
        <w:rPr>
          <w:rFonts w:ascii="Aptos" w:hAnsi="Aptos"/>
          <w:color w:val="000000" w:themeColor="text1"/>
        </w:rPr>
        <w:t>i</w:t>
      </w:r>
      <w:r w:rsidRPr="003479DA">
        <w:rPr>
          <w:rFonts w:ascii="Aptos" w:hAnsi="Aptos"/>
          <w:color w:val="000000" w:themeColor="text1"/>
        </w:rPr>
        <w:t xml:space="preserve">nstead, </w:t>
      </w:r>
      <w:r w:rsidR="00A0000B">
        <w:rPr>
          <w:rFonts w:ascii="Aptos" w:hAnsi="Aptos"/>
          <w:color w:val="000000" w:themeColor="text1"/>
        </w:rPr>
        <w:t>Parents</w:t>
      </w:r>
      <w:r w:rsidRPr="003479DA">
        <w:rPr>
          <w:rFonts w:ascii="Aptos" w:hAnsi="Aptos"/>
          <w:color w:val="000000" w:themeColor="text1"/>
        </w:rPr>
        <w:t xml:space="preserve"> challenge an alleged </w:t>
      </w:r>
      <w:r w:rsidR="00711C73">
        <w:rPr>
          <w:rFonts w:ascii="Aptos" w:hAnsi="Aptos"/>
          <w:color w:val="000000" w:themeColor="text1"/>
        </w:rPr>
        <w:t>BSEA</w:t>
      </w:r>
      <w:r w:rsidRPr="003479DA">
        <w:rPr>
          <w:rFonts w:ascii="Aptos" w:hAnsi="Aptos"/>
          <w:color w:val="000000" w:themeColor="text1"/>
        </w:rPr>
        <w:t xml:space="preserve"> </w:t>
      </w:r>
      <w:r w:rsidR="00711C73">
        <w:rPr>
          <w:rFonts w:ascii="Aptos" w:hAnsi="Aptos"/>
          <w:color w:val="000000" w:themeColor="text1"/>
        </w:rPr>
        <w:t>decision</w:t>
      </w:r>
      <w:r w:rsidRPr="003479DA">
        <w:rPr>
          <w:rFonts w:ascii="Aptos" w:hAnsi="Aptos"/>
          <w:color w:val="000000" w:themeColor="text1"/>
        </w:rPr>
        <w:t xml:space="preserve"> </w:t>
      </w:r>
      <w:r w:rsidR="00711C73">
        <w:rPr>
          <w:rFonts w:ascii="Aptos" w:hAnsi="Aptos"/>
          <w:color w:val="000000" w:themeColor="text1"/>
        </w:rPr>
        <w:t>on</w:t>
      </w:r>
      <w:r w:rsidRPr="003479DA">
        <w:rPr>
          <w:rFonts w:ascii="Aptos" w:hAnsi="Aptos"/>
          <w:color w:val="000000" w:themeColor="text1"/>
        </w:rPr>
        <w:t xml:space="preserve"> whether </w:t>
      </w:r>
      <w:r w:rsidR="00A0000B">
        <w:rPr>
          <w:rFonts w:ascii="Aptos" w:hAnsi="Aptos"/>
          <w:color w:val="000000" w:themeColor="text1"/>
        </w:rPr>
        <w:t>the BSEA</w:t>
      </w:r>
      <w:r w:rsidRPr="003479DA">
        <w:rPr>
          <w:rFonts w:ascii="Aptos" w:hAnsi="Aptos"/>
          <w:color w:val="000000" w:themeColor="text1"/>
        </w:rPr>
        <w:t xml:space="preserve"> will hear a dispute. Such a claim falls outside the scope of matters </w:t>
      </w:r>
      <w:r w:rsidR="00524C8A">
        <w:rPr>
          <w:rFonts w:ascii="Aptos" w:hAnsi="Aptos"/>
          <w:color w:val="000000" w:themeColor="text1"/>
        </w:rPr>
        <w:t>within</w:t>
      </w:r>
      <w:r w:rsidR="00511DA1">
        <w:rPr>
          <w:rFonts w:ascii="Aptos" w:hAnsi="Aptos"/>
          <w:color w:val="000000" w:themeColor="text1"/>
        </w:rPr>
        <w:t xml:space="preserve"> the</w:t>
      </w:r>
      <w:r w:rsidR="00511DA1" w:rsidRPr="001840BD">
        <w:rPr>
          <w:rFonts w:ascii="Aptos" w:hAnsi="Aptos"/>
          <w:color w:val="000000" w:themeColor="text1"/>
        </w:rPr>
        <w:t xml:space="preserve"> BSEA</w:t>
      </w:r>
      <w:r w:rsidR="00524C8A">
        <w:rPr>
          <w:rFonts w:ascii="Aptos" w:hAnsi="Aptos"/>
          <w:color w:val="000000" w:themeColor="text1"/>
        </w:rPr>
        <w:t>’</w:t>
      </w:r>
      <w:r w:rsidR="00511DA1" w:rsidRPr="001840BD">
        <w:rPr>
          <w:rFonts w:ascii="Aptos" w:hAnsi="Aptos"/>
          <w:color w:val="000000" w:themeColor="text1"/>
        </w:rPr>
        <w:t>s jurisdiction</w:t>
      </w:r>
      <w:r w:rsidR="00511DA1">
        <w:rPr>
          <w:rFonts w:ascii="Aptos" w:hAnsi="Aptos"/>
          <w:color w:val="000000" w:themeColor="text1"/>
        </w:rPr>
        <w:t>.</w:t>
      </w:r>
      <w:r w:rsidR="00511DA1">
        <w:rPr>
          <w:rStyle w:val="FootnoteReference"/>
          <w:rFonts w:ascii="Aptos" w:hAnsi="Aptos"/>
          <w:color w:val="000000" w:themeColor="text1"/>
        </w:rPr>
        <w:footnoteReference w:id="21"/>
      </w:r>
      <w:r w:rsidR="00076B8E">
        <w:rPr>
          <w:rFonts w:ascii="Aptos" w:hAnsi="Aptos"/>
          <w:color w:val="000000" w:themeColor="text1"/>
        </w:rPr>
        <w:t xml:space="preserve"> </w:t>
      </w:r>
      <w:r w:rsidR="00624521">
        <w:rPr>
          <w:rFonts w:ascii="Aptos" w:hAnsi="Aptos"/>
          <w:color w:val="000000" w:themeColor="text1"/>
        </w:rPr>
        <w:t xml:space="preserve"> </w:t>
      </w:r>
      <w:r w:rsidR="000E7DE5">
        <w:rPr>
          <w:rFonts w:ascii="Aptos" w:hAnsi="Aptos"/>
          <w:color w:val="000000" w:themeColor="text1"/>
        </w:rPr>
        <w:t>N</w:t>
      </w:r>
      <w:r w:rsidR="000E7DE5" w:rsidRPr="003479DA">
        <w:rPr>
          <w:rFonts w:ascii="Aptos" w:hAnsi="Aptos"/>
          <w:color w:val="000000" w:themeColor="text1"/>
        </w:rPr>
        <w:t>othing in the IDEA or Massachusetts special education regulations authorizes the BSEA to adjudicate claims against itsel</w:t>
      </w:r>
      <w:r w:rsidR="000E7DE5">
        <w:rPr>
          <w:rFonts w:ascii="Aptos" w:hAnsi="Aptos"/>
          <w:color w:val="000000" w:themeColor="text1"/>
        </w:rPr>
        <w:t xml:space="preserve">f. </w:t>
      </w:r>
      <w:r w:rsidR="00524C8A">
        <w:rPr>
          <w:rFonts w:ascii="Aptos" w:hAnsi="Aptos"/>
          <w:color w:val="000000" w:themeColor="text1"/>
        </w:rPr>
        <w:t>In fact, a</w:t>
      </w:r>
      <w:r w:rsidR="000E7DE5" w:rsidRPr="003479DA">
        <w:rPr>
          <w:rFonts w:ascii="Aptos" w:hAnsi="Aptos"/>
          <w:color w:val="000000" w:themeColor="text1"/>
        </w:rPr>
        <w:t xml:space="preserve">llowing such a claim would create an untenable structure in which the </w:t>
      </w:r>
      <w:r w:rsidR="000E7DE5">
        <w:rPr>
          <w:rFonts w:ascii="Aptos" w:hAnsi="Aptos"/>
          <w:color w:val="000000" w:themeColor="text1"/>
        </w:rPr>
        <w:t>BSEA</w:t>
      </w:r>
      <w:r w:rsidR="000E7DE5" w:rsidRPr="003479DA">
        <w:rPr>
          <w:rFonts w:ascii="Aptos" w:hAnsi="Aptos"/>
          <w:color w:val="000000" w:themeColor="text1"/>
        </w:rPr>
        <w:t xml:space="preserve"> </w:t>
      </w:r>
      <w:r w:rsidR="00524C8A">
        <w:rPr>
          <w:rFonts w:ascii="Aptos" w:hAnsi="Aptos"/>
          <w:color w:val="000000" w:themeColor="text1"/>
        </w:rPr>
        <w:t>would</w:t>
      </w:r>
      <w:r w:rsidR="000E7DE5" w:rsidRPr="003479DA">
        <w:rPr>
          <w:rFonts w:ascii="Aptos" w:hAnsi="Aptos"/>
          <w:color w:val="000000" w:themeColor="text1"/>
        </w:rPr>
        <w:t xml:space="preserve"> simultaneously</w:t>
      </w:r>
      <w:r w:rsidR="000E7DE5">
        <w:rPr>
          <w:rFonts w:ascii="Aptos" w:hAnsi="Aptos"/>
          <w:color w:val="000000" w:themeColor="text1"/>
        </w:rPr>
        <w:t xml:space="preserve"> </w:t>
      </w:r>
      <w:r w:rsidR="00524C8A">
        <w:rPr>
          <w:rFonts w:ascii="Aptos" w:hAnsi="Aptos"/>
          <w:color w:val="000000" w:themeColor="text1"/>
        </w:rPr>
        <w:t xml:space="preserve">serve as </w:t>
      </w:r>
      <w:r w:rsidR="000E7DE5" w:rsidRPr="003479DA">
        <w:rPr>
          <w:rFonts w:ascii="Aptos" w:hAnsi="Aptos"/>
          <w:color w:val="000000" w:themeColor="text1"/>
        </w:rPr>
        <w:t>the respondent</w:t>
      </w:r>
      <w:r w:rsidR="00E56895">
        <w:rPr>
          <w:rFonts w:ascii="Aptos" w:hAnsi="Aptos"/>
          <w:color w:val="000000" w:themeColor="text1"/>
        </w:rPr>
        <w:t xml:space="preserve"> and</w:t>
      </w:r>
      <w:r w:rsidR="000E7DE5">
        <w:rPr>
          <w:rFonts w:ascii="Aptos" w:hAnsi="Aptos"/>
          <w:color w:val="000000" w:themeColor="text1"/>
        </w:rPr>
        <w:t xml:space="preserve"> </w:t>
      </w:r>
      <w:r w:rsidR="000E7DE5" w:rsidRPr="003479DA">
        <w:rPr>
          <w:rFonts w:ascii="Aptos" w:hAnsi="Aptos"/>
          <w:color w:val="000000" w:themeColor="text1"/>
        </w:rPr>
        <w:t xml:space="preserve">the </w:t>
      </w:r>
      <w:r w:rsidR="000E7DE5" w:rsidRPr="005B3320">
        <w:rPr>
          <w:rFonts w:ascii="Aptos" w:hAnsi="Aptos"/>
          <w:color w:val="000000" w:themeColor="text1"/>
        </w:rPr>
        <w:t>decision-maker</w:t>
      </w:r>
      <w:r w:rsidR="00E56895">
        <w:rPr>
          <w:rFonts w:ascii="Aptos" w:hAnsi="Aptos"/>
          <w:color w:val="000000" w:themeColor="text1"/>
        </w:rPr>
        <w:t xml:space="preserve"> </w:t>
      </w:r>
      <w:r w:rsidR="000E7DE5" w:rsidRPr="003479DA">
        <w:rPr>
          <w:rFonts w:ascii="Aptos" w:hAnsi="Aptos"/>
          <w:color w:val="000000" w:themeColor="text1"/>
        </w:rPr>
        <w:t>over its own alleged misconduct.</w:t>
      </w:r>
      <w:r w:rsidR="000E7DE5">
        <w:rPr>
          <w:rFonts w:ascii="Aptos" w:hAnsi="Aptos"/>
          <w:color w:val="000000" w:themeColor="text1"/>
        </w:rPr>
        <w:t xml:space="preserve"> </w:t>
      </w:r>
      <w:r w:rsidR="00076B8E" w:rsidRPr="003479DA">
        <w:rPr>
          <w:rFonts w:ascii="Aptos" w:hAnsi="Aptos"/>
          <w:color w:val="000000" w:themeColor="text1"/>
        </w:rPr>
        <w:t>The proper avenue to challenge BSEA action or inaction is judicial review.</w:t>
      </w:r>
      <w:r w:rsidR="00076B8E">
        <w:rPr>
          <w:rFonts w:ascii="Aptos" w:hAnsi="Aptos"/>
          <w:color w:val="000000" w:themeColor="text1"/>
        </w:rPr>
        <w:t xml:space="preserve"> </w:t>
      </w:r>
      <w:r w:rsidR="00076B8E" w:rsidRPr="003479DA">
        <w:rPr>
          <w:rFonts w:ascii="Aptos" w:hAnsi="Aptos"/>
          <w:color w:val="000000" w:themeColor="text1"/>
        </w:rPr>
        <w:t>If Parents believe the BSEA improperly declined to exercise jurisdiction over a dispute, the appropriate remedy is to seek review in</w:t>
      </w:r>
      <w:r w:rsidR="001F0AEF">
        <w:rPr>
          <w:rFonts w:ascii="Aptos" w:hAnsi="Aptos"/>
          <w:color w:val="000000" w:themeColor="text1"/>
        </w:rPr>
        <w:t xml:space="preserve"> a</w:t>
      </w:r>
      <w:r w:rsidR="00076B8E" w:rsidRPr="003479DA">
        <w:rPr>
          <w:rFonts w:ascii="Aptos" w:hAnsi="Aptos"/>
          <w:color w:val="000000" w:themeColor="text1"/>
        </w:rPr>
        <w:t xml:space="preserve"> court</w:t>
      </w:r>
      <w:r w:rsidR="001F0AEF">
        <w:rPr>
          <w:rFonts w:ascii="Aptos" w:hAnsi="Aptos"/>
          <w:color w:val="000000" w:themeColor="text1"/>
        </w:rPr>
        <w:t xml:space="preserve"> of competent jurisdiction </w:t>
      </w:r>
      <w:r w:rsidR="00076B8E" w:rsidRPr="003479DA">
        <w:rPr>
          <w:rFonts w:ascii="Aptos" w:hAnsi="Aptos"/>
          <w:color w:val="000000" w:themeColor="text1"/>
        </w:rPr>
        <w:t>rather than filing a due process complaint naming the BSEA as the respondent.</w:t>
      </w:r>
      <w:r w:rsidR="00076B8E">
        <w:rPr>
          <w:rStyle w:val="FootnoteReference"/>
          <w:rFonts w:ascii="Aptos" w:hAnsi="Aptos"/>
          <w:color w:val="000000" w:themeColor="text1"/>
        </w:rPr>
        <w:footnoteReference w:id="22"/>
      </w:r>
      <w:r w:rsidR="00076B8E" w:rsidRPr="003479DA">
        <w:rPr>
          <w:rFonts w:ascii="Aptos" w:hAnsi="Aptos"/>
          <w:color w:val="000000" w:themeColor="text1"/>
        </w:rPr>
        <w:t xml:space="preserve"> </w:t>
      </w:r>
      <w:r w:rsidR="00076B8E">
        <w:rPr>
          <w:rFonts w:ascii="Aptos" w:hAnsi="Aptos"/>
          <w:color w:val="000000" w:themeColor="text1"/>
        </w:rPr>
        <w:t xml:space="preserve"> </w:t>
      </w:r>
    </w:p>
    <w:p w14:paraId="3EE8F748" w14:textId="77777777" w:rsidR="00491E69" w:rsidRDefault="00491E69" w:rsidP="00076B8E">
      <w:pPr>
        <w:rPr>
          <w:rFonts w:ascii="Aptos" w:hAnsi="Aptos"/>
          <w:color w:val="000000" w:themeColor="text1"/>
        </w:rPr>
      </w:pPr>
    </w:p>
    <w:p w14:paraId="21378EB3" w14:textId="024E8EE3" w:rsidR="00491E69" w:rsidRPr="003479DA" w:rsidRDefault="00491E69" w:rsidP="00491E69">
      <w:pPr>
        <w:rPr>
          <w:rFonts w:ascii="Aptos" w:hAnsi="Aptos"/>
          <w:color w:val="000000" w:themeColor="text1"/>
        </w:rPr>
      </w:pPr>
      <w:r w:rsidRPr="00491E69">
        <w:rPr>
          <w:rFonts w:ascii="Aptos" w:hAnsi="Aptos"/>
          <w:color w:val="000000" w:themeColor="text1"/>
        </w:rPr>
        <w:t xml:space="preserve">Even assuming the factual allegations in the Hearing Request to be true, Parents cannot prevail on the claims asserted against the BSEA </w:t>
      </w:r>
      <w:r>
        <w:rPr>
          <w:rFonts w:ascii="Aptos" w:hAnsi="Aptos"/>
          <w:color w:val="000000" w:themeColor="text1"/>
        </w:rPr>
        <w:t xml:space="preserve">as the BSEA </w:t>
      </w:r>
      <w:r w:rsidRPr="00491E69">
        <w:rPr>
          <w:rFonts w:ascii="Aptos" w:hAnsi="Aptos"/>
          <w:color w:val="000000" w:themeColor="text1"/>
        </w:rPr>
        <w:t xml:space="preserve">lacks statutory authority to adjudicate a due process complaint filed against itself. This jurisdictional limitation is inherent in the structure of the administrative hearing system established under the </w:t>
      </w:r>
      <w:r w:rsidR="00DF7D2C">
        <w:rPr>
          <w:rFonts w:ascii="Aptos" w:hAnsi="Aptos"/>
          <w:color w:val="000000" w:themeColor="text1"/>
        </w:rPr>
        <w:t xml:space="preserve">IDEA </w:t>
      </w:r>
      <w:r w:rsidRPr="00491E69">
        <w:rPr>
          <w:rFonts w:ascii="Aptos" w:hAnsi="Aptos"/>
          <w:color w:val="000000" w:themeColor="text1"/>
        </w:rPr>
        <w:t>and applicable state regulations.</w:t>
      </w:r>
      <w:r w:rsidR="005F63D2">
        <w:rPr>
          <w:rFonts w:ascii="Aptos" w:hAnsi="Aptos"/>
          <w:color w:val="000000" w:themeColor="text1"/>
        </w:rPr>
        <w:t xml:space="preserve"> </w:t>
      </w:r>
      <w:r w:rsidRPr="00491E69">
        <w:rPr>
          <w:rFonts w:ascii="Aptos" w:hAnsi="Aptos"/>
          <w:color w:val="000000" w:themeColor="text1"/>
        </w:rPr>
        <w:t>Moreover, the defect is not one that could be remedied through amendment. Even if Parents were permitted to amend the Hearing Request, the BSEA could not assume the dual role of both respondent and adjudicator in the same proceeding. Accordingly, dismissal of the Hearing Request is warranted.</w:t>
      </w:r>
    </w:p>
    <w:p w14:paraId="3CC38C9A" w14:textId="77777777" w:rsidR="001840BD" w:rsidRPr="001840BD" w:rsidRDefault="001840BD" w:rsidP="001840BD">
      <w:pPr>
        <w:rPr>
          <w:rFonts w:ascii="Aptos" w:hAnsi="Aptos"/>
          <w:color w:val="000000" w:themeColor="text1"/>
        </w:rPr>
      </w:pPr>
    </w:p>
    <w:p w14:paraId="34F5D5EC" w14:textId="77777777" w:rsidR="001840BD" w:rsidRPr="00E32677" w:rsidRDefault="001840BD" w:rsidP="001840BD">
      <w:pPr>
        <w:rPr>
          <w:rFonts w:ascii="Aptos" w:hAnsi="Aptos"/>
          <w:b/>
          <w:bCs/>
          <w:color w:val="000000" w:themeColor="text1"/>
        </w:rPr>
      </w:pPr>
      <w:r w:rsidRPr="00E32677">
        <w:rPr>
          <w:rFonts w:ascii="Aptos" w:hAnsi="Aptos"/>
          <w:b/>
          <w:bCs/>
          <w:color w:val="000000" w:themeColor="text1"/>
        </w:rPr>
        <w:t>ORDER</w:t>
      </w:r>
    </w:p>
    <w:p w14:paraId="561CA0BD" w14:textId="77777777" w:rsidR="001840BD" w:rsidRPr="001840BD" w:rsidRDefault="001840BD" w:rsidP="001840BD">
      <w:pPr>
        <w:rPr>
          <w:rFonts w:ascii="Aptos" w:hAnsi="Aptos"/>
          <w:color w:val="000000" w:themeColor="text1"/>
        </w:rPr>
      </w:pPr>
    </w:p>
    <w:p w14:paraId="234F62FB" w14:textId="5DD46373" w:rsidR="001840BD" w:rsidRPr="001840BD" w:rsidRDefault="001840BD" w:rsidP="001840BD">
      <w:pPr>
        <w:rPr>
          <w:rFonts w:ascii="Aptos" w:hAnsi="Aptos"/>
          <w:color w:val="000000" w:themeColor="text1"/>
        </w:rPr>
      </w:pPr>
    </w:p>
    <w:p w14:paraId="3794F560" w14:textId="77777777" w:rsidR="001840BD" w:rsidRPr="001840BD" w:rsidRDefault="001840BD" w:rsidP="001840BD">
      <w:pPr>
        <w:rPr>
          <w:rFonts w:ascii="Aptos" w:hAnsi="Aptos"/>
          <w:color w:val="000000" w:themeColor="text1"/>
        </w:rPr>
      </w:pPr>
    </w:p>
    <w:p w14:paraId="68963492" w14:textId="7E76209E" w:rsidR="001840BD" w:rsidRPr="001840BD" w:rsidRDefault="00357E93" w:rsidP="001840BD">
      <w:pPr>
        <w:rPr>
          <w:rFonts w:ascii="Aptos" w:hAnsi="Aptos"/>
          <w:color w:val="000000" w:themeColor="text1"/>
        </w:rPr>
      </w:pPr>
      <w:r>
        <w:rPr>
          <w:rFonts w:ascii="Aptos" w:hAnsi="Aptos"/>
          <w:color w:val="000000" w:themeColor="text1"/>
        </w:rPr>
        <w:lastRenderedPageBreak/>
        <w:t>If Parents</w:t>
      </w:r>
      <w:r w:rsidR="001840BD" w:rsidRPr="001840BD">
        <w:rPr>
          <w:rFonts w:ascii="Aptos" w:hAnsi="Aptos"/>
          <w:color w:val="000000" w:themeColor="text1"/>
        </w:rPr>
        <w:t xml:space="preserve"> wish to file a written objection to this Ruling, to preserve such objection</w:t>
      </w:r>
      <w:r>
        <w:rPr>
          <w:rFonts w:ascii="Aptos" w:hAnsi="Aptos"/>
          <w:color w:val="000000" w:themeColor="text1"/>
        </w:rPr>
        <w:t xml:space="preserve"> </w:t>
      </w:r>
      <w:r w:rsidR="001840BD" w:rsidRPr="001840BD">
        <w:rPr>
          <w:rFonts w:ascii="Aptos" w:hAnsi="Aptos"/>
          <w:color w:val="000000" w:themeColor="text1"/>
        </w:rPr>
        <w:t xml:space="preserve">for the record, </w:t>
      </w:r>
      <w:r>
        <w:rPr>
          <w:rFonts w:ascii="Aptos" w:hAnsi="Aptos"/>
          <w:color w:val="000000" w:themeColor="text1"/>
        </w:rPr>
        <w:t xml:space="preserve">they </w:t>
      </w:r>
      <w:r w:rsidR="001840BD" w:rsidRPr="001840BD">
        <w:rPr>
          <w:rFonts w:ascii="Aptos" w:hAnsi="Aptos"/>
          <w:color w:val="000000" w:themeColor="text1"/>
        </w:rPr>
        <w:t xml:space="preserve">may also do so on or before </w:t>
      </w:r>
      <w:r>
        <w:rPr>
          <w:rFonts w:ascii="Aptos" w:hAnsi="Aptos"/>
          <w:color w:val="000000" w:themeColor="text1"/>
        </w:rPr>
        <w:t>10:00</w:t>
      </w:r>
      <w:r w:rsidR="00857187">
        <w:rPr>
          <w:rFonts w:ascii="Aptos" w:hAnsi="Aptos"/>
          <w:color w:val="000000" w:themeColor="text1"/>
        </w:rPr>
        <w:t xml:space="preserve"> </w:t>
      </w:r>
      <w:r>
        <w:rPr>
          <w:rFonts w:ascii="Aptos" w:hAnsi="Aptos"/>
          <w:color w:val="000000" w:themeColor="text1"/>
        </w:rPr>
        <w:t>AM on March 18, 2026</w:t>
      </w:r>
      <w:r w:rsidR="001840BD" w:rsidRPr="001840BD">
        <w:rPr>
          <w:rFonts w:ascii="Aptos" w:hAnsi="Aptos"/>
          <w:color w:val="000000" w:themeColor="text1"/>
        </w:rPr>
        <w:t>.</w:t>
      </w:r>
      <w:r w:rsidR="00921CC4">
        <w:rPr>
          <w:rFonts w:ascii="Aptos" w:hAnsi="Aptos"/>
          <w:color w:val="000000" w:themeColor="text1"/>
        </w:rPr>
        <w:t xml:space="preserve"> </w:t>
      </w:r>
      <w:r w:rsidR="00EA32E8">
        <w:rPr>
          <w:rFonts w:ascii="Aptos" w:hAnsi="Aptos"/>
          <w:color w:val="000000" w:themeColor="text1"/>
        </w:rPr>
        <w:t xml:space="preserve"> </w:t>
      </w:r>
    </w:p>
    <w:p w14:paraId="656BB6EE" w14:textId="77777777" w:rsidR="001840BD" w:rsidRPr="001840BD" w:rsidRDefault="001840BD" w:rsidP="001840BD">
      <w:pPr>
        <w:rPr>
          <w:rFonts w:ascii="Aptos" w:hAnsi="Aptos"/>
          <w:color w:val="000000" w:themeColor="text1"/>
        </w:rPr>
      </w:pPr>
    </w:p>
    <w:p w14:paraId="7C9430FC" w14:textId="51E7F289" w:rsidR="004E5432" w:rsidRDefault="00357E93" w:rsidP="00385D28">
      <w:pPr>
        <w:rPr>
          <w:rFonts w:ascii="Aptos" w:hAnsi="Aptos"/>
          <w:color w:val="000000" w:themeColor="text1"/>
        </w:rPr>
      </w:pPr>
      <w:r>
        <w:rPr>
          <w:rFonts w:ascii="Aptos" w:hAnsi="Aptos"/>
          <w:color w:val="000000" w:themeColor="text1"/>
        </w:rPr>
        <w:t>This matter will be dismissed with prejudice</w:t>
      </w:r>
      <w:r w:rsidR="00857187">
        <w:rPr>
          <w:rFonts w:ascii="Aptos" w:hAnsi="Aptos"/>
          <w:color w:val="000000" w:themeColor="text1"/>
        </w:rPr>
        <w:t xml:space="preserve"> at 11:00 AM March 18, 2026</w:t>
      </w:r>
      <w:r w:rsidR="001840BD" w:rsidRPr="001840BD">
        <w:rPr>
          <w:rFonts w:ascii="Aptos" w:hAnsi="Aptos"/>
          <w:color w:val="000000" w:themeColor="text1"/>
        </w:rPr>
        <w:t>.</w:t>
      </w:r>
      <w:r w:rsidR="005A7386">
        <w:rPr>
          <w:rFonts w:ascii="Aptos" w:hAnsi="Aptos"/>
          <w:color w:val="000000" w:themeColor="text1"/>
        </w:rPr>
        <w:t xml:space="preserve"> </w:t>
      </w:r>
    </w:p>
    <w:p w14:paraId="0CC664F7" w14:textId="0F6A2579" w:rsidR="004E5432" w:rsidRPr="001B3770" w:rsidRDefault="005A7386" w:rsidP="00D6127B">
      <w:pPr>
        <w:pStyle w:val="Default"/>
        <w:rPr>
          <w:rFonts w:ascii="Aptos" w:hAnsi="Aptos"/>
          <w:bCs/>
          <w:color w:val="000000" w:themeColor="text1"/>
        </w:rPr>
      </w:pPr>
      <w:r>
        <w:rPr>
          <w:rFonts w:ascii="Aptos" w:hAnsi="Aptos"/>
          <w:bCs/>
          <w:color w:val="000000" w:themeColor="text1"/>
        </w:rPr>
        <w:t xml:space="preserve"> </w:t>
      </w:r>
    </w:p>
    <w:p w14:paraId="7C02FE19" w14:textId="42359EFB"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By the Hearing Officer:</w:t>
      </w:r>
    </w:p>
    <w:p w14:paraId="19DB0E34" w14:textId="77777777" w:rsidR="004E5432" w:rsidRPr="001B3770" w:rsidRDefault="004E5432" w:rsidP="00D6127B">
      <w:pPr>
        <w:shd w:val="clear" w:color="auto" w:fill="FFFFFF"/>
        <w:rPr>
          <w:rFonts w:ascii="Aptos" w:hAnsi="Aptos"/>
          <w:color w:val="000000" w:themeColor="text1"/>
          <w:u w:val="single"/>
        </w:rPr>
      </w:pPr>
      <w:r w:rsidRPr="001B3770">
        <w:rPr>
          <w:rFonts w:ascii="Aptos" w:hAnsi="Aptos"/>
          <w:color w:val="000000" w:themeColor="text1"/>
          <w:u w:val="single"/>
        </w:rPr>
        <w:t xml:space="preserve">/s/ </w:t>
      </w:r>
      <w:r w:rsidRPr="00176F39">
        <w:rPr>
          <w:rFonts w:ascii="Brush Script MT" w:hAnsi="Brush Script MT"/>
          <w:color w:val="000000" w:themeColor="text1"/>
          <w:sz w:val="32"/>
          <w:szCs w:val="32"/>
          <w:u w:val="single"/>
        </w:rPr>
        <w:t>Alina Kantor Nir</w:t>
      </w:r>
      <w:r w:rsidRPr="001B3770">
        <w:rPr>
          <w:rFonts w:ascii="Aptos" w:hAnsi="Aptos"/>
          <w:color w:val="000000" w:themeColor="text1"/>
          <w:u w:val="single"/>
        </w:rPr>
        <w:t> </w:t>
      </w:r>
    </w:p>
    <w:p w14:paraId="005FC7FE" w14:textId="6D42070F"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Alina Kantor Nir</w:t>
      </w:r>
      <w:r w:rsidRPr="001B3770">
        <w:rPr>
          <w:rFonts w:ascii="Aptos" w:hAnsi="Aptos"/>
          <w:color w:val="000000" w:themeColor="text1"/>
        </w:rPr>
        <w:br/>
        <w:t xml:space="preserve">Dated: </w:t>
      </w:r>
      <w:r w:rsidR="00372323" w:rsidRPr="001B3770">
        <w:rPr>
          <w:rFonts w:ascii="Aptos" w:hAnsi="Aptos"/>
          <w:color w:val="000000" w:themeColor="text1"/>
        </w:rPr>
        <w:t xml:space="preserve"> </w:t>
      </w:r>
      <w:r w:rsidR="00857187">
        <w:rPr>
          <w:rFonts w:ascii="Aptos" w:hAnsi="Aptos"/>
          <w:color w:val="000000" w:themeColor="text1"/>
        </w:rPr>
        <w:t>March</w:t>
      </w:r>
      <w:r w:rsidR="00AA602F" w:rsidRPr="001B3770">
        <w:rPr>
          <w:rFonts w:ascii="Aptos" w:hAnsi="Aptos"/>
          <w:color w:val="000000" w:themeColor="text1"/>
        </w:rPr>
        <w:t xml:space="preserve"> </w:t>
      </w:r>
      <w:r w:rsidR="009B1154" w:rsidRPr="001B3770">
        <w:rPr>
          <w:rFonts w:ascii="Aptos" w:hAnsi="Aptos"/>
          <w:color w:val="000000" w:themeColor="text1"/>
        </w:rPr>
        <w:t>1</w:t>
      </w:r>
      <w:r w:rsidR="00901419">
        <w:rPr>
          <w:rFonts w:ascii="Aptos" w:hAnsi="Aptos"/>
          <w:color w:val="000000" w:themeColor="text1"/>
        </w:rPr>
        <w:t>6</w:t>
      </w:r>
      <w:r w:rsidR="009922AD" w:rsidRPr="001B3770">
        <w:rPr>
          <w:rFonts w:ascii="Aptos" w:hAnsi="Aptos"/>
          <w:color w:val="000000" w:themeColor="text1"/>
        </w:rPr>
        <w:t>, 2026</w:t>
      </w:r>
    </w:p>
    <w:p w14:paraId="6034F190" w14:textId="6A241034" w:rsidR="009F40AC" w:rsidRPr="001B3770" w:rsidRDefault="009F40AC" w:rsidP="00D6127B">
      <w:pPr>
        <w:rPr>
          <w:rFonts w:ascii="Aptos" w:hAnsi="Aptos"/>
          <w:color w:val="000000" w:themeColor="text1"/>
        </w:rPr>
      </w:pPr>
      <w:r w:rsidRPr="001B3770">
        <w:rPr>
          <w:rFonts w:ascii="Aptos" w:hAnsi="Aptos"/>
          <w:color w:val="000000" w:themeColor="text1"/>
        </w:rPr>
        <w:br w:type="page"/>
      </w:r>
    </w:p>
    <w:p w14:paraId="286ABF0A"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lastRenderedPageBreak/>
        <w:t>COMMONWEALTH OF MASSACHUSETTS</w:t>
      </w:r>
    </w:p>
    <w:p w14:paraId="222FA552"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t>BUREAU OF SPECIAL EDUCATION APPEALS</w:t>
      </w:r>
    </w:p>
    <w:p w14:paraId="18E60798" w14:textId="77777777" w:rsidR="009F40AC" w:rsidRPr="001B3770" w:rsidRDefault="009F40AC" w:rsidP="00D6127B">
      <w:pPr>
        <w:shd w:val="clear" w:color="auto" w:fill="FFFFFF"/>
        <w:jc w:val="center"/>
        <w:rPr>
          <w:rFonts w:ascii="Aptos" w:hAnsi="Aptos"/>
          <w:b/>
          <w:bCs/>
          <w:color w:val="000000" w:themeColor="text1"/>
          <w:u w:val="single"/>
        </w:rPr>
      </w:pPr>
      <w:r w:rsidRPr="001B3770">
        <w:rPr>
          <w:rFonts w:ascii="Aptos" w:hAnsi="Aptos"/>
          <w:b/>
          <w:bCs/>
          <w:color w:val="000000" w:themeColor="text1"/>
          <w:u w:val="single"/>
        </w:rPr>
        <w:t>EFFECT OF FINAL BSEA ACTIONS AND RIGHTS OF APPEAL</w:t>
      </w:r>
    </w:p>
    <w:p w14:paraId="4BBE0CAA" w14:textId="77777777" w:rsidR="009F40AC" w:rsidRPr="001B3770" w:rsidRDefault="009F40AC" w:rsidP="00D6127B">
      <w:pPr>
        <w:shd w:val="clear" w:color="auto" w:fill="FFFFFF"/>
        <w:rPr>
          <w:rFonts w:ascii="Aptos" w:hAnsi="Aptos"/>
          <w:b/>
          <w:bCs/>
          <w:color w:val="000000" w:themeColor="text1"/>
        </w:rPr>
      </w:pPr>
    </w:p>
    <w:p w14:paraId="54F8A34F"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Effect of BSEA Decision, Dismissal with Prejudice and Allowance of Motion for Summary Judgment</w:t>
      </w:r>
    </w:p>
    <w:p w14:paraId="619DE77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758B25B" w14:textId="77777777" w:rsidR="0062077C" w:rsidRDefault="0062077C" w:rsidP="00D6127B">
      <w:pPr>
        <w:shd w:val="clear" w:color="auto" w:fill="FFFFFF"/>
        <w:rPr>
          <w:rFonts w:ascii="Aptos" w:hAnsi="Aptos"/>
          <w:color w:val="000000" w:themeColor="text1"/>
        </w:rPr>
      </w:pPr>
    </w:p>
    <w:p w14:paraId="01C58AF0" w14:textId="2C648540"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3AB05FCD" w14:textId="77777777" w:rsidR="0062077C" w:rsidRDefault="0062077C" w:rsidP="00D6127B">
      <w:pPr>
        <w:shd w:val="clear" w:color="auto" w:fill="FFFFFF"/>
        <w:rPr>
          <w:rFonts w:ascii="Aptos" w:hAnsi="Aptos"/>
          <w:color w:val="000000" w:themeColor="text1"/>
        </w:rPr>
      </w:pPr>
    </w:p>
    <w:p w14:paraId="126FD056" w14:textId="446D9315"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2149ACA" w14:textId="77777777" w:rsidR="0062077C" w:rsidRDefault="0062077C" w:rsidP="00D6127B">
      <w:pPr>
        <w:shd w:val="clear" w:color="auto" w:fill="FFFFFF"/>
        <w:rPr>
          <w:rFonts w:ascii="Aptos" w:hAnsi="Aptos"/>
          <w:color w:val="000000" w:themeColor="text1"/>
        </w:rPr>
      </w:pPr>
    </w:p>
    <w:p w14:paraId="66984118" w14:textId="1F71213B"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8FF87AA" w14:textId="77777777" w:rsidR="0062077C" w:rsidRDefault="0062077C" w:rsidP="00D6127B">
      <w:pPr>
        <w:shd w:val="clear" w:color="auto" w:fill="FFFFFF"/>
        <w:rPr>
          <w:rFonts w:ascii="Aptos" w:hAnsi="Aptos"/>
          <w:color w:val="000000" w:themeColor="text1"/>
        </w:rPr>
      </w:pPr>
    </w:p>
    <w:p w14:paraId="7A061BFE" w14:textId="0141810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1B3770">
        <w:rPr>
          <w:rFonts w:ascii="Aptos" w:hAnsi="Aptos"/>
          <w:i/>
          <w:iCs/>
          <w:color w:val="000000" w:themeColor="text1"/>
        </w:rPr>
        <w:t>School Committee of Burlington v. Massachusetts Department of Education</w:t>
      </w:r>
      <w:r w:rsidRPr="001B3770">
        <w:rPr>
          <w:rFonts w:ascii="Aptos" w:hAnsi="Apto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B3770">
        <w:rPr>
          <w:rFonts w:ascii="Aptos" w:hAnsi="Aptos"/>
          <w:i/>
          <w:iCs/>
          <w:color w:val="000000" w:themeColor="text1"/>
        </w:rPr>
        <w:t>Honig v. Doe</w:t>
      </w:r>
      <w:r w:rsidRPr="001B3770">
        <w:rPr>
          <w:rFonts w:ascii="Aptos" w:hAnsi="Aptos"/>
          <w:color w:val="000000" w:themeColor="text1"/>
        </w:rPr>
        <w:t xml:space="preserve">, 484 U.S. 305 (1988); </w:t>
      </w:r>
      <w:r w:rsidRPr="001B3770">
        <w:rPr>
          <w:rFonts w:ascii="Aptos" w:hAnsi="Aptos"/>
          <w:i/>
          <w:iCs/>
          <w:color w:val="000000" w:themeColor="text1"/>
        </w:rPr>
        <w:t>Doe v. Brookline</w:t>
      </w:r>
      <w:r w:rsidRPr="001B3770">
        <w:rPr>
          <w:rFonts w:ascii="Aptos" w:hAnsi="Aptos"/>
          <w:color w:val="000000" w:themeColor="text1"/>
        </w:rPr>
        <w:t>, 722 F.2d 910 (1</w:t>
      </w:r>
      <w:r w:rsidRPr="001B3770">
        <w:rPr>
          <w:rFonts w:ascii="Aptos" w:hAnsi="Aptos"/>
          <w:color w:val="000000" w:themeColor="text1"/>
          <w:vertAlign w:val="superscript"/>
        </w:rPr>
        <w:t>st</w:t>
      </w:r>
      <w:r w:rsidRPr="001B3770">
        <w:rPr>
          <w:rFonts w:ascii="Aptos" w:hAnsi="Aptos"/>
          <w:color w:val="000000" w:themeColor="text1"/>
        </w:rPr>
        <w:t xml:space="preserve"> Cir. 1983).</w:t>
      </w:r>
    </w:p>
    <w:p w14:paraId="576CDD27" w14:textId="77777777" w:rsidR="009F40AC" w:rsidRPr="001B3770" w:rsidRDefault="009F40AC" w:rsidP="00D6127B">
      <w:pPr>
        <w:shd w:val="clear" w:color="auto" w:fill="FFFFFF"/>
        <w:rPr>
          <w:rFonts w:ascii="Aptos" w:hAnsi="Aptos"/>
          <w:color w:val="000000" w:themeColor="text1"/>
        </w:rPr>
      </w:pPr>
    </w:p>
    <w:p w14:paraId="066D0101"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Compliance</w:t>
      </w:r>
    </w:p>
    <w:p w14:paraId="1ECC430E"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A party contending that a Bureau of Special Education Appeals decision is not being implemented may file a motion with the Bureau of Special Education Appeals contending </w:t>
      </w:r>
      <w:r w:rsidRPr="001B3770">
        <w:rPr>
          <w:rFonts w:ascii="Aptos" w:hAnsi="Aptos"/>
          <w:color w:val="000000" w:themeColor="text1"/>
        </w:rPr>
        <w:lastRenderedPageBreak/>
        <w:t>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D3532B3" w14:textId="77777777" w:rsidR="009F40AC" w:rsidRPr="001B3770" w:rsidRDefault="009F40AC" w:rsidP="00D6127B">
      <w:pPr>
        <w:shd w:val="clear" w:color="auto" w:fill="FFFFFF"/>
        <w:rPr>
          <w:rFonts w:ascii="Aptos" w:hAnsi="Aptos"/>
          <w:color w:val="000000" w:themeColor="text1"/>
        </w:rPr>
      </w:pPr>
    </w:p>
    <w:p w14:paraId="1CE6C2DD"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Rights of Appeal</w:t>
      </w:r>
    </w:p>
    <w:p w14:paraId="5BCE56D9"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5E6B660"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 appeal of a Bureau decision to state superior court or to federal district court must be filed within ninety (90) days from the date of the decision. 20 U.S.C. s. 1415(i)(2)(B).</w:t>
      </w:r>
    </w:p>
    <w:p w14:paraId="4EEF37CC" w14:textId="77777777" w:rsidR="009F40AC" w:rsidRPr="001B3770" w:rsidRDefault="009F40AC" w:rsidP="00D6127B">
      <w:pPr>
        <w:shd w:val="clear" w:color="auto" w:fill="FFFFFF"/>
        <w:rPr>
          <w:rFonts w:ascii="Aptos" w:hAnsi="Aptos"/>
          <w:color w:val="000000" w:themeColor="text1"/>
        </w:rPr>
      </w:pPr>
    </w:p>
    <w:p w14:paraId="4A3C6C6B"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Confidentiality</w:t>
      </w:r>
    </w:p>
    <w:p w14:paraId="0B182083"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B3770">
        <w:rPr>
          <w:rFonts w:ascii="Aptos" w:hAnsi="Aptos"/>
          <w:i/>
          <w:iCs/>
          <w:color w:val="000000" w:themeColor="text1"/>
        </w:rPr>
        <w:t>Webster Grove School District v. Pulitzer Publishing Company</w:t>
      </w:r>
      <w:r w:rsidRPr="001B3770">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37A3FAB0" w14:textId="77777777" w:rsidR="009F40AC" w:rsidRPr="001B3770" w:rsidRDefault="009F40AC" w:rsidP="00D6127B">
      <w:pPr>
        <w:shd w:val="clear" w:color="auto" w:fill="FFFFFF"/>
        <w:rPr>
          <w:rFonts w:ascii="Aptos" w:hAnsi="Aptos"/>
          <w:color w:val="000000" w:themeColor="text1"/>
        </w:rPr>
      </w:pPr>
    </w:p>
    <w:p w14:paraId="28D4F526"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Record of the Hearing</w:t>
      </w:r>
    </w:p>
    <w:p w14:paraId="0CCD8A0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434CC24" w14:textId="77777777" w:rsidR="009F40AC" w:rsidRPr="001B3770" w:rsidRDefault="009F40AC" w:rsidP="00D6127B">
      <w:pPr>
        <w:shd w:val="clear" w:color="auto" w:fill="FFFFFF"/>
        <w:rPr>
          <w:rFonts w:ascii="Aptos" w:hAnsi="Aptos"/>
          <w:color w:val="000000" w:themeColor="text1"/>
        </w:rPr>
      </w:pPr>
    </w:p>
    <w:p w14:paraId="048E9481" w14:textId="77777777" w:rsidR="009F40AC" w:rsidRPr="001B3770" w:rsidRDefault="009F40AC" w:rsidP="00D6127B">
      <w:pPr>
        <w:shd w:val="clear" w:color="auto" w:fill="FFFFFF"/>
        <w:rPr>
          <w:rFonts w:ascii="Aptos" w:hAnsi="Aptos"/>
          <w:color w:val="000000" w:themeColor="text1"/>
        </w:rPr>
      </w:pPr>
    </w:p>
    <w:sectPr w:rsidR="009F40AC" w:rsidRPr="001B377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AB5F" w14:textId="77777777" w:rsidR="009F5343" w:rsidRDefault="009F5343" w:rsidP="00E54083">
      <w:r>
        <w:separator/>
      </w:r>
    </w:p>
  </w:endnote>
  <w:endnote w:type="continuationSeparator" w:id="0">
    <w:p w14:paraId="1E2209AE" w14:textId="77777777" w:rsidR="009F5343" w:rsidRDefault="009F5343"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7FF3" w14:textId="77777777" w:rsidR="009F5343" w:rsidRDefault="009F5343" w:rsidP="00E54083">
      <w:r>
        <w:separator/>
      </w:r>
    </w:p>
  </w:footnote>
  <w:footnote w:type="continuationSeparator" w:id="0">
    <w:p w14:paraId="0B9974F1" w14:textId="77777777" w:rsidR="009F5343" w:rsidRDefault="009F5343" w:rsidP="00E54083">
      <w:r>
        <w:continuationSeparator/>
      </w:r>
    </w:p>
  </w:footnote>
  <w:footnote w:id="1">
    <w:p w14:paraId="775DBEF4" w14:textId="28A9B4D4" w:rsidR="000F4D1B" w:rsidRPr="00B535F0" w:rsidRDefault="000F4D1B" w:rsidP="000F4D1B">
      <w:pPr>
        <w:pStyle w:val="FootnoteText"/>
        <w:rPr>
          <w:rFonts w:ascii="Aptos" w:hAnsi="Aptos"/>
        </w:rPr>
      </w:pPr>
      <w:r w:rsidRPr="00B535F0">
        <w:rPr>
          <w:rStyle w:val="FootnoteReference"/>
          <w:rFonts w:ascii="Aptos" w:hAnsi="Aptos"/>
        </w:rPr>
        <w:footnoteRef/>
      </w:r>
      <w:r w:rsidRPr="00B535F0">
        <w:rPr>
          <w:rFonts w:ascii="Aptos" w:hAnsi="Aptos"/>
        </w:rPr>
        <w:t xml:space="preserve"> Cf. </w:t>
      </w:r>
      <w:r w:rsidRPr="00DA25A9">
        <w:rPr>
          <w:rFonts w:ascii="Aptos" w:hAnsi="Aptos"/>
          <w:i/>
          <w:iCs/>
        </w:rPr>
        <w:t>Blank v. Chelmsford Ob/Gyn, P.C.,</w:t>
      </w:r>
      <w:r w:rsidRPr="00B535F0">
        <w:rPr>
          <w:rFonts w:ascii="Aptos" w:hAnsi="Aptos"/>
        </w:rPr>
        <w:t xml:space="preserve"> 420 Mass. 404, 407 (1995).</w:t>
      </w:r>
    </w:p>
  </w:footnote>
  <w:footnote w:id="2">
    <w:p w14:paraId="49046892" w14:textId="1F093839" w:rsidR="0016111B" w:rsidRPr="00B535F0" w:rsidRDefault="0016111B" w:rsidP="0016111B">
      <w:pPr>
        <w:pStyle w:val="FootnoteText"/>
        <w:rPr>
          <w:rFonts w:ascii="Aptos" w:hAnsi="Aptos"/>
        </w:rPr>
      </w:pPr>
      <w:r w:rsidRPr="00B535F0">
        <w:rPr>
          <w:rStyle w:val="FootnoteReference"/>
          <w:rFonts w:ascii="Aptos" w:hAnsi="Aptos"/>
        </w:rPr>
        <w:footnoteRef/>
      </w:r>
      <w:r w:rsidRPr="00B535F0">
        <w:rPr>
          <w:rFonts w:ascii="Aptos" w:hAnsi="Aptos"/>
        </w:rPr>
        <w:t xml:space="preserve"> See, e.g., </w:t>
      </w:r>
      <w:r w:rsidRPr="007F462E">
        <w:rPr>
          <w:rFonts w:ascii="Aptos" w:hAnsi="Aptos"/>
          <w:i/>
          <w:iCs/>
        </w:rPr>
        <w:t>Abate v. Freemont Inv. &amp; Loan</w:t>
      </w:r>
      <w:r w:rsidRPr="00B535F0">
        <w:rPr>
          <w:rFonts w:ascii="Aptos" w:hAnsi="Aptos"/>
        </w:rPr>
        <w:t xml:space="preserve">, 470 Mass. 821, 828 (2015) (recognizing that a judge may consider, </w:t>
      </w:r>
      <w:r w:rsidRPr="00EE1640">
        <w:rPr>
          <w:rFonts w:ascii="Aptos" w:hAnsi="Aptos"/>
          <w:i/>
          <w:iCs/>
        </w:rPr>
        <w:t>sua sponte</w:t>
      </w:r>
      <w:r w:rsidRPr="00B535F0">
        <w:rPr>
          <w:rFonts w:ascii="Aptos" w:hAnsi="Aptos"/>
        </w:rPr>
        <w:t xml:space="preserve">, certain aspects of subject matter jurisdiction at any time and dismiss a claim on this basis); </w:t>
      </w:r>
      <w:r w:rsidRPr="007F462E">
        <w:rPr>
          <w:rFonts w:ascii="Aptos" w:hAnsi="Aptos"/>
          <w:i/>
          <w:iCs/>
        </w:rPr>
        <w:t>Commonwealth v. Dube</w:t>
      </w:r>
      <w:r w:rsidRPr="00B535F0">
        <w:rPr>
          <w:rFonts w:ascii="Aptos" w:hAnsi="Aptos"/>
        </w:rPr>
        <w:t xml:space="preserve">, 59 Mass. App. Ct. 478, 488-89 (1992) (recognizing judge’s inherent authority to dismiss a case </w:t>
      </w:r>
      <w:r w:rsidRPr="00EE1640">
        <w:rPr>
          <w:rFonts w:ascii="Aptos" w:hAnsi="Aptos"/>
          <w:i/>
          <w:iCs/>
        </w:rPr>
        <w:t>sua sponte</w:t>
      </w:r>
      <w:r w:rsidRPr="00B535F0">
        <w:rPr>
          <w:rFonts w:ascii="Aptos" w:hAnsi="Aptos"/>
        </w:rPr>
        <w:t xml:space="preserve"> where evidence was insufficient to support the necessary finding, specifically, probable cause); </w:t>
      </w:r>
      <w:r w:rsidRPr="007F462E">
        <w:rPr>
          <w:rFonts w:ascii="Aptos" w:hAnsi="Aptos"/>
          <w:i/>
          <w:iCs/>
        </w:rPr>
        <w:t>State Realty Co. of Boston v. MacNeil Bros. Co</w:t>
      </w:r>
      <w:r w:rsidRPr="00B535F0">
        <w:rPr>
          <w:rFonts w:ascii="Aptos" w:hAnsi="Aptos"/>
        </w:rPr>
        <w:t>., 358 Mass. 374, 379 (1970) (noting that courts have inherent, discretionary powers to dismiss cases in certain circumstances, such as failure to prosecute, even in the absence of any motion by parties to dismiss).</w:t>
      </w:r>
    </w:p>
  </w:footnote>
  <w:footnote w:id="3">
    <w:p w14:paraId="09CCD5CD" w14:textId="6EC9B55E" w:rsidR="00DE50F8" w:rsidRPr="00B535F0" w:rsidRDefault="00DE50F8" w:rsidP="00DE50F8">
      <w:pPr>
        <w:pStyle w:val="FootnoteText"/>
        <w:rPr>
          <w:rFonts w:ascii="Aptos" w:hAnsi="Aptos"/>
        </w:rPr>
      </w:pPr>
      <w:r w:rsidRPr="00B535F0">
        <w:rPr>
          <w:rStyle w:val="FootnoteReference"/>
          <w:rFonts w:ascii="Aptos" w:hAnsi="Aptos"/>
        </w:rPr>
        <w:footnoteRef/>
      </w:r>
      <w:r w:rsidRPr="00B535F0">
        <w:rPr>
          <w:rFonts w:ascii="Aptos" w:hAnsi="Aptos"/>
        </w:rPr>
        <w:t xml:space="preserve"> See </w:t>
      </w:r>
      <w:r w:rsidRPr="007F462E">
        <w:rPr>
          <w:rFonts w:ascii="Aptos" w:hAnsi="Aptos"/>
          <w:i/>
          <w:iCs/>
        </w:rPr>
        <w:t>State Realty Co</w:t>
      </w:r>
      <w:r w:rsidRPr="00B535F0">
        <w:rPr>
          <w:rFonts w:ascii="Aptos" w:hAnsi="Aptos"/>
        </w:rPr>
        <w:t>., 358 Mass. at 379.</w:t>
      </w:r>
    </w:p>
  </w:footnote>
  <w:footnote w:id="4">
    <w:p w14:paraId="1D8E9A78" w14:textId="4DD90C1B" w:rsidR="00D0766F" w:rsidRPr="00B535F0" w:rsidRDefault="00D0766F" w:rsidP="00D0766F">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Pr="007F462E">
        <w:rPr>
          <w:rFonts w:ascii="Aptos" w:hAnsi="Aptos"/>
          <w:i/>
          <w:iCs/>
        </w:rPr>
        <w:t>Chute v. Walker</w:t>
      </w:r>
      <w:r w:rsidRPr="00B535F0">
        <w:rPr>
          <w:rFonts w:ascii="Aptos" w:hAnsi="Aptos"/>
        </w:rPr>
        <w:t xml:space="preserve">, 281 F.3rd 314, 319 (2002) (noting that </w:t>
      </w:r>
      <w:r w:rsidRPr="00EE1640">
        <w:rPr>
          <w:rFonts w:ascii="Aptos" w:hAnsi="Aptos"/>
          <w:i/>
          <w:iCs/>
        </w:rPr>
        <w:t>sua sponte</w:t>
      </w:r>
      <w:r w:rsidRPr="00B535F0">
        <w:rPr>
          <w:rFonts w:ascii="Aptos" w:hAnsi="Aptos"/>
        </w:rPr>
        <w:t xml:space="preserve"> dismissals of complaints for failure to state a claim may be appropriate where parties “have been afforded notice and the opportunity to amend the complaint or otherwise respond,” but that prior notice is not necessary where plaintiff cannot prevail); see </w:t>
      </w:r>
      <w:r w:rsidRPr="007F462E">
        <w:rPr>
          <w:rFonts w:ascii="Aptos" w:hAnsi="Aptos"/>
          <w:i/>
          <w:iCs/>
        </w:rPr>
        <w:t>Davis v. Kvalheim</w:t>
      </w:r>
      <w:r w:rsidRPr="00B535F0">
        <w:rPr>
          <w:rFonts w:ascii="Aptos" w:hAnsi="Aptos"/>
        </w:rPr>
        <w:t xml:space="preserve">, 261 Fed. Appx. 231, 234-35 (11th Cir. 2008) (unpublished) (affirming judge’s </w:t>
      </w:r>
      <w:r w:rsidRPr="00EE1640">
        <w:rPr>
          <w:rFonts w:ascii="Aptos" w:hAnsi="Aptos"/>
          <w:i/>
          <w:iCs/>
        </w:rPr>
        <w:t>sua sponte</w:t>
      </w:r>
      <w:r w:rsidRPr="00B535F0">
        <w:rPr>
          <w:rFonts w:ascii="Aptos" w:hAnsi="Aptos"/>
        </w:rPr>
        <w:t xml:space="preserve"> dismissal of complaint without notice where complaint was frivolous).</w:t>
      </w:r>
    </w:p>
  </w:footnote>
  <w:footnote w:id="5">
    <w:p w14:paraId="6847677A" w14:textId="602A1AF5" w:rsidR="00D0766F" w:rsidRPr="00B535F0" w:rsidRDefault="00D0766F" w:rsidP="00D0766F">
      <w:pPr>
        <w:pStyle w:val="FootnoteText"/>
        <w:rPr>
          <w:rFonts w:ascii="Aptos" w:hAnsi="Aptos"/>
        </w:rPr>
      </w:pPr>
      <w:r w:rsidRPr="00B535F0">
        <w:rPr>
          <w:rStyle w:val="FootnoteReference"/>
          <w:rFonts w:ascii="Aptos" w:hAnsi="Aptos"/>
        </w:rPr>
        <w:footnoteRef/>
      </w:r>
      <w:r w:rsidRPr="00B535F0">
        <w:rPr>
          <w:rFonts w:ascii="Aptos" w:hAnsi="Aptos"/>
        </w:rPr>
        <w:t xml:space="preserve"> See 34 CFR § 300.507(a)(1).</w:t>
      </w:r>
    </w:p>
  </w:footnote>
  <w:footnote w:id="6">
    <w:p w14:paraId="0212574E" w14:textId="319D17CB" w:rsidR="00D0766F" w:rsidRPr="00B535F0" w:rsidRDefault="00D0766F" w:rsidP="00D0766F">
      <w:pPr>
        <w:pStyle w:val="FootnoteText"/>
        <w:rPr>
          <w:rFonts w:ascii="Aptos" w:hAnsi="Aptos"/>
        </w:rPr>
      </w:pPr>
      <w:r w:rsidRPr="00B535F0">
        <w:rPr>
          <w:rStyle w:val="FootnoteReference"/>
          <w:rFonts w:ascii="Aptos" w:hAnsi="Aptos"/>
        </w:rPr>
        <w:footnoteRef/>
      </w:r>
      <w:r w:rsidRPr="00B535F0">
        <w:rPr>
          <w:rFonts w:ascii="Aptos" w:hAnsi="Aptos"/>
        </w:rPr>
        <w:t xml:space="preserve"> 603 CMR 28.08(3)(a); see M.G.L. c. 71B § 2B (under its governing statue, the BSEA has the authority to provide</w:t>
      </w:r>
      <w:r w:rsidR="00405753" w:rsidRPr="00B535F0">
        <w:rPr>
          <w:rFonts w:ascii="Aptos" w:hAnsi="Aptos"/>
        </w:rPr>
        <w:t xml:space="preserve"> </w:t>
      </w:r>
      <w:r w:rsidRPr="00B535F0">
        <w:rPr>
          <w:rFonts w:ascii="Aptos" w:hAnsi="Aptos"/>
        </w:rPr>
        <w:t>“adjudicatory hearings, mediation and other forms of alternative dispute resolution . . . for resolution of 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w:t>
      </w:r>
    </w:p>
  </w:footnote>
  <w:footnote w:id="7">
    <w:p w14:paraId="1276E9E5" w14:textId="25EEE45C" w:rsidR="00D0766F" w:rsidRPr="00B535F0" w:rsidRDefault="00D0766F" w:rsidP="00D0766F">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Pr="007F462E">
        <w:rPr>
          <w:rFonts w:ascii="Aptos" w:hAnsi="Aptos"/>
          <w:i/>
          <w:iCs/>
        </w:rPr>
        <w:t>In Re Murchison</w:t>
      </w:r>
      <w:r w:rsidRPr="00B535F0">
        <w:rPr>
          <w:rFonts w:ascii="Aptos" w:hAnsi="Aptos"/>
        </w:rPr>
        <w:t>, 349 U.S 133, 136 (1955).</w:t>
      </w:r>
    </w:p>
  </w:footnote>
  <w:footnote w:id="8">
    <w:p w14:paraId="16D8C2DF" w14:textId="2DFAA8DB" w:rsidR="00195FA6" w:rsidRPr="00B535F0" w:rsidRDefault="00195FA6" w:rsidP="00195FA6">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Pr="007F462E">
        <w:rPr>
          <w:rFonts w:ascii="Aptos" w:hAnsi="Aptos"/>
          <w:i/>
          <w:iCs/>
        </w:rPr>
        <w:t>United States v. Patti</w:t>
      </w:r>
      <w:r w:rsidRPr="00B535F0">
        <w:rPr>
          <w:rFonts w:ascii="Aptos" w:hAnsi="Aptos"/>
        </w:rPr>
        <w:t>, 337 F.3d 1317, 1321 (11th Cir. 2003) (internal citation omitted).</w:t>
      </w:r>
    </w:p>
  </w:footnote>
  <w:footnote w:id="9">
    <w:p w14:paraId="4C9235EB" w14:textId="037ECAC4" w:rsidR="00195FA6" w:rsidRPr="00B535F0" w:rsidRDefault="00195FA6" w:rsidP="00195FA6">
      <w:pPr>
        <w:pStyle w:val="FootnoteText"/>
        <w:rPr>
          <w:rFonts w:ascii="Aptos" w:hAnsi="Aptos"/>
        </w:rPr>
      </w:pPr>
      <w:r w:rsidRPr="00B535F0">
        <w:rPr>
          <w:rStyle w:val="FootnoteReference"/>
          <w:rFonts w:ascii="Aptos" w:hAnsi="Aptos"/>
        </w:rPr>
        <w:footnoteRef/>
      </w:r>
      <w:r w:rsidRPr="00B535F0">
        <w:rPr>
          <w:rFonts w:ascii="Aptos" w:hAnsi="Aptos"/>
        </w:rPr>
        <w:t xml:space="preserve"> 28 USC § 455(a).</w:t>
      </w:r>
    </w:p>
  </w:footnote>
  <w:footnote w:id="10">
    <w:p w14:paraId="5BEABEC6" w14:textId="41CFDBED" w:rsidR="00195FA6" w:rsidRPr="00B535F0" w:rsidRDefault="00195FA6" w:rsidP="00195FA6">
      <w:pPr>
        <w:pStyle w:val="FootnoteText"/>
        <w:rPr>
          <w:rFonts w:ascii="Aptos" w:hAnsi="Aptos"/>
        </w:rPr>
      </w:pPr>
      <w:r w:rsidRPr="00B535F0">
        <w:rPr>
          <w:rStyle w:val="FootnoteReference"/>
          <w:rFonts w:ascii="Aptos" w:hAnsi="Aptos"/>
        </w:rPr>
        <w:footnoteRef/>
      </w:r>
      <w:r w:rsidRPr="00B535F0">
        <w:rPr>
          <w:rFonts w:ascii="Aptos" w:hAnsi="Aptos"/>
        </w:rPr>
        <w:t xml:space="preserve"> See 28 USC § 455(b).</w:t>
      </w:r>
    </w:p>
  </w:footnote>
  <w:footnote w:id="11">
    <w:p w14:paraId="39F2571D" w14:textId="7EAF955B" w:rsidR="00195FA6" w:rsidRPr="00B535F0" w:rsidRDefault="00195FA6" w:rsidP="00195FA6">
      <w:pPr>
        <w:pStyle w:val="FootnoteText"/>
        <w:rPr>
          <w:rFonts w:ascii="Aptos" w:hAnsi="Aptos"/>
        </w:rPr>
      </w:pPr>
      <w:r w:rsidRPr="00B535F0">
        <w:rPr>
          <w:rStyle w:val="FootnoteReference"/>
          <w:rFonts w:ascii="Aptos" w:hAnsi="Aptos"/>
        </w:rPr>
        <w:footnoteRef/>
      </w:r>
      <w:r w:rsidRPr="00B535F0">
        <w:rPr>
          <w:rFonts w:ascii="Aptos" w:hAnsi="Aptos"/>
        </w:rPr>
        <w:t xml:space="preserve"> 28 USC § 455(b)(1), (5)(i), (e); see Patti, 337 F.3d at 1321.</w:t>
      </w:r>
    </w:p>
  </w:footnote>
  <w:footnote w:id="12">
    <w:p w14:paraId="7E26F20C" w14:textId="366A7FCD" w:rsidR="00195FA6" w:rsidRPr="00B535F0" w:rsidRDefault="00195FA6" w:rsidP="00195FA6">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Pr="00EE1640">
        <w:rPr>
          <w:rFonts w:ascii="Aptos" w:hAnsi="Aptos"/>
          <w:i/>
          <w:iCs/>
        </w:rPr>
        <w:t>Murray v. Scott</w:t>
      </w:r>
      <w:r w:rsidRPr="00B535F0">
        <w:rPr>
          <w:rFonts w:ascii="Aptos" w:hAnsi="Aptos"/>
        </w:rPr>
        <w:t xml:space="preserve">, 253 F.3d 1308, 1310, 1312 (11th Cir. 2001); see </w:t>
      </w:r>
      <w:r w:rsidRPr="00EE1640">
        <w:rPr>
          <w:rFonts w:ascii="Aptos" w:hAnsi="Aptos"/>
          <w:i/>
          <w:iCs/>
        </w:rPr>
        <w:t>Patti</w:t>
      </w:r>
      <w:r w:rsidRPr="00B535F0">
        <w:rPr>
          <w:rFonts w:ascii="Aptos" w:hAnsi="Aptos"/>
        </w:rPr>
        <w:t>, 337 F.3d at 1321.</w:t>
      </w:r>
    </w:p>
  </w:footnote>
  <w:footnote w:id="13">
    <w:p w14:paraId="7B3AEF7D" w14:textId="4BF87EC8" w:rsidR="008E4DA2" w:rsidRPr="00B535F0" w:rsidRDefault="008E4DA2" w:rsidP="008E4DA2">
      <w:pPr>
        <w:pStyle w:val="FootnoteText"/>
        <w:rPr>
          <w:rFonts w:ascii="Aptos" w:hAnsi="Aptos"/>
        </w:rPr>
      </w:pPr>
      <w:r w:rsidRPr="00B535F0">
        <w:rPr>
          <w:rStyle w:val="FootnoteReference"/>
          <w:rFonts w:ascii="Aptos" w:hAnsi="Aptos"/>
        </w:rPr>
        <w:footnoteRef/>
      </w:r>
      <w:r w:rsidRPr="00B535F0">
        <w:rPr>
          <w:rFonts w:ascii="Aptos" w:hAnsi="Aptos"/>
        </w:rPr>
        <w:t xml:space="preserve"> See 28 USC § 455(b)(5)(i); </w:t>
      </w:r>
      <w:r w:rsidRPr="008D44D7">
        <w:rPr>
          <w:rFonts w:ascii="Aptos" w:hAnsi="Aptos"/>
          <w:i/>
          <w:iCs/>
        </w:rPr>
        <w:t>Akers v. Weinshienk</w:t>
      </w:r>
      <w:r w:rsidRPr="00B535F0">
        <w:rPr>
          <w:rFonts w:ascii="Aptos" w:hAnsi="Aptos"/>
        </w:rPr>
        <w:t xml:space="preserve">, 350 Fed. Appx. 292, 2009 WL 3403183 (10th Cir. 2009) (unpublished) (judge’s refusal to recuse herself where she was one of the defendants in an action, and no exceptions applied, constituted a violation of section 455(b)(5)(i)). To guard against judge-shopping, however, courts have properly “refused to disqualify themselves under Section 455(b)(5)(i) unless there is a legitimate basis for suing the judge.” </w:t>
      </w:r>
      <w:r w:rsidRPr="008D44D7">
        <w:rPr>
          <w:rFonts w:ascii="Aptos" w:hAnsi="Aptos"/>
          <w:i/>
          <w:iCs/>
        </w:rPr>
        <w:t>Tamburro v. East Providence</w:t>
      </w:r>
      <w:r w:rsidRPr="00B535F0">
        <w:rPr>
          <w:rFonts w:ascii="Aptos" w:hAnsi="Aptos"/>
        </w:rPr>
        <w:t xml:space="preserve">, 981 F.2d 1245, at *1 (1st Cir. 1992) (unpublished); see </w:t>
      </w:r>
      <w:r w:rsidRPr="008D44D7">
        <w:rPr>
          <w:rFonts w:ascii="Aptos" w:hAnsi="Aptos"/>
          <w:i/>
          <w:iCs/>
        </w:rPr>
        <w:t>United States v. Pryor</w:t>
      </w:r>
      <w:r w:rsidRPr="00B535F0">
        <w:rPr>
          <w:rFonts w:ascii="Aptos" w:hAnsi="Aptos"/>
        </w:rPr>
        <w:t>, 960 F.2d 1, 3 (1st Cir. 1992) (“It cannot be that an automatic recusal can be obtained by the simple act, of suing the judge”; question of recusal is “purely for the court’s own decision”).</w:t>
      </w:r>
    </w:p>
  </w:footnote>
  <w:footnote w:id="14">
    <w:p w14:paraId="7D0D4024" w14:textId="573FCAB2" w:rsidR="00473328" w:rsidRPr="00B535F0" w:rsidRDefault="00473328" w:rsidP="00473328">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001422F8" w:rsidRPr="008D44D7">
        <w:rPr>
          <w:rFonts w:ascii="Aptos" w:hAnsi="Aptos"/>
          <w:i/>
          <w:iCs/>
        </w:rPr>
        <w:t>Bolin v. Story</w:t>
      </w:r>
      <w:r w:rsidR="001422F8" w:rsidRPr="00B535F0">
        <w:rPr>
          <w:rFonts w:ascii="Aptos" w:hAnsi="Aptos"/>
        </w:rPr>
        <w:t xml:space="preserve">, 225 F.3d 1234, 1238 (11th Cir. 2000) (quoting </w:t>
      </w:r>
      <w:r w:rsidR="001422F8" w:rsidRPr="008D44D7">
        <w:rPr>
          <w:rFonts w:ascii="Aptos" w:hAnsi="Aptos"/>
          <w:i/>
          <w:iCs/>
        </w:rPr>
        <w:t>United States v. Will,</w:t>
      </w:r>
      <w:r w:rsidR="001422F8" w:rsidRPr="00B535F0">
        <w:rPr>
          <w:rFonts w:ascii="Aptos" w:hAnsi="Aptos"/>
        </w:rPr>
        <w:t xml:space="preserve"> 449 U.S. 200, 213 (1980)).</w:t>
      </w:r>
    </w:p>
  </w:footnote>
  <w:footnote w:id="15">
    <w:p w14:paraId="5D560781" w14:textId="77CB7B57" w:rsidR="00312B44" w:rsidRPr="00B535F0" w:rsidRDefault="00312B44">
      <w:pPr>
        <w:pStyle w:val="FootnoteText"/>
        <w:rPr>
          <w:rFonts w:ascii="Aptos" w:hAnsi="Aptos"/>
        </w:rPr>
      </w:pPr>
      <w:r w:rsidRPr="00B535F0">
        <w:rPr>
          <w:rStyle w:val="FootnoteReference"/>
          <w:rFonts w:ascii="Aptos" w:hAnsi="Aptos"/>
        </w:rPr>
        <w:footnoteRef/>
      </w:r>
      <w:r w:rsidRPr="00B535F0">
        <w:rPr>
          <w:rFonts w:ascii="Aptos" w:hAnsi="Aptos"/>
        </w:rPr>
        <w:t xml:space="preserve">  </w:t>
      </w:r>
      <w:r w:rsidRPr="008D44D7">
        <w:rPr>
          <w:rFonts w:ascii="Aptos" w:hAnsi="Aptos"/>
          <w:i/>
          <w:iCs/>
        </w:rPr>
        <w:t>Id</w:t>
      </w:r>
      <w:r w:rsidRPr="00B535F0">
        <w:rPr>
          <w:rFonts w:ascii="Aptos" w:hAnsi="Aptos"/>
        </w:rPr>
        <w:t xml:space="preserve">. (internal citations omitted). See </w:t>
      </w:r>
      <w:r w:rsidRPr="008D44D7">
        <w:rPr>
          <w:rFonts w:ascii="Aptos" w:hAnsi="Aptos"/>
          <w:i/>
          <w:iCs/>
        </w:rPr>
        <w:t>Davis</w:t>
      </w:r>
      <w:r w:rsidRPr="00B535F0">
        <w:rPr>
          <w:rFonts w:ascii="Aptos" w:hAnsi="Aptos"/>
        </w:rPr>
        <w:t>, 261 Fed. Appx. at 234 (judge named as defendant in lawsuit “was relieved of [his] obligation to recuse [himself] under the rule of necessity” where plaintiff indicated his intention to name all judges of that court, such that each judge would have shared the same interest).</w:t>
      </w:r>
    </w:p>
  </w:footnote>
  <w:footnote w:id="16">
    <w:p w14:paraId="446CCCDB" w14:textId="235A18FC" w:rsidR="00312B44" w:rsidRPr="00B535F0" w:rsidRDefault="00312B44">
      <w:pPr>
        <w:pStyle w:val="FootnoteText"/>
        <w:rPr>
          <w:rFonts w:ascii="Aptos" w:hAnsi="Aptos"/>
        </w:rPr>
      </w:pPr>
      <w:r w:rsidRPr="00B535F0">
        <w:rPr>
          <w:rStyle w:val="FootnoteReference"/>
          <w:rFonts w:ascii="Aptos" w:hAnsi="Aptos"/>
        </w:rPr>
        <w:footnoteRef/>
      </w:r>
      <w:r w:rsidRPr="00B535F0">
        <w:rPr>
          <w:rFonts w:ascii="Aptos" w:hAnsi="Aptos"/>
        </w:rPr>
        <w:t xml:space="preserve"> See 28 USC § 455.</w:t>
      </w:r>
    </w:p>
  </w:footnote>
  <w:footnote w:id="17">
    <w:p w14:paraId="33D5456A" w14:textId="654C8E47" w:rsidR="00312B44" w:rsidRPr="00B535F0" w:rsidRDefault="00312B44">
      <w:pPr>
        <w:pStyle w:val="FootnoteText"/>
        <w:rPr>
          <w:rFonts w:ascii="Aptos" w:hAnsi="Aptos"/>
        </w:rPr>
      </w:pPr>
      <w:r w:rsidRPr="00B535F0">
        <w:rPr>
          <w:rStyle w:val="FootnoteReference"/>
          <w:rFonts w:ascii="Aptos" w:hAnsi="Aptos"/>
        </w:rPr>
        <w:footnoteRef/>
      </w:r>
      <w:r w:rsidRPr="00B535F0">
        <w:rPr>
          <w:rFonts w:ascii="Aptos" w:hAnsi="Aptos"/>
        </w:rPr>
        <w:t xml:space="preserve"> Cf., e.g., </w:t>
      </w:r>
      <w:r w:rsidRPr="008D44D7">
        <w:rPr>
          <w:rFonts w:ascii="Aptos" w:hAnsi="Aptos"/>
          <w:i/>
          <w:iCs/>
        </w:rPr>
        <w:t>Abate</w:t>
      </w:r>
      <w:r w:rsidRPr="00B535F0">
        <w:rPr>
          <w:rFonts w:ascii="Aptos" w:hAnsi="Aptos"/>
        </w:rPr>
        <w:t xml:space="preserve">, 470 Mass. at 828; </w:t>
      </w:r>
      <w:r w:rsidRPr="008D44D7">
        <w:rPr>
          <w:rFonts w:ascii="Aptos" w:hAnsi="Aptos"/>
          <w:i/>
          <w:iCs/>
        </w:rPr>
        <w:t>State Realty Co</w:t>
      </w:r>
      <w:r w:rsidRPr="00B535F0">
        <w:rPr>
          <w:rFonts w:ascii="Aptos" w:hAnsi="Aptos"/>
        </w:rPr>
        <w:t>., 358 Mass. at 379.</w:t>
      </w:r>
    </w:p>
  </w:footnote>
  <w:footnote w:id="18">
    <w:p w14:paraId="485C1FC5" w14:textId="2FC341C5" w:rsidR="00312B44" w:rsidRPr="00B535F0" w:rsidRDefault="00312B44">
      <w:pPr>
        <w:pStyle w:val="FootnoteText"/>
        <w:rPr>
          <w:rFonts w:ascii="Aptos" w:hAnsi="Aptos"/>
        </w:rPr>
      </w:pPr>
      <w:r w:rsidRPr="00B535F0">
        <w:rPr>
          <w:rStyle w:val="FootnoteReference"/>
          <w:rFonts w:ascii="Aptos" w:hAnsi="Aptos"/>
        </w:rPr>
        <w:footnoteRef/>
      </w:r>
      <w:r w:rsidRPr="00B535F0">
        <w:rPr>
          <w:rFonts w:ascii="Aptos" w:hAnsi="Aptos"/>
        </w:rPr>
        <w:t xml:space="preserve"> See </w:t>
      </w:r>
      <w:r w:rsidRPr="008D44D7">
        <w:rPr>
          <w:rFonts w:ascii="Aptos" w:hAnsi="Aptos"/>
          <w:i/>
          <w:iCs/>
        </w:rPr>
        <w:t>Chute</w:t>
      </w:r>
      <w:r w:rsidRPr="00B535F0">
        <w:rPr>
          <w:rFonts w:ascii="Aptos" w:hAnsi="Aptos"/>
        </w:rPr>
        <w:t>, 281 F.3rd at 319.</w:t>
      </w:r>
    </w:p>
  </w:footnote>
  <w:footnote w:id="19">
    <w:p w14:paraId="48CAA2AD" w14:textId="5F13478D" w:rsidR="00AD4072" w:rsidRPr="00B535F0" w:rsidRDefault="00AD4072" w:rsidP="00AD4072">
      <w:pPr>
        <w:pStyle w:val="FootnoteText"/>
        <w:rPr>
          <w:rFonts w:ascii="Aptos" w:hAnsi="Aptos"/>
        </w:rPr>
      </w:pPr>
      <w:r w:rsidRPr="00B535F0">
        <w:rPr>
          <w:rStyle w:val="FootnoteReference"/>
          <w:rFonts w:ascii="Aptos" w:hAnsi="Aptos"/>
        </w:rPr>
        <w:footnoteRef/>
      </w:r>
      <w:r w:rsidRPr="00B535F0">
        <w:rPr>
          <w:rFonts w:ascii="Aptos" w:hAnsi="Aptos"/>
        </w:rPr>
        <w:t xml:space="preserve"> While a parent may file a due process complaint against an SEA, it</w:t>
      </w:r>
      <w:r w:rsidR="00D778A8">
        <w:rPr>
          <w:rFonts w:ascii="Aptos" w:hAnsi="Aptos"/>
        </w:rPr>
        <w:t xml:space="preserve"> </w:t>
      </w:r>
      <w:r w:rsidR="009D4283">
        <w:rPr>
          <w:rFonts w:ascii="Aptos" w:hAnsi="Aptos"/>
        </w:rPr>
        <w:t>is</w:t>
      </w:r>
      <w:r w:rsidRPr="00B535F0">
        <w:rPr>
          <w:rFonts w:ascii="Aptos" w:hAnsi="Aptos"/>
        </w:rPr>
        <w:t xml:space="preserve"> up the hearing officer to determine, based on the individual facts and circumstances of the case, whether the SEA should be a party to the hearing. See Dispute Resolution Procedures Under Part B of the Individuals with Disabilities Education Act (Part B), 61 IDELR 232 (OSEP 2013) ("hearing officers have complete authority to determine the sufficiency of all due process complaints filed and to determine jurisdiction of issues raised in due process complaints”).</w:t>
      </w:r>
    </w:p>
  </w:footnote>
  <w:footnote w:id="20">
    <w:p w14:paraId="396440D0" w14:textId="77777777" w:rsidR="00393DA3" w:rsidRPr="00B535F0" w:rsidRDefault="00393DA3" w:rsidP="00393DA3">
      <w:pPr>
        <w:pStyle w:val="FootnoteText"/>
        <w:rPr>
          <w:rFonts w:ascii="Aptos" w:hAnsi="Aptos"/>
        </w:rPr>
      </w:pPr>
      <w:r w:rsidRPr="00B535F0">
        <w:rPr>
          <w:rStyle w:val="FootnoteReference"/>
          <w:rFonts w:ascii="Aptos" w:hAnsi="Aptos"/>
        </w:rPr>
        <w:footnoteRef/>
      </w:r>
      <w:r w:rsidRPr="00B535F0">
        <w:rPr>
          <w:rFonts w:ascii="Aptos" w:hAnsi="Aptos"/>
        </w:rPr>
        <w:t xml:space="preserve"> See 603 CMR 28.08 </w:t>
      </w:r>
      <w:r w:rsidRPr="00B535F0">
        <w:rPr>
          <w:rFonts w:ascii="Aptos" w:hAnsi="Aptos" w:cs="Segoe UI"/>
          <w:color w:val="212529"/>
          <w:shd w:val="clear" w:color="auto" w:fill="FFFFFF"/>
        </w:rPr>
        <w:t>(3)</w:t>
      </w:r>
      <w:r w:rsidRPr="00B535F0">
        <w:rPr>
          <w:rStyle w:val="apple-converted-space"/>
          <w:rFonts w:ascii="Aptos" w:hAnsi="Aptos" w:cs="Segoe UI"/>
          <w:color w:val="212529"/>
          <w:shd w:val="clear" w:color="auto" w:fill="FFFFFF"/>
        </w:rPr>
        <w:t> (“</w:t>
      </w:r>
      <w:r w:rsidRPr="00B535F0">
        <w:rPr>
          <w:rFonts w:ascii="Aptos" w:hAnsi="Aptos" w:cs="Segoe UI"/>
          <w:b/>
          <w:bCs/>
          <w:color w:val="212529"/>
        </w:rPr>
        <w:t>Bureau of Special Education Appeals: Jurisdiction.</w:t>
      </w:r>
      <w:r w:rsidRPr="00B535F0">
        <w:rPr>
          <w:rStyle w:val="apple-converted-space"/>
          <w:rFonts w:ascii="Aptos" w:hAnsi="Aptos" w:cs="Segoe UI"/>
          <w:color w:val="212529"/>
          <w:shd w:val="clear" w:color="auto" w:fill="FFFFFF"/>
        </w:rPr>
        <w:t> </w:t>
      </w:r>
      <w:r w:rsidRPr="00B535F0">
        <w:rPr>
          <w:rFonts w:ascii="Aptos" w:hAnsi="Aptos" w:cs="Segoe UI"/>
          <w:color w:val="212529"/>
          <w:shd w:val="clear" w:color="auto" w:fill="FFFFFF"/>
        </w:rPr>
        <w:t>In order to provide for the resolution of differences of opinion among school districts, private schools, parents, and state agencies, the Bureau of Special Education Appeals, pursuant to G.L. c. 71B, §2A, shall conduct mediations and hearings to resolve such disputes. The jurisdiction of the Bureau of Special Education Appeals over state agencies, however, shall be exercised consistent with 34 CFR §300.154(a). The hearing officer may determine, in accordance with the rules, regulations and policies of the respective agencies, that services shall be provided by the Department of Children and Families, the Department of Developmental Disabilities, the Department of Mental Health, the Department of Public Health, or any other state agency or program, in addition to the IEP services to be provided by the school district”)</w:t>
      </w:r>
    </w:p>
  </w:footnote>
  <w:footnote w:id="21">
    <w:p w14:paraId="2FA57F10" w14:textId="49E7EDEC" w:rsidR="00511DA1" w:rsidRPr="00B535F0" w:rsidRDefault="00511DA1" w:rsidP="00511DA1">
      <w:pPr>
        <w:pStyle w:val="FootnoteText"/>
        <w:rPr>
          <w:rFonts w:ascii="Aptos" w:hAnsi="Aptos"/>
        </w:rPr>
      </w:pPr>
      <w:r w:rsidRPr="00B535F0">
        <w:rPr>
          <w:rStyle w:val="FootnoteReference"/>
          <w:rFonts w:ascii="Aptos" w:hAnsi="Aptos"/>
        </w:rPr>
        <w:footnoteRef/>
      </w:r>
      <w:r w:rsidRPr="00B535F0">
        <w:rPr>
          <w:rFonts w:ascii="Aptos" w:hAnsi="Aptos"/>
        </w:rPr>
        <w:t xml:space="preserve"> See 34 CFR § 300.507(a)(1)</w:t>
      </w:r>
      <w:r w:rsidR="002D5AF3" w:rsidRPr="00B535F0">
        <w:rPr>
          <w:rFonts w:ascii="Aptos" w:hAnsi="Aptos"/>
        </w:rPr>
        <w:t xml:space="preserve"> (limiting jurisdiction to </w:t>
      </w:r>
      <w:r w:rsidR="002D5AF3" w:rsidRPr="00B535F0">
        <w:rPr>
          <w:rFonts w:ascii="Aptos" w:hAnsi="Aptos"/>
          <w:color w:val="000000" w:themeColor="text1"/>
        </w:rPr>
        <w:t>“any matter relating to the identification, evaluation, or educational placement of [a] child, or the provision of a free appropriate public education to such child”).</w:t>
      </w:r>
    </w:p>
  </w:footnote>
  <w:footnote w:id="22">
    <w:p w14:paraId="048958CE" w14:textId="68F7D6E9" w:rsidR="00076B8E" w:rsidRPr="00B535F0" w:rsidRDefault="00076B8E">
      <w:pPr>
        <w:pStyle w:val="FootnoteText"/>
        <w:rPr>
          <w:rFonts w:ascii="Aptos" w:hAnsi="Aptos"/>
        </w:rPr>
      </w:pPr>
      <w:r w:rsidRPr="00B535F0">
        <w:rPr>
          <w:rStyle w:val="FootnoteReference"/>
          <w:rFonts w:ascii="Aptos" w:hAnsi="Aptos"/>
        </w:rPr>
        <w:footnoteRef/>
      </w:r>
      <w:r w:rsidRPr="00B535F0">
        <w:rPr>
          <w:rFonts w:ascii="Aptos" w:hAnsi="Aptos"/>
        </w:rPr>
        <w:t xml:space="preserve">  See </w:t>
      </w:r>
      <w:r w:rsidR="009D6FB9" w:rsidRPr="00B535F0">
        <w:rPr>
          <w:rFonts w:ascii="Aptos" w:hAnsi="Aptos"/>
        </w:rPr>
        <w:t xml:space="preserve">34 CFR 300.516 (b) </w:t>
      </w:r>
      <w:r w:rsidR="009D6FB9">
        <w:rPr>
          <w:rFonts w:ascii="Aptos" w:hAnsi="Aptos"/>
        </w:rPr>
        <w:t>(t</w:t>
      </w:r>
      <w:r w:rsidR="006F565C" w:rsidRPr="00B535F0">
        <w:rPr>
          <w:rFonts w:ascii="Aptos" w:hAnsi="Aptos"/>
        </w:rPr>
        <w:t>he IDEA states that an aggrieved party has 90 days from the date of the final administrative decision to file a civil action, unless state law explicitly provides a different limitations period</w:t>
      </w:r>
      <w:r w:rsidR="009D6FB9">
        <w:rPr>
          <w:rFonts w:ascii="Aptos" w:hAnsi="Aptos"/>
        </w:rPr>
        <w:t>)</w:t>
      </w:r>
      <w:r w:rsidR="006F565C" w:rsidRPr="00B535F0">
        <w:rPr>
          <w:rFonts w:ascii="Aptos"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6678F"/>
    <w:multiLevelType w:val="hybridMultilevel"/>
    <w:tmpl w:val="580C1520"/>
    <w:lvl w:ilvl="0" w:tplc="4B00D6BA">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FD6F38"/>
    <w:multiLevelType w:val="hybridMultilevel"/>
    <w:tmpl w:val="1E121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1A21E6"/>
    <w:multiLevelType w:val="multilevel"/>
    <w:tmpl w:val="4B1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94257"/>
    <w:multiLevelType w:val="hybridMultilevel"/>
    <w:tmpl w:val="1E121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21DC7"/>
    <w:multiLevelType w:val="hybridMultilevel"/>
    <w:tmpl w:val="4C8C2C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3641A7"/>
    <w:multiLevelType w:val="hybridMultilevel"/>
    <w:tmpl w:val="711C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36882"/>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B7026DF"/>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E03646B"/>
    <w:multiLevelType w:val="hybridMultilevel"/>
    <w:tmpl w:val="F0F462E6"/>
    <w:lvl w:ilvl="0" w:tplc="821A7D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8E6250"/>
    <w:multiLevelType w:val="hybridMultilevel"/>
    <w:tmpl w:val="279AC152"/>
    <w:lvl w:ilvl="0" w:tplc="242ACE76">
      <w:start w:val="1"/>
      <w:numFmt w:val="upperRoman"/>
      <w:lvlText w:val="%1."/>
      <w:lvlJc w:val="left"/>
      <w:pPr>
        <w:ind w:left="1080" w:hanging="72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17B0F"/>
    <w:multiLevelType w:val="hybridMultilevel"/>
    <w:tmpl w:val="848433F2"/>
    <w:lvl w:ilvl="0" w:tplc="3530D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2127">
    <w:abstractNumId w:val="3"/>
  </w:num>
  <w:num w:numId="2" w16cid:durableId="981539828">
    <w:abstractNumId w:val="17"/>
  </w:num>
  <w:num w:numId="3" w16cid:durableId="950011309">
    <w:abstractNumId w:val="0"/>
  </w:num>
  <w:num w:numId="4" w16cid:durableId="232744372">
    <w:abstractNumId w:val="5"/>
  </w:num>
  <w:num w:numId="5" w16cid:durableId="343629977">
    <w:abstractNumId w:val="10"/>
  </w:num>
  <w:num w:numId="6" w16cid:durableId="474032604">
    <w:abstractNumId w:val="19"/>
  </w:num>
  <w:num w:numId="7" w16cid:durableId="337925527">
    <w:abstractNumId w:val="9"/>
  </w:num>
  <w:num w:numId="8" w16cid:durableId="1999453163">
    <w:abstractNumId w:val="2"/>
  </w:num>
  <w:num w:numId="9" w16cid:durableId="1066296128">
    <w:abstractNumId w:val="6"/>
  </w:num>
  <w:num w:numId="10" w16cid:durableId="1330869314">
    <w:abstractNumId w:val="18"/>
  </w:num>
  <w:num w:numId="11" w16cid:durableId="584414947">
    <w:abstractNumId w:val="12"/>
  </w:num>
  <w:num w:numId="12" w16cid:durableId="1389063315">
    <w:abstractNumId w:val="4"/>
  </w:num>
  <w:num w:numId="13" w16cid:durableId="502355931">
    <w:abstractNumId w:val="1"/>
  </w:num>
  <w:num w:numId="14" w16cid:durableId="1788500808">
    <w:abstractNumId w:val="20"/>
  </w:num>
  <w:num w:numId="15" w16cid:durableId="2106881025">
    <w:abstractNumId w:val="21"/>
  </w:num>
  <w:num w:numId="16" w16cid:durableId="739330411">
    <w:abstractNumId w:val="16"/>
  </w:num>
  <w:num w:numId="17" w16cid:durableId="1082064914">
    <w:abstractNumId w:val="8"/>
  </w:num>
  <w:num w:numId="18" w16cid:durableId="380861040">
    <w:abstractNumId w:val="14"/>
  </w:num>
  <w:num w:numId="19" w16cid:durableId="2032487266">
    <w:abstractNumId w:val="15"/>
  </w:num>
  <w:num w:numId="20" w16cid:durableId="1182671056">
    <w:abstractNumId w:val="11"/>
  </w:num>
  <w:num w:numId="21" w16cid:durableId="179439977">
    <w:abstractNumId w:val="7"/>
  </w:num>
  <w:num w:numId="22" w16cid:durableId="1076367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12D3D"/>
    <w:rsid w:val="00012FE5"/>
    <w:rsid w:val="000134A4"/>
    <w:rsid w:val="00013E91"/>
    <w:rsid w:val="000156A1"/>
    <w:rsid w:val="00016FFD"/>
    <w:rsid w:val="00020D5B"/>
    <w:rsid w:val="000218C7"/>
    <w:rsid w:val="00022EE2"/>
    <w:rsid w:val="00025492"/>
    <w:rsid w:val="000439ED"/>
    <w:rsid w:val="00043DE3"/>
    <w:rsid w:val="00050D21"/>
    <w:rsid w:val="000514C9"/>
    <w:rsid w:val="00052BC0"/>
    <w:rsid w:val="00053336"/>
    <w:rsid w:val="00053762"/>
    <w:rsid w:val="0005397F"/>
    <w:rsid w:val="00054F05"/>
    <w:rsid w:val="000571BA"/>
    <w:rsid w:val="0005727C"/>
    <w:rsid w:val="00060BAC"/>
    <w:rsid w:val="00060EB6"/>
    <w:rsid w:val="00062B90"/>
    <w:rsid w:val="0006449C"/>
    <w:rsid w:val="000663F9"/>
    <w:rsid w:val="00070A96"/>
    <w:rsid w:val="00076B8E"/>
    <w:rsid w:val="00082587"/>
    <w:rsid w:val="00082832"/>
    <w:rsid w:val="00083721"/>
    <w:rsid w:val="0008397F"/>
    <w:rsid w:val="00086615"/>
    <w:rsid w:val="00097D5B"/>
    <w:rsid w:val="000A0038"/>
    <w:rsid w:val="000A341B"/>
    <w:rsid w:val="000A399E"/>
    <w:rsid w:val="000B0C91"/>
    <w:rsid w:val="000B2072"/>
    <w:rsid w:val="000B617A"/>
    <w:rsid w:val="000B66B9"/>
    <w:rsid w:val="000B6850"/>
    <w:rsid w:val="000B6893"/>
    <w:rsid w:val="000B7EA7"/>
    <w:rsid w:val="000C1DD9"/>
    <w:rsid w:val="000C268A"/>
    <w:rsid w:val="000C2F53"/>
    <w:rsid w:val="000D2101"/>
    <w:rsid w:val="000D376B"/>
    <w:rsid w:val="000D3E63"/>
    <w:rsid w:val="000D67B1"/>
    <w:rsid w:val="000E3C55"/>
    <w:rsid w:val="000E7DE5"/>
    <w:rsid w:val="000F0F8B"/>
    <w:rsid w:val="000F3DC5"/>
    <w:rsid w:val="000F4181"/>
    <w:rsid w:val="000F4D1B"/>
    <w:rsid w:val="00122152"/>
    <w:rsid w:val="00125E1D"/>
    <w:rsid w:val="0013092D"/>
    <w:rsid w:val="00133EB3"/>
    <w:rsid w:val="00133FAD"/>
    <w:rsid w:val="00134C75"/>
    <w:rsid w:val="001362DC"/>
    <w:rsid w:val="001362E2"/>
    <w:rsid w:val="001422F8"/>
    <w:rsid w:val="00144CAD"/>
    <w:rsid w:val="00145DC7"/>
    <w:rsid w:val="00146BD3"/>
    <w:rsid w:val="00151F0F"/>
    <w:rsid w:val="001533F1"/>
    <w:rsid w:val="00153B7C"/>
    <w:rsid w:val="001572F0"/>
    <w:rsid w:val="0016091E"/>
    <w:rsid w:val="0016111B"/>
    <w:rsid w:val="00163268"/>
    <w:rsid w:val="00164D67"/>
    <w:rsid w:val="00165536"/>
    <w:rsid w:val="00166585"/>
    <w:rsid w:val="00167E83"/>
    <w:rsid w:val="00172B70"/>
    <w:rsid w:val="00176548"/>
    <w:rsid w:val="00176F39"/>
    <w:rsid w:val="00180264"/>
    <w:rsid w:val="00180F64"/>
    <w:rsid w:val="001840BD"/>
    <w:rsid w:val="00184EBB"/>
    <w:rsid w:val="00195A7D"/>
    <w:rsid w:val="00195FA6"/>
    <w:rsid w:val="00196947"/>
    <w:rsid w:val="001A0DFD"/>
    <w:rsid w:val="001A55ED"/>
    <w:rsid w:val="001A627F"/>
    <w:rsid w:val="001B0236"/>
    <w:rsid w:val="001B3770"/>
    <w:rsid w:val="001B6ABA"/>
    <w:rsid w:val="001B7501"/>
    <w:rsid w:val="001B7B98"/>
    <w:rsid w:val="001C0AC9"/>
    <w:rsid w:val="001C4773"/>
    <w:rsid w:val="001E0008"/>
    <w:rsid w:val="001E281B"/>
    <w:rsid w:val="001E441F"/>
    <w:rsid w:val="001E6CE7"/>
    <w:rsid w:val="001F0AEF"/>
    <w:rsid w:val="001F3AA6"/>
    <w:rsid w:val="001F4A41"/>
    <w:rsid w:val="00201071"/>
    <w:rsid w:val="00201758"/>
    <w:rsid w:val="00206FAE"/>
    <w:rsid w:val="00211893"/>
    <w:rsid w:val="00216F90"/>
    <w:rsid w:val="00217B4E"/>
    <w:rsid w:val="002221F4"/>
    <w:rsid w:val="00223687"/>
    <w:rsid w:val="002238D1"/>
    <w:rsid w:val="0022700E"/>
    <w:rsid w:val="00230761"/>
    <w:rsid w:val="00231D86"/>
    <w:rsid w:val="0023211A"/>
    <w:rsid w:val="0023482B"/>
    <w:rsid w:val="00234A85"/>
    <w:rsid w:val="0024005C"/>
    <w:rsid w:val="00240934"/>
    <w:rsid w:val="002413E7"/>
    <w:rsid w:val="00244682"/>
    <w:rsid w:val="002456B3"/>
    <w:rsid w:val="0025766B"/>
    <w:rsid w:val="00265422"/>
    <w:rsid w:val="00272BD8"/>
    <w:rsid w:val="00274F9A"/>
    <w:rsid w:val="00280559"/>
    <w:rsid w:val="00285422"/>
    <w:rsid w:val="0028773B"/>
    <w:rsid w:val="0029226A"/>
    <w:rsid w:val="00296CE1"/>
    <w:rsid w:val="002A28B3"/>
    <w:rsid w:val="002A5137"/>
    <w:rsid w:val="002A5658"/>
    <w:rsid w:val="002B7815"/>
    <w:rsid w:val="002B78EF"/>
    <w:rsid w:val="002C4E5E"/>
    <w:rsid w:val="002C6124"/>
    <w:rsid w:val="002C7053"/>
    <w:rsid w:val="002D5AF3"/>
    <w:rsid w:val="002D6AEE"/>
    <w:rsid w:val="002E04A8"/>
    <w:rsid w:val="002E23BD"/>
    <w:rsid w:val="002E2486"/>
    <w:rsid w:val="002E3764"/>
    <w:rsid w:val="002E5D28"/>
    <w:rsid w:val="002E61E1"/>
    <w:rsid w:val="002E6AAD"/>
    <w:rsid w:val="003056BF"/>
    <w:rsid w:val="00307FE1"/>
    <w:rsid w:val="003107C9"/>
    <w:rsid w:val="00312A08"/>
    <w:rsid w:val="00312B44"/>
    <w:rsid w:val="00313A19"/>
    <w:rsid w:val="003143D7"/>
    <w:rsid w:val="00314795"/>
    <w:rsid w:val="00316214"/>
    <w:rsid w:val="003175DC"/>
    <w:rsid w:val="00317914"/>
    <w:rsid w:val="00330B12"/>
    <w:rsid w:val="00331768"/>
    <w:rsid w:val="0033737C"/>
    <w:rsid w:val="003441F2"/>
    <w:rsid w:val="003479DA"/>
    <w:rsid w:val="00352299"/>
    <w:rsid w:val="00357E93"/>
    <w:rsid w:val="0036576F"/>
    <w:rsid w:val="00365A54"/>
    <w:rsid w:val="0036738B"/>
    <w:rsid w:val="00372323"/>
    <w:rsid w:val="003742C7"/>
    <w:rsid w:val="00374996"/>
    <w:rsid w:val="00375BDD"/>
    <w:rsid w:val="003770BB"/>
    <w:rsid w:val="00377BE8"/>
    <w:rsid w:val="00380B5E"/>
    <w:rsid w:val="00383CD7"/>
    <w:rsid w:val="003851B2"/>
    <w:rsid w:val="00385D28"/>
    <w:rsid w:val="00387EC1"/>
    <w:rsid w:val="003936E9"/>
    <w:rsid w:val="00393DA3"/>
    <w:rsid w:val="003A1292"/>
    <w:rsid w:val="003A6609"/>
    <w:rsid w:val="003A7673"/>
    <w:rsid w:val="003B1417"/>
    <w:rsid w:val="003B262F"/>
    <w:rsid w:val="003B7FBB"/>
    <w:rsid w:val="003C4EB4"/>
    <w:rsid w:val="003C4EC7"/>
    <w:rsid w:val="003C54A4"/>
    <w:rsid w:val="003D7242"/>
    <w:rsid w:val="003F1DEB"/>
    <w:rsid w:val="003F34A2"/>
    <w:rsid w:val="003F3A2E"/>
    <w:rsid w:val="00405753"/>
    <w:rsid w:val="00407FD7"/>
    <w:rsid w:val="00410E1A"/>
    <w:rsid w:val="004114F9"/>
    <w:rsid w:val="00413E14"/>
    <w:rsid w:val="004154DF"/>
    <w:rsid w:val="00415F0B"/>
    <w:rsid w:val="00422E53"/>
    <w:rsid w:val="0042410A"/>
    <w:rsid w:val="00425FC7"/>
    <w:rsid w:val="00427300"/>
    <w:rsid w:val="00430EE8"/>
    <w:rsid w:val="00436902"/>
    <w:rsid w:val="00442303"/>
    <w:rsid w:val="0044441A"/>
    <w:rsid w:val="00453791"/>
    <w:rsid w:val="00454E37"/>
    <w:rsid w:val="00461524"/>
    <w:rsid w:val="00463C81"/>
    <w:rsid w:val="00467D2A"/>
    <w:rsid w:val="00473328"/>
    <w:rsid w:val="00473B5B"/>
    <w:rsid w:val="00473D34"/>
    <w:rsid w:val="0047423B"/>
    <w:rsid w:val="004760D9"/>
    <w:rsid w:val="00480338"/>
    <w:rsid w:val="004838A0"/>
    <w:rsid w:val="00491E69"/>
    <w:rsid w:val="00497567"/>
    <w:rsid w:val="004A013F"/>
    <w:rsid w:val="004A15E1"/>
    <w:rsid w:val="004A1D75"/>
    <w:rsid w:val="004A21AF"/>
    <w:rsid w:val="004A220B"/>
    <w:rsid w:val="004A258F"/>
    <w:rsid w:val="004A42C1"/>
    <w:rsid w:val="004A4791"/>
    <w:rsid w:val="004A657B"/>
    <w:rsid w:val="004A785E"/>
    <w:rsid w:val="004B0993"/>
    <w:rsid w:val="004B484E"/>
    <w:rsid w:val="004C03F4"/>
    <w:rsid w:val="004C469B"/>
    <w:rsid w:val="004C600A"/>
    <w:rsid w:val="004C6D4E"/>
    <w:rsid w:val="004D4109"/>
    <w:rsid w:val="004E49F8"/>
    <w:rsid w:val="004E4FE7"/>
    <w:rsid w:val="004E5432"/>
    <w:rsid w:val="004F10E7"/>
    <w:rsid w:val="004F39AF"/>
    <w:rsid w:val="004F5B0F"/>
    <w:rsid w:val="004F6175"/>
    <w:rsid w:val="004F68FE"/>
    <w:rsid w:val="00501D6C"/>
    <w:rsid w:val="005020D7"/>
    <w:rsid w:val="00507497"/>
    <w:rsid w:val="00511DA1"/>
    <w:rsid w:val="005126FD"/>
    <w:rsid w:val="00520121"/>
    <w:rsid w:val="00521BB4"/>
    <w:rsid w:val="00522B74"/>
    <w:rsid w:val="00524C8A"/>
    <w:rsid w:val="005253F2"/>
    <w:rsid w:val="005260FA"/>
    <w:rsid w:val="005269CF"/>
    <w:rsid w:val="00526FE4"/>
    <w:rsid w:val="005328C5"/>
    <w:rsid w:val="00534087"/>
    <w:rsid w:val="005363CC"/>
    <w:rsid w:val="00540556"/>
    <w:rsid w:val="00540599"/>
    <w:rsid w:val="00546954"/>
    <w:rsid w:val="00547A28"/>
    <w:rsid w:val="00552063"/>
    <w:rsid w:val="00555157"/>
    <w:rsid w:val="0056211B"/>
    <w:rsid w:val="0056239F"/>
    <w:rsid w:val="00563BC8"/>
    <w:rsid w:val="00566BA2"/>
    <w:rsid w:val="00567D73"/>
    <w:rsid w:val="00571C72"/>
    <w:rsid w:val="00572C77"/>
    <w:rsid w:val="00582894"/>
    <w:rsid w:val="00584E84"/>
    <w:rsid w:val="00591CA6"/>
    <w:rsid w:val="00595C95"/>
    <w:rsid w:val="00597390"/>
    <w:rsid w:val="005A7386"/>
    <w:rsid w:val="005A7C10"/>
    <w:rsid w:val="005B3320"/>
    <w:rsid w:val="005B3D53"/>
    <w:rsid w:val="005C22F1"/>
    <w:rsid w:val="005D273E"/>
    <w:rsid w:val="005D63A3"/>
    <w:rsid w:val="005E38A1"/>
    <w:rsid w:val="005E4A04"/>
    <w:rsid w:val="005E4D94"/>
    <w:rsid w:val="005E66BF"/>
    <w:rsid w:val="005E66EC"/>
    <w:rsid w:val="005F2CB0"/>
    <w:rsid w:val="005F3E94"/>
    <w:rsid w:val="005F43E1"/>
    <w:rsid w:val="005F63D2"/>
    <w:rsid w:val="006043C0"/>
    <w:rsid w:val="00605145"/>
    <w:rsid w:val="0060562F"/>
    <w:rsid w:val="006070EF"/>
    <w:rsid w:val="00610FBA"/>
    <w:rsid w:val="00620246"/>
    <w:rsid w:val="0062077C"/>
    <w:rsid w:val="00624521"/>
    <w:rsid w:val="00630223"/>
    <w:rsid w:val="00632853"/>
    <w:rsid w:val="006353F3"/>
    <w:rsid w:val="00636273"/>
    <w:rsid w:val="00637F73"/>
    <w:rsid w:val="00640657"/>
    <w:rsid w:val="006426DC"/>
    <w:rsid w:val="00643546"/>
    <w:rsid w:val="006440E7"/>
    <w:rsid w:val="00646460"/>
    <w:rsid w:val="00653F74"/>
    <w:rsid w:val="00663C54"/>
    <w:rsid w:val="00670429"/>
    <w:rsid w:val="00672ED8"/>
    <w:rsid w:val="00673995"/>
    <w:rsid w:val="00677324"/>
    <w:rsid w:val="006803A1"/>
    <w:rsid w:val="006824FC"/>
    <w:rsid w:val="00686B78"/>
    <w:rsid w:val="00690BBA"/>
    <w:rsid w:val="0069151A"/>
    <w:rsid w:val="006958A0"/>
    <w:rsid w:val="006A2976"/>
    <w:rsid w:val="006A61F9"/>
    <w:rsid w:val="006A7B0F"/>
    <w:rsid w:val="006B00B0"/>
    <w:rsid w:val="006B0BCC"/>
    <w:rsid w:val="006C08B4"/>
    <w:rsid w:val="006C0C68"/>
    <w:rsid w:val="006D00A0"/>
    <w:rsid w:val="006F087E"/>
    <w:rsid w:val="006F1792"/>
    <w:rsid w:val="006F27E2"/>
    <w:rsid w:val="006F565C"/>
    <w:rsid w:val="0070458D"/>
    <w:rsid w:val="00711C73"/>
    <w:rsid w:val="00721A34"/>
    <w:rsid w:val="00721E9C"/>
    <w:rsid w:val="00724451"/>
    <w:rsid w:val="007255AE"/>
    <w:rsid w:val="00725C08"/>
    <w:rsid w:val="00727433"/>
    <w:rsid w:val="00727519"/>
    <w:rsid w:val="00727D0C"/>
    <w:rsid w:val="00736138"/>
    <w:rsid w:val="00737412"/>
    <w:rsid w:val="00746EA4"/>
    <w:rsid w:val="007513D4"/>
    <w:rsid w:val="00757AD9"/>
    <w:rsid w:val="00765D76"/>
    <w:rsid w:val="00766AAF"/>
    <w:rsid w:val="00771C9E"/>
    <w:rsid w:val="007816AC"/>
    <w:rsid w:val="00782499"/>
    <w:rsid w:val="00782AE8"/>
    <w:rsid w:val="00782CFB"/>
    <w:rsid w:val="0078493E"/>
    <w:rsid w:val="007869B6"/>
    <w:rsid w:val="00793C9F"/>
    <w:rsid w:val="007951B7"/>
    <w:rsid w:val="00796AEF"/>
    <w:rsid w:val="00797408"/>
    <w:rsid w:val="00797B71"/>
    <w:rsid w:val="007A7993"/>
    <w:rsid w:val="007B4723"/>
    <w:rsid w:val="007B6A44"/>
    <w:rsid w:val="007C4E9B"/>
    <w:rsid w:val="007C7507"/>
    <w:rsid w:val="007D2CC5"/>
    <w:rsid w:val="007E39FB"/>
    <w:rsid w:val="007E41E5"/>
    <w:rsid w:val="007E75A8"/>
    <w:rsid w:val="007E779F"/>
    <w:rsid w:val="007F2939"/>
    <w:rsid w:val="007F462E"/>
    <w:rsid w:val="008006E5"/>
    <w:rsid w:val="00802D23"/>
    <w:rsid w:val="0080404E"/>
    <w:rsid w:val="00804731"/>
    <w:rsid w:val="008050A8"/>
    <w:rsid w:val="00813998"/>
    <w:rsid w:val="00816A6F"/>
    <w:rsid w:val="00821810"/>
    <w:rsid w:val="0082688B"/>
    <w:rsid w:val="008325DF"/>
    <w:rsid w:val="00833161"/>
    <w:rsid w:val="00833630"/>
    <w:rsid w:val="00834FCF"/>
    <w:rsid w:val="00844C54"/>
    <w:rsid w:val="00845F7B"/>
    <w:rsid w:val="008535F8"/>
    <w:rsid w:val="00857187"/>
    <w:rsid w:val="00861097"/>
    <w:rsid w:val="0086168A"/>
    <w:rsid w:val="00867D1C"/>
    <w:rsid w:val="00874FEA"/>
    <w:rsid w:val="00882132"/>
    <w:rsid w:val="008825B4"/>
    <w:rsid w:val="0088768A"/>
    <w:rsid w:val="008936EA"/>
    <w:rsid w:val="00897A50"/>
    <w:rsid w:val="008A2809"/>
    <w:rsid w:val="008A3657"/>
    <w:rsid w:val="008A6C70"/>
    <w:rsid w:val="008B1AC9"/>
    <w:rsid w:val="008B2C5A"/>
    <w:rsid w:val="008B46DC"/>
    <w:rsid w:val="008B491F"/>
    <w:rsid w:val="008C1E25"/>
    <w:rsid w:val="008C7044"/>
    <w:rsid w:val="008C70C7"/>
    <w:rsid w:val="008D08B9"/>
    <w:rsid w:val="008D25EB"/>
    <w:rsid w:val="008D44D7"/>
    <w:rsid w:val="008E4DA2"/>
    <w:rsid w:val="008E567F"/>
    <w:rsid w:val="008E6C04"/>
    <w:rsid w:val="008E6C93"/>
    <w:rsid w:val="008F0747"/>
    <w:rsid w:val="008F177B"/>
    <w:rsid w:val="008F49E4"/>
    <w:rsid w:val="008F6DB1"/>
    <w:rsid w:val="00901419"/>
    <w:rsid w:val="00901979"/>
    <w:rsid w:val="009033A7"/>
    <w:rsid w:val="00904BA5"/>
    <w:rsid w:val="00912706"/>
    <w:rsid w:val="0091379E"/>
    <w:rsid w:val="00913C45"/>
    <w:rsid w:val="00921CC4"/>
    <w:rsid w:val="00926241"/>
    <w:rsid w:val="0092730A"/>
    <w:rsid w:val="0093442D"/>
    <w:rsid w:val="0094016D"/>
    <w:rsid w:val="0094184B"/>
    <w:rsid w:val="00946A38"/>
    <w:rsid w:val="00950E3D"/>
    <w:rsid w:val="00953434"/>
    <w:rsid w:val="00960818"/>
    <w:rsid w:val="00964D96"/>
    <w:rsid w:val="009653CD"/>
    <w:rsid w:val="00984F70"/>
    <w:rsid w:val="009909A8"/>
    <w:rsid w:val="0099141A"/>
    <w:rsid w:val="009919DD"/>
    <w:rsid w:val="009922AD"/>
    <w:rsid w:val="00993F13"/>
    <w:rsid w:val="00997902"/>
    <w:rsid w:val="009A01E9"/>
    <w:rsid w:val="009A368D"/>
    <w:rsid w:val="009B0B50"/>
    <w:rsid w:val="009B1154"/>
    <w:rsid w:val="009C1FA6"/>
    <w:rsid w:val="009C3D64"/>
    <w:rsid w:val="009C68D4"/>
    <w:rsid w:val="009C6BF9"/>
    <w:rsid w:val="009D4283"/>
    <w:rsid w:val="009D6FB9"/>
    <w:rsid w:val="009D76B0"/>
    <w:rsid w:val="009E2CDA"/>
    <w:rsid w:val="009E3B6F"/>
    <w:rsid w:val="009E5351"/>
    <w:rsid w:val="009F01EA"/>
    <w:rsid w:val="009F28EE"/>
    <w:rsid w:val="009F290F"/>
    <w:rsid w:val="009F40AC"/>
    <w:rsid w:val="009F5343"/>
    <w:rsid w:val="009F660F"/>
    <w:rsid w:val="009F6688"/>
    <w:rsid w:val="00A0000B"/>
    <w:rsid w:val="00A0292E"/>
    <w:rsid w:val="00A0299C"/>
    <w:rsid w:val="00A0436B"/>
    <w:rsid w:val="00A04D06"/>
    <w:rsid w:val="00A10CFE"/>
    <w:rsid w:val="00A10F80"/>
    <w:rsid w:val="00A11611"/>
    <w:rsid w:val="00A12AB3"/>
    <w:rsid w:val="00A1607E"/>
    <w:rsid w:val="00A17AD0"/>
    <w:rsid w:val="00A205DA"/>
    <w:rsid w:val="00A237B2"/>
    <w:rsid w:val="00A24AAE"/>
    <w:rsid w:val="00A27679"/>
    <w:rsid w:val="00A30E6C"/>
    <w:rsid w:val="00A3496B"/>
    <w:rsid w:val="00A36811"/>
    <w:rsid w:val="00A42137"/>
    <w:rsid w:val="00A42370"/>
    <w:rsid w:val="00A450D3"/>
    <w:rsid w:val="00A456A0"/>
    <w:rsid w:val="00A54FEB"/>
    <w:rsid w:val="00A6225F"/>
    <w:rsid w:val="00A72741"/>
    <w:rsid w:val="00A72FE3"/>
    <w:rsid w:val="00A75C41"/>
    <w:rsid w:val="00A77A27"/>
    <w:rsid w:val="00A80B51"/>
    <w:rsid w:val="00A83219"/>
    <w:rsid w:val="00A8493B"/>
    <w:rsid w:val="00A8521B"/>
    <w:rsid w:val="00A86F43"/>
    <w:rsid w:val="00A926B5"/>
    <w:rsid w:val="00A95831"/>
    <w:rsid w:val="00A963C5"/>
    <w:rsid w:val="00A97FD2"/>
    <w:rsid w:val="00AA28FC"/>
    <w:rsid w:val="00AA602F"/>
    <w:rsid w:val="00AA73C8"/>
    <w:rsid w:val="00AA7CAF"/>
    <w:rsid w:val="00AB0640"/>
    <w:rsid w:val="00AB3E7E"/>
    <w:rsid w:val="00AB4CDB"/>
    <w:rsid w:val="00AC2299"/>
    <w:rsid w:val="00AC59F4"/>
    <w:rsid w:val="00AC7469"/>
    <w:rsid w:val="00AD2B94"/>
    <w:rsid w:val="00AD2DE7"/>
    <w:rsid w:val="00AD4072"/>
    <w:rsid w:val="00AD50C0"/>
    <w:rsid w:val="00AE0DD3"/>
    <w:rsid w:val="00AE1E01"/>
    <w:rsid w:val="00AE3D40"/>
    <w:rsid w:val="00AE4BD7"/>
    <w:rsid w:val="00AF21FB"/>
    <w:rsid w:val="00AF2524"/>
    <w:rsid w:val="00AF2C82"/>
    <w:rsid w:val="00AF3779"/>
    <w:rsid w:val="00AF4B73"/>
    <w:rsid w:val="00B04444"/>
    <w:rsid w:val="00B05ADC"/>
    <w:rsid w:val="00B14676"/>
    <w:rsid w:val="00B20D6C"/>
    <w:rsid w:val="00B23AD9"/>
    <w:rsid w:val="00B2421C"/>
    <w:rsid w:val="00B24CE6"/>
    <w:rsid w:val="00B30E60"/>
    <w:rsid w:val="00B32A47"/>
    <w:rsid w:val="00B33EA8"/>
    <w:rsid w:val="00B35F72"/>
    <w:rsid w:val="00B3612B"/>
    <w:rsid w:val="00B4054B"/>
    <w:rsid w:val="00B41F9F"/>
    <w:rsid w:val="00B42506"/>
    <w:rsid w:val="00B43FAF"/>
    <w:rsid w:val="00B46FA0"/>
    <w:rsid w:val="00B5044E"/>
    <w:rsid w:val="00B535F0"/>
    <w:rsid w:val="00B5571D"/>
    <w:rsid w:val="00B67263"/>
    <w:rsid w:val="00B71A5D"/>
    <w:rsid w:val="00B71C08"/>
    <w:rsid w:val="00B77D6F"/>
    <w:rsid w:val="00B83792"/>
    <w:rsid w:val="00B84331"/>
    <w:rsid w:val="00B86659"/>
    <w:rsid w:val="00B92B87"/>
    <w:rsid w:val="00B93207"/>
    <w:rsid w:val="00B93B89"/>
    <w:rsid w:val="00B9613E"/>
    <w:rsid w:val="00B977CC"/>
    <w:rsid w:val="00BA1F74"/>
    <w:rsid w:val="00BC22AA"/>
    <w:rsid w:val="00BC52F8"/>
    <w:rsid w:val="00BC68CD"/>
    <w:rsid w:val="00BD00D4"/>
    <w:rsid w:val="00BD1C98"/>
    <w:rsid w:val="00BD2A07"/>
    <w:rsid w:val="00BD4435"/>
    <w:rsid w:val="00BD5602"/>
    <w:rsid w:val="00BD5637"/>
    <w:rsid w:val="00BD641E"/>
    <w:rsid w:val="00BE1FD2"/>
    <w:rsid w:val="00BE6676"/>
    <w:rsid w:val="00BF5F47"/>
    <w:rsid w:val="00BF6204"/>
    <w:rsid w:val="00C022A5"/>
    <w:rsid w:val="00C12DF8"/>
    <w:rsid w:val="00C14D7D"/>
    <w:rsid w:val="00C20041"/>
    <w:rsid w:val="00C20D4E"/>
    <w:rsid w:val="00C227F7"/>
    <w:rsid w:val="00C272C7"/>
    <w:rsid w:val="00C32D32"/>
    <w:rsid w:val="00C34F12"/>
    <w:rsid w:val="00C40C8A"/>
    <w:rsid w:val="00C4348E"/>
    <w:rsid w:val="00C526F7"/>
    <w:rsid w:val="00C542D7"/>
    <w:rsid w:val="00C57A73"/>
    <w:rsid w:val="00C632B0"/>
    <w:rsid w:val="00C6653E"/>
    <w:rsid w:val="00C677DA"/>
    <w:rsid w:val="00C70FC5"/>
    <w:rsid w:val="00C73873"/>
    <w:rsid w:val="00C81604"/>
    <w:rsid w:val="00C8257E"/>
    <w:rsid w:val="00C8452D"/>
    <w:rsid w:val="00C86113"/>
    <w:rsid w:val="00C8623C"/>
    <w:rsid w:val="00C86418"/>
    <w:rsid w:val="00C901D1"/>
    <w:rsid w:val="00C90AEA"/>
    <w:rsid w:val="00C91873"/>
    <w:rsid w:val="00C93E1C"/>
    <w:rsid w:val="00C96DAA"/>
    <w:rsid w:val="00C97B52"/>
    <w:rsid w:val="00CA0C41"/>
    <w:rsid w:val="00CA2686"/>
    <w:rsid w:val="00CA4581"/>
    <w:rsid w:val="00CA571C"/>
    <w:rsid w:val="00CA7CA3"/>
    <w:rsid w:val="00CB3960"/>
    <w:rsid w:val="00CB7271"/>
    <w:rsid w:val="00CC5E5D"/>
    <w:rsid w:val="00CC5F32"/>
    <w:rsid w:val="00CC7CB5"/>
    <w:rsid w:val="00CD190E"/>
    <w:rsid w:val="00CD2957"/>
    <w:rsid w:val="00CD36FF"/>
    <w:rsid w:val="00CE2984"/>
    <w:rsid w:val="00CE3C68"/>
    <w:rsid w:val="00CE5B8F"/>
    <w:rsid w:val="00CE627C"/>
    <w:rsid w:val="00CF20FE"/>
    <w:rsid w:val="00CF3FA0"/>
    <w:rsid w:val="00D061C0"/>
    <w:rsid w:val="00D074B3"/>
    <w:rsid w:val="00D0766F"/>
    <w:rsid w:val="00D13814"/>
    <w:rsid w:val="00D211A3"/>
    <w:rsid w:val="00D24F25"/>
    <w:rsid w:val="00D2662B"/>
    <w:rsid w:val="00D27426"/>
    <w:rsid w:val="00D340B1"/>
    <w:rsid w:val="00D354E1"/>
    <w:rsid w:val="00D357B5"/>
    <w:rsid w:val="00D3678B"/>
    <w:rsid w:val="00D40C2D"/>
    <w:rsid w:val="00D42EBA"/>
    <w:rsid w:val="00D43E06"/>
    <w:rsid w:val="00D4468F"/>
    <w:rsid w:val="00D45584"/>
    <w:rsid w:val="00D54D4C"/>
    <w:rsid w:val="00D5691E"/>
    <w:rsid w:val="00D56D99"/>
    <w:rsid w:val="00D57DAC"/>
    <w:rsid w:val="00D6127B"/>
    <w:rsid w:val="00D617AF"/>
    <w:rsid w:val="00D62F60"/>
    <w:rsid w:val="00D644B4"/>
    <w:rsid w:val="00D7459F"/>
    <w:rsid w:val="00D7754F"/>
    <w:rsid w:val="00D778A8"/>
    <w:rsid w:val="00D82431"/>
    <w:rsid w:val="00D846D3"/>
    <w:rsid w:val="00D9015B"/>
    <w:rsid w:val="00D90EC1"/>
    <w:rsid w:val="00D920FF"/>
    <w:rsid w:val="00D940F3"/>
    <w:rsid w:val="00D94780"/>
    <w:rsid w:val="00D961D8"/>
    <w:rsid w:val="00D97361"/>
    <w:rsid w:val="00DA0B06"/>
    <w:rsid w:val="00DA1EF6"/>
    <w:rsid w:val="00DA25A9"/>
    <w:rsid w:val="00DA4F0D"/>
    <w:rsid w:val="00DA7C1F"/>
    <w:rsid w:val="00DA7E19"/>
    <w:rsid w:val="00DB4CD9"/>
    <w:rsid w:val="00DB577F"/>
    <w:rsid w:val="00DB6736"/>
    <w:rsid w:val="00DC0551"/>
    <w:rsid w:val="00DC1672"/>
    <w:rsid w:val="00DC17F0"/>
    <w:rsid w:val="00DC681A"/>
    <w:rsid w:val="00DD00F5"/>
    <w:rsid w:val="00DD1536"/>
    <w:rsid w:val="00DD6440"/>
    <w:rsid w:val="00DD6D41"/>
    <w:rsid w:val="00DD74FB"/>
    <w:rsid w:val="00DE162E"/>
    <w:rsid w:val="00DE50F8"/>
    <w:rsid w:val="00DE662C"/>
    <w:rsid w:val="00DF61BC"/>
    <w:rsid w:val="00DF7D2C"/>
    <w:rsid w:val="00E10BD2"/>
    <w:rsid w:val="00E1723C"/>
    <w:rsid w:val="00E205EC"/>
    <w:rsid w:val="00E21596"/>
    <w:rsid w:val="00E21988"/>
    <w:rsid w:val="00E22A3D"/>
    <w:rsid w:val="00E23DE2"/>
    <w:rsid w:val="00E3178B"/>
    <w:rsid w:val="00E32677"/>
    <w:rsid w:val="00E3564F"/>
    <w:rsid w:val="00E43544"/>
    <w:rsid w:val="00E457AC"/>
    <w:rsid w:val="00E4777C"/>
    <w:rsid w:val="00E47F27"/>
    <w:rsid w:val="00E5154F"/>
    <w:rsid w:val="00E51985"/>
    <w:rsid w:val="00E520AB"/>
    <w:rsid w:val="00E52A11"/>
    <w:rsid w:val="00E53924"/>
    <w:rsid w:val="00E54083"/>
    <w:rsid w:val="00E54776"/>
    <w:rsid w:val="00E550FB"/>
    <w:rsid w:val="00E564D8"/>
    <w:rsid w:val="00E56895"/>
    <w:rsid w:val="00E57929"/>
    <w:rsid w:val="00E6034D"/>
    <w:rsid w:val="00E671B2"/>
    <w:rsid w:val="00E67568"/>
    <w:rsid w:val="00E67EE0"/>
    <w:rsid w:val="00E70DE2"/>
    <w:rsid w:val="00E71D6C"/>
    <w:rsid w:val="00E721F0"/>
    <w:rsid w:val="00E72B8B"/>
    <w:rsid w:val="00E73DEA"/>
    <w:rsid w:val="00E7492B"/>
    <w:rsid w:val="00E82FB9"/>
    <w:rsid w:val="00E841F1"/>
    <w:rsid w:val="00E8747A"/>
    <w:rsid w:val="00E90201"/>
    <w:rsid w:val="00E97271"/>
    <w:rsid w:val="00EA32E8"/>
    <w:rsid w:val="00EA341B"/>
    <w:rsid w:val="00EA6941"/>
    <w:rsid w:val="00EB11CC"/>
    <w:rsid w:val="00EB70C5"/>
    <w:rsid w:val="00EC04B4"/>
    <w:rsid w:val="00EC33A7"/>
    <w:rsid w:val="00EC5281"/>
    <w:rsid w:val="00EC739B"/>
    <w:rsid w:val="00EE1640"/>
    <w:rsid w:val="00EF4E73"/>
    <w:rsid w:val="00EF5D70"/>
    <w:rsid w:val="00EF7289"/>
    <w:rsid w:val="00EF7301"/>
    <w:rsid w:val="00F1025A"/>
    <w:rsid w:val="00F10CDC"/>
    <w:rsid w:val="00F13701"/>
    <w:rsid w:val="00F13A64"/>
    <w:rsid w:val="00F22A89"/>
    <w:rsid w:val="00F23D49"/>
    <w:rsid w:val="00F2620F"/>
    <w:rsid w:val="00F30C06"/>
    <w:rsid w:val="00F33823"/>
    <w:rsid w:val="00F37E40"/>
    <w:rsid w:val="00F4126E"/>
    <w:rsid w:val="00F52BD0"/>
    <w:rsid w:val="00F54A2A"/>
    <w:rsid w:val="00F56EE5"/>
    <w:rsid w:val="00F61675"/>
    <w:rsid w:val="00F62514"/>
    <w:rsid w:val="00F62FA0"/>
    <w:rsid w:val="00F63BC5"/>
    <w:rsid w:val="00F64646"/>
    <w:rsid w:val="00F6707B"/>
    <w:rsid w:val="00F722FD"/>
    <w:rsid w:val="00F72400"/>
    <w:rsid w:val="00F73F77"/>
    <w:rsid w:val="00F741E7"/>
    <w:rsid w:val="00F80AA2"/>
    <w:rsid w:val="00F8185D"/>
    <w:rsid w:val="00F81EDD"/>
    <w:rsid w:val="00F834F2"/>
    <w:rsid w:val="00F84AA8"/>
    <w:rsid w:val="00F866C8"/>
    <w:rsid w:val="00F91A30"/>
    <w:rsid w:val="00F94375"/>
    <w:rsid w:val="00FA06AF"/>
    <w:rsid w:val="00FA5D33"/>
    <w:rsid w:val="00FB14A3"/>
    <w:rsid w:val="00FC009D"/>
    <w:rsid w:val="00FC0547"/>
    <w:rsid w:val="00FC1269"/>
    <w:rsid w:val="00FC30A4"/>
    <w:rsid w:val="00FC3945"/>
    <w:rsid w:val="00FC40C4"/>
    <w:rsid w:val="00FC5492"/>
    <w:rsid w:val="00FC65F0"/>
    <w:rsid w:val="00FC6EAF"/>
    <w:rsid w:val="00FD0EB4"/>
    <w:rsid w:val="00FD306A"/>
    <w:rsid w:val="00FD3F5C"/>
    <w:rsid w:val="00FE0859"/>
    <w:rsid w:val="00FE1929"/>
    <w:rsid w:val="00FE224A"/>
    <w:rsid w:val="00FE5D44"/>
    <w:rsid w:val="00FE755D"/>
    <w:rsid w:val="00FF26A9"/>
    <w:rsid w:val="00FF2F60"/>
    <w:rsid w:val="00FF534E"/>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A3"/>
    <w:rPr>
      <w:rFonts w:ascii="Times New Roman" w:eastAsia="Times New Roman" w:hAnsi="Times New Roman" w:cs="Times New Roman"/>
    </w:rPr>
  </w:style>
  <w:style w:type="paragraph" w:styleId="Heading1">
    <w:name w:val="heading 1"/>
    <w:basedOn w:val="Normal"/>
    <w:next w:val="Normal"/>
    <w:link w:val="Heading1Char"/>
    <w:uiPriority w:val="9"/>
    <w:qFormat/>
    <w:rsid w:val="001B37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B3770"/>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4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10537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2026-03-16T19:15:00Z</cp:lastPrinted>
  <dcterms:created xsi:type="dcterms:W3CDTF">2026-03-16T19:33:00Z</dcterms:created>
  <dcterms:modified xsi:type="dcterms:W3CDTF">2026-03-16T19:33:00Z</dcterms:modified>
</cp:coreProperties>
</file>