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91C4B" w14:textId="77777777" w:rsidR="00D65142" w:rsidRPr="00206650" w:rsidRDefault="00D65142" w:rsidP="00D65142">
      <w:pPr>
        <w:jc w:val="center"/>
        <w:rPr>
          <w:rFonts w:ascii="Aptos" w:hAnsi="Aptos" w:cs="Times New Roman"/>
          <w:b/>
          <w:sz w:val="28"/>
          <w:szCs w:val="28"/>
        </w:rPr>
      </w:pPr>
      <w:r w:rsidRPr="00206650">
        <w:rPr>
          <w:rFonts w:ascii="Aptos" w:hAnsi="Aptos" w:cs="Times New Roman"/>
          <w:b/>
          <w:sz w:val="28"/>
          <w:szCs w:val="28"/>
        </w:rPr>
        <w:t>COMMONWEALTH OF MASSACHUSETTS</w:t>
      </w:r>
    </w:p>
    <w:p w14:paraId="0B6F5FDC" w14:textId="77777777" w:rsidR="00D65142" w:rsidRPr="00206650" w:rsidRDefault="00D65142" w:rsidP="00D65142">
      <w:pPr>
        <w:jc w:val="center"/>
        <w:rPr>
          <w:rFonts w:ascii="Aptos" w:hAnsi="Aptos" w:cs="Times New Roman"/>
          <w:b/>
          <w:sz w:val="28"/>
          <w:szCs w:val="28"/>
        </w:rPr>
      </w:pPr>
      <w:r w:rsidRPr="00206650">
        <w:rPr>
          <w:rFonts w:ascii="Aptos" w:hAnsi="Aptos" w:cs="Times New Roman"/>
          <w:b/>
          <w:sz w:val="28"/>
          <w:szCs w:val="28"/>
        </w:rPr>
        <w:t>DIVISION OF ADMINISTRATIVE LAW APPEALS</w:t>
      </w:r>
    </w:p>
    <w:p w14:paraId="4ABD4314" w14:textId="77777777" w:rsidR="00D65142" w:rsidRPr="00206650" w:rsidRDefault="00D65142" w:rsidP="00D65142">
      <w:pPr>
        <w:jc w:val="center"/>
        <w:rPr>
          <w:rFonts w:ascii="Aptos" w:hAnsi="Aptos" w:cs="Times New Roman"/>
          <w:b/>
          <w:sz w:val="28"/>
          <w:szCs w:val="28"/>
        </w:rPr>
      </w:pPr>
      <w:r w:rsidRPr="00206650">
        <w:rPr>
          <w:rFonts w:ascii="Aptos" w:hAnsi="Aptos" w:cs="Times New Roman"/>
          <w:b/>
          <w:sz w:val="28"/>
          <w:szCs w:val="28"/>
        </w:rPr>
        <w:t>BUREAU OF SPECIAL EDUCATION APPEALS</w:t>
      </w:r>
    </w:p>
    <w:p w14:paraId="59C32D08" w14:textId="4C21B73B" w:rsidR="00D65142" w:rsidRDefault="00D65142" w:rsidP="00D65142">
      <w:pPr>
        <w:pStyle w:val="NormalWeb"/>
        <w:tabs>
          <w:tab w:val="left" w:pos="3330"/>
        </w:tabs>
        <w:spacing w:after="0" w:afterAutospacing="0"/>
        <w:rPr>
          <w:rFonts w:ascii="Aptos" w:hAnsi="Aptos"/>
          <w:b/>
          <w:bCs/>
          <w:sz w:val="25"/>
          <w:szCs w:val="25"/>
        </w:rPr>
      </w:pPr>
      <w:r w:rsidRPr="00E4629F">
        <w:rPr>
          <w:rFonts w:ascii="Aptos" w:hAnsi="Aptos"/>
          <w:b/>
          <w:sz w:val="25"/>
          <w:szCs w:val="25"/>
        </w:rPr>
        <w:t>In Re</w:t>
      </w:r>
      <w:r w:rsidRPr="00E4629F">
        <w:rPr>
          <w:rFonts w:ascii="Aptos" w:hAnsi="Aptos"/>
          <w:sz w:val="25"/>
          <w:szCs w:val="25"/>
        </w:rPr>
        <w:t xml:space="preserve">:   </w:t>
      </w:r>
      <w:r w:rsidRPr="00E4629F">
        <w:rPr>
          <w:rFonts w:ascii="Aptos" w:hAnsi="Aptos"/>
          <w:b/>
          <w:bCs/>
          <w:sz w:val="25"/>
          <w:szCs w:val="25"/>
        </w:rPr>
        <w:t xml:space="preserve">Student &amp; </w:t>
      </w:r>
      <w:r>
        <w:rPr>
          <w:rFonts w:ascii="Aptos" w:hAnsi="Aptos"/>
          <w:b/>
          <w:bCs/>
          <w:sz w:val="25"/>
          <w:szCs w:val="25"/>
        </w:rPr>
        <w:t xml:space="preserve">Weston Public Schools </w:t>
      </w:r>
      <w:r>
        <w:rPr>
          <w:rFonts w:ascii="Aptos" w:hAnsi="Aptos"/>
          <w:b/>
          <w:bCs/>
          <w:sz w:val="25"/>
          <w:szCs w:val="25"/>
        </w:rPr>
        <w:tab/>
      </w:r>
      <w:r>
        <w:rPr>
          <w:rFonts w:ascii="Aptos" w:hAnsi="Aptos"/>
          <w:b/>
          <w:bCs/>
          <w:sz w:val="25"/>
          <w:szCs w:val="25"/>
        </w:rPr>
        <w:tab/>
      </w:r>
      <w:r>
        <w:rPr>
          <w:rFonts w:ascii="Aptos" w:hAnsi="Aptos"/>
          <w:b/>
          <w:bCs/>
          <w:sz w:val="25"/>
          <w:szCs w:val="25"/>
        </w:rPr>
        <w:tab/>
      </w:r>
      <w:r w:rsidRPr="00E4629F">
        <w:rPr>
          <w:rFonts w:ascii="Aptos" w:hAnsi="Aptos"/>
          <w:b/>
          <w:bCs/>
          <w:sz w:val="25"/>
          <w:szCs w:val="25"/>
        </w:rPr>
        <w:tab/>
        <w:t xml:space="preserve">        BSEA #</w:t>
      </w:r>
      <w:r>
        <w:rPr>
          <w:rFonts w:ascii="Aptos" w:hAnsi="Aptos"/>
          <w:b/>
          <w:bCs/>
          <w:sz w:val="25"/>
          <w:szCs w:val="25"/>
        </w:rPr>
        <w:t>2611563</w:t>
      </w:r>
    </w:p>
    <w:p w14:paraId="2FA372C9" w14:textId="77777777" w:rsidR="00D65142" w:rsidRPr="00E4629F" w:rsidRDefault="00D65142" w:rsidP="00D65142">
      <w:pPr>
        <w:tabs>
          <w:tab w:val="left" w:pos="3330"/>
        </w:tabs>
        <w:rPr>
          <w:rFonts w:ascii="Aptos" w:eastAsia="Times New Roman" w:hAnsi="Aptos" w:cs="Times New Roman"/>
          <w:b/>
          <w:color w:val="000000"/>
          <w:sz w:val="25"/>
          <w:szCs w:val="25"/>
        </w:rPr>
      </w:pPr>
    </w:p>
    <w:p w14:paraId="2C774B8F" w14:textId="77777777" w:rsidR="00D65142" w:rsidRPr="00E4629F" w:rsidRDefault="00D65142" w:rsidP="00D65142">
      <w:pPr>
        <w:shd w:val="clear" w:color="auto" w:fill="FFFFFF"/>
        <w:jc w:val="center"/>
        <w:rPr>
          <w:rFonts w:ascii="Aptos" w:eastAsia="Times New Roman" w:hAnsi="Aptos" w:cs="Times New Roman"/>
          <w:b/>
          <w:bCs/>
          <w:sz w:val="25"/>
          <w:szCs w:val="25"/>
          <w:u w:val="single"/>
        </w:rPr>
      </w:pPr>
      <w:r w:rsidRPr="00E4629F">
        <w:rPr>
          <w:rFonts w:ascii="Aptos" w:eastAsia="Times New Roman" w:hAnsi="Aptos" w:cs="Times New Roman"/>
          <w:b/>
          <w:bCs/>
          <w:sz w:val="25"/>
          <w:szCs w:val="25"/>
          <w:u w:val="single"/>
        </w:rPr>
        <w:t xml:space="preserve">RULING ON </w:t>
      </w:r>
      <w:r>
        <w:rPr>
          <w:rFonts w:ascii="Aptos" w:eastAsia="Times New Roman" w:hAnsi="Aptos" w:cs="Times New Roman"/>
          <w:b/>
          <w:bCs/>
          <w:sz w:val="25"/>
          <w:szCs w:val="25"/>
          <w:u w:val="single"/>
        </w:rPr>
        <w:t>THE DISTRICT’S</w:t>
      </w:r>
      <w:r w:rsidRPr="00E4629F">
        <w:rPr>
          <w:rFonts w:ascii="Aptos" w:eastAsia="Times New Roman" w:hAnsi="Aptos" w:cs="Times New Roman"/>
          <w:b/>
          <w:bCs/>
          <w:sz w:val="25"/>
          <w:szCs w:val="25"/>
          <w:u w:val="single"/>
        </w:rPr>
        <w:t xml:space="preserve"> MOTION TO DISMISS</w:t>
      </w:r>
    </w:p>
    <w:p w14:paraId="779A6BD0" w14:textId="77777777" w:rsidR="00D65142" w:rsidRPr="00E4629F" w:rsidRDefault="00D65142" w:rsidP="00D65142">
      <w:pPr>
        <w:shd w:val="clear" w:color="auto" w:fill="FFFFFF"/>
        <w:rPr>
          <w:rFonts w:ascii="Aptos" w:eastAsia="Times New Roman" w:hAnsi="Aptos" w:cs="Times New Roman"/>
          <w:sz w:val="25"/>
          <w:szCs w:val="25"/>
        </w:rPr>
      </w:pPr>
    </w:p>
    <w:p w14:paraId="7A26F39C" w14:textId="2090ADFB" w:rsidR="00D65142" w:rsidRPr="000370FF" w:rsidRDefault="00D65142" w:rsidP="00D65142">
      <w:pPr>
        <w:shd w:val="clear" w:color="auto" w:fill="FFFFFF"/>
        <w:rPr>
          <w:rFonts w:ascii="Aptos" w:hAnsi="Aptos" w:cs="Times New Roman"/>
          <w:color w:val="000000" w:themeColor="text1"/>
          <w:sz w:val="25"/>
          <w:szCs w:val="25"/>
        </w:rPr>
      </w:pPr>
      <w:r w:rsidRPr="000370FF">
        <w:rPr>
          <w:rFonts w:ascii="Aptos" w:eastAsia="Times New Roman" w:hAnsi="Aptos" w:cs="Times New Roman"/>
          <w:sz w:val="25"/>
          <w:szCs w:val="25"/>
        </w:rPr>
        <w:t xml:space="preserve">This matter comes before the Hearing Officer on the </w:t>
      </w:r>
      <w:r>
        <w:rPr>
          <w:rFonts w:ascii="Aptos" w:eastAsia="Times New Roman" w:hAnsi="Aptos" w:cs="Times New Roman"/>
          <w:sz w:val="25"/>
          <w:szCs w:val="25"/>
        </w:rPr>
        <w:t xml:space="preserve">Weston Public School District’s (District) </w:t>
      </w:r>
      <w:r>
        <w:rPr>
          <w:rFonts w:ascii="Aptos" w:eastAsia="Times New Roman" w:hAnsi="Aptos" w:cs="Times New Roman"/>
          <w:i/>
          <w:iCs/>
          <w:sz w:val="25"/>
          <w:szCs w:val="25"/>
        </w:rPr>
        <w:t xml:space="preserve">Motion and Memorandum of Law in Support of Weston Public School District’s Motion to Dismiss </w:t>
      </w:r>
      <w:r>
        <w:rPr>
          <w:rFonts w:ascii="Aptos" w:eastAsia="Times New Roman" w:hAnsi="Aptos" w:cs="Times New Roman"/>
          <w:sz w:val="25"/>
          <w:szCs w:val="25"/>
        </w:rPr>
        <w:t>(</w:t>
      </w:r>
      <w:r w:rsidRPr="00CC0C40">
        <w:rPr>
          <w:rFonts w:ascii="Aptos" w:eastAsia="Times New Roman" w:hAnsi="Aptos" w:cs="Times New Roman"/>
          <w:i/>
          <w:iCs/>
          <w:sz w:val="25"/>
          <w:szCs w:val="25"/>
        </w:rPr>
        <w:t>Motion</w:t>
      </w:r>
      <w:r>
        <w:rPr>
          <w:rFonts w:ascii="Aptos" w:eastAsia="Times New Roman" w:hAnsi="Aptos" w:cs="Times New Roman"/>
          <w:sz w:val="25"/>
          <w:szCs w:val="25"/>
        </w:rPr>
        <w:t>)</w:t>
      </w:r>
      <w:r w:rsidR="00A66114">
        <w:rPr>
          <w:rFonts w:ascii="Aptos" w:eastAsia="Times New Roman" w:hAnsi="Aptos" w:cs="Times New Roman"/>
          <w:sz w:val="25"/>
          <w:szCs w:val="25"/>
        </w:rPr>
        <w:t>,</w:t>
      </w:r>
      <w:r>
        <w:rPr>
          <w:rFonts w:ascii="Aptos" w:eastAsia="Times New Roman" w:hAnsi="Aptos" w:cs="Times New Roman"/>
          <w:sz w:val="25"/>
          <w:szCs w:val="25"/>
        </w:rPr>
        <w:t xml:space="preserve"> </w:t>
      </w:r>
      <w:r w:rsidRPr="000370FF">
        <w:rPr>
          <w:rFonts w:ascii="Aptos" w:eastAsia="Times New Roman" w:hAnsi="Aptos" w:cs="Times New Roman"/>
          <w:sz w:val="25"/>
          <w:szCs w:val="25"/>
        </w:rPr>
        <w:t xml:space="preserve">filed with the </w:t>
      </w:r>
      <w:r w:rsidR="006F43E0">
        <w:rPr>
          <w:rFonts w:ascii="Aptos" w:eastAsia="Times New Roman" w:hAnsi="Aptos" w:cs="Times New Roman"/>
          <w:sz w:val="25"/>
          <w:szCs w:val="25"/>
        </w:rPr>
        <w:t>Bureau of Special Education Appeals (</w:t>
      </w:r>
      <w:r w:rsidRPr="000370FF">
        <w:rPr>
          <w:rFonts w:ascii="Aptos" w:eastAsia="Times New Roman" w:hAnsi="Aptos" w:cs="Times New Roman"/>
          <w:sz w:val="25"/>
          <w:szCs w:val="25"/>
        </w:rPr>
        <w:t>BSEA</w:t>
      </w:r>
      <w:r w:rsidR="006F43E0">
        <w:rPr>
          <w:rFonts w:ascii="Aptos" w:eastAsia="Times New Roman" w:hAnsi="Aptos" w:cs="Times New Roman"/>
          <w:sz w:val="25"/>
          <w:szCs w:val="25"/>
        </w:rPr>
        <w:t>)</w:t>
      </w:r>
      <w:r w:rsidRPr="000370FF">
        <w:rPr>
          <w:rFonts w:ascii="Aptos" w:eastAsia="Times New Roman" w:hAnsi="Aptos" w:cs="Times New Roman"/>
          <w:sz w:val="25"/>
          <w:szCs w:val="25"/>
        </w:rPr>
        <w:t xml:space="preserve"> on </w:t>
      </w:r>
      <w:r>
        <w:rPr>
          <w:rFonts w:ascii="Aptos" w:eastAsia="Times New Roman" w:hAnsi="Aptos" w:cs="Times New Roman"/>
          <w:sz w:val="25"/>
          <w:szCs w:val="25"/>
        </w:rPr>
        <w:t>April 16, 2026.  On April 17, 2026</w:t>
      </w:r>
      <w:r>
        <w:rPr>
          <w:rStyle w:val="FootnoteReference"/>
          <w:rFonts w:ascii="Aptos" w:eastAsia="Times New Roman" w:hAnsi="Aptos" w:cs="Times New Roman"/>
          <w:sz w:val="25"/>
          <w:szCs w:val="25"/>
        </w:rPr>
        <w:footnoteReference w:id="1"/>
      </w:r>
      <w:r>
        <w:rPr>
          <w:rFonts w:ascii="Aptos" w:eastAsia="Times New Roman" w:hAnsi="Aptos" w:cs="Times New Roman"/>
          <w:sz w:val="25"/>
          <w:szCs w:val="25"/>
        </w:rPr>
        <w:t xml:space="preserve">, Parent filed </w:t>
      </w:r>
      <w:r>
        <w:rPr>
          <w:rFonts w:ascii="Aptos" w:eastAsia="Times New Roman" w:hAnsi="Aptos" w:cs="Times New Roman"/>
          <w:i/>
          <w:iCs/>
          <w:sz w:val="25"/>
          <w:szCs w:val="25"/>
        </w:rPr>
        <w:t xml:space="preserve">Parent’s Opposition to District’s Motion to Dismiss </w:t>
      </w:r>
      <w:r>
        <w:rPr>
          <w:rFonts w:ascii="Aptos" w:eastAsia="Times New Roman" w:hAnsi="Aptos" w:cs="Times New Roman"/>
          <w:sz w:val="25"/>
          <w:szCs w:val="25"/>
        </w:rPr>
        <w:t>(</w:t>
      </w:r>
      <w:r>
        <w:rPr>
          <w:rFonts w:ascii="Aptos" w:eastAsia="Times New Roman" w:hAnsi="Aptos" w:cs="Times New Roman"/>
          <w:i/>
          <w:iCs/>
          <w:sz w:val="25"/>
          <w:szCs w:val="25"/>
        </w:rPr>
        <w:t>Opposition</w:t>
      </w:r>
      <w:r>
        <w:rPr>
          <w:rFonts w:ascii="Aptos" w:eastAsia="Times New Roman" w:hAnsi="Aptos" w:cs="Times New Roman"/>
          <w:sz w:val="25"/>
          <w:szCs w:val="25"/>
        </w:rPr>
        <w:t xml:space="preserve">) as well as </w:t>
      </w:r>
      <w:r>
        <w:rPr>
          <w:rFonts w:ascii="Aptos" w:eastAsia="Times New Roman" w:hAnsi="Aptos" w:cs="Times New Roman"/>
          <w:i/>
          <w:iCs/>
          <w:sz w:val="25"/>
          <w:szCs w:val="25"/>
        </w:rPr>
        <w:t xml:space="preserve">Parent’s Supplemental Brief in Opposition to District’s Motion to Dismiss </w:t>
      </w:r>
      <w:r>
        <w:rPr>
          <w:rFonts w:ascii="Aptos" w:eastAsia="Times New Roman" w:hAnsi="Aptos" w:cs="Times New Roman"/>
          <w:sz w:val="25"/>
          <w:szCs w:val="25"/>
        </w:rPr>
        <w:t>(</w:t>
      </w:r>
      <w:r>
        <w:rPr>
          <w:rFonts w:ascii="Aptos" w:eastAsia="Times New Roman" w:hAnsi="Aptos" w:cs="Times New Roman"/>
          <w:i/>
          <w:iCs/>
          <w:sz w:val="25"/>
          <w:szCs w:val="25"/>
        </w:rPr>
        <w:t>Supplemental Opposition</w:t>
      </w:r>
      <w:r>
        <w:rPr>
          <w:rFonts w:ascii="Aptos" w:eastAsia="Times New Roman" w:hAnsi="Aptos" w:cs="Times New Roman"/>
          <w:sz w:val="25"/>
          <w:szCs w:val="25"/>
        </w:rPr>
        <w:t xml:space="preserve">) and </w:t>
      </w:r>
      <w:r>
        <w:rPr>
          <w:rFonts w:ascii="Aptos" w:eastAsia="Times New Roman" w:hAnsi="Aptos" w:cs="Times New Roman"/>
          <w:i/>
          <w:iCs/>
          <w:sz w:val="25"/>
          <w:szCs w:val="25"/>
        </w:rPr>
        <w:t>Parent’s Second Supplemental Brief:  Documentary Evidence of Coerced IEP Withdrawal in Further Opposition to District’s Motion to Dismiss</w:t>
      </w:r>
      <w:r>
        <w:rPr>
          <w:rFonts w:ascii="Aptos" w:eastAsia="Times New Roman" w:hAnsi="Aptos" w:cs="Times New Roman"/>
          <w:sz w:val="25"/>
          <w:szCs w:val="25"/>
        </w:rPr>
        <w:t xml:space="preserve"> (</w:t>
      </w:r>
      <w:r>
        <w:rPr>
          <w:rFonts w:ascii="Aptos" w:eastAsia="Times New Roman" w:hAnsi="Aptos" w:cs="Times New Roman"/>
          <w:i/>
          <w:iCs/>
          <w:sz w:val="25"/>
          <w:szCs w:val="25"/>
        </w:rPr>
        <w:t>Second Supplemental Opposition</w:t>
      </w:r>
      <w:r>
        <w:rPr>
          <w:rFonts w:ascii="Aptos" w:eastAsia="Times New Roman" w:hAnsi="Aptos" w:cs="Times New Roman"/>
          <w:sz w:val="25"/>
          <w:szCs w:val="25"/>
        </w:rPr>
        <w:t>)</w:t>
      </w:r>
      <w:r w:rsidR="00A66114">
        <w:rPr>
          <w:rFonts w:ascii="Aptos" w:eastAsia="Times New Roman" w:hAnsi="Aptos" w:cs="Times New Roman"/>
          <w:sz w:val="25"/>
          <w:szCs w:val="25"/>
        </w:rPr>
        <w:t>,</w:t>
      </w:r>
      <w:r>
        <w:rPr>
          <w:rFonts w:ascii="Aptos" w:eastAsia="Times New Roman" w:hAnsi="Aptos" w:cs="Times New Roman"/>
          <w:sz w:val="25"/>
          <w:szCs w:val="25"/>
        </w:rPr>
        <w:t xml:space="preserve"> with attached Exhibits A-E (hereinafter identified as P-A through and inclusive of P-E)</w:t>
      </w:r>
      <w:r w:rsidR="00781E9A">
        <w:rPr>
          <w:rFonts w:ascii="Aptos" w:eastAsia="Times New Roman" w:hAnsi="Aptos" w:cs="Times New Roman"/>
          <w:sz w:val="25"/>
          <w:szCs w:val="25"/>
        </w:rPr>
        <w:t xml:space="preserve"> (collectively </w:t>
      </w:r>
      <w:r w:rsidR="00781E9A">
        <w:rPr>
          <w:rFonts w:ascii="Aptos" w:eastAsia="Times New Roman" w:hAnsi="Aptos" w:cs="Times New Roman"/>
          <w:i/>
          <w:iCs/>
          <w:sz w:val="25"/>
          <w:szCs w:val="25"/>
        </w:rPr>
        <w:t>Opposition Pleadings</w:t>
      </w:r>
      <w:r w:rsidR="00781E9A">
        <w:rPr>
          <w:rFonts w:ascii="Aptos" w:eastAsia="Times New Roman" w:hAnsi="Aptos" w:cs="Times New Roman"/>
          <w:sz w:val="25"/>
          <w:szCs w:val="25"/>
        </w:rPr>
        <w:t>)</w:t>
      </w:r>
      <w:r>
        <w:rPr>
          <w:rFonts w:ascii="Aptos" w:eastAsia="Times New Roman" w:hAnsi="Aptos" w:cs="Times New Roman"/>
          <w:sz w:val="25"/>
          <w:szCs w:val="25"/>
        </w:rPr>
        <w:t xml:space="preserve">.  </w:t>
      </w:r>
      <w:r w:rsidRPr="000370FF">
        <w:rPr>
          <w:rFonts w:ascii="Aptos" w:hAnsi="Aptos" w:cs="Times New Roman"/>
          <w:color w:val="000000" w:themeColor="text1"/>
          <w:sz w:val="25"/>
          <w:szCs w:val="25"/>
        </w:rPr>
        <w:t xml:space="preserve">Neither party has requested a hearing on </w:t>
      </w:r>
      <w:r w:rsidRPr="000370FF">
        <w:rPr>
          <w:rFonts w:ascii="Aptos" w:eastAsia="Times New Roman" w:hAnsi="Aptos"/>
          <w:color w:val="000000" w:themeColor="text1"/>
          <w:sz w:val="25"/>
          <w:szCs w:val="25"/>
        </w:rPr>
        <w:t xml:space="preserve">the </w:t>
      </w:r>
      <w:r w:rsidRPr="000370FF">
        <w:rPr>
          <w:rFonts w:ascii="Aptos" w:eastAsia="Times New Roman" w:hAnsi="Aptos"/>
          <w:i/>
          <w:iCs/>
          <w:color w:val="000000" w:themeColor="text1"/>
          <w:sz w:val="25"/>
          <w:szCs w:val="25"/>
        </w:rPr>
        <w:t>Motion</w:t>
      </w:r>
      <w:r w:rsidRPr="000370FF">
        <w:rPr>
          <w:rFonts w:ascii="Aptos" w:hAnsi="Aptos" w:cs="Times New Roman"/>
          <w:color w:val="000000" w:themeColor="text1"/>
          <w:sz w:val="25"/>
          <w:szCs w:val="25"/>
        </w:rPr>
        <w:t>.</w:t>
      </w:r>
      <w:r>
        <w:rPr>
          <w:rFonts w:ascii="Aptos" w:hAnsi="Aptos" w:cs="Times New Roman"/>
          <w:color w:val="000000" w:themeColor="text1"/>
          <w:sz w:val="25"/>
          <w:szCs w:val="25"/>
        </w:rPr>
        <w:t xml:space="preserve">  </w:t>
      </w:r>
      <w:r w:rsidRPr="000370FF">
        <w:rPr>
          <w:rFonts w:ascii="Aptos" w:hAnsi="Aptos" w:cs="Times New Roman"/>
          <w:color w:val="000000" w:themeColor="text1"/>
          <w:sz w:val="25"/>
          <w:szCs w:val="25"/>
        </w:rPr>
        <w:t xml:space="preserve">Because neither testimony nor oral argument would advance the Hearing Officer's </w:t>
      </w:r>
      <w:r>
        <w:rPr>
          <w:rFonts w:ascii="Aptos" w:hAnsi="Aptos" w:cs="Times New Roman"/>
          <w:color w:val="000000" w:themeColor="text1"/>
          <w:sz w:val="25"/>
          <w:szCs w:val="25"/>
        </w:rPr>
        <w:t>u</w:t>
      </w:r>
      <w:r w:rsidRPr="000370FF">
        <w:rPr>
          <w:rFonts w:ascii="Aptos" w:hAnsi="Aptos" w:cs="Times New Roman"/>
          <w:color w:val="000000" w:themeColor="text1"/>
          <w:sz w:val="25"/>
          <w:szCs w:val="25"/>
        </w:rPr>
        <w:t xml:space="preserve">nderstanding of the issues involved, this Ruling is issued without hearing, </w:t>
      </w:r>
      <w:r w:rsidR="003107B4">
        <w:rPr>
          <w:rFonts w:ascii="Aptos" w:hAnsi="Aptos" w:cs="Times New Roman"/>
          <w:color w:val="000000" w:themeColor="text1"/>
          <w:sz w:val="25"/>
          <w:szCs w:val="25"/>
        </w:rPr>
        <w:t xml:space="preserve">pursuant to Rule VI(D) of the </w:t>
      </w:r>
      <w:r w:rsidR="003107B4">
        <w:rPr>
          <w:rFonts w:ascii="Aptos" w:hAnsi="Aptos" w:cs="Times New Roman"/>
          <w:i/>
          <w:iCs/>
          <w:color w:val="000000" w:themeColor="text1"/>
          <w:sz w:val="25"/>
          <w:szCs w:val="25"/>
        </w:rPr>
        <w:t>Hearing Rules for Special Education Appeals (Hearing Rules)</w:t>
      </w:r>
      <w:r w:rsidRPr="000370FF">
        <w:rPr>
          <w:rFonts w:ascii="Aptos" w:hAnsi="Aptos" w:cs="Times New Roman"/>
          <w:color w:val="000000" w:themeColor="text1"/>
          <w:sz w:val="25"/>
          <w:szCs w:val="25"/>
        </w:rPr>
        <w:t xml:space="preserve">.  </w:t>
      </w:r>
      <w:r w:rsidRPr="000370FF">
        <w:rPr>
          <w:rFonts w:ascii="Aptos" w:eastAsia="Times New Roman" w:hAnsi="Aptos" w:cs="Times New Roman"/>
          <w:sz w:val="25"/>
          <w:szCs w:val="25"/>
        </w:rPr>
        <w:t>For the reasons articulated</w:t>
      </w:r>
      <w:r w:rsidR="005F68C3">
        <w:rPr>
          <w:rFonts w:ascii="Aptos" w:eastAsia="Times New Roman" w:hAnsi="Aptos" w:cs="Times New Roman"/>
          <w:sz w:val="25"/>
          <w:szCs w:val="25"/>
        </w:rPr>
        <w:t xml:space="preserve"> </w:t>
      </w:r>
      <w:r w:rsidR="005F68C3" w:rsidRPr="005F68C3">
        <w:rPr>
          <w:rFonts w:ascii="Aptos" w:eastAsia="Times New Roman" w:hAnsi="Aptos" w:cs="Times New Roman"/>
          <w:i/>
          <w:iCs/>
          <w:sz w:val="25"/>
          <w:szCs w:val="25"/>
        </w:rPr>
        <w:t>infra</w:t>
      </w:r>
      <w:r w:rsidR="005F68C3">
        <w:rPr>
          <w:rFonts w:ascii="Aptos" w:eastAsia="Times New Roman" w:hAnsi="Aptos" w:cs="Times New Roman"/>
          <w:sz w:val="25"/>
          <w:szCs w:val="25"/>
        </w:rPr>
        <w:t>,</w:t>
      </w:r>
      <w:r w:rsidRPr="000370FF">
        <w:rPr>
          <w:rFonts w:ascii="Aptos" w:eastAsia="Times New Roman" w:hAnsi="Aptos" w:cs="Times New Roman"/>
          <w:sz w:val="25"/>
          <w:szCs w:val="25"/>
        </w:rPr>
        <w:t xml:space="preserve"> the </w:t>
      </w:r>
      <w:r>
        <w:rPr>
          <w:rFonts w:ascii="Aptos" w:eastAsia="Times New Roman" w:hAnsi="Aptos" w:cs="Times New Roman"/>
          <w:i/>
          <w:iCs/>
          <w:sz w:val="25"/>
          <w:szCs w:val="25"/>
        </w:rPr>
        <w:t xml:space="preserve">Motion </w:t>
      </w:r>
      <w:r>
        <w:rPr>
          <w:rFonts w:ascii="Aptos" w:eastAsia="Times New Roman" w:hAnsi="Aptos" w:cs="Times New Roman"/>
          <w:sz w:val="25"/>
          <w:szCs w:val="25"/>
        </w:rPr>
        <w:t xml:space="preserve">is </w:t>
      </w:r>
      <w:r>
        <w:rPr>
          <w:rFonts w:ascii="Aptos" w:eastAsia="Times New Roman" w:hAnsi="Aptos" w:cs="Times New Roman"/>
          <w:b/>
          <w:bCs/>
          <w:sz w:val="25"/>
          <w:szCs w:val="25"/>
        </w:rPr>
        <w:t>ALLOWED</w:t>
      </w:r>
      <w:r w:rsidRPr="000370FF">
        <w:rPr>
          <w:rFonts w:ascii="Aptos" w:eastAsia="Times New Roman" w:hAnsi="Aptos" w:cs="Times New Roman"/>
          <w:sz w:val="25"/>
          <w:szCs w:val="25"/>
        </w:rPr>
        <w:t xml:space="preserve">.  </w:t>
      </w:r>
    </w:p>
    <w:p w14:paraId="435C9AFD" w14:textId="77777777" w:rsidR="00D65142" w:rsidRPr="000370FF" w:rsidRDefault="00D65142" w:rsidP="00D65142">
      <w:pPr>
        <w:shd w:val="clear" w:color="auto" w:fill="FFFFFF"/>
        <w:rPr>
          <w:rFonts w:ascii="Aptos" w:eastAsia="Times New Roman" w:hAnsi="Aptos" w:cs="Times New Roman"/>
          <w:b/>
          <w:bCs/>
          <w:sz w:val="25"/>
          <w:szCs w:val="25"/>
        </w:rPr>
      </w:pPr>
    </w:p>
    <w:p w14:paraId="52B2A45D" w14:textId="77777777" w:rsidR="00D65142" w:rsidRPr="000370FF" w:rsidRDefault="00D65142" w:rsidP="00D65142">
      <w:pPr>
        <w:jc w:val="center"/>
        <w:rPr>
          <w:rFonts w:ascii="Aptos" w:eastAsia="Times New Roman" w:hAnsi="Aptos" w:cs="Times New Roman"/>
          <w:b/>
          <w:bCs/>
          <w:sz w:val="25"/>
          <w:szCs w:val="25"/>
        </w:rPr>
      </w:pPr>
      <w:r w:rsidRPr="000370FF">
        <w:rPr>
          <w:rFonts w:ascii="Aptos" w:eastAsia="Times New Roman" w:hAnsi="Aptos" w:cs="Times New Roman"/>
          <w:b/>
          <w:bCs/>
          <w:sz w:val="25"/>
          <w:szCs w:val="25"/>
        </w:rPr>
        <w:t>RELEVANT PROCEDURAL HISTORY</w:t>
      </w:r>
      <w:r>
        <w:rPr>
          <w:rFonts w:ascii="Aptos" w:eastAsia="Times New Roman" w:hAnsi="Aptos" w:cs="Times New Roman"/>
          <w:b/>
          <w:bCs/>
          <w:sz w:val="25"/>
          <w:szCs w:val="25"/>
        </w:rPr>
        <w:t xml:space="preserve"> AND </w:t>
      </w:r>
      <w:r w:rsidRPr="000370FF">
        <w:rPr>
          <w:rFonts w:ascii="Aptos" w:eastAsia="Times New Roman" w:hAnsi="Aptos" w:cs="Times New Roman"/>
          <w:b/>
          <w:bCs/>
          <w:sz w:val="25"/>
          <w:szCs w:val="25"/>
        </w:rPr>
        <w:t>FACTUAL BACKGROUND</w:t>
      </w:r>
      <w:r w:rsidRPr="000370FF">
        <w:rPr>
          <w:rStyle w:val="FootnoteReference"/>
          <w:rFonts w:ascii="Aptos" w:eastAsia="Times New Roman" w:hAnsi="Aptos" w:cs="Times New Roman"/>
          <w:b/>
          <w:bCs/>
          <w:sz w:val="25"/>
          <w:szCs w:val="25"/>
        </w:rPr>
        <w:footnoteReference w:id="2"/>
      </w:r>
    </w:p>
    <w:p w14:paraId="2A58766D" w14:textId="77777777" w:rsidR="00D65142" w:rsidRPr="000370FF" w:rsidRDefault="00D65142" w:rsidP="00D65142">
      <w:pPr>
        <w:shd w:val="clear" w:color="auto" w:fill="FFFFFF"/>
        <w:jc w:val="center"/>
        <w:rPr>
          <w:rFonts w:ascii="Aptos" w:eastAsia="Times New Roman" w:hAnsi="Aptos" w:cs="Times New Roman"/>
          <w:sz w:val="25"/>
          <w:szCs w:val="25"/>
        </w:rPr>
      </w:pPr>
    </w:p>
    <w:p w14:paraId="2197C2D8" w14:textId="2803E0CD" w:rsidR="00D65142" w:rsidRDefault="00D65142" w:rsidP="00D65142">
      <w:pPr>
        <w:rPr>
          <w:rFonts w:ascii="Aptos" w:hAnsi="Aptos" w:cs="Times New Roman"/>
          <w:sz w:val="25"/>
          <w:szCs w:val="25"/>
        </w:rPr>
      </w:pPr>
      <w:r w:rsidRPr="000370FF">
        <w:rPr>
          <w:rFonts w:ascii="Aptos" w:hAnsi="Aptos" w:cs="Times New Roman"/>
          <w:sz w:val="25"/>
          <w:szCs w:val="25"/>
        </w:rPr>
        <w:t>On</w:t>
      </w:r>
      <w:r>
        <w:rPr>
          <w:rFonts w:ascii="Aptos" w:hAnsi="Aptos" w:cs="Times New Roman"/>
          <w:sz w:val="25"/>
          <w:szCs w:val="25"/>
        </w:rPr>
        <w:t xml:space="preserve"> September 10, 2025</w:t>
      </w:r>
      <w:r w:rsidR="00831FF1">
        <w:rPr>
          <w:rFonts w:ascii="Aptos" w:hAnsi="Aptos" w:cs="Times New Roman"/>
          <w:sz w:val="25"/>
          <w:szCs w:val="25"/>
        </w:rPr>
        <w:t>,</w:t>
      </w:r>
      <w:r>
        <w:rPr>
          <w:rFonts w:ascii="Aptos" w:hAnsi="Aptos" w:cs="Times New Roman"/>
          <w:sz w:val="25"/>
          <w:szCs w:val="25"/>
        </w:rPr>
        <w:t xml:space="preserve"> the underlying Hearing Officer issued a </w:t>
      </w:r>
      <w:r>
        <w:rPr>
          <w:rFonts w:ascii="Aptos" w:hAnsi="Aptos" w:cs="Times New Roman"/>
          <w:i/>
          <w:iCs/>
          <w:sz w:val="25"/>
          <w:szCs w:val="25"/>
        </w:rPr>
        <w:t xml:space="preserve">Ruling on District’s Motion to Dismiss </w:t>
      </w:r>
      <w:r>
        <w:rPr>
          <w:rFonts w:ascii="Aptos" w:hAnsi="Aptos" w:cs="Times New Roman"/>
          <w:sz w:val="25"/>
          <w:szCs w:val="25"/>
        </w:rPr>
        <w:t xml:space="preserve">in BSEA </w:t>
      </w:r>
      <w:r w:rsidR="00746227">
        <w:rPr>
          <w:rFonts w:ascii="Aptos" w:hAnsi="Aptos" w:cs="Times New Roman"/>
          <w:sz w:val="25"/>
          <w:szCs w:val="25"/>
        </w:rPr>
        <w:t>#</w:t>
      </w:r>
      <w:r>
        <w:rPr>
          <w:rFonts w:ascii="Aptos" w:hAnsi="Aptos" w:cs="Times New Roman"/>
          <w:sz w:val="25"/>
          <w:szCs w:val="25"/>
        </w:rPr>
        <w:t>2602235</w:t>
      </w:r>
      <w:r w:rsidR="00375168">
        <w:rPr>
          <w:rFonts w:ascii="Aptos" w:hAnsi="Aptos" w:cs="Times New Roman"/>
          <w:sz w:val="25"/>
          <w:szCs w:val="25"/>
        </w:rPr>
        <w:t xml:space="preserve"> (Prior Matter Dismissal Ruling)</w:t>
      </w:r>
      <w:r w:rsidR="00375168">
        <w:rPr>
          <w:rStyle w:val="FootnoteReference"/>
          <w:rFonts w:ascii="Aptos" w:hAnsi="Aptos" w:cs="Times New Roman"/>
          <w:sz w:val="25"/>
          <w:szCs w:val="25"/>
        </w:rPr>
        <w:footnoteReference w:id="3"/>
      </w:r>
      <w:r w:rsidR="00375168">
        <w:rPr>
          <w:rFonts w:ascii="Aptos" w:hAnsi="Aptos" w:cs="Times New Roman"/>
          <w:sz w:val="25"/>
          <w:szCs w:val="25"/>
        </w:rPr>
        <w:t>.  Said Ruling</w:t>
      </w:r>
      <w:r>
        <w:rPr>
          <w:rFonts w:ascii="Aptos" w:hAnsi="Aptos" w:cs="Times New Roman"/>
          <w:sz w:val="25"/>
          <w:szCs w:val="25"/>
        </w:rPr>
        <w:t xml:space="preserve"> </w:t>
      </w:r>
      <w:r w:rsidR="00760ACB">
        <w:rPr>
          <w:rFonts w:ascii="Aptos" w:hAnsi="Aptos" w:cs="Times New Roman"/>
          <w:sz w:val="25"/>
          <w:szCs w:val="25"/>
        </w:rPr>
        <w:t>allow</w:t>
      </w:r>
      <w:r w:rsidR="00375168">
        <w:rPr>
          <w:rFonts w:ascii="Aptos" w:hAnsi="Aptos" w:cs="Times New Roman"/>
          <w:sz w:val="25"/>
          <w:szCs w:val="25"/>
        </w:rPr>
        <w:t>ed</w:t>
      </w:r>
      <w:r w:rsidR="00760ACB">
        <w:rPr>
          <w:rFonts w:ascii="Aptos" w:hAnsi="Aptos" w:cs="Times New Roman"/>
          <w:sz w:val="25"/>
          <w:szCs w:val="25"/>
        </w:rPr>
        <w:t xml:space="preserve"> dismissal with prejudice of a </w:t>
      </w:r>
      <w:r>
        <w:rPr>
          <w:rFonts w:ascii="Aptos" w:hAnsi="Aptos" w:cs="Times New Roman"/>
          <w:i/>
          <w:iCs/>
          <w:sz w:val="25"/>
          <w:szCs w:val="25"/>
        </w:rPr>
        <w:t xml:space="preserve">Hearing Request </w:t>
      </w:r>
      <w:r>
        <w:rPr>
          <w:rFonts w:ascii="Aptos" w:hAnsi="Aptos" w:cs="Times New Roman"/>
          <w:sz w:val="25"/>
          <w:szCs w:val="25"/>
        </w:rPr>
        <w:t>filed by Parent</w:t>
      </w:r>
      <w:r>
        <w:rPr>
          <w:rStyle w:val="FootnoteReference"/>
          <w:rFonts w:ascii="Aptos" w:hAnsi="Aptos" w:cs="Times New Roman"/>
          <w:sz w:val="25"/>
          <w:szCs w:val="25"/>
        </w:rPr>
        <w:footnoteReference w:id="4"/>
      </w:r>
      <w:r w:rsidRPr="000370FF">
        <w:rPr>
          <w:rFonts w:ascii="Aptos" w:hAnsi="Aptos" w:cs="Times New Roman"/>
          <w:sz w:val="25"/>
          <w:szCs w:val="25"/>
        </w:rPr>
        <w:t xml:space="preserve"> </w:t>
      </w:r>
      <w:r>
        <w:rPr>
          <w:rFonts w:ascii="Aptos" w:hAnsi="Aptos" w:cs="Times New Roman"/>
          <w:sz w:val="25"/>
          <w:szCs w:val="25"/>
        </w:rPr>
        <w:t xml:space="preserve">against the District </w:t>
      </w:r>
      <w:r w:rsidR="00760ACB">
        <w:rPr>
          <w:rFonts w:ascii="Aptos" w:hAnsi="Aptos" w:cs="Times New Roman"/>
          <w:sz w:val="25"/>
          <w:szCs w:val="25"/>
        </w:rPr>
        <w:t>involving both procedural and substantive violations of the Individuals with Disabilities Education Act (IDEA)</w:t>
      </w:r>
      <w:r w:rsidR="00781E9A">
        <w:rPr>
          <w:rFonts w:ascii="Aptos" w:hAnsi="Aptos" w:cs="Times New Roman"/>
          <w:sz w:val="25"/>
          <w:szCs w:val="25"/>
        </w:rPr>
        <w:t xml:space="preserve"> and claims involving challenges to educational records and an “internal investigation”</w:t>
      </w:r>
      <w:r w:rsidR="00760ACB">
        <w:rPr>
          <w:rFonts w:ascii="Aptos" w:hAnsi="Aptos" w:cs="Times New Roman"/>
          <w:sz w:val="25"/>
          <w:szCs w:val="25"/>
        </w:rPr>
        <w:t xml:space="preserve">.  Specifically, </w:t>
      </w:r>
      <w:r w:rsidR="006113B5">
        <w:rPr>
          <w:rFonts w:ascii="Aptos" w:hAnsi="Aptos" w:cs="Times New Roman"/>
          <w:sz w:val="25"/>
          <w:szCs w:val="25"/>
        </w:rPr>
        <w:t>substantively, the claims in the</w:t>
      </w:r>
      <w:r w:rsidR="004D2BA2">
        <w:rPr>
          <w:rFonts w:ascii="Aptos" w:hAnsi="Aptos" w:cs="Times New Roman"/>
          <w:sz w:val="25"/>
          <w:szCs w:val="25"/>
        </w:rPr>
        <w:t xml:space="preserve"> Prior Matter</w:t>
      </w:r>
      <w:r w:rsidR="00831FF1">
        <w:rPr>
          <w:rFonts w:ascii="Aptos" w:hAnsi="Aptos" w:cs="Times New Roman"/>
          <w:sz w:val="25"/>
          <w:szCs w:val="25"/>
        </w:rPr>
        <w:t xml:space="preserve"> </w:t>
      </w:r>
      <w:r w:rsidR="00197A2D">
        <w:rPr>
          <w:rFonts w:ascii="Aptos" w:hAnsi="Aptos" w:cs="Times New Roman"/>
          <w:sz w:val="25"/>
          <w:szCs w:val="25"/>
        </w:rPr>
        <w:t>challenged Student’s</w:t>
      </w:r>
      <w:r w:rsidR="00760ACB">
        <w:rPr>
          <w:rFonts w:ascii="Aptos" w:hAnsi="Aptos" w:cs="Times New Roman"/>
          <w:sz w:val="25"/>
          <w:szCs w:val="25"/>
        </w:rPr>
        <w:t xml:space="preserve"> </w:t>
      </w:r>
      <w:r w:rsidR="00831FF1">
        <w:rPr>
          <w:rFonts w:ascii="Aptos" w:hAnsi="Aptos" w:cs="Times New Roman"/>
          <w:sz w:val="25"/>
          <w:szCs w:val="25"/>
        </w:rPr>
        <w:t xml:space="preserve">special education </w:t>
      </w:r>
      <w:r w:rsidR="00760ACB">
        <w:rPr>
          <w:rFonts w:ascii="Aptos" w:hAnsi="Aptos" w:cs="Times New Roman"/>
          <w:sz w:val="25"/>
          <w:szCs w:val="25"/>
        </w:rPr>
        <w:t xml:space="preserve">services and </w:t>
      </w:r>
      <w:r w:rsidR="00CE595C">
        <w:rPr>
          <w:rFonts w:ascii="Aptos" w:hAnsi="Aptos" w:cs="Times New Roman"/>
          <w:sz w:val="25"/>
          <w:szCs w:val="25"/>
        </w:rPr>
        <w:t xml:space="preserve">the District’s </w:t>
      </w:r>
      <w:r w:rsidR="00760ACB">
        <w:rPr>
          <w:rFonts w:ascii="Aptos" w:hAnsi="Aptos" w:cs="Times New Roman"/>
          <w:sz w:val="25"/>
          <w:szCs w:val="25"/>
        </w:rPr>
        <w:t xml:space="preserve">placement decisions </w:t>
      </w:r>
      <w:r w:rsidR="00831FF1">
        <w:rPr>
          <w:rFonts w:ascii="Aptos" w:hAnsi="Aptos" w:cs="Times New Roman"/>
          <w:sz w:val="25"/>
          <w:szCs w:val="25"/>
        </w:rPr>
        <w:t xml:space="preserve">(including the decision to place </w:t>
      </w:r>
      <w:r w:rsidR="004D2BA2">
        <w:rPr>
          <w:rFonts w:ascii="Aptos" w:hAnsi="Aptos" w:cs="Times New Roman"/>
          <w:sz w:val="25"/>
          <w:szCs w:val="25"/>
        </w:rPr>
        <w:t>S</w:t>
      </w:r>
      <w:r w:rsidR="00831FF1">
        <w:rPr>
          <w:rFonts w:ascii="Aptos" w:hAnsi="Aptos" w:cs="Times New Roman"/>
          <w:sz w:val="25"/>
          <w:szCs w:val="25"/>
        </w:rPr>
        <w:t xml:space="preserve">tudent in an out-of-district program) </w:t>
      </w:r>
      <w:r w:rsidR="00014FC3">
        <w:rPr>
          <w:rFonts w:ascii="Aptos" w:hAnsi="Aptos" w:cs="Times New Roman"/>
          <w:sz w:val="25"/>
          <w:szCs w:val="25"/>
        </w:rPr>
        <w:t>m</w:t>
      </w:r>
      <w:r w:rsidR="00CE595C">
        <w:rPr>
          <w:rFonts w:ascii="Aptos" w:hAnsi="Aptos" w:cs="Times New Roman"/>
          <w:sz w:val="25"/>
          <w:szCs w:val="25"/>
        </w:rPr>
        <w:t>ade</w:t>
      </w:r>
      <w:r w:rsidR="00831FF1">
        <w:rPr>
          <w:rFonts w:ascii="Aptos" w:hAnsi="Aptos" w:cs="Times New Roman"/>
          <w:sz w:val="25"/>
          <w:szCs w:val="25"/>
        </w:rPr>
        <w:t xml:space="preserve"> </w:t>
      </w:r>
      <w:r>
        <w:rPr>
          <w:rFonts w:ascii="Aptos" w:hAnsi="Aptos" w:cs="Times New Roman"/>
          <w:sz w:val="25"/>
          <w:szCs w:val="25"/>
        </w:rPr>
        <w:t>prior to March 2023</w:t>
      </w:r>
      <w:r w:rsidR="00781E9A">
        <w:rPr>
          <w:rStyle w:val="FootnoteReference"/>
          <w:rFonts w:ascii="Aptos" w:hAnsi="Aptos" w:cs="Times New Roman"/>
          <w:sz w:val="25"/>
          <w:szCs w:val="25"/>
        </w:rPr>
        <w:footnoteReference w:id="5"/>
      </w:r>
      <w:r>
        <w:rPr>
          <w:rFonts w:ascii="Aptos" w:hAnsi="Aptos" w:cs="Times New Roman"/>
          <w:sz w:val="25"/>
          <w:szCs w:val="25"/>
        </w:rPr>
        <w:t xml:space="preserve">, </w:t>
      </w:r>
      <w:r w:rsidR="00375168">
        <w:rPr>
          <w:rFonts w:ascii="Aptos" w:hAnsi="Aptos" w:cs="Times New Roman"/>
          <w:sz w:val="25"/>
          <w:szCs w:val="25"/>
        </w:rPr>
        <w:t>which decisions</w:t>
      </w:r>
      <w:r w:rsidR="00760ACB">
        <w:rPr>
          <w:rFonts w:ascii="Aptos" w:hAnsi="Aptos" w:cs="Times New Roman"/>
          <w:sz w:val="25"/>
          <w:szCs w:val="25"/>
        </w:rPr>
        <w:t xml:space="preserve"> were alleged to have violated Student’s right to a </w:t>
      </w:r>
      <w:r w:rsidR="00831FF1">
        <w:rPr>
          <w:rFonts w:ascii="Aptos" w:hAnsi="Aptos" w:cs="Times New Roman"/>
          <w:sz w:val="25"/>
          <w:szCs w:val="25"/>
        </w:rPr>
        <w:t xml:space="preserve">free appropriate public education (FAPE) in the least restrictive </w:t>
      </w:r>
      <w:r w:rsidR="00831FF1">
        <w:rPr>
          <w:rFonts w:ascii="Aptos" w:hAnsi="Aptos" w:cs="Times New Roman"/>
          <w:sz w:val="25"/>
          <w:szCs w:val="25"/>
        </w:rPr>
        <w:lastRenderedPageBreak/>
        <w:t>environment (LRE)</w:t>
      </w:r>
      <w:r w:rsidR="00760ACB">
        <w:rPr>
          <w:rFonts w:ascii="Aptos" w:hAnsi="Aptos" w:cs="Times New Roman"/>
          <w:sz w:val="25"/>
          <w:szCs w:val="25"/>
        </w:rPr>
        <w:t xml:space="preserve">.  </w:t>
      </w:r>
      <w:r w:rsidR="00831FF1">
        <w:rPr>
          <w:rFonts w:ascii="Aptos" w:hAnsi="Aptos" w:cs="Times New Roman"/>
          <w:sz w:val="25"/>
          <w:szCs w:val="25"/>
        </w:rPr>
        <w:t xml:space="preserve">Procedurally, the claims in the </w:t>
      </w:r>
      <w:r w:rsidR="00781E9A">
        <w:rPr>
          <w:rFonts w:ascii="Aptos" w:hAnsi="Aptos" w:cs="Times New Roman"/>
          <w:sz w:val="25"/>
          <w:szCs w:val="25"/>
        </w:rPr>
        <w:t>P</w:t>
      </w:r>
      <w:r w:rsidR="00831FF1">
        <w:rPr>
          <w:rFonts w:ascii="Aptos" w:hAnsi="Aptos" w:cs="Times New Roman"/>
          <w:sz w:val="25"/>
          <w:szCs w:val="25"/>
        </w:rPr>
        <w:t xml:space="preserve">rior </w:t>
      </w:r>
      <w:r w:rsidR="00781E9A">
        <w:rPr>
          <w:rFonts w:ascii="Aptos" w:hAnsi="Aptos" w:cs="Times New Roman"/>
          <w:sz w:val="25"/>
          <w:szCs w:val="25"/>
        </w:rPr>
        <w:t>M</w:t>
      </w:r>
      <w:r w:rsidR="00831FF1">
        <w:rPr>
          <w:rFonts w:ascii="Aptos" w:hAnsi="Aptos" w:cs="Times New Roman"/>
          <w:sz w:val="25"/>
          <w:szCs w:val="25"/>
        </w:rPr>
        <w:t xml:space="preserve">atter involved allegations surrounding parental participation, prior written notice and reevaluation procedures.  </w:t>
      </w:r>
      <w:r w:rsidR="00977EAE">
        <w:rPr>
          <w:rFonts w:ascii="Aptos" w:hAnsi="Aptos" w:cs="Times New Roman"/>
          <w:sz w:val="25"/>
          <w:szCs w:val="25"/>
        </w:rPr>
        <w:t xml:space="preserve">The Prior Matter Dismissal Ruling </w:t>
      </w:r>
      <w:r w:rsidR="00AA7A9B">
        <w:rPr>
          <w:rFonts w:ascii="Aptos" w:hAnsi="Aptos" w:cs="Times New Roman"/>
          <w:sz w:val="25"/>
          <w:szCs w:val="25"/>
        </w:rPr>
        <w:t xml:space="preserve">dismissed all claims with prejudice for lack of subject matter jurisdiction </w:t>
      </w:r>
      <w:r w:rsidR="00701F22">
        <w:rPr>
          <w:rFonts w:ascii="Aptos" w:hAnsi="Aptos" w:cs="Times New Roman"/>
          <w:sz w:val="25"/>
          <w:szCs w:val="25"/>
        </w:rPr>
        <w:t xml:space="preserve">reasoning that </w:t>
      </w:r>
      <w:r w:rsidR="00977EAE">
        <w:rPr>
          <w:rFonts w:ascii="Aptos" w:hAnsi="Aptos" w:cs="Times New Roman"/>
          <w:sz w:val="25"/>
          <w:szCs w:val="25"/>
        </w:rPr>
        <w:t xml:space="preserve">all of Parents claims were </w:t>
      </w:r>
      <w:r w:rsidR="00C05691">
        <w:rPr>
          <w:rFonts w:ascii="Aptos" w:hAnsi="Aptos" w:cs="Times New Roman"/>
          <w:sz w:val="25"/>
          <w:szCs w:val="25"/>
        </w:rPr>
        <w:t xml:space="preserve">untimely </w:t>
      </w:r>
      <w:r w:rsidR="00701F22">
        <w:rPr>
          <w:rFonts w:ascii="Aptos" w:hAnsi="Aptos" w:cs="Times New Roman"/>
          <w:sz w:val="25"/>
          <w:szCs w:val="25"/>
        </w:rPr>
        <w:t>and/</w:t>
      </w:r>
      <w:r w:rsidR="00C05691">
        <w:rPr>
          <w:rFonts w:ascii="Aptos" w:hAnsi="Aptos" w:cs="Times New Roman"/>
          <w:sz w:val="25"/>
          <w:szCs w:val="25"/>
        </w:rPr>
        <w:t xml:space="preserve">or </w:t>
      </w:r>
      <w:r w:rsidR="00701F22">
        <w:rPr>
          <w:rFonts w:ascii="Aptos" w:hAnsi="Aptos" w:cs="Times New Roman"/>
          <w:sz w:val="25"/>
          <w:szCs w:val="25"/>
        </w:rPr>
        <w:t>beyond the BSEA’s limited jurisdiction.</w:t>
      </w:r>
    </w:p>
    <w:p w14:paraId="67DEFB88" w14:textId="77777777" w:rsidR="005B0833" w:rsidRDefault="005B0833" w:rsidP="00D65142">
      <w:pPr>
        <w:rPr>
          <w:rFonts w:ascii="Aptos" w:hAnsi="Aptos" w:cs="Times New Roman"/>
          <w:sz w:val="25"/>
          <w:szCs w:val="25"/>
        </w:rPr>
      </w:pPr>
    </w:p>
    <w:p w14:paraId="5AA55E05" w14:textId="48E27711" w:rsidR="005B0833" w:rsidRPr="005B0833" w:rsidRDefault="005B0833" w:rsidP="00D65142">
      <w:pPr>
        <w:rPr>
          <w:rFonts w:ascii="Aptos" w:hAnsi="Aptos" w:cs="Times New Roman"/>
          <w:sz w:val="25"/>
          <w:szCs w:val="25"/>
        </w:rPr>
      </w:pPr>
      <w:r>
        <w:rPr>
          <w:rFonts w:ascii="Aptos" w:hAnsi="Aptos" w:cs="Times New Roman"/>
          <w:sz w:val="25"/>
          <w:szCs w:val="25"/>
        </w:rPr>
        <w:t>On April 6, 2026</w:t>
      </w:r>
      <w:r w:rsidR="00781E9A">
        <w:rPr>
          <w:rFonts w:ascii="Aptos" w:hAnsi="Aptos" w:cs="Times New Roman"/>
          <w:sz w:val="25"/>
          <w:szCs w:val="25"/>
        </w:rPr>
        <w:t>,</w:t>
      </w:r>
      <w:r>
        <w:rPr>
          <w:rFonts w:ascii="Aptos" w:hAnsi="Aptos" w:cs="Times New Roman"/>
          <w:sz w:val="25"/>
          <w:szCs w:val="25"/>
        </w:rPr>
        <w:t xml:space="preserve"> Parent filed </w:t>
      </w:r>
      <w:r w:rsidR="00781E9A">
        <w:rPr>
          <w:rFonts w:ascii="Aptos" w:hAnsi="Aptos" w:cs="Times New Roman"/>
          <w:sz w:val="25"/>
          <w:szCs w:val="25"/>
        </w:rPr>
        <w:t xml:space="preserve">the </w:t>
      </w:r>
      <w:r>
        <w:rPr>
          <w:rFonts w:ascii="Aptos" w:hAnsi="Aptos" w:cs="Times New Roman"/>
          <w:i/>
          <w:iCs/>
          <w:sz w:val="25"/>
          <w:szCs w:val="25"/>
        </w:rPr>
        <w:t>Hearing Request</w:t>
      </w:r>
      <w:r>
        <w:rPr>
          <w:rFonts w:ascii="Aptos" w:hAnsi="Aptos" w:cs="Times New Roman"/>
          <w:sz w:val="25"/>
          <w:szCs w:val="25"/>
        </w:rPr>
        <w:t xml:space="preserve"> in the instant matter, on behalf of Student</w:t>
      </w:r>
      <w:r>
        <w:rPr>
          <w:rStyle w:val="FootnoteReference"/>
          <w:rFonts w:ascii="Aptos" w:hAnsi="Aptos" w:cs="Times New Roman"/>
          <w:sz w:val="25"/>
          <w:szCs w:val="25"/>
        </w:rPr>
        <w:footnoteReference w:id="6"/>
      </w:r>
      <w:r w:rsidR="00781E9A">
        <w:rPr>
          <w:rFonts w:ascii="Aptos" w:hAnsi="Aptos" w:cs="Times New Roman"/>
          <w:sz w:val="25"/>
          <w:szCs w:val="25"/>
        </w:rPr>
        <w:t>,</w:t>
      </w:r>
      <w:r>
        <w:rPr>
          <w:rFonts w:ascii="Aptos" w:hAnsi="Aptos" w:cs="Times New Roman"/>
          <w:sz w:val="25"/>
          <w:szCs w:val="25"/>
        </w:rPr>
        <w:t xml:space="preserve"> alleging</w:t>
      </w:r>
      <w:r w:rsidR="00781E9A">
        <w:rPr>
          <w:rFonts w:ascii="Aptos" w:hAnsi="Aptos" w:cs="Times New Roman"/>
          <w:sz w:val="25"/>
          <w:szCs w:val="25"/>
        </w:rPr>
        <w:t xml:space="preserve">, in the introduction, </w:t>
      </w:r>
      <w:r>
        <w:rPr>
          <w:rFonts w:ascii="Aptos" w:hAnsi="Aptos" w:cs="Times New Roman"/>
          <w:sz w:val="25"/>
          <w:szCs w:val="25"/>
        </w:rPr>
        <w:t>that it “concern</w:t>
      </w:r>
      <w:r w:rsidR="00014FC3">
        <w:rPr>
          <w:rFonts w:ascii="Aptos" w:hAnsi="Aptos" w:cs="Times New Roman"/>
          <w:sz w:val="25"/>
          <w:szCs w:val="25"/>
        </w:rPr>
        <w:t>[ed]</w:t>
      </w:r>
      <w:r>
        <w:rPr>
          <w:rFonts w:ascii="Aptos" w:hAnsi="Aptos" w:cs="Times New Roman"/>
          <w:sz w:val="25"/>
          <w:szCs w:val="25"/>
        </w:rPr>
        <w:t xml:space="preserve"> the identification, evaluation, placement and provision of a [FAPE] to [Student] while enrolled in Weston Public Schools”</w:t>
      </w:r>
      <w:r w:rsidR="00EC6C76">
        <w:rPr>
          <w:rFonts w:ascii="Aptos" w:hAnsi="Aptos" w:cs="Times New Roman"/>
          <w:sz w:val="25"/>
          <w:szCs w:val="25"/>
        </w:rPr>
        <w:t xml:space="preserve">.  According to Parent, the District </w:t>
      </w:r>
      <w:r>
        <w:rPr>
          <w:rFonts w:ascii="Aptos" w:hAnsi="Aptos" w:cs="Times New Roman"/>
          <w:sz w:val="25"/>
          <w:szCs w:val="25"/>
        </w:rPr>
        <w:t>“fail</w:t>
      </w:r>
      <w:r w:rsidR="00EC6C76">
        <w:rPr>
          <w:rFonts w:ascii="Aptos" w:hAnsi="Aptos" w:cs="Times New Roman"/>
          <w:sz w:val="25"/>
          <w:szCs w:val="25"/>
        </w:rPr>
        <w:t>ed</w:t>
      </w:r>
      <w:r>
        <w:rPr>
          <w:rFonts w:ascii="Aptos" w:hAnsi="Aptos" w:cs="Times New Roman"/>
          <w:sz w:val="25"/>
          <w:szCs w:val="25"/>
        </w:rPr>
        <w:t xml:space="preserve"> to comply with the [IDE</w:t>
      </w:r>
      <w:r w:rsidR="00781E9A">
        <w:rPr>
          <w:rFonts w:ascii="Aptos" w:hAnsi="Aptos" w:cs="Times New Roman"/>
          <w:sz w:val="25"/>
          <w:szCs w:val="25"/>
        </w:rPr>
        <w:t>A</w:t>
      </w:r>
      <w:r>
        <w:rPr>
          <w:rFonts w:ascii="Aptos" w:hAnsi="Aptos" w:cs="Times New Roman"/>
          <w:sz w:val="25"/>
          <w:szCs w:val="25"/>
        </w:rPr>
        <w:t>] by predetermining placement, failing to appropriately consider parental input, failing to follow proper evaluation procedures and failing to ensure that placement decisions were made based on [Student’s] individual needs</w:t>
      </w:r>
      <w:r w:rsidR="00185EC9">
        <w:rPr>
          <w:rFonts w:ascii="Aptos" w:hAnsi="Aptos" w:cs="Times New Roman"/>
          <w:sz w:val="25"/>
          <w:szCs w:val="25"/>
        </w:rPr>
        <w:t>”</w:t>
      </w:r>
      <w:r>
        <w:rPr>
          <w:rFonts w:ascii="Aptos" w:hAnsi="Aptos" w:cs="Times New Roman"/>
          <w:sz w:val="25"/>
          <w:szCs w:val="25"/>
        </w:rPr>
        <w:t xml:space="preserve">.  </w:t>
      </w:r>
      <w:r w:rsidR="00781E9A">
        <w:rPr>
          <w:rFonts w:ascii="Aptos" w:hAnsi="Aptos" w:cs="Times New Roman"/>
          <w:sz w:val="25"/>
          <w:szCs w:val="25"/>
        </w:rPr>
        <w:t>Although n</w:t>
      </w:r>
      <w:r>
        <w:rPr>
          <w:rFonts w:ascii="Aptos" w:hAnsi="Aptos" w:cs="Times New Roman"/>
          <w:sz w:val="25"/>
          <w:szCs w:val="25"/>
        </w:rPr>
        <w:t xml:space="preserve">o dates were </w:t>
      </w:r>
      <w:r w:rsidR="00781E9A">
        <w:rPr>
          <w:rFonts w:ascii="Aptos" w:hAnsi="Aptos" w:cs="Times New Roman"/>
          <w:sz w:val="25"/>
          <w:szCs w:val="25"/>
        </w:rPr>
        <w:t xml:space="preserve">provided </w:t>
      </w:r>
      <w:r w:rsidR="00185EC9">
        <w:rPr>
          <w:rFonts w:ascii="Aptos" w:hAnsi="Aptos" w:cs="Times New Roman"/>
          <w:sz w:val="25"/>
          <w:szCs w:val="25"/>
        </w:rPr>
        <w:t>to delineate the relevant timeframe for Parent’s claims</w:t>
      </w:r>
      <w:r w:rsidR="00781E9A">
        <w:rPr>
          <w:rFonts w:ascii="Aptos" w:hAnsi="Aptos" w:cs="Times New Roman"/>
          <w:sz w:val="25"/>
          <w:szCs w:val="25"/>
        </w:rPr>
        <w:t xml:space="preserve">, the nine </w:t>
      </w:r>
      <w:r>
        <w:rPr>
          <w:rFonts w:ascii="Aptos" w:hAnsi="Aptos" w:cs="Times New Roman"/>
          <w:sz w:val="25"/>
          <w:szCs w:val="25"/>
        </w:rPr>
        <w:t xml:space="preserve">“Statement of Facts” </w:t>
      </w:r>
      <w:r w:rsidR="00781E9A">
        <w:rPr>
          <w:rFonts w:ascii="Aptos" w:hAnsi="Aptos" w:cs="Times New Roman"/>
          <w:sz w:val="25"/>
          <w:szCs w:val="25"/>
        </w:rPr>
        <w:t xml:space="preserve">make allegations pertaining to </w:t>
      </w:r>
      <w:r>
        <w:rPr>
          <w:rFonts w:ascii="Aptos" w:hAnsi="Aptos" w:cs="Times New Roman"/>
          <w:sz w:val="25"/>
          <w:szCs w:val="25"/>
        </w:rPr>
        <w:t>Student’s third grade enrollment in Carver</w:t>
      </w:r>
      <w:r w:rsidR="000B4E18">
        <w:rPr>
          <w:rStyle w:val="FootnoteReference"/>
          <w:rFonts w:ascii="Aptos" w:hAnsi="Aptos" w:cs="Times New Roman"/>
          <w:sz w:val="25"/>
          <w:szCs w:val="25"/>
        </w:rPr>
        <w:footnoteReference w:id="7"/>
      </w:r>
      <w:r>
        <w:rPr>
          <w:rFonts w:ascii="Aptos" w:hAnsi="Aptos" w:cs="Times New Roman"/>
          <w:sz w:val="25"/>
          <w:szCs w:val="25"/>
        </w:rPr>
        <w:t xml:space="preserve"> Public Schools (#1); the “administration and interpretation” of “IQ testing” that were “used in decision-making without proper clarification or review” (#2);</w:t>
      </w:r>
      <w:r w:rsidR="00CF3162">
        <w:rPr>
          <w:rFonts w:ascii="Aptos" w:hAnsi="Aptos" w:cs="Times New Roman"/>
          <w:sz w:val="25"/>
          <w:szCs w:val="25"/>
        </w:rPr>
        <w:t xml:space="preserve"> technical </w:t>
      </w:r>
      <w:r w:rsidR="003A395B">
        <w:rPr>
          <w:rFonts w:ascii="Aptos" w:hAnsi="Aptos" w:cs="Times New Roman"/>
          <w:sz w:val="25"/>
          <w:szCs w:val="25"/>
        </w:rPr>
        <w:t>disruptions</w:t>
      </w:r>
      <w:r w:rsidR="00CF3162">
        <w:rPr>
          <w:rFonts w:ascii="Aptos" w:hAnsi="Aptos" w:cs="Times New Roman"/>
          <w:sz w:val="25"/>
          <w:szCs w:val="25"/>
        </w:rPr>
        <w:t xml:space="preserve"> that occurred “during a scheduled IEP meeting” (#3); failure</w:t>
      </w:r>
      <w:r w:rsidR="003A395B">
        <w:rPr>
          <w:rFonts w:ascii="Aptos" w:hAnsi="Aptos" w:cs="Times New Roman"/>
          <w:sz w:val="25"/>
          <w:szCs w:val="25"/>
        </w:rPr>
        <w:t>s</w:t>
      </w:r>
      <w:r w:rsidR="00CF3162">
        <w:rPr>
          <w:rFonts w:ascii="Aptos" w:hAnsi="Aptos" w:cs="Times New Roman"/>
          <w:sz w:val="25"/>
          <w:szCs w:val="25"/>
        </w:rPr>
        <w:t xml:space="preserve"> to </w:t>
      </w:r>
      <w:r w:rsidR="00FF11AA">
        <w:rPr>
          <w:rFonts w:ascii="Aptos" w:hAnsi="Aptos" w:cs="Times New Roman"/>
          <w:sz w:val="25"/>
          <w:szCs w:val="25"/>
        </w:rPr>
        <w:t xml:space="preserve">properly </w:t>
      </w:r>
      <w:r w:rsidR="00CF3162">
        <w:rPr>
          <w:rFonts w:ascii="Aptos" w:hAnsi="Aptos" w:cs="Times New Roman"/>
          <w:sz w:val="25"/>
          <w:szCs w:val="25"/>
        </w:rPr>
        <w:t xml:space="preserve">respond to communications </w:t>
      </w:r>
      <w:r w:rsidR="00A81C93">
        <w:rPr>
          <w:rFonts w:ascii="Aptos" w:hAnsi="Aptos" w:cs="Times New Roman"/>
          <w:sz w:val="25"/>
          <w:szCs w:val="25"/>
        </w:rPr>
        <w:t>that Student was</w:t>
      </w:r>
      <w:r w:rsidR="00CF3162">
        <w:rPr>
          <w:rFonts w:ascii="Aptos" w:hAnsi="Aptos" w:cs="Times New Roman"/>
          <w:sz w:val="25"/>
          <w:szCs w:val="25"/>
        </w:rPr>
        <w:t xml:space="preserve"> “not in the appropriate placement” (#4); challenges relating to Student being “required to attend an out-of-district placement” (#5); challenges pertaining to </w:t>
      </w:r>
      <w:r w:rsidR="00781E9A">
        <w:rPr>
          <w:rFonts w:ascii="Aptos" w:hAnsi="Aptos" w:cs="Times New Roman"/>
          <w:sz w:val="25"/>
          <w:szCs w:val="25"/>
        </w:rPr>
        <w:t xml:space="preserve">a </w:t>
      </w:r>
      <w:r w:rsidR="00CF3162">
        <w:rPr>
          <w:rFonts w:ascii="Aptos" w:hAnsi="Aptos" w:cs="Times New Roman"/>
          <w:sz w:val="25"/>
          <w:szCs w:val="25"/>
        </w:rPr>
        <w:t>“scheduled IEP meeting conducted via Zoom” (#6); “multiple instances where emails sent by the Parent were not responded to by the district staff</w:t>
      </w:r>
      <w:r w:rsidR="00781E9A">
        <w:rPr>
          <w:rFonts w:ascii="Aptos" w:hAnsi="Aptos" w:cs="Times New Roman"/>
          <w:sz w:val="25"/>
          <w:szCs w:val="25"/>
        </w:rPr>
        <w:t>”</w:t>
      </w:r>
      <w:r w:rsidR="00CF3162">
        <w:rPr>
          <w:rFonts w:ascii="Aptos" w:hAnsi="Aptos" w:cs="Times New Roman"/>
          <w:sz w:val="25"/>
          <w:szCs w:val="25"/>
        </w:rPr>
        <w:t xml:space="preserve"> (#7); failing to provide records of an “internal investigation” (#8); and </w:t>
      </w:r>
      <w:r w:rsidR="00483D3E">
        <w:rPr>
          <w:rFonts w:ascii="Aptos" w:hAnsi="Aptos" w:cs="Times New Roman"/>
          <w:sz w:val="25"/>
          <w:szCs w:val="25"/>
        </w:rPr>
        <w:t xml:space="preserve">graduating </w:t>
      </w:r>
      <w:r w:rsidR="00CF3162">
        <w:rPr>
          <w:rFonts w:ascii="Aptos" w:hAnsi="Aptos" w:cs="Times New Roman"/>
          <w:sz w:val="25"/>
          <w:szCs w:val="25"/>
        </w:rPr>
        <w:t xml:space="preserve">Student </w:t>
      </w:r>
      <w:r w:rsidR="00483D3E">
        <w:rPr>
          <w:rFonts w:ascii="Aptos" w:hAnsi="Aptos" w:cs="Times New Roman"/>
          <w:sz w:val="25"/>
          <w:szCs w:val="25"/>
        </w:rPr>
        <w:t>“</w:t>
      </w:r>
      <w:r w:rsidR="00CF3162">
        <w:rPr>
          <w:rFonts w:ascii="Aptos" w:hAnsi="Aptos" w:cs="Times New Roman"/>
          <w:sz w:val="25"/>
          <w:szCs w:val="25"/>
        </w:rPr>
        <w:t xml:space="preserve">without the level of support the Parent believed was necessary” (#9).  </w:t>
      </w:r>
    </w:p>
    <w:p w14:paraId="561A9576" w14:textId="77777777" w:rsidR="00D65142" w:rsidRDefault="00D65142" w:rsidP="00D65142">
      <w:pPr>
        <w:rPr>
          <w:rFonts w:ascii="Aptos" w:hAnsi="Aptos" w:cs="Times New Roman"/>
          <w:sz w:val="25"/>
          <w:szCs w:val="25"/>
        </w:rPr>
      </w:pPr>
    </w:p>
    <w:p w14:paraId="2CB22AA7" w14:textId="6BC66603" w:rsidR="00546AF6" w:rsidRDefault="00CF3162" w:rsidP="00D65142">
      <w:pPr>
        <w:rPr>
          <w:rFonts w:ascii="Aptos" w:hAnsi="Aptos" w:cs="Times New Roman"/>
          <w:sz w:val="25"/>
          <w:szCs w:val="25"/>
        </w:rPr>
      </w:pPr>
      <w:r>
        <w:rPr>
          <w:rFonts w:ascii="Aptos" w:hAnsi="Aptos" w:cs="Times New Roman"/>
          <w:sz w:val="25"/>
          <w:szCs w:val="25"/>
        </w:rPr>
        <w:t>In its</w:t>
      </w:r>
      <w:r w:rsidR="00D65142">
        <w:rPr>
          <w:rFonts w:ascii="Aptos" w:hAnsi="Aptos" w:cs="Times New Roman"/>
          <w:sz w:val="25"/>
          <w:szCs w:val="25"/>
        </w:rPr>
        <w:t xml:space="preserve"> </w:t>
      </w:r>
      <w:r>
        <w:rPr>
          <w:rFonts w:ascii="Aptos" w:hAnsi="Aptos" w:cs="Times New Roman"/>
          <w:sz w:val="25"/>
          <w:szCs w:val="25"/>
        </w:rPr>
        <w:t>April 16, 2026</w:t>
      </w:r>
      <w:r w:rsidR="000B4E18">
        <w:rPr>
          <w:rFonts w:ascii="Aptos" w:hAnsi="Aptos" w:cs="Times New Roman"/>
          <w:sz w:val="25"/>
          <w:szCs w:val="25"/>
        </w:rPr>
        <w:t>,</w:t>
      </w:r>
      <w:r>
        <w:rPr>
          <w:rFonts w:ascii="Aptos" w:hAnsi="Aptos" w:cs="Times New Roman"/>
          <w:sz w:val="25"/>
          <w:szCs w:val="25"/>
        </w:rPr>
        <w:t xml:space="preserve"> </w:t>
      </w:r>
      <w:r>
        <w:rPr>
          <w:rFonts w:ascii="Aptos" w:hAnsi="Aptos" w:cs="Times New Roman"/>
          <w:i/>
          <w:iCs/>
          <w:sz w:val="25"/>
          <w:szCs w:val="25"/>
        </w:rPr>
        <w:t>Motion</w:t>
      </w:r>
      <w:r w:rsidR="00EC6C76">
        <w:rPr>
          <w:rFonts w:ascii="Aptos" w:hAnsi="Aptos" w:cs="Times New Roman"/>
          <w:sz w:val="25"/>
          <w:szCs w:val="25"/>
        </w:rPr>
        <w:t>,</w:t>
      </w:r>
      <w:r>
        <w:rPr>
          <w:rFonts w:ascii="Aptos" w:hAnsi="Aptos" w:cs="Times New Roman"/>
          <w:i/>
          <w:iCs/>
          <w:sz w:val="25"/>
          <w:szCs w:val="25"/>
        </w:rPr>
        <w:t xml:space="preserve"> </w:t>
      </w:r>
      <w:r>
        <w:rPr>
          <w:rFonts w:ascii="Aptos" w:hAnsi="Aptos" w:cs="Times New Roman"/>
          <w:sz w:val="25"/>
          <w:szCs w:val="25"/>
        </w:rPr>
        <w:t>the District seeks dismissal with prejudice of the</w:t>
      </w:r>
      <w:r w:rsidR="00781E9A">
        <w:rPr>
          <w:rFonts w:ascii="Aptos" w:hAnsi="Aptos" w:cs="Times New Roman"/>
          <w:sz w:val="25"/>
          <w:szCs w:val="25"/>
        </w:rPr>
        <w:t xml:space="preserve"> instant</w:t>
      </w:r>
      <w:r>
        <w:rPr>
          <w:rFonts w:ascii="Aptos" w:hAnsi="Aptos" w:cs="Times New Roman"/>
          <w:sz w:val="25"/>
          <w:szCs w:val="25"/>
        </w:rPr>
        <w:t xml:space="preserve"> </w:t>
      </w:r>
      <w:r>
        <w:rPr>
          <w:rFonts w:ascii="Aptos" w:hAnsi="Aptos" w:cs="Times New Roman"/>
          <w:i/>
          <w:iCs/>
          <w:sz w:val="25"/>
          <w:szCs w:val="25"/>
        </w:rPr>
        <w:t>Hearing Request</w:t>
      </w:r>
      <w:r>
        <w:rPr>
          <w:rFonts w:ascii="Aptos" w:hAnsi="Aptos" w:cs="Times New Roman"/>
          <w:sz w:val="25"/>
          <w:szCs w:val="25"/>
        </w:rPr>
        <w:t xml:space="preserve"> on the grounds of </w:t>
      </w:r>
      <w:r w:rsidRPr="00271DF9">
        <w:rPr>
          <w:rFonts w:ascii="Aptos" w:hAnsi="Aptos" w:cs="Times New Roman"/>
          <w:i/>
          <w:iCs/>
          <w:sz w:val="25"/>
          <w:szCs w:val="25"/>
        </w:rPr>
        <w:t>res judicata</w:t>
      </w:r>
      <w:r>
        <w:rPr>
          <w:rFonts w:ascii="Aptos" w:hAnsi="Aptos" w:cs="Times New Roman"/>
          <w:sz w:val="25"/>
          <w:szCs w:val="25"/>
        </w:rPr>
        <w:t xml:space="preserve"> and collateral estoppel.  </w:t>
      </w:r>
      <w:r w:rsidR="00844FEA">
        <w:rPr>
          <w:rFonts w:ascii="Aptos" w:hAnsi="Aptos" w:cs="Times New Roman"/>
          <w:sz w:val="25"/>
          <w:szCs w:val="25"/>
        </w:rPr>
        <w:t>T</w:t>
      </w:r>
      <w:r>
        <w:rPr>
          <w:rFonts w:ascii="Aptos" w:hAnsi="Aptos" w:cs="Times New Roman"/>
          <w:sz w:val="25"/>
          <w:szCs w:val="25"/>
        </w:rPr>
        <w:t xml:space="preserve">he District contends that </w:t>
      </w:r>
      <w:proofErr w:type="gramStart"/>
      <w:r>
        <w:rPr>
          <w:rFonts w:ascii="Aptos" w:hAnsi="Aptos" w:cs="Times New Roman"/>
          <w:sz w:val="25"/>
          <w:szCs w:val="25"/>
        </w:rPr>
        <w:t>all allegations</w:t>
      </w:r>
      <w:proofErr w:type="gramEnd"/>
      <w:r>
        <w:rPr>
          <w:rFonts w:ascii="Aptos" w:hAnsi="Aptos" w:cs="Times New Roman"/>
          <w:sz w:val="25"/>
          <w:szCs w:val="25"/>
        </w:rPr>
        <w:t xml:space="preserve"> in the </w:t>
      </w:r>
      <w:r>
        <w:rPr>
          <w:rFonts w:ascii="Aptos" w:hAnsi="Aptos" w:cs="Times New Roman"/>
          <w:i/>
          <w:iCs/>
          <w:sz w:val="25"/>
          <w:szCs w:val="25"/>
        </w:rPr>
        <w:t xml:space="preserve">Hearing Request </w:t>
      </w:r>
      <w:r>
        <w:rPr>
          <w:rFonts w:ascii="Aptos" w:hAnsi="Aptos" w:cs="Times New Roman"/>
          <w:sz w:val="25"/>
          <w:szCs w:val="25"/>
        </w:rPr>
        <w:t xml:space="preserve">were raised and </w:t>
      </w:r>
      <w:r w:rsidR="004D6A16">
        <w:rPr>
          <w:rFonts w:ascii="Aptos" w:hAnsi="Aptos" w:cs="Times New Roman"/>
          <w:sz w:val="25"/>
          <w:szCs w:val="25"/>
        </w:rPr>
        <w:t>fully</w:t>
      </w:r>
      <w:r>
        <w:rPr>
          <w:rFonts w:ascii="Aptos" w:hAnsi="Aptos" w:cs="Times New Roman"/>
          <w:sz w:val="25"/>
          <w:szCs w:val="25"/>
        </w:rPr>
        <w:t xml:space="preserve"> dismissed with prejudice in the </w:t>
      </w:r>
      <w:r w:rsidR="004D6A16">
        <w:rPr>
          <w:rFonts w:ascii="Aptos" w:hAnsi="Aptos" w:cs="Times New Roman"/>
          <w:sz w:val="25"/>
          <w:szCs w:val="25"/>
        </w:rPr>
        <w:t>P</w:t>
      </w:r>
      <w:r>
        <w:rPr>
          <w:rFonts w:ascii="Aptos" w:hAnsi="Aptos" w:cs="Times New Roman"/>
          <w:sz w:val="25"/>
          <w:szCs w:val="25"/>
        </w:rPr>
        <w:t xml:space="preserve">rior </w:t>
      </w:r>
      <w:r w:rsidR="004D6A16">
        <w:rPr>
          <w:rFonts w:ascii="Aptos" w:hAnsi="Aptos" w:cs="Times New Roman"/>
          <w:sz w:val="25"/>
          <w:szCs w:val="25"/>
        </w:rPr>
        <w:t>M</w:t>
      </w:r>
      <w:r>
        <w:rPr>
          <w:rFonts w:ascii="Aptos" w:hAnsi="Aptos" w:cs="Times New Roman"/>
          <w:sz w:val="25"/>
          <w:szCs w:val="25"/>
        </w:rPr>
        <w:t xml:space="preserve">atter and </w:t>
      </w:r>
      <w:r w:rsidR="004D6A16">
        <w:rPr>
          <w:rFonts w:ascii="Aptos" w:hAnsi="Aptos" w:cs="Times New Roman"/>
          <w:sz w:val="25"/>
          <w:szCs w:val="25"/>
        </w:rPr>
        <w:t xml:space="preserve">are </w:t>
      </w:r>
      <w:r>
        <w:rPr>
          <w:rFonts w:ascii="Aptos" w:hAnsi="Aptos" w:cs="Times New Roman"/>
          <w:sz w:val="25"/>
          <w:szCs w:val="25"/>
        </w:rPr>
        <w:t xml:space="preserve">thus barred from </w:t>
      </w:r>
      <w:r w:rsidR="002D40F7">
        <w:rPr>
          <w:rFonts w:ascii="Aptos" w:hAnsi="Aptos" w:cs="Times New Roman"/>
          <w:sz w:val="25"/>
          <w:szCs w:val="25"/>
        </w:rPr>
        <w:t xml:space="preserve">further adjudication </w:t>
      </w:r>
      <w:r>
        <w:rPr>
          <w:rFonts w:ascii="Aptos" w:hAnsi="Aptos" w:cs="Times New Roman"/>
          <w:sz w:val="25"/>
          <w:szCs w:val="25"/>
        </w:rPr>
        <w:t xml:space="preserve">by the </w:t>
      </w:r>
      <w:r>
        <w:rPr>
          <w:rFonts w:ascii="Aptos" w:hAnsi="Aptos" w:cs="Times New Roman"/>
          <w:sz w:val="25"/>
          <w:szCs w:val="25"/>
        </w:rPr>
        <w:lastRenderedPageBreak/>
        <w:t>BSEA.</w:t>
      </w:r>
      <w:r w:rsidR="00844FEA">
        <w:rPr>
          <w:rFonts w:ascii="Aptos" w:hAnsi="Aptos" w:cs="Times New Roman"/>
          <w:sz w:val="25"/>
          <w:szCs w:val="25"/>
        </w:rPr>
        <w:t xml:space="preserve">  </w:t>
      </w:r>
      <w:r>
        <w:rPr>
          <w:rFonts w:ascii="Aptos" w:hAnsi="Aptos" w:cs="Times New Roman"/>
          <w:sz w:val="25"/>
          <w:szCs w:val="25"/>
        </w:rPr>
        <w:t xml:space="preserve">The District also </w:t>
      </w:r>
      <w:r w:rsidR="00781E9A">
        <w:rPr>
          <w:rFonts w:ascii="Aptos" w:hAnsi="Aptos" w:cs="Times New Roman"/>
          <w:sz w:val="25"/>
          <w:szCs w:val="25"/>
        </w:rPr>
        <w:t>requests that</w:t>
      </w:r>
      <w:r>
        <w:rPr>
          <w:rFonts w:ascii="Aptos" w:hAnsi="Aptos" w:cs="Times New Roman"/>
          <w:sz w:val="25"/>
          <w:szCs w:val="25"/>
        </w:rPr>
        <w:t xml:space="preserve"> findings of fact </w:t>
      </w:r>
      <w:r w:rsidR="002D40F7">
        <w:rPr>
          <w:rFonts w:ascii="Aptos" w:hAnsi="Aptos" w:cs="Times New Roman"/>
          <w:sz w:val="25"/>
          <w:szCs w:val="25"/>
        </w:rPr>
        <w:t xml:space="preserve">be </w:t>
      </w:r>
      <w:r>
        <w:rPr>
          <w:rFonts w:ascii="Aptos" w:hAnsi="Aptos" w:cs="Times New Roman"/>
          <w:sz w:val="25"/>
          <w:szCs w:val="25"/>
        </w:rPr>
        <w:t>issue</w:t>
      </w:r>
      <w:r w:rsidR="002D40F7">
        <w:rPr>
          <w:rFonts w:ascii="Aptos" w:hAnsi="Aptos" w:cs="Times New Roman"/>
          <w:sz w:val="25"/>
          <w:szCs w:val="25"/>
        </w:rPr>
        <w:t>d</w:t>
      </w:r>
      <w:r>
        <w:rPr>
          <w:rFonts w:ascii="Aptos" w:hAnsi="Aptos" w:cs="Times New Roman"/>
          <w:sz w:val="25"/>
          <w:szCs w:val="25"/>
        </w:rPr>
        <w:t xml:space="preserve"> to use in pursuit of a claim for </w:t>
      </w:r>
      <w:r w:rsidR="00546AF6">
        <w:rPr>
          <w:rFonts w:ascii="Aptos" w:hAnsi="Aptos" w:cs="Times New Roman"/>
          <w:sz w:val="25"/>
          <w:szCs w:val="25"/>
        </w:rPr>
        <w:t xml:space="preserve">attorney’s fees.  </w:t>
      </w:r>
    </w:p>
    <w:p w14:paraId="5002271B" w14:textId="77777777" w:rsidR="00A81C93" w:rsidRDefault="00A81C93" w:rsidP="00781E9A">
      <w:pPr>
        <w:rPr>
          <w:rFonts w:ascii="Aptos" w:hAnsi="Aptos" w:cs="Times New Roman"/>
          <w:sz w:val="25"/>
          <w:szCs w:val="25"/>
        </w:rPr>
      </w:pPr>
    </w:p>
    <w:p w14:paraId="649005C4" w14:textId="1171A636" w:rsidR="00003016" w:rsidRDefault="00546AF6" w:rsidP="00781E9A">
      <w:pPr>
        <w:rPr>
          <w:rFonts w:ascii="Aptos" w:hAnsi="Aptos" w:cs="Times New Roman"/>
          <w:sz w:val="25"/>
          <w:szCs w:val="25"/>
        </w:rPr>
      </w:pPr>
      <w:r>
        <w:rPr>
          <w:rFonts w:ascii="Aptos" w:hAnsi="Aptos" w:cs="Times New Roman"/>
          <w:sz w:val="25"/>
          <w:szCs w:val="25"/>
        </w:rPr>
        <w:t xml:space="preserve">Parent’s </w:t>
      </w:r>
      <w:r>
        <w:rPr>
          <w:rFonts w:ascii="Aptos" w:hAnsi="Aptos" w:cs="Times New Roman"/>
          <w:i/>
          <w:iCs/>
          <w:sz w:val="25"/>
          <w:szCs w:val="25"/>
        </w:rPr>
        <w:t xml:space="preserve">Opposition </w:t>
      </w:r>
      <w:r>
        <w:rPr>
          <w:rFonts w:ascii="Aptos" w:hAnsi="Aptos" w:cs="Times New Roman"/>
          <w:sz w:val="25"/>
          <w:szCs w:val="25"/>
        </w:rPr>
        <w:t xml:space="preserve">objects to dismissal of the </w:t>
      </w:r>
      <w:r>
        <w:rPr>
          <w:rFonts w:ascii="Aptos" w:hAnsi="Aptos" w:cs="Times New Roman"/>
          <w:i/>
          <w:iCs/>
          <w:sz w:val="25"/>
          <w:szCs w:val="25"/>
        </w:rPr>
        <w:t xml:space="preserve">Hearing Request </w:t>
      </w:r>
      <w:r w:rsidR="000D4132">
        <w:rPr>
          <w:rFonts w:ascii="Aptos" w:hAnsi="Aptos" w:cs="Times New Roman"/>
          <w:sz w:val="25"/>
          <w:szCs w:val="25"/>
        </w:rPr>
        <w:t xml:space="preserve">on the grounds of </w:t>
      </w:r>
      <w:r w:rsidR="000D4132" w:rsidRPr="00271DF9">
        <w:rPr>
          <w:rFonts w:ascii="Aptos" w:hAnsi="Aptos" w:cs="Times New Roman"/>
          <w:i/>
          <w:iCs/>
          <w:sz w:val="25"/>
          <w:szCs w:val="25"/>
        </w:rPr>
        <w:t>res judicata</w:t>
      </w:r>
      <w:r w:rsidR="000D4132">
        <w:rPr>
          <w:rFonts w:ascii="Aptos" w:hAnsi="Aptos" w:cs="Times New Roman"/>
          <w:sz w:val="25"/>
          <w:szCs w:val="25"/>
        </w:rPr>
        <w:t xml:space="preserve"> and collateral estoppel</w:t>
      </w:r>
      <w:r w:rsidR="002D40F7">
        <w:rPr>
          <w:rFonts w:ascii="Aptos" w:hAnsi="Aptos" w:cs="Times New Roman"/>
          <w:sz w:val="25"/>
          <w:szCs w:val="25"/>
        </w:rPr>
        <w:t>,</w:t>
      </w:r>
      <w:r w:rsidR="000D4132">
        <w:rPr>
          <w:rFonts w:ascii="Aptos" w:hAnsi="Aptos" w:cs="Times New Roman"/>
          <w:sz w:val="25"/>
          <w:szCs w:val="25"/>
        </w:rPr>
        <w:t xml:space="preserve"> </w:t>
      </w:r>
      <w:r>
        <w:rPr>
          <w:rFonts w:ascii="Aptos" w:hAnsi="Aptos" w:cs="Times New Roman"/>
          <w:sz w:val="25"/>
          <w:szCs w:val="25"/>
        </w:rPr>
        <w:t xml:space="preserve">as she claims </w:t>
      </w:r>
      <w:r w:rsidR="002D40F7">
        <w:rPr>
          <w:rFonts w:ascii="Aptos" w:hAnsi="Aptos" w:cs="Times New Roman"/>
          <w:sz w:val="25"/>
          <w:szCs w:val="25"/>
        </w:rPr>
        <w:t xml:space="preserve">that </w:t>
      </w:r>
      <w:r>
        <w:rPr>
          <w:rFonts w:ascii="Aptos" w:hAnsi="Aptos" w:cs="Times New Roman"/>
          <w:sz w:val="25"/>
          <w:szCs w:val="25"/>
        </w:rPr>
        <w:t xml:space="preserve">she is not looking to relitigate the claims in the Prior Matter but instead raises “ongoing and unresolved procedural violations as well as record and transparency issues that were not adjudicated or resolved in the prior matter”.  </w:t>
      </w:r>
      <w:r w:rsidR="00003016">
        <w:rPr>
          <w:rFonts w:ascii="Aptos" w:hAnsi="Aptos" w:cs="Times New Roman"/>
          <w:sz w:val="25"/>
          <w:szCs w:val="25"/>
        </w:rPr>
        <w:t xml:space="preserve">Parent clarifies that the procedural violation claims she brings now “continue beyond prior proceedings” </w:t>
      </w:r>
      <w:r w:rsidR="00781E9A">
        <w:rPr>
          <w:rFonts w:ascii="Aptos" w:hAnsi="Aptos" w:cs="Times New Roman"/>
          <w:sz w:val="25"/>
          <w:szCs w:val="25"/>
        </w:rPr>
        <w:t xml:space="preserve">and pertain to violations of the </w:t>
      </w:r>
      <w:r w:rsidR="00003016">
        <w:rPr>
          <w:rFonts w:ascii="Aptos" w:hAnsi="Aptos" w:cs="Times New Roman"/>
          <w:sz w:val="25"/>
          <w:szCs w:val="25"/>
        </w:rPr>
        <w:t xml:space="preserve">“right to meaningful participation and timely response to formal disagreement”, the District’s “failure to respond to written rejection of the IEP” and its “failure to complete the IEP Team meeting and absence of follow-up documentation”.  </w:t>
      </w:r>
      <w:r w:rsidR="00781E9A">
        <w:rPr>
          <w:rFonts w:ascii="Aptos" w:hAnsi="Aptos" w:cs="Times New Roman"/>
          <w:sz w:val="25"/>
          <w:szCs w:val="25"/>
        </w:rPr>
        <w:t xml:space="preserve">Parent also argues she is seeking </w:t>
      </w:r>
      <w:r w:rsidR="00003016">
        <w:rPr>
          <w:rFonts w:ascii="Aptos" w:hAnsi="Aptos" w:cs="Times New Roman"/>
          <w:sz w:val="25"/>
          <w:szCs w:val="25"/>
        </w:rPr>
        <w:t>“full disclosure of records related to decision-making, including internal communications and investigative materials”</w:t>
      </w:r>
      <w:r w:rsidR="000D4132">
        <w:rPr>
          <w:rFonts w:ascii="Aptos" w:hAnsi="Aptos" w:cs="Times New Roman"/>
          <w:sz w:val="25"/>
          <w:szCs w:val="25"/>
        </w:rPr>
        <w:t xml:space="preserve"> that she contends “were not resolved in prior proceedings and remain properly before the BSEA”.  </w:t>
      </w:r>
      <w:r w:rsidR="00781E9A">
        <w:rPr>
          <w:rFonts w:ascii="Aptos" w:hAnsi="Aptos" w:cs="Times New Roman"/>
          <w:sz w:val="25"/>
          <w:szCs w:val="25"/>
        </w:rPr>
        <w:t xml:space="preserve">Finally, Parent raises a new claim, not included in the </w:t>
      </w:r>
      <w:r w:rsidR="00781E9A">
        <w:rPr>
          <w:rFonts w:ascii="Aptos" w:hAnsi="Aptos" w:cs="Times New Roman"/>
          <w:i/>
          <w:iCs/>
          <w:sz w:val="25"/>
          <w:szCs w:val="25"/>
        </w:rPr>
        <w:t>Hearing Request</w:t>
      </w:r>
      <w:r w:rsidR="00781E9A">
        <w:rPr>
          <w:rFonts w:ascii="Aptos" w:hAnsi="Aptos" w:cs="Times New Roman"/>
          <w:sz w:val="25"/>
          <w:szCs w:val="25"/>
        </w:rPr>
        <w:t xml:space="preserve">, involving “events that occurred during </w:t>
      </w:r>
      <w:r w:rsidR="00C037FA">
        <w:rPr>
          <w:rFonts w:ascii="Aptos" w:hAnsi="Aptos" w:cs="Times New Roman"/>
          <w:sz w:val="25"/>
          <w:szCs w:val="25"/>
        </w:rPr>
        <w:t>[S]</w:t>
      </w:r>
      <w:r w:rsidR="00781E9A">
        <w:rPr>
          <w:rFonts w:ascii="Aptos" w:hAnsi="Aptos" w:cs="Times New Roman"/>
          <w:sz w:val="25"/>
          <w:szCs w:val="25"/>
        </w:rPr>
        <w:t>tudent’s post-secondary application process, including requests for documentation to support college applications”.</w:t>
      </w:r>
    </w:p>
    <w:p w14:paraId="3682B241" w14:textId="77777777" w:rsidR="000D4132" w:rsidRDefault="000D4132" w:rsidP="00D65142">
      <w:pPr>
        <w:rPr>
          <w:rFonts w:ascii="Aptos" w:hAnsi="Aptos" w:cs="Times New Roman"/>
          <w:sz w:val="25"/>
          <w:szCs w:val="25"/>
        </w:rPr>
      </w:pPr>
    </w:p>
    <w:p w14:paraId="61DF322D" w14:textId="75D0A504" w:rsidR="000D4132" w:rsidRDefault="000D4132" w:rsidP="00D65142">
      <w:pPr>
        <w:rPr>
          <w:rFonts w:ascii="Aptos" w:hAnsi="Aptos" w:cs="Times New Roman"/>
          <w:sz w:val="25"/>
          <w:szCs w:val="25"/>
        </w:rPr>
      </w:pPr>
      <w:r>
        <w:rPr>
          <w:rFonts w:ascii="Aptos" w:hAnsi="Aptos" w:cs="Times New Roman"/>
          <w:sz w:val="25"/>
          <w:szCs w:val="25"/>
        </w:rPr>
        <w:t xml:space="preserve">Parent’s </w:t>
      </w:r>
      <w:r>
        <w:rPr>
          <w:rFonts w:ascii="Aptos" w:hAnsi="Aptos" w:cs="Times New Roman"/>
          <w:i/>
          <w:iCs/>
          <w:sz w:val="25"/>
          <w:szCs w:val="25"/>
        </w:rPr>
        <w:t>Supplemental Opposition</w:t>
      </w:r>
      <w:r>
        <w:rPr>
          <w:rFonts w:ascii="Aptos" w:hAnsi="Aptos" w:cs="Times New Roman"/>
          <w:sz w:val="25"/>
          <w:szCs w:val="25"/>
        </w:rPr>
        <w:t xml:space="preserve">, expands upon her </w:t>
      </w:r>
      <w:r>
        <w:rPr>
          <w:rFonts w:ascii="Aptos" w:hAnsi="Aptos" w:cs="Times New Roman"/>
          <w:i/>
          <w:iCs/>
          <w:sz w:val="25"/>
          <w:szCs w:val="25"/>
        </w:rPr>
        <w:t xml:space="preserve">Opposition </w:t>
      </w:r>
      <w:r>
        <w:rPr>
          <w:rFonts w:ascii="Aptos" w:hAnsi="Aptos" w:cs="Times New Roman"/>
          <w:sz w:val="25"/>
          <w:szCs w:val="25"/>
        </w:rPr>
        <w:t xml:space="preserve">and specifically advises that </w:t>
      </w:r>
      <w:r w:rsidR="00DE1E94">
        <w:rPr>
          <w:rFonts w:ascii="Aptos" w:hAnsi="Aptos" w:cs="Times New Roman"/>
          <w:sz w:val="25"/>
          <w:szCs w:val="25"/>
        </w:rPr>
        <w:t>her</w:t>
      </w:r>
      <w:r>
        <w:rPr>
          <w:rFonts w:ascii="Aptos" w:hAnsi="Aptos" w:cs="Times New Roman"/>
          <w:sz w:val="25"/>
          <w:szCs w:val="25"/>
        </w:rPr>
        <w:t xml:space="preserve"> </w:t>
      </w:r>
      <w:r w:rsidR="009D7EBA">
        <w:rPr>
          <w:rFonts w:ascii="Aptos" w:hAnsi="Aptos" w:cs="Times New Roman"/>
          <w:sz w:val="25"/>
          <w:szCs w:val="25"/>
        </w:rPr>
        <w:t>claims</w:t>
      </w:r>
      <w:r w:rsidR="002256A0">
        <w:rPr>
          <w:rFonts w:ascii="Aptos" w:hAnsi="Aptos" w:cs="Times New Roman"/>
          <w:sz w:val="25"/>
          <w:szCs w:val="25"/>
        </w:rPr>
        <w:t>,</w:t>
      </w:r>
      <w:r w:rsidR="009D7EBA">
        <w:rPr>
          <w:rFonts w:ascii="Aptos" w:hAnsi="Aptos" w:cs="Times New Roman"/>
          <w:sz w:val="25"/>
          <w:szCs w:val="25"/>
        </w:rPr>
        <w:t xml:space="preserve"> </w:t>
      </w:r>
      <w:r>
        <w:rPr>
          <w:rFonts w:ascii="Aptos" w:hAnsi="Aptos" w:cs="Times New Roman"/>
          <w:sz w:val="25"/>
          <w:szCs w:val="25"/>
        </w:rPr>
        <w:t>which “include conduct and events that post-date the August 2025 [Prior Matter] and arise from an entirely separate factual nucleus”</w:t>
      </w:r>
      <w:r w:rsidR="002256A0">
        <w:rPr>
          <w:rFonts w:ascii="Aptos" w:hAnsi="Aptos" w:cs="Times New Roman"/>
          <w:sz w:val="25"/>
          <w:szCs w:val="25"/>
        </w:rPr>
        <w:t>,</w:t>
      </w:r>
      <w:r w:rsidR="00DE1E94">
        <w:rPr>
          <w:rFonts w:ascii="Aptos" w:hAnsi="Aptos" w:cs="Times New Roman"/>
          <w:sz w:val="25"/>
          <w:szCs w:val="25"/>
        </w:rPr>
        <w:t xml:space="preserve"> consist of</w:t>
      </w:r>
      <w:r>
        <w:rPr>
          <w:rFonts w:ascii="Aptos" w:hAnsi="Aptos" w:cs="Times New Roman"/>
          <w:sz w:val="25"/>
          <w:szCs w:val="25"/>
        </w:rPr>
        <w:t>:</w:t>
      </w:r>
    </w:p>
    <w:p w14:paraId="4288ED3B" w14:textId="77777777" w:rsidR="000D4132" w:rsidRPr="000D4132" w:rsidRDefault="000D4132" w:rsidP="00D65142">
      <w:pPr>
        <w:rPr>
          <w:rFonts w:ascii="Aptos" w:hAnsi="Aptos" w:cs="Times New Roman"/>
          <w:sz w:val="25"/>
          <w:szCs w:val="25"/>
        </w:rPr>
      </w:pPr>
    </w:p>
    <w:p w14:paraId="763EB1DA" w14:textId="33436D34" w:rsidR="000D4132" w:rsidRPr="000D4132" w:rsidRDefault="000D4132" w:rsidP="000D4132">
      <w:pPr>
        <w:ind w:left="720" w:right="720"/>
        <w:rPr>
          <w:sz w:val="25"/>
          <w:szCs w:val="25"/>
        </w:rPr>
      </w:pPr>
      <w:r>
        <w:rPr>
          <w:sz w:val="25"/>
          <w:szCs w:val="25"/>
        </w:rPr>
        <w:t>“</w:t>
      </w:r>
      <w:r w:rsidRPr="000D4132">
        <w:rPr>
          <w:sz w:val="25"/>
          <w:szCs w:val="25"/>
        </w:rPr>
        <w:t xml:space="preserve">(a) The failure to provide documentation to support </w:t>
      </w:r>
      <w:r>
        <w:rPr>
          <w:sz w:val="25"/>
          <w:szCs w:val="25"/>
        </w:rPr>
        <w:t>[Student’s]</w:t>
      </w:r>
      <w:r w:rsidRPr="000D4132">
        <w:rPr>
          <w:sz w:val="25"/>
          <w:szCs w:val="25"/>
        </w:rPr>
        <w:t xml:space="preserve"> post-secondary and college applications arose after his graduation and after the August 2025 filing. This claim did not and could not have existed at the time of </w:t>
      </w:r>
      <w:proofErr w:type="gramStart"/>
      <w:r w:rsidRPr="000D4132">
        <w:rPr>
          <w:sz w:val="25"/>
          <w:szCs w:val="25"/>
        </w:rPr>
        <w:t>the prior</w:t>
      </w:r>
      <w:proofErr w:type="gramEnd"/>
      <w:r w:rsidRPr="000D4132">
        <w:rPr>
          <w:sz w:val="25"/>
          <w:szCs w:val="25"/>
        </w:rPr>
        <w:t xml:space="preserve"> proceeding. </w:t>
      </w:r>
    </w:p>
    <w:p w14:paraId="5E39F420" w14:textId="77777777" w:rsidR="000D4132" w:rsidRPr="000D4132" w:rsidRDefault="000D4132" w:rsidP="000D4132">
      <w:pPr>
        <w:ind w:left="720" w:right="720"/>
        <w:rPr>
          <w:sz w:val="25"/>
          <w:szCs w:val="25"/>
        </w:rPr>
      </w:pPr>
      <w:r w:rsidRPr="000D4132">
        <w:rPr>
          <w:sz w:val="25"/>
          <w:szCs w:val="25"/>
        </w:rPr>
        <w:t xml:space="preserve">(b) The failure to complete and reconvene the Zoom IEP Team meeting represents a continuing and unresolved procedural deficiency. The district's obligation to properly conclude a formally convened IEP Team meeting did not expire with the prior dismissal. </w:t>
      </w:r>
    </w:p>
    <w:p w14:paraId="4423FCB3" w14:textId="153F86DD" w:rsidR="00003016" w:rsidRDefault="000D4132" w:rsidP="000D4132">
      <w:pPr>
        <w:ind w:left="720" w:right="720"/>
        <w:rPr>
          <w:sz w:val="25"/>
          <w:szCs w:val="25"/>
        </w:rPr>
      </w:pPr>
      <w:r w:rsidRPr="000D4132">
        <w:rPr>
          <w:sz w:val="25"/>
          <w:szCs w:val="25"/>
        </w:rPr>
        <w:t>(c) The ongoing failure to disclose the internal investigation findings—including the identity, qualifications, and reporting structure of the investigator—constitutes a continuing violation of the Parent's right to a complete educational record under 20 U.S.C. § 1415(b)(1) and 34 C.F.R. § 300.613.</w:t>
      </w:r>
      <w:r>
        <w:rPr>
          <w:sz w:val="25"/>
          <w:szCs w:val="25"/>
        </w:rPr>
        <w:t>”</w:t>
      </w:r>
    </w:p>
    <w:p w14:paraId="24976AE2" w14:textId="77777777" w:rsidR="000D4132" w:rsidRDefault="000D4132" w:rsidP="000D4132">
      <w:pPr>
        <w:ind w:right="720"/>
        <w:rPr>
          <w:sz w:val="25"/>
          <w:szCs w:val="25"/>
        </w:rPr>
      </w:pPr>
    </w:p>
    <w:p w14:paraId="03976E50" w14:textId="5F068808" w:rsidR="000D4132" w:rsidRDefault="000D4132" w:rsidP="00781E9A">
      <w:pPr>
        <w:rPr>
          <w:sz w:val="25"/>
          <w:szCs w:val="25"/>
        </w:rPr>
      </w:pPr>
      <w:r>
        <w:rPr>
          <w:sz w:val="25"/>
          <w:szCs w:val="25"/>
        </w:rPr>
        <w:t>Additionally, Parent seeks to have the District’s request for attorney</w:t>
      </w:r>
      <w:r w:rsidR="00A96090">
        <w:rPr>
          <w:sz w:val="25"/>
          <w:szCs w:val="25"/>
        </w:rPr>
        <w:t>’s</w:t>
      </w:r>
      <w:r>
        <w:rPr>
          <w:sz w:val="25"/>
          <w:szCs w:val="25"/>
        </w:rPr>
        <w:t xml:space="preserve"> fees “denied”</w:t>
      </w:r>
      <w:r w:rsidR="001B6B15">
        <w:rPr>
          <w:sz w:val="25"/>
          <w:szCs w:val="25"/>
        </w:rPr>
        <w:t>,</w:t>
      </w:r>
      <w:r>
        <w:rPr>
          <w:sz w:val="25"/>
          <w:szCs w:val="25"/>
        </w:rPr>
        <w:t xml:space="preserve"> contending that this matter was not filed frivolously</w:t>
      </w:r>
      <w:r w:rsidR="00781E9A">
        <w:rPr>
          <w:sz w:val="25"/>
          <w:szCs w:val="25"/>
        </w:rPr>
        <w:t xml:space="preserve">, was not </w:t>
      </w:r>
      <w:r>
        <w:rPr>
          <w:sz w:val="25"/>
          <w:szCs w:val="25"/>
        </w:rPr>
        <w:t>filed for an improper purpose</w:t>
      </w:r>
      <w:r w:rsidR="00A96090">
        <w:rPr>
          <w:sz w:val="25"/>
          <w:szCs w:val="25"/>
        </w:rPr>
        <w:t>,</w:t>
      </w:r>
      <w:r w:rsidR="00460E0F">
        <w:rPr>
          <w:sz w:val="25"/>
          <w:szCs w:val="25"/>
        </w:rPr>
        <w:t xml:space="preserve"> </w:t>
      </w:r>
      <w:r w:rsidR="00781E9A">
        <w:rPr>
          <w:sz w:val="25"/>
          <w:szCs w:val="25"/>
        </w:rPr>
        <w:t xml:space="preserve">and involves </w:t>
      </w:r>
      <w:r w:rsidR="00460E0F">
        <w:rPr>
          <w:sz w:val="25"/>
          <w:szCs w:val="25"/>
        </w:rPr>
        <w:t>“an improper litigation tactic-designed to intimidate a pro se parent into abandoning legitimate claims”.</w:t>
      </w:r>
    </w:p>
    <w:p w14:paraId="1DB29D52" w14:textId="77777777" w:rsidR="00460E0F" w:rsidRDefault="00460E0F" w:rsidP="000D4132">
      <w:pPr>
        <w:ind w:right="720"/>
        <w:rPr>
          <w:sz w:val="25"/>
          <w:szCs w:val="25"/>
        </w:rPr>
      </w:pPr>
    </w:p>
    <w:p w14:paraId="7BC24628" w14:textId="29CEC810" w:rsidR="00460E0F" w:rsidRPr="000D4132" w:rsidRDefault="00460E0F" w:rsidP="00781E9A">
      <w:pPr>
        <w:rPr>
          <w:sz w:val="25"/>
          <w:szCs w:val="25"/>
        </w:rPr>
      </w:pPr>
      <w:r>
        <w:rPr>
          <w:sz w:val="25"/>
          <w:szCs w:val="25"/>
        </w:rPr>
        <w:lastRenderedPageBreak/>
        <w:t xml:space="preserve">Finally, Parent’s </w:t>
      </w:r>
      <w:r w:rsidRPr="00460E0F">
        <w:rPr>
          <w:i/>
          <w:iCs/>
          <w:sz w:val="25"/>
          <w:szCs w:val="25"/>
        </w:rPr>
        <w:t>Second Supplemental Opposition</w:t>
      </w:r>
      <w:r>
        <w:rPr>
          <w:sz w:val="25"/>
          <w:szCs w:val="25"/>
        </w:rPr>
        <w:t xml:space="preserve"> expands even further on Parent</w:t>
      </w:r>
      <w:r w:rsidR="00A96090">
        <w:rPr>
          <w:sz w:val="25"/>
          <w:szCs w:val="25"/>
        </w:rPr>
        <w:t>’</w:t>
      </w:r>
      <w:r>
        <w:rPr>
          <w:sz w:val="25"/>
          <w:szCs w:val="25"/>
        </w:rPr>
        <w:t xml:space="preserve">s two prior oppositional filings and raises </w:t>
      </w:r>
      <w:r w:rsidR="00781E9A">
        <w:rPr>
          <w:sz w:val="25"/>
          <w:szCs w:val="25"/>
        </w:rPr>
        <w:t xml:space="preserve">yet two more new </w:t>
      </w:r>
      <w:r>
        <w:rPr>
          <w:sz w:val="25"/>
          <w:szCs w:val="25"/>
        </w:rPr>
        <w:t>claim</w:t>
      </w:r>
      <w:r w:rsidR="00781E9A">
        <w:rPr>
          <w:sz w:val="25"/>
          <w:szCs w:val="25"/>
        </w:rPr>
        <w:t>s</w:t>
      </w:r>
      <w:r>
        <w:rPr>
          <w:sz w:val="25"/>
          <w:szCs w:val="25"/>
        </w:rPr>
        <w:t xml:space="preserve"> not previously made</w:t>
      </w:r>
      <w:r w:rsidR="001B6B15">
        <w:rPr>
          <w:sz w:val="25"/>
          <w:szCs w:val="25"/>
        </w:rPr>
        <w:t>, to wit:</w:t>
      </w:r>
      <w:r w:rsidR="00781E9A">
        <w:rPr>
          <w:sz w:val="25"/>
          <w:szCs w:val="25"/>
        </w:rPr>
        <w:t xml:space="preserve"> that she was “coerced” in removing Student from receiving special education in February 2023, and that the District improperly refused </w:t>
      </w:r>
      <w:r>
        <w:rPr>
          <w:sz w:val="25"/>
          <w:szCs w:val="25"/>
        </w:rPr>
        <w:t xml:space="preserve">to participate in mediation </w:t>
      </w:r>
      <w:r w:rsidR="00781E9A">
        <w:rPr>
          <w:sz w:val="25"/>
          <w:szCs w:val="25"/>
        </w:rPr>
        <w:t xml:space="preserve">with the BSEA in the instant matter </w:t>
      </w:r>
      <w:r>
        <w:rPr>
          <w:sz w:val="25"/>
          <w:szCs w:val="25"/>
        </w:rPr>
        <w:t xml:space="preserve">on the same day it filed its </w:t>
      </w:r>
      <w:r>
        <w:rPr>
          <w:i/>
          <w:iCs/>
          <w:sz w:val="25"/>
          <w:szCs w:val="25"/>
        </w:rPr>
        <w:t xml:space="preserve">Motion </w:t>
      </w:r>
      <w:r>
        <w:rPr>
          <w:sz w:val="25"/>
          <w:szCs w:val="25"/>
        </w:rPr>
        <w:t>that “sought findings of fact to support attorney’s fees against a pro se parent”</w:t>
      </w:r>
      <w:r w:rsidR="00781E9A">
        <w:rPr>
          <w:sz w:val="25"/>
          <w:szCs w:val="25"/>
        </w:rPr>
        <w:t xml:space="preserve">.  Parent contends that this refusal was an </w:t>
      </w:r>
      <w:r>
        <w:rPr>
          <w:sz w:val="25"/>
          <w:szCs w:val="25"/>
        </w:rPr>
        <w:t>improper “coordinated litigation strategy designed to eliminate Parent’s claims without engaging their substance, while simultaneously threat</w:t>
      </w:r>
      <w:r w:rsidR="009A68B7">
        <w:rPr>
          <w:sz w:val="25"/>
          <w:szCs w:val="25"/>
        </w:rPr>
        <w:t>en</w:t>
      </w:r>
      <w:r>
        <w:rPr>
          <w:sz w:val="25"/>
          <w:szCs w:val="25"/>
        </w:rPr>
        <w:t xml:space="preserve">ing her </w:t>
      </w:r>
      <w:r w:rsidR="00162145">
        <w:rPr>
          <w:sz w:val="25"/>
          <w:szCs w:val="25"/>
        </w:rPr>
        <w:t>with</w:t>
      </w:r>
      <w:r>
        <w:rPr>
          <w:sz w:val="25"/>
          <w:szCs w:val="25"/>
        </w:rPr>
        <w:t xml:space="preserve"> financial consequences for pursuing them”.</w:t>
      </w:r>
      <w:r w:rsidR="00781E9A">
        <w:rPr>
          <w:sz w:val="25"/>
          <w:szCs w:val="25"/>
        </w:rPr>
        <w:t xml:space="preserve">  </w:t>
      </w:r>
      <w:r w:rsidR="001B6B15">
        <w:rPr>
          <w:sz w:val="25"/>
          <w:szCs w:val="25"/>
        </w:rPr>
        <w:t xml:space="preserve">In conjunction with her </w:t>
      </w:r>
      <w:r w:rsidR="001B6B15">
        <w:rPr>
          <w:i/>
          <w:iCs/>
          <w:sz w:val="25"/>
          <w:szCs w:val="25"/>
        </w:rPr>
        <w:t xml:space="preserve">Second Supplemental </w:t>
      </w:r>
      <w:r w:rsidR="001B6B15" w:rsidRPr="001B6B15">
        <w:rPr>
          <w:i/>
          <w:iCs/>
          <w:sz w:val="25"/>
          <w:szCs w:val="25"/>
        </w:rPr>
        <w:t>Opposition</w:t>
      </w:r>
      <w:r w:rsidR="001B6B15">
        <w:rPr>
          <w:sz w:val="25"/>
          <w:szCs w:val="25"/>
        </w:rPr>
        <w:t xml:space="preserve">, </w:t>
      </w:r>
      <w:r w:rsidRPr="001B6B15">
        <w:rPr>
          <w:sz w:val="25"/>
          <w:szCs w:val="25"/>
        </w:rPr>
        <w:t>Parent</w:t>
      </w:r>
      <w:r>
        <w:rPr>
          <w:sz w:val="25"/>
          <w:szCs w:val="25"/>
        </w:rPr>
        <w:t xml:space="preserve"> </w:t>
      </w:r>
      <w:r w:rsidR="00781E9A">
        <w:rPr>
          <w:sz w:val="25"/>
          <w:szCs w:val="25"/>
        </w:rPr>
        <w:t xml:space="preserve">submitted a </w:t>
      </w:r>
      <w:r>
        <w:rPr>
          <w:sz w:val="25"/>
          <w:szCs w:val="25"/>
        </w:rPr>
        <w:t>chronological outline with supporting email chains from June 7, 2022 (P-A); August 29, 2022 (P-B); February 17, 2023 (P-C)</w:t>
      </w:r>
      <w:r>
        <w:rPr>
          <w:rStyle w:val="FootnoteReference"/>
          <w:sz w:val="25"/>
          <w:szCs w:val="25"/>
        </w:rPr>
        <w:footnoteReference w:id="8"/>
      </w:r>
      <w:r>
        <w:rPr>
          <w:sz w:val="25"/>
          <w:szCs w:val="25"/>
        </w:rPr>
        <w:t xml:space="preserve">; October-November 2024 (P-D); and April 16, 2026 (P-E).  </w:t>
      </w:r>
    </w:p>
    <w:p w14:paraId="2053F98C" w14:textId="77777777" w:rsidR="00003016" w:rsidRDefault="00003016" w:rsidP="00D65142">
      <w:pPr>
        <w:rPr>
          <w:rFonts w:ascii="Aptos" w:hAnsi="Aptos" w:cs="Times New Roman"/>
          <w:sz w:val="25"/>
          <w:szCs w:val="25"/>
        </w:rPr>
      </w:pPr>
    </w:p>
    <w:p w14:paraId="2AEDA7D5" w14:textId="77777777" w:rsidR="00D65142" w:rsidRPr="000370FF" w:rsidRDefault="00D65142" w:rsidP="00D65142">
      <w:pPr>
        <w:shd w:val="clear" w:color="auto" w:fill="FFFFFF"/>
        <w:jc w:val="center"/>
        <w:rPr>
          <w:rFonts w:ascii="Aptos" w:eastAsia="Times New Roman" w:hAnsi="Aptos" w:cs="Times New Roman"/>
          <w:sz w:val="25"/>
          <w:szCs w:val="25"/>
        </w:rPr>
      </w:pPr>
      <w:r w:rsidRPr="000370FF">
        <w:rPr>
          <w:rFonts w:ascii="Aptos" w:eastAsia="Times New Roman" w:hAnsi="Aptos" w:cs="Times New Roman"/>
          <w:b/>
          <w:bCs/>
          <w:sz w:val="25"/>
          <w:szCs w:val="25"/>
        </w:rPr>
        <w:t>LEGAL STANDARDS</w:t>
      </w:r>
    </w:p>
    <w:p w14:paraId="7A4C6520" w14:textId="77777777" w:rsidR="00D65142" w:rsidRPr="000370FF" w:rsidRDefault="00D65142" w:rsidP="00D65142">
      <w:pPr>
        <w:shd w:val="clear" w:color="auto" w:fill="FFFFFF"/>
        <w:rPr>
          <w:rFonts w:ascii="Aptos" w:eastAsia="Times New Roman" w:hAnsi="Aptos" w:cs="Times New Roman"/>
          <w:i/>
          <w:iCs/>
          <w:sz w:val="25"/>
          <w:szCs w:val="25"/>
        </w:rPr>
      </w:pPr>
    </w:p>
    <w:p w14:paraId="5FD07927" w14:textId="77777777" w:rsidR="00D65142" w:rsidRPr="000370FF" w:rsidRDefault="00D65142" w:rsidP="00D65142">
      <w:pPr>
        <w:shd w:val="clear" w:color="auto" w:fill="FFFFFF"/>
        <w:rPr>
          <w:rFonts w:ascii="Aptos" w:eastAsia="Times New Roman" w:hAnsi="Aptos" w:cs="Times New Roman"/>
          <w:sz w:val="25"/>
          <w:szCs w:val="25"/>
        </w:rPr>
      </w:pPr>
      <w:r w:rsidRPr="000370FF">
        <w:rPr>
          <w:rFonts w:ascii="Aptos" w:eastAsia="Times New Roman" w:hAnsi="Aptos" w:cs="Times New Roman"/>
          <w:i/>
          <w:iCs/>
          <w:sz w:val="25"/>
          <w:szCs w:val="25"/>
        </w:rPr>
        <w:t xml:space="preserve">1. </w:t>
      </w:r>
      <w:r w:rsidRPr="000370FF">
        <w:rPr>
          <w:rFonts w:ascii="Aptos" w:eastAsia="Times New Roman" w:hAnsi="Aptos" w:cs="Times New Roman"/>
          <w:i/>
          <w:iCs/>
          <w:sz w:val="25"/>
          <w:szCs w:val="25"/>
        </w:rPr>
        <w:tab/>
        <w:t>Legal Standard for a Motion to Dismiss.</w:t>
      </w:r>
    </w:p>
    <w:p w14:paraId="5BC4C92C" w14:textId="77777777" w:rsidR="00D65142" w:rsidRPr="000370FF" w:rsidRDefault="00D65142" w:rsidP="00D65142">
      <w:pPr>
        <w:shd w:val="clear" w:color="auto" w:fill="FFFFFF"/>
        <w:rPr>
          <w:rFonts w:ascii="Aptos" w:eastAsia="Times New Roman" w:hAnsi="Aptos" w:cs="Times New Roman"/>
          <w:sz w:val="25"/>
          <w:szCs w:val="25"/>
        </w:rPr>
      </w:pPr>
    </w:p>
    <w:p w14:paraId="27668E6D" w14:textId="28379608" w:rsidR="00D65142" w:rsidRPr="00B91983" w:rsidRDefault="00D65142" w:rsidP="00D65142">
      <w:pPr>
        <w:shd w:val="clear" w:color="auto" w:fill="FFFFFF"/>
        <w:rPr>
          <w:rFonts w:ascii="Aptos" w:eastAsia="Times New Roman" w:hAnsi="Aptos" w:cs="Times New Roman"/>
          <w:sz w:val="25"/>
          <w:szCs w:val="25"/>
        </w:rPr>
      </w:pPr>
      <w:r w:rsidRPr="00A73DC5">
        <w:rPr>
          <w:rFonts w:ascii="Aptos" w:eastAsia="Times New Roman" w:hAnsi="Aptos" w:cs="Times New Roman"/>
          <w:bCs/>
          <w:color w:val="000000"/>
          <w:sz w:val="25"/>
          <w:szCs w:val="25"/>
        </w:rPr>
        <w:t>Rule XVI(B)</w:t>
      </w:r>
      <w:r>
        <w:rPr>
          <w:rFonts w:ascii="Aptos" w:eastAsia="Times New Roman" w:hAnsi="Aptos" w:cs="Times New Roman"/>
          <w:bCs/>
          <w:color w:val="000000"/>
          <w:sz w:val="25"/>
          <w:szCs w:val="25"/>
        </w:rPr>
        <w:t>(1) and (4)</w:t>
      </w:r>
      <w:r w:rsidRPr="00A73DC5">
        <w:rPr>
          <w:rFonts w:ascii="Aptos" w:eastAsia="Times New Roman" w:hAnsi="Aptos" w:cs="Times New Roman"/>
          <w:bCs/>
          <w:color w:val="000000"/>
          <w:sz w:val="25"/>
          <w:szCs w:val="25"/>
        </w:rPr>
        <w:t xml:space="preserve"> of the </w:t>
      </w:r>
      <w:r w:rsidRPr="00A73DC5">
        <w:rPr>
          <w:rFonts w:ascii="Aptos" w:eastAsia="Times New Roman" w:hAnsi="Aptos" w:cs="Times New Roman"/>
          <w:bCs/>
          <w:i/>
          <w:iCs/>
          <w:color w:val="000000"/>
          <w:sz w:val="25"/>
          <w:szCs w:val="25"/>
        </w:rPr>
        <w:t>Hearing Rules for Special Education Appeals </w:t>
      </w:r>
      <w:r w:rsidRPr="00A73DC5">
        <w:rPr>
          <w:rFonts w:ascii="Aptos" w:eastAsia="Times New Roman" w:hAnsi="Aptos" w:cs="Times New Roman"/>
          <w:bCs/>
          <w:color w:val="000000"/>
          <w:sz w:val="25"/>
          <w:szCs w:val="25"/>
        </w:rPr>
        <w:t xml:space="preserve">and 801 CMR 1.01(7)(g)(3) allow </w:t>
      </w:r>
      <w:r>
        <w:rPr>
          <w:rFonts w:ascii="Aptos" w:eastAsia="Times New Roman" w:hAnsi="Aptos" w:cs="Times New Roman"/>
          <w:bCs/>
          <w:color w:val="000000"/>
          <w:sz w:val="25"/>
          <w:szCs w:val="25"/>
        </w:rPr>
        <w:t xml:space="preserve">for dismissal of a hearing request if the BSEA </w:t>
      </w:r>
      <w:r w:rsidRPr="00A73DC5">
        <w:rPr>
          <w:rFonts w:ascii="Aptos" w:eastAsia="Times New Roman" w:hAnsi="Aptos" w:cs="Times New Roman"/>
          <w:bCs/>
          <w:color w:val="000000"/>
          <w:sz w:val="25"/>
          <w:szCs w:val="25"/>
        </w:rPr>
        <w:t xml:space="preserve">lacks jurisdiction over a claim or if </w:t>
      </w:r>
      <w:r>
        <w:rPr>
          <w:rFonts w:ascii="Aptos" w:eastAsia="Times New Roman" w:hAnsi="Aptos" w:cs="Times New Roman"/>
          <w:bCs/>
          <w:color w:val="000000"/>
          <w:sz w:val="25"/>
          <w:szCs w:val="25"/>
        </w:rPr>
        <w:t xml:space="preserve">a </w:t>
      </w:r>
      <w:r w:rsidRPr="00A73DC5">
        <w:rPr>
          <w:rFonts w:ascii="Aptos" w:eastAsia="Times New Roman" w:hAnsi="Aptos" w:cs="Times New Roman"/>
          <w:bCs/>
          <w:color w:val="000000"/>
          <w:sz w:val="25"/>
          <w:szCs w:val="25"/>
        </w:rPr>
        <w:t>party requesting the hearing fails to state a claim upon which relief can be granted</w:t>
      </w:r>
      <w:r w:rsidRPr="00A73DC5">
        <w:rPr>
          <w:rFonts w:ascii="Aptos" w:eastAsia="Times New Roman" w:hAnsi="Aptos" w:cs="Times New Roman"/>
          <w:bCs/>
          <w:color w:val="000000"/>
          <w:sz w:val="25"/>
          <w:szCs w:val="25"/>
          <w:vertAlign w:val="superscript"/>
        </w:rPr>
        <w:footnoteReference w:id="9"/>
      </w:r>
      <w:r w:rsidRPr="00A73DC5">
        <w:rPr>
          <w:rFonts w:ascii="Aptos" w:eastAsia="Times New Roman" w:hAnsi="Aptos" w:cs="Times New Roman"/>
          <w:bCs/>
          <w:color w:val="000000"/>
          <w:sz w:val="25"/>
          <w:szCs w:val="25"/>
        </w:rPr>
        <w:t>.  To survive a motion to dismiss, there must exist “factual ‘allegations plausibly suggesting (not merely consistent with)’ an entitlement to relief…”</w:t>
      </w:r>
      <w:r w:rsidRPr="00A73DC5">
        <w:rPr>
          <w:rFonts w:ascii="Aptos" w:eastAsia="Times New Roman" w:hAnsi="Aptos" w:cs="Times New Roman"/>
          <w:bCs/>
          <w:color w:val="000000"/>
          <w:sz w:val="25"/>
          <w:szCs w:val="25"/>
          <w:vertAlign w:val="superscript"/>
        </w:rPr>
        <w:footnoteReference w:id="10"/>
      </w:r>
      <w:r w:rsidRPr="00A73DC5">
        <w:rPr>
          <w:rFonts w:ascii="Aptos" w:eastAsia="Times New Roman" w:hAnsi="Aptos" w:cs="Times New Roman"/>
          <w:bCs/>
          <w:color w:val="000000"/>
          <w:sz w:val="25"/>
          <w:szCs w:val="25"/>
        </w:rPr>
        <w:t>.  The hearing officer must take as true “the allegations of the complaint, as well as such inferences as may be drawn therefrom in the plaintiff’s favor”</w:t>
      </w:r>
      <w:r w:rsidRPr="00A73DC5">
        <w:rPr>
          <w:rFonts w:ascii="Aptos" w:eastAsia="Times New Roman" w:hAnsi="Aptos" w:cs="Times New Roman"/>
          <w:bCs/>
          <w:color w:val="000000"/>
          <w:sz w:val="25"/>
          <w:szCs w:val="25"/>
          <w:vertAlign w:val="superscript"/>
        </w:rPr>
        <w:footnoteReference w:id="11"/>
      </w:r>
      <w:r w:rsidRPr="00A73DC5">
        <w:rPr>
          <w:rFonts w:ascii="Aptos" w:eastAsia="Times New Roman" w:hAnsi="Aptos" w:cs="Times New Roman"/>
          <w:bCs/>
          <w:color w:val="000000"/>
          <w:sz w:val="25"/>
          <w:szCs w:val="25"/>
        </w:rPr>
        <w:t>.  “Factual allegations must be enough to raise a right to relief above the speculative level... [based] on the assumption that all the allegations in the [hearing request] (even if doubtful in fact)”</w:t>
      </w:r>
      <w:r>
        <w:rPr>
          <w:rStyle w:val="FootnoteReference"/>
          <w:rFonts w:ascii="Aptos" w:eastAsia="Times New Roman" w:hAnsi="Aptos" w:cs="Times New Roman"/>
          <w:bCs/>
          <w:color w:val="000000"/>
          <w:sz w:val="25"/>
          <w:szCs w:val="25"/>
        </w:rPr>
        <w:footnoteReference w:id="12"/>
      </w:r>
      <w:r>
        <w:rPr>
          <w:rFonts w:ascii="Aptos" w:eastAsia="Times New Roman" w:hAnsi="Aptos" w:cs="Times New Roman"/>
          <w:bCs/>
          <w:color w:val="000000"/>
          <w:sz w:val="25"/>
          <w:szCs w:val="25"/>
        </w:rPr>
        <w:t>.</w:t>
      </w:r>
      <w:r w:rsidRPr="00A73DC5">
        <w:rPr>
          <w:rFonts w:ascii="Aptos" w:eastAsia="Times New Roman" w:hAnsi="Aptos" w:cs="Times New Roman"/>
          <w:bCs/>
          <w:color w:val="000000"/>
          <w:sz w:val="25"/>
          <w:szCs w:val="25"/>
        </w:rPr>
        <w:t xml:space="preserve">  </w:t>
      </w:r>
    </w:p>
    <w:p w14:paraId="2472C597" w14:textId="77777777" w:rsidR="00D65142" w:rsidRPr="004F6F05" w:rsidRDefault="00D65142" w:rsidP="00D65142">
      <w:pPr>
        <w:shd w:val="clear" w:color="auto" w:fill="FFFFFF"/>
        <w:rPr>
          <w:rFonts w:ascii="Aptos" w:eastAsia="Times New Roman" w:hAnsi="Aptos" w:cs="Times New Roman"/>
          <w:sz w:val="25"/>
          <w:szCs w:val="25"/>
        </w:rPr>
      </w:pPr>
    </w:p>
    <w:p w14:paraId="6212EB19" w14:textId="77777777" w:rsidR="00D65142" w:rsidRPr="00D563EF" w:rsidRDefault="00D65142" w:rsidP="00D65142">
      <w:pPr>
        <w:shd w:val="clear" w:color="auto" w:fill="FFFFFF"/>
        <w:rPr>
          <w:rFonts w:ascii="Aptos" w:eastAsia="Times New Roman" w:hAnsi="Aptos" w:cs="Times New Roman"/>
          <w:sz w:val="25"/>
          <w:szCs w:val="25"/>
        </w:rPr>
      </w:pPr>
      <w:r w:rsidRPr="000B6B25">
        <w:rPr>
          <w:rFonts w:ascii="Aptos" w:eastAsia="Times New Roman" w:hAnsi="Aptos" w:cs="Times New Roman"/>
          <w:sz w:val="25"/>
          <w:szCs w:val="25"/>
        </w:rPr>
        <w:t xml:space="preserve">Motions to </w:t>
      </w:r>
      <w:r>
        <w:rPr>
          <w:rFonts w:ascii="Aptos" w:eastAsia="Times New Roman" w:hAnsi="Aptos" w:cs="Times New Roman"/>
          <w:sz w:val="25"/>
          <w:szCs w:val="25"/>
        </w:rPr>
        <w:t>d</w:t>
      </w:r>
      <w:r w:rsidRPr="000B6B25">
        <w:rPr>
          <w:rFonts w:ascii="Aptos" w:eastAsia="Times New Roman" w:hAnsi="Aptos" w:cs="Times New Roman"/>
          <w:sz w:val="25"/>
          <w:szCs w:val="25"/>
        </w:rPr>
        <w:t>ismiss should be approached with caution, particularly when</w:t>
      </w:r>
      <w:r>
        <w:rPr>
          <w:rFonts w:ascii="Aptos" w:eastAsia="Times New Roman" w:hAnsi="Aptos" w:cs="Times New Roman"/>
          <w:sz w:val="25"/>
          <w:szCs w:val="25"/>
        </w:rPr>
        <w:t>, as in the instant matter,</w:t>
      </w:r>
      <w:r w:rsidRPr="000B6B25">
        <w:rPr>
          <w:rFonts w:ascii="Aptos" w:eastAsia="Times New Roman" w:hAnsi="Aptos" w:cs="Times New Roman"/>
          <w:sz w:val="25"/>
          <w:szCs w:val="25"/>
        </w:rPr>
        <w:t xml:space="preserve"> the party filing the matter is </w:t>
      </w:r>
      <w:r w:rsidRPr="000B6B25">
        <w:rPr>
          <w:rFonts w:ascii="Aptos" w:eastAsia="Times New Roman" w:hAnsi="Aptos" w:cs="Times New Roman"/>
          <w:i/>
          <w:iCs/>
          <w:sz w:val="25"/>
          <w:szCs w:val="25"/>
        </w:rPr>
        <w:t>pro se</w:t>
      </w:r>
      <w:r w:rsidRPr="000B6B25">
        <w:rPr>
          <w:rStyle w:val="FootnoteReference"/>
          <w:rFonts w:ascii="Aptos" w:eastAsia="Times New Roman" w:hAnsi="Aptos" w:cs="Times New Roman"/>
          <w:i/>
          <w:iCs/>
          <w:sz w:val="25"/>
          <w:szCs w:val="25"/>
        </w:rPr>
        <w:footnoteReference w:id="13"/>
      </w:r>
      <w:r w:rsidRPr="000B6B25">
        <w:rPr>
          <w:rFonts w:ascii="Aptos" w:eastAsia="Times New Roman" w:hAnsi="Aptos" w:cs="Times New Roman"/>
          <w:sz w:val="25"/>
          <w:szCs w:val="25"/>
        </w:rPr>
        <w:t xml:space="preserve">.  </w:t>
      </w:r>
      <w:r w:rsidRPr="000B6B25">
        <w:rPr>
          <w:rFonts w:ascii="Aptos" w:hAnsi="Aptos" w:cs="Times New Roman"/>
          <w:color w:val="000000" w:themeColor="text1"/>
          <w:sz w:val="25"/>
          <w:szCs w:val="25"/>
        </w:rPr>
        <w:t xml:space="preserve">This principle aligns with “[o]ur </w:t>
      </w:r>
      <w:r w:rsidRPr="000B6B25">
        <w:rPr>
          <w:rFonts w:ascii="Aptos" w:hAnsi="Aptos" w:cs="Times New Roman"/>
          <w:color w:val="000000" w:themeColor="text1"/>
          <w:sz w:val="25"/>
          <w:szCs w:val="25"/>
        </w:rPr>
        <w:lastRenderedPageBreak/>
        <w:t>judicial system [, which] zealously guards the attempts of</w:t>
      </w:r>
      <w:r w:rsidRPr="00A731E0">
        <w:rPr>
          <w:rFonts w:ascii="Aptos" w:hAnsi="Aptos" w:cs="Times New Roman"/>
          <w:i/>
          <w:iCs/>
          <w:color w:val="000000" w:themeColor="text1"/>
          <w:sz w:val="25"/>
          <w:szCs w:val="25"/>
        </w:rPr>
        <w:t xml:space="preserve"> pro se</w:t>
      </w:r>
      <w:r w:rsidRPr="000B6B25">
        <w:rPr>
          <w:rFonts w:ascii="Aptos" w:hAnsi="Aptos" w:cs="Times New Roman"/>
          <w:color w:val="000000" w:themeColor="text1"/>
          <w:sz w:val="25"/>
          <w:szCs w:val="25"/>
        </w:rPr>
        <w:t xml:space="preserve"> litigants on their own behalf” while not ignoring the need for compliance with procedural and substantive law</w:t>
      </w:r>
      <w:r w:rsidRPr="000B6B25">
        <w:rPr>
          <w:rStyle w:val="FootnoteReference"/>
          <w:rFonts w:ascii="Aptos" w:hAnsi="Aptos" w:cs="Times New Roman"/>
          <w:color w:val="000000" w:themeColor="text1"/>
          <w:sz w:val="25"/>
          <w:szCs w:val="25"/>
        </w:rPr>
        <w:footnoteReference w:id="14"/>
      </w:r>
      <w:r w:rsidRPr="000B6B25">
        <w:rPr>
          <w:rFonts w:ascii="Aptos" w:hAnsi="Aptos" w:cs="Times New Roman"/>
          <w:color w:val="000000" w:themeColor="text1"/>
          <w:sz w:val="25"/>
          <w:szCs w:val="25"/>
        </w:rPr>
        <w:t>.</w:t>
      </w:r>
      <w:r>
        <w:rPr>
          <w:rFonts w:ascii="Aptos" w:hAnsi="Aptos" w:cs="Times New Roman"/>
          <w:color w:val="000000" w:themeColor="text1"/>
          <w:sz w:val="25"/>
          <w:szCs w:val="25"/>
        </w:rPr>
        <w:t xml:space="preserve">  </w:t>
      </w:r>
      <w:r>
        <w:rPr>
          <w:rFonts w:ascii="Aptos" w:hAnsi="Aptos" w:cs="Times New Roman"/>
          <w:sz w:val="25"/>
          <w:szCs w:val="25"/>
        </w:rPr>
        <w:t>However, e</w:t>
      </w:r>
      <w:r w:rsidRPr="00BC4CA4">
        <w:rPr>
          <w:rFonts w:ascii="Aptos" w:hAnsi="Aptos" w:cs="Times New Roman"/>
          <w:sz w:val="25"/>
          <w:szCs w:val="25"/>
        </w:rPr>
        <w:t>ven in such cases,</w:t>
      </w:r>
      <w:r>
        <w:rPr>
          <w:rFonts w:ascii="Aptos" w:hAnsi="Aptos" w:cs="Times New Roman"/>
          <w:sz w:val="25"/>
          <w:szCs w:val="25"/>
        </w:rPr>
        <w:t xml:space="preserve"> </w:t>
      </w:r>
      <w:r w:rsidRPr="00BC4CA4">
        <w:rPr>
          <w:rFonts w:ascii="Aptos" w:hAnsi="Aptos" w:cs="Times New Roman"/>
          <w:sz w:val="25"/>
          <w:szCs w:val="25"/>
        </w:rPr>
        <w:t xml:space="preserve">“[w]hile ‘a trial judge is to employ less stringent standards in assessing </w:t>
      </w:r>
      <w:r w:rsidRPr="00BC4CA4">
        <w:rPr>
          <w:rFonts w:ascii="Aptos" w:hAnsi="Aptos" w:cs="Times New Roman"/>
          <w:i/>
          <w:iCs/>
          <w:sz w:val="25"/>
          <w:szCs w:val="25"/>
        </w:rPr>
        <w:t>pro se</w:t>
      </w:r>
      <w:r w:rsidRPr="00BC4CA4">
        <w:rPr>
          <w:rFonts w:ascii="Aptos" w:hAnsi="Aptos" w:cs="Times New Roman"/>
          <w:sz w:val="25"/>
          <w:szCs w:val="25"/>
        </w:rPr>
        <w:t xml:space="preserve"> pleadings ... than would be used to judge the final product of lawyers,’ this leniency does not permit the district court to act as counsel for a party or to rewrite deficient pleadings”</w:t>
      </w:r>
      <w:r>
        <w:rPr>
          <w:rStyle w:val="FootnoteReference"/>
          <w:rFonts w:ascii="Aptos" w:hAnsi="Aptos" w:cs="Times New Roman"/>
          <w:sz w:val="25"/>
          <w:szCs w:val="25"/>
        </w:rPr>
        <w:footnoteReference w:id="15"/>
      </w:r>
      <w:r w:rsidRPr="00BC4CA4">
        <w:rPr>
          <w:rFonts w:ascii="Aptos" w:hAnsi="Aptos" w:cs="Times New Roman"/>
          <w:sz w:val="25"/>
          <w:szCs w:val="25"/>
        </w:rPr>
        <w:t>.</w:t>
      </w:r>
      <w:r>
        <w:rPr>
          <w:rFonts w:ascii="Aptos" w:eastAsia="Times New Roman" w:hAnsi="Aptos" w:cs="Times New Roman"/>
          <w:i/>
          <w:iCs/>
          <w:sz w:val="25"/>
          <w:szCs w:val="25"/>
        </w:rPr>
        <w:t xml:space="preserve"> </w:t>
      </w:r>
    </w:p>
    <w:p w14:paraId="76B9590A" w14:textId="0D5F0D9A" w:rsidR="00781E9A" w:rsidRPr="00781E9A" w:rsidRDefault="00D65142" w:rsidP="00781E9A">
      <w:pPr>
        <w:shd w:val="clear" w:color="auto" w:fill="FFFFFF"/>
        <w:rPr>
          <w:rFonts w:ascii="Aptos" w:hAnsi="Aptos"/>
          <w:color w:val="000000" w:themeColor="text1"/>
          <w:sz w:val="25"/>
          <w:szCs w:val="25"/>
        </w:rPr>
      </w:pPr>
      <w:r w:rsidRPr="000370FF">
        <w:rPr>
          <w:rFonts w:ascii="Aptos" w:hAnsi="Aptos"/>
          <w:sz w:val="25"/>
          <w:szCs w:val="25"/>
        </w:rPr>
        <w:t xml:space="preserve">  </w:t>
      </w:r>
    </w:p>
    <w:p w14:paraId="5310EFC4" w14:textId="3C8A3F39" w:rsidR="00781E9A" w:rsidRPr="00781E9A" w:rsidRDefault="00781E9A" w:rsidP="00781E9A">
      <w:pPr>
        <w:rPr>
          <w:rFonts w:ascii="Aptos" w:eastAsia="Times New Roman" w:hAnsi="Aptos" w:cs="Times New Roman"/>
          <w:bCs/>
          <w:color w:val="000000"/>
          <w:sz w:val="25"/>
          <w:szCs w:val="25"/>
        </w:rPr>
      </w:pPr>
      <w:r>
        <w:rPr>
          <w:rFonts w:ascii="Aptos" w:eastAsia="Times New Roman" w:hAnsi="Aptos" w:cs="Times New Roman"/>
          <w:bCs/>
          <w:color w:val="000000"/>
          <w:sz w:val="25"/>
          <w:szCs w:val="25"/>
        </w:rPr>
        <w:t>2</w:t>
      </w:r>
      <w:r w:rsidRPr="00781E9A">
        <w:rPr>
          <w:rFonts w:ascii="Aptos" w:eastAsia="Times New Roman" w:hAnsi="Aptos" w:cs="Times New Roman"/>
          <w:bCs/>
          <w:color w:val="000000"/>
          <w:sz w:val="25"/>
          <w:szCs w:val="25"/>
        </w:rPr>
        <w:t>.</w:t>
      </w:r>
      <w:r w:rsidRPr="00781E9A">
        <w:rPr>
          <w:rFonts w:ascii="Aptos" w:eastAsia="Times New Roman" w:hAnsi="Aptos" w:cs="Times New Roman"/>
          <w:bCs/>
          <w:color w:val="000000"/>
          <w:sz w:val="25"/>
          <w:szCs w:val="25"/>
        </w:rPr>
        <w:tab/>
      </w:r>
      <w:r w:rsidRPr="00781E9A">
        <w:rPr>
          <w:rFonts w:ascii="Aptos" w:eastAsia="Times New Roman" w:hAnsi="Aptos" w:cs="Times New Roman"/>
          <w:bCs/>
          <w:i/>
          <w:iCs/>
          <w:color w:val="000000"/>
          <w:sz w:val="25"/>
          <w:szCs w:val="25"/>
        </w:rPr>
        <w:t>Requests for Reconsideration, Collateral Estoppel</w:t>
      </w:r>
      <w:r w:rsidR="002A400C">
        <w:rPr>
          <w:rFonts w:ascii="Aptos" w:eastAsia="Times New Roman" w:hAnsi="Aptos" w:cs="Times New Roman"/>
          <w:bCs/>
          <w:i/>
          <w:iCs/>
          <w:color w:val="000000"/>
          <w:sz w:val="25"/>
          <w:szCs w:val="25"/>
        </w:rPr>
        <w:t xml:space="preserve"> and Res Judicata</w:t>
      </w:r>
    </w:p>
    <w:p w14:paraId="4BCB218C" w14:textId="77777777" w:rsidR="00781E9A" w:rsidRDefault="00781E9A" w:rsidP="00781E9A">
      <w:pPr>
        <w:rPr>
          <w:rFonts w:ascii="Aptos" w:eastAsia="Times New Roman" w:hAnsi="Aptos" w:cs="Times New Roman"/>
          <w:bCs/>
          <w:color w:val="000000"/>
          <w:sz w:val="25"/>
          <w:szCs w:val="25"/>
          <w:u w:val="single"/>
        </w:rPr>
      </w:pPr>
    </w:p>
    <w:p w14:paraId="3E81E850" w14:textId="424AD8AA" w:rsidR="00781E9A" w:rsidRPr="00521F9B" w:rsidRDefault="00781E9A" w:rsidP="00781E9A">
      <w:pPr>
        <w:rPr>
          <w:rFonts w:ascii="Aptos" w:eastAsia="Times New Roman" w:hAnsi="Aptos" w:cs="Times New Roman"/>
          <w:bCs/>
          <w:color w:val="000000"/>
          <w:sz w:val="25"/>
          <w:szCs w:val="25"/>
        </w:rPr>
      </w:pPr>
      <w:r w:rsidRPr="00A353F5">
        <w:rPr>
          <w:rFonts w:ascii="Aptos" w:eastAsia="Times New Roman" w:hAnsi="Aptos" w:cs="Times New Roman"/>
          <w:bCs/>
          <w:color w:val="000000"/>
          <w:sz w:val="25"/>
          <w:szCs w:val="25"/>
        </w:rPr>
        <w:t>The IDEA provides that due process hearing decisions are “final”</w:t>
      </w:r>
      <w:r w:rsidRPr="00A353F5">
        <w:rPr>
          <w:rFonts w:ascii="Aptos" w:eastAsia="Times New Roman" w:hAnsi="Aptos" w:cs="Times New Roman"/>
          <w:bCs/>
          <w:color w:val="000000"/>
          <w:sz w:val="25"/>
          <w:szCs w:val="25"/>
          <w:vertAlign w:val="superscript"/>
        </w:rPr>
        <w:footnoteReference w:id="16"/>
      </w:r>
      <w:r w:rsidR="00AB6375">
        <w:rPr>
          <w:rFonts w:ascii="Aptos" w:eastAsia="Times New Roman" w:hAnsi="Aptos" w:cs="Times New Roman"/>
          <w:bCs/>
          <w:color w:val="000000"/>
          <w:sz w:val="25"/>
          <w:szCs w:val="25"/>
        </w:rPr>
        <w:t xml:space="preserve"> agency decisions,</w:t>
      </w:r>
      <w:r>
        <w:rPr>
          <w:rFonts w:ascii="Aptos" w:eastAsia="Times New Roman" w:hAnsi="Aptos" w:cs="Times New Roman"/>
          <w:bCs/>
          <w:color w:val="000000"/>
          <w:sz w:val="25"/>
          <w:szCs w:val="25"/>
        </w:rPr>
        <w:t xml:space="preserve"> and </w:t>
      </w:r>
      <w:r w:rsidR="00DF5883">
        <w:rPr>
          <w:rFonts w:ascii="Aptos" w:eastAsia="Times New Roman" w:hAnsi="Aptos" w:cs="Times New Roman"/>
          <w:bCs/>
          <w:color w:val="000000"/>
          <w:sz w:val="25"/>
          <w:szCs w:val="25"/>
        </w:rPr>
        <w:t>the</w:t>
      </w:r>
      <w:r>
        <w:rPr>
          <w:rFonts w:ascii="Aptos" w:eastAsia="Times New Roman" w:hAnsi="Aptos" w:cs="Times New Roman"/>
          <w:bCs/>
          <w:color w:val="000000"/>
          <w:sz w:val="25"/>
          <w:szCs w:val="25"/>
        </w:rPr>
        <w:t xml:space="preserve"> </w:t>
      </w:r>
      <w:r>
        <w:rPr>
          <w:rFonts w:ascii="Aptos" w:eastAsia="Times New Roman" w:hAnsi="Aptos" w:cs="Times New Roman"/>
          <w:bCs/>
          <w:i/>
          <w:iCs/>
          <w:color w:val="000000"/>
          <w:sz w:val="25"/>
          <w:szCs w:val="25"/>
        </w:rPr>
        <w:t>Hearing Rules</w:t>
      </w:r>
      <w:r>
        <w:rPr>
          <w:rFonts w:ascii="Aptos" w:eastAsia="Times New Roman" w:hAnsi="Aptos" w:cs="Times New Roman"/>
          <w:bCs/>
          <w:color w:val="000000"/>
          <w:sz w:val="25"/>
          <w:szCs w:val="25"/>
        </w:rPr>
        <w:t xml:space="preserve"> support this</w:t>
      </w:r>
      <w:r w:rsidR="008B2967">
        <w:rPr>
          <w:rFonts w:ascii="Aptos" w:eastAsia="Times New Roman" w:hAnsi="Aptos" w:cs="Times New Roman"/>
          <w:bCs/>
          <w:color w:val="000000"/>
          <w:sz w:val="25"/>
          <w:szCs w:val="25"/>
        </w:rPr>
        <w:t xml:space="preserve"> with the requirement </w:t>
      </w:r>
      <w:r>
        <w:rPr>
          <w:rFonts w:ascii="Aptos" w:eastAsia="Times New Roman" w:hAnsi="Aptos" w:cs="Times New Roman"/>
          <w:bCs/>
          <w:color w:val="000000"/>
          <w:sz w:val="25"/>
          <w:szCs w:val="25"/>
        </w:rPr>
        <w:t xml:space="preserve">that </w:t>
      </w:r>
      <w:r w:rsidRPr="00A353F5">
        <w:rPr>
          <w:rFonts w:ascii="Aptos" w:eastAsia="Times New Roman" w:hAnsi="Aptos" w:cs="Times New Roman"/>
          <w:bCs/>
          <w:color w:val="000000"/>
          <w:sz w:val="25"/>
          <w:szCs w:val="25"/>
        </w:rPr>
        <w:t xml:space="preserve">the decision of a BSEA Hearing Officer is “the final decision of the BSEA and is not subject to further agency review.  </w:t>
      </w:r>
      <w:r w:rsidRPr="00A353F5">
        <w:rPr>
          <w:rFonts w:ascii="Aptos" w:eastAsia="Times New Roman" w:hAnsi="Aptos" w:cs="Times New Roman"/>
          <w:bCs/>
          <w:i/>
          <w:iCs/>
          <w:color w:val="000000"/>
          <w:sz w:val="25"/>
          <w:szCs w:val="25"/>
        </w:rPr>
        <w:t>Motions to reconsider</w:t>
      </w:r>
      <w:r w:rsidRPr="00A353F5">
        <w:rPr>
          <w:rFonts w:ascii="Aptos" w:eastAsia="Times New Roman" w:hAnsi="Aptos" w:cs="Times New Roman"/>
          <w:bCs/>
          <w:color w:val="000000"/>
          <w:sz w:val="25"/>
          <w:szCs w:val="25"/>
        </w:rPr>
        <w:t xml:space="preserve"> … </w:t>
      </w:r>
      <w:r w:rsidRPr="00A353F5">
        <w:rPr>
          <w:rFonts w:ascii="Aptos" w:eastAsia="Times New Roman" w:hAnsi="Aptos" w:cs="Times New Roman"/>
          <w:bCs/>
          <w:i/>
          <w:iCs/>
          <w:color w:val="000000"/>
          <w:sz w:val="25"/>
          <w:szCs w:val="25"/>
        </w:rPr>
        <w:t>are not permitted</w:t>
      </w:r>
      <w:r w:rsidRPr="00A353F5">
        <w:rPr>
          <w:rFonts w:ascii="Aptos" w:eastAsia="Times New Roman" w:hAnsi="Aptos" w:cs="Times New Roman"/>
          <w:bCs/>
          <w:color w:val="000000"/>
          <w:sz w:val="25"/>
          <w:szCs w:val="25"/>
        </w:rPr>
        <w:t>” (emphasis added)</w:t>
      </w:r>
      <w:r>
        <w:rPr>
          <w:rStyle w:val="FootnoteReference"/>
          <w:rFonts w:ascii="Aptos" w:eastAsia="Times New Roman" w:hAnsi="Aptos" w:cs="Times New Roman"/>
          <w:bCs/>
          <w:color w:val="000000"/>
          <w:sz w:val="25"/>
          <w:szCs w:val="25"/>
        </w:rPr>
        <w:footnoteReference w:id="17"/>
      </w:r>
      <w:r w:rsidRPr="00A353F5">
        <w:rPr>
          <w:rFonts w:ascii="Aptos" w:eastAsia="Times New Roman" w:hAnsi="Aptos" w:cs="Times New Roman"/>
          <w:bCs/>
          <w:color w:val="000000"/>
          <w:sz w:val="25"/>
          <w:szCs w:val="25"/>
        </w:rPr>
        <w:t>.  Moreover, dismissal of issues “with prejudice” mean</w:t>
      </w:r>
      <w:r w:rsidR="00AB6375">
        <w:rPr>
          <w:rFonts w:ascii="Aptos" w:eastAsia="Times New Roman" w:hAnsi="Aptos" w:cs="Times New Roman"/>
          <w:bCs/>
          <w:color w:val="000000"/>
          <w:sz w:val="25"/>
          <w:szCs w:val="25"/>
        </w:rPr>
        <w:t>s</w:t>
      </w:r>
      <w:r w:rsidRPr="00A353F5">
        <w:rPr>
          <w:rFonts w:ascii="Aptos" w:eastAsia="Times New Roman" w:hAnsi="Aptos" w:cs="Times New Roman"/>
          <w:bCs/>
          <w:color w:val="000000"/>
          <w:sz w:val="25"/>
          <w:szCs w:val="25"/>
        </w:rPr>
        <w:t xml:space="preserve"> that “the issues litigated and/or raised in the hearing request are closed and cannot be reopened/relitigated in subsequent cases before the BSEA”</w:t>
      </w:r>
      <w:r w:rsidRPr="00A353F5">
        <w:rPr>
          <w:rFonts w:ascii="Aptos" w:eastAsia="Times New Roman" w:hAnsi="Aptos" w:cs="Times New Roman"/>
          <w:bCs/>
          <w:color w:val="000000"/>
          <w:sz w:val="25"/>
          <w:szCs w:val="25"/>
          <w:vertAlign w:val="superscript"/>
        </w:rPr>
        <w:footnoteReference w:id="18"/>
      </w:r>
      <w:r w:rsidRPr="00A353F5">
        <w:rPr>
          <w:rFonts w:ascii="Aptos" w:eastAsia="Times New Roman" w:hAnsi="Aptos" w:cs="Times New Roman"/>
          <w:bCs/>
          <w:color w:val="000000"/>
          <w:sz w:val="25"/>
          <w:szCs w:val="25"/>
        </w:rPr>
        <w:t xml:space="preserve">.  </w:t>
      </w:r>
      <w:r>
        <w:rPr>
          <w:rFonts w:ascii="Aptos" w:eastAsia="Times New Roman" w:hAnsi="Aptos" w:cs="Times New Roman"/>
          <w:bCs/>
          <w:color w:val="000000"/>
          <w:sz w:val="25"/>
          <w:szCs w:val="25"/>
        </w:rPr>
        <w:t xml:space="preserve">Thus, such dismissals are also prohibited from </w:t>
      </w:r>
      <w:r w:rsidR="00AB6375">
        <w:rPr>
          <w:rFonts w:ascii="Aptos" w:eastAsia="Times New Roman" w:hAnsi="Aptos" w:cs="Times New Roman"/>
          <w:bCs/>
          <w:color w:val="000000"/>
          <w:sz w:val="25"/>
          <w:szCs w:val="25"/>
        </w:rPr>
        <w:t xml:space="preserve">reconsideration.  The parties are notified of this prohibition when such </w:t>
      </w:r>
      <w:r w:rsidR="00AB6375">
        <w:rPr>
          <w:rFonts w:ascii="Aptos" w:eastAsia="Times New Roman" w:hAnsi="Aptos" w:cs="Times New Roman"/>
          <w:bCs/>
          <w:i/>
          <w:iCs/>
          <w:color w:val="000000"/>
          <w:sz w:val="25"/>
          <w:szCs w:val="25"/>
        </w:rPr>
        <w:t>Rulings</w:t>
      </w:r>
      <w:r w:rsidR="00AB6375">
        <w:rPr>
          <w:rFonts w:ascii="Aptos" w:eastAsia="Times New Roman" w:hAnsi="Aptos" w:cs="Times New Roman"/>
          <w:bCs/>
          <w:color w:val="000000"/>
          <w:sz w:val="25"/>
          <w:szCs w:val="25"/>
        </w:rPr>
        <w:t xml:space="preserve"> are issued, </w:t>
      </w:r>
      <w:r>
        <w:rPr>
          <w:rFonts w:ascii="Aptos" w:eastAsia="Times New Roman" w:hAnsi="Aptos" w:cs="Times New Roman"/>
          <w:bCs/>
          <w:color w:val="000000"/>
          <w:sz w:val="25"/>
          <w:szCs w:val="25"/>
        </w:rPr>
        <w:t xml:space="preserve">consistent with the requirements of the Administrative Procedure Act </w:t>
      </w:r>
      <w:r w:rsidR="006E2833">
        <w:rPr>
          <w:rFonts w:ascii="Aptos" w:eastAsia="Times New Roman" w:hAnsi="Aptos" w:cs="Times New Roman"/>
          <w:bCs/>
          <w:color w:val="000000"/>
          <w:sz w:val="25"/>
          <w:szCs w:val="25"/>
        </w:rPr>
        <w:t xml:space="preserve">regarding </w:t>
      </w:r>
      <w:r>
        <w:rPr>
          <w:rFonts w:ascii="Aptos" w:eastAsia="Times New Roman" w:hAnsi="Aptos" w:cs="Times New Roman"/>
          <w:bCs/>
          <w:color w:val="000000"/>
          <w:sz w:val="25"/>
          <w:szCs w:val="25"/>
        </w:rPr>
        <w:t xml:space="preserve">agencies’ </w:t>
      </w:r>
      <w:r w:rsidR="006E2833">
        <w:rPr>
          <w:rFonts w:ascii="Aptos" w:eastAsia="Times New Roman" w:hAnsi="Aptos" w:cs="Times New Roman"/>
          <w:bCs/>
          <w:color w:val="000000"/>
          <w:sz w:val="25"/>
          <w:szCs w:val="25"/>
        </w:rPr>
        <w:t xml:space="preserve">notification </w:t>
      </w:r>
      <w:r>
        <w:rPr>
          <w:rFonts w:ascii="Aptos" w:eastAsia="Times New Roman" w:hAnsi="Aptos" w:cs="Times New Roman"/>
          <w:bCs/>
          <w:color w:val="000000"/>
          <w:sz w:val="25"/>
          <w:szCs w:val="25"/>
        </w:rPr>
        <w:t>obligations</w:t>
      </w:r>
      <w:r w:rsidR="006E2833">
        <w:rPr>
          <w:rFonts w:ascii="Aptos" w:eastAsia="Times New Roman" w:hAnsi="Aptos" w:cs="Times New Roman"/>
          <w:bCs/>
          <w:color w:val="000000"/>
          <w:sz w:val="25"/>
          <w:szCs w:val="25"/>
        </w:rPr>
        <w:t xml:space="preserve"> with respect to review and appeals of decisions</w:t>
      </w:r>
      <w:r>
        <w:rPr>
          <w:rStyle w:val="FootnoteReference"/>
          <w:rFonts w:ascii="Aptos" w:eastAsia="Times New Roman" w:hAnsi="Aptos" w:cs="Times New Roman"/>
          <w:bCs/>
          <w:color w:val="000000"/>
          <w:sz w:val="25"/>
          <w:szCs w:val="25"/>
        </w:rPr>
        <w:footnoteReference w:id="19"/>
      </w:r>
      <w:r>
        <w:rPr>
          <w:rFonts w:ascii="Aptos" w:eastAsia="Times New Roman" w:hAnsi="Aptos" w:cs="Times New Roman"/>
          <w:bCs/>
          <w:color w:val="000000"/>
          <w:sz w:val="25"/>
          <w:szCs w:val="25"/>
        </w:rPr>
        <w:t xml:space="preserve">.  A </w:t>
      </w:r>
      <w:r w:rsidRPr="00A353F5">
        <w:rPr>
          <w:rFonts w:ascii="Aptos" w:eastAsia="Times New Roman" w:hAnsi="Aptos" w:cs="Times New Roman"/>
          <w:bCs/>
          <w:color w:val="000000"/>
          <w:sz w:val="25"/>
          <w:szCs w:val="25"/>
        </w:rPr>
        <w:t xml:space="preserve">document entitled </w:t>
      </w:r>
      <w:r w:rsidRPr="00A353F5">
        <w:rPr>
          <w:rFonts w:ascii="Aptos" w:eastAsia="Times New Roman" w:hAnsi="Aptos" w:cs="Times New Roman"/>
          <w:bCs/>
          <w:i/>
          <w:iCs/>
          <w:color w:val="000000"/>
          <w:sz w:val="25"/>
          <w:szCs w:val="25"/>
        </w:rPr>
        <w:t>Effect of Final BSEA Actions and Rights of Appeal</w:t>
      </w:r>
      <w:r w:rsidRPr="00A353F5">
        <w:rPr>
          <w:rFonts w:ascii="Aptos" w:eastAsia="Times New Roman" w:hAnsi="Aptos" w:cs="Times New Roman"/>
          <w:bCs/>
          <w:color w:val="000000"/>
          <w:sz w:val="25"/>
          <w:szCs w:val="25"/>
        </w:rPr>
        <w:t xml:space="preserve"> </w:t>
      </w:r>
      <w:r>
        <w:rPr>
          <w:rFonts w:ascii="Aptos" w:eastAsia="Times New Roman" w:hAnsi="Aptos" w:cs="Times New Roman"/>
          <w:bCs/>
          <w:color w:val="000000"/>
          <w:sz w:val="25"/>
          <w:szCs w:val="25"/>
        </w:rPr>
        <w:t xml:space="preserve">accompanies </w:t>
      </w:r>
      <w:r w:rsidRPr="00A353F5">
        <w:rPr>
          <w:rFonts w:ascii="Aptos" w:eastAsia="Times New Roman" w:hAnsi="Aptos" w:cs="Times New Roman"/>
          <w:bCs/>
          <w:color w:val="000000"/>
          <w:sz w:val="25"/>
          <w:szCs w:val="25"/>
        </w:rPr>
        <w:t xml:space="preserve">all </w:t>
      </w:r>
      <w:r w:rsidR="008B2967">
        <w:rPr>
          <w:rFonts w:ascii="Aptos" w:eastAsia="Times New Roman" w:hAnsi="Aptos" w:cs="Times New Roman"/>
          <w:bCs/>
          <w:color w:val="000000"/>
          <w:sz w:val="25"/>
          <w:szCs w:val="25"/>
        </w:rPr>
        <w:t xml:space="preserve">BSEA issued </w:t>
      </w:r>
      <w:r w:rsidRPr="00A353F5">
        <w:rPr>
          <w:rFonts w:ascii="Aptos" w:eastAsia="Times New Roman" w:hAnsi="Aptos" w:cs="Times New Roman"/>
          <w:bCs/>
          <w:color w:val="000000"/>
          <w:sz w:val="25"/>
          <w:szCs w:val="25"/>
        </w:rPr>
        <w:t xml:space="preserve">decisions </w:t>
      </w:r>
      <w:r>
        <w:rPr>
          <w:rFonts w:ascii="Aptos" w:eastAsia="Times New Roman" w:hAnsi="Aptos" w:cs="Times New Roman"/>
          <w:bCs/>
          <w:color w:val="000000"/>
          <w:sz w:val="25"/>
          <w:szCs w:val="25"/>
        </w:rPr>
        <w:t>and substantive rulings</w:t>
      </w:r>
      <w:r w:rsidRPr="00A353F5">
        <w:rPr>
          <w:rFonts w:ascii="Aptos" w:eastAsia="Times New Roman" w:hAnsi="Aptos" w:cs="Times New Roman"/>
          <w:bCs/>
          <w:color w:val="000000"/>
          <w:sz w:val="25"/>
          <w:szCs w:val="25"/>
        </w:rPr>
        <w:t xml:space="preserve">, including whenever some or all </w:t>
      </w:r>
      <w:r>
        <w:rPr>
          <w:rFonts w:ascii="Aptos" w:eastAsia="Times New Roman" w:hAnsi="Aptos" w:cs="Times New Roman"/>
          <w:bCs/>
          <w:color w:val="000000"/>
          <w:sz w:val="25"/>
          <w:szCs w:val="25"/>
        </w:rPr>
        <w:t xml:space="preserve">claims are </w:t>
      </w:r>
      <w:r w:rsidRPr="00A353F5">
        <w:rPr>
          <w:rFonts w:ascii="Aptos" w:eastAsia="Times New Roman" w:hAnsi="Aptos" w:cs="Times New Roman"/>
          <w:bCs/>
          <w:color w:val="000000"/>
          <w:sz w:val="25"/>
          <w:szCs w:val="25"/>
        </w:rPr>
        <w:t xml:space="preserve">dismissed “with prejudice”, as was the case </w:t>
      </w:r>
      <w:r>
        <w:rPr>
          <w:rFonts w:ascii="Aptos" w:eastAsia="Times New Roman" w:hAnsi="Aptos" w:cs="Times New Roman"/>
          <w:bCs/>
          <w:color w:val="000000"/>
          <w:sz w:val="25"/>
          <w:szCs w:val="25"/>
        </w:rPr>
        <w:t>with the Prior Matter Dismissal Ruling.</w:t>
      </w:r>
    </w:p>
    <w:p w14:paraId="72051DD7" w14:textId="77777777" w:rsidR="00781E9A" w:rsidRDefault="00781E9A" w:rsidP="00781E9A">
      <w:pPr>
        <w:rPr>
          <w:rFonts w:ascii="Aptos" w:eastAsia="Times New Roman" w:hAnsi="Aptos" w:cs="Times New Roman"/>
          <w:bCs/>
          <w:color w:val="000000"/>
          <w:sz w:val="25"/>
          <w:szCs w:val="25"/>
        </w:rPr>
      </w:pPr>
    </w:p>
    <w:p w14:paraId="4AD2CE8D" w14:textId="48B67F16" w:rsidR="00781E9A" w:rsidRPr="008C3BFB" w:rsidRDefault="00781E9A" w:rsidP="00781E9A">
      <w:pPr>
        <w:rPr>
          <w:rFonts w:ascii="Aptos" w:eastAsia="Times New Roman" w:hAnsi="Aptos" w:cs="Times New Roman"/>
          <w:bCs/>
          <w:color w:val="000000"/>
          <w:sz w:val="25"/>
          <w:szCs w:val="25"/>
        </w:rPr>
      </w:pPr>
      <w:r>
        <w:rPr>
          <w:rFonts w:ascii="Aptos" w:eastAsia="Times New Roman" w:hAnsi="Aptos" w:cs="Times New Roman"/>
          <w:bCs/>
          <w:color w:val="000000"/>
          <w:sz w:val="25"/>
          <w:szCs w:val="25"/>
        </w:rPr>
        <w:t xml:space="preserve">Notwithstanding the prohibition of seeking reconsideration of final dispositive determinations by the BSEA, </w:t>
      </w:r>
      <w:r w:rsidRPr="008C3BFB">
        <w:rPr>
          <w:rFonts w:ascii="Aptos" w:eastAsia="Times New Roman" w:hAnsi="Aptos" w:cs="Times New Roman"/>
          <w:bCs/>
          <w:color w:val="000000"/>
          <w:sz w:val="25"/>
          <w:szCs w:val="25"/>
        </w:rPr>
        <w:t xml:space="preserve">issue preclusion, also known as “collateral estoppel”, “means simply that when a[n] issue of ultimate fact has once been determined by a valid and final judgment, that issue cannot again be litigated between the same parties </w:t>
      </w:r>
      <w:r w:rsidRPr="008C3BFB">
        <w:rPr>
          <w:rFonts w:ascii="Aptos" w:eastAsia="Times New Roman" w:hAnsi="Aptos" w:cs="Times New Roman"/>
          <w:bCs/>
          <w:color w:val="000000"/>
          <w:sz w:val="25"/>
          <w:szCs w:val="25"/>
        </w:rPr>
        <w:lastRenderedPageBreak/>
        <w:t>in any future lawsuit”</w:t>
      </w:r>
      <w:r w:rsidRPr="008C3BFB">
        <w:rPr>
          <w:rFonts w:ascii="Aptos" w:eastAsia="Times New Roman" w:hAnsi="Aptos" w:cs="Times New Roman"/>
          <w:bCs/>
          <w:color w:val="000000"/>
          <w:sz w:val="25"/>
          <w:szCs w:val="25"/>
          <w:vertAlign w:val="superscript"/>
        </w:rPr>
        <w:footnoteReference w:id="20"/>
      </w:r>
      <w:r w:rsidRPr="008C3BFB">
        <w:rPr>
          <w:rFonts w:ascii="Aptos" w:eastAsia="Times New Roman" w:hAnsi="Aptos" w:cs="Times New Roman"/>
          <w:bCs/>
          <w:color w:val="000000"/>
          <w:sz w:val="25"/>
          <w:szCs w:val="25"/>
        </w:rPr>
        <w:t>.</w:t>
      </w:r>
      <w:r w:rsidR="00AD6115">
        <w:rPr>
          <w:rFonts w:ascii="Aptos" w:eastAsia="Times New Roman" w:hAnsi="Aptos" w:cs="Times New Roman"/>
          <w:bCs/>
          <w:color w:val="000000"/>
          <w:sz w:val="25"/>
          <w:szCs w:val="25"/>
        </w:rPr>
        <w:t xml:space="preserve">  Relatedly, r</w:t>
      </w:r>
      <w:r w:rsidR="00AD6115" w:rsidRPr="008C3BFB">
        <w:rPr>
          <w:rFonts w:ascii="Aptos" w:eastAsia="Times New Roman" w:hAnsi="Aptos" w:cs="Times New Roman"/>
          <w:bCs/>
          <w:i/>
          <w:iCs/>
          <w:color w:val="000000"/>
          <w:sz w:val="25"/>
          <w:szCs w:val="25"/>
        </w:rPr>
        <w:t>es judicata</w:t>
      </w:r>
      <w:r w:rsidR="00AD6115" w:rsidRPr="008C3BFB">
        <w:rPr>
          <w:rFonts w:ascii="Aptos" w:eastAsia="Times New Roman" w:hAnsi="Aptos" w:cs="Times New Roman"/>
          <w:bCs/>
          <w:color w:val="000000"/>
          <w:sz w:val="25"/>
          <w:szCs w:val="25"/>
        </w:rPr>
        <w:t xml:space="preserve"> precludes a party from relitigating issues that were or could have been raised in an action for which a final judgment </w:t>
      </w:r>
      <w:r w:rsidR="00AD6115" w:rsidRPr="00B62B73">
        <w:rPr>
          <w:rFonts w:ascii="Aptos" w:eastAsia="Times New Roman" w:hAnsi="Aptos" w:cs="Times New Roman"/>
          <w:bCs/>
          <w:color w:val="000000"/>
          <w:sz w:val="25"/>
          <w:szCs w:val="25"/>
        </w:rPr>
        <w:t xml:space="preserve">on the merits </w:t>
      </w:r>
      <w:r w:rsidR="00574879">
        <w:rPr>
          <w:rFonts w:ascii="Aptos" w:eastAsia="Times New Roman" w:hAnsi="Aptos" w:cs="Times New Roman"/>
          <w:bCs/>
          <w:color w:val="000000"/>
          <w:sz w:val="25"/>
          <w:szCs w:val="25"/>
        </w:rPr>
        <w:t xml:space="preserve">(such as a BSEA Decision after a hearing) </w:t>
      </w:r>
      <w:r w:rsidR="00AD6115" w:rsidRPr="00B62B73">
        <w:rPr>
          <w:rFonts w:ascii="Aptos" w:eastAsia="Times New Roman" w:hAnsi="Aptos" w:cs="Times New Roman"/>
          <w:bCs/>
          <w:color w:val="000000"/>
          <w:sz w:val="25"/>
          <w:szCs w:val="25"/>
        </w:rPr>
        <w:t>has issued</w:t>
      </w:r>
      <w:r w:rsidR="00AD6115" w:rsidRPr="00B62B73">
        <w:rPr>
          <w:rFonts w:ascii="Aptos" w:eastAsia="Times New Roman" w:hAnsi="Aptos" w:cs="Times New Roman"/>
          <w:bCs/>
          <w:color w:val="000000"/>
          <w:sz w:val="25"/>
          <w:szCs w:val="25"/>
          <w:vertAlign w:val="superscript"/>
        </w:rPr>
        <w:footnoteReference w:id="21"/>
      </w:r>
      <w:r w:rsidR="00AD6115" w:rsidRPr="00B62B73">
        <w:rPr>
          <w:rFonts w:ascii="Aptos" w:eastAsia="Times New Roman" w:hAnsi="Aptos" w:cs="Times New Roman"/>
          <w:bCs/>
          <w:color w:val="000000"/>
          <w:sz w:val="25"/>
          <w:szCs w:val="25"/>
        </w:rPr>
        <w:t>.  The three elements of this doctrine are (1) a final judgmen</w:t>
      </w:r>
      <w:r w:rsidR="00AD6115" w:rsidRPr="008C3BFB">
        <w:rPr>
          <w:rFonts w:ascii="Aptos" w:eastAsia="Times New Roman" w:hAnsi="Aptos" w:cs="Times New Roman"/>
          <w:bCs/>
          <w:color w:val="000000"/>
          <w:sz w:val="25"/>
          <w:szCs w:val="25"/>
        </w:rPr>
        <w:t>t on the merits in an earlier suit, (2) “sufficient identicality” between the causes of action asserted in the earlier and later suits, and (3) “sufficient identicality” between the parties in the two suits</w:t>
      </w:r>
      <w:r w:rsidR="00AD6115" w:rsidRPr="008C3BFB">
        <w:rPr>
          <w:rFonts w:ascii="Aptos" w:eastAsia="Times New Roman" w:hAnsi="Aptos" w:cs="Times New Roman"/>
          <w:bCs/>
          <w:color w:val="000000"/>
          <w:sz w:val="25"/>
          <w:szCs w:val="25"/>
          <w:vertAlign w:val="superscript"/>
        </w:rPr>
        <w:footnoteReference w:id="22"/>
      </w:r>
      <w:r w:rsidR="00AD6115" w:rsidRPr="008C3BFB">
        <w:rPr>
          <w:rFonts w:ascii="Aptos" w:eastAsia="Times New Roman" w:hAnsi="Aptos" w:cs="Times New Roman"/>
          <w:bCs/>
          <w:color w:val="000000"/>
          <w:sz w:val="25"/>
          <w:szCs w:val="25"/>
        </w:rPr>
        <w:t>.  </w:t>
      </w:r>
    </w:p>
    <w:p w14:paraId="144AD722" w14:textId="77777777" w:rsidR="00781E9A" w:rsidRDefault="00781E9A" w:rsidP="00781E9A">
      <w:pPr>
        <w:rPr>
          <w:rFonts w:ascii="Aptos" w:eastAsia="Times New Roman" w:hAnsi="Aptos" w:cs="Times New Roman"/>
          <w:bCs/>
          <w:color w:val="000000"/>
          <w:sz w:val="25"/>
          <w:szCs w:val="25"/>
        </w:rPr>
      </w:pPr>
    </w:p>
    <w:p w14:paraId="2404467D" w14:textId="37F0A682" w:rsidR="00781E9A" w:rsidRDefault="00781E9A" w:rsidP="00781E9A">
      <w:pPr>
        <w:rPr>
          <w:rFonts w:ascii="Aptos" w:eastAsia="Times New Roman" w:hAnsi="Aptos" w:cs="Times New Roman"/>
          <w:bCs/>
          <w:color w:val="000000"/>
          <w:sz w:val="25"/>
          <w:szCs w:val="25"/>
        </w:rPr>
      </w:pPr>
      <w:r>
        <w:rPr>
          <w:rFonts w:ascii="Aptos" w:eastAsia="Times New Roman" w:hAnsi="Aptos" w:cs="Times New Roman"/>
          <w:bCs/>
          <w:color w:val="000000"/>
          <w:sz w:val="25"/>
          <w:szCs w:val="25"/>
        </w:rPr>
        <w:t xml:space="preserve">It is well settled that </w:t>
      </w:r>
      <w:r w:rsidRPr="00BF430C">
        <w:rPr>
          <w:rFonts w:ascii="Aptos" w:eastAsia="Times New Roman" w:hAnsi="Aptos" w:cs="Times New Roman"/>
          <w:bCs/>
          <w:color w:val="000000"/>
          <w:sz w:val="25"/>
          <w:szCs w:val="25"/>
        </w:rPr>
        <w:t>disgruntled part</w:t>
      </w:r>
      <w:r>
        <w:rPr>
          <w:rFonts w:ascii="Aptos" w:eastAsia="Times New Roman" w:hAnsi="Aptos" w:cs="Times New Roman"/>
          <w:bCs/>
          <w:color w:val="000000"/>
          <w:sz w:val="25"/>
          <w:szCs w:val="25"/>
        </w:rPr>
        <w:t xml:space="preserve">ies cannot </w:t>
      </w:r>
      <w:r w:rsidRPr="00BF430C">
        <w:rPr>
          <w:rFonts w:ascii="Aptos" w:eastAsia="Times New Roman" w:hAnsi="Aptos" w:cs="Times New Roman"/>
          <w:bCs/>
          <w:color w:val="000000"/>
          <w:sz w:val="25"/>
          <w:szCs w:val="25"/>
        </w:rPr>
        <w:t>relitigat</w:t>
      </w:r>
      <w:r>
        <w:rPr>
          <w:rFonts w:ascii="Aptos" w:eastAsia="Times New Roman" w:hAnsi="Aptos" w:cs="Times New Roman"/>
          <w:bCs/>
          <w:color w:val="000000"/>
          <w:sz w:val="25"/>
          <w:szCs w:val="25"/>
        </w:rPr>
        <w:t>e</w:t>
      </w:r>
      <w:r w:rsidRPr="00BF430C">
        <w:rPr>
          <w:rFonts w:ascii="Aptos" w:eastAsia="Times New Roman" w:hAnsi="Aptos" w:cs="Times New Roman"/>
          <w:bCs/>
          <w:color w:val="000000"/>
          <w:sz w:val="25"/>
          <w:szCs w:val="25"/>
        </w:rPr>
        <w:t xml:space="preserve"> matters that have already been </w:t>
      </w:r>
      <w:r w:rsidR="006E7658">
        <w:rPr>
          <w:rFonts w:ascii="Aptos" w:eastAsia="Times New Roman" w:hAnsi="Aptos" w:cs="Times New Roman"/>
          <w:bCs/>
          <w:color w:val="000000"/>
          <w:sz w:val="25"/>
          <w:szCs w:val="25"/>
        </w:rPr>
        <w:t xml:space="preserve">finally </w:t>
      </w:r>
      <w:r w:rsidRPr="00BF430C">
        <w:rPr>
          <w:rFonts w:ascii="Aptos" w:eastAsia="Times New Roman" w:hAnsi="Aptos" w:cs="Times New Roman"/>
          <w:bCs/>
          <w:color w:val="000000"/>
          <w:sz w:val="25"/>
          <w:szCs w:val="25"/>
        </w:rPr>
        <w:t>decided</w:t>
      </w:r>
      <w:r w:rsidR="001D0E26">
        <w:rPr>
          <w:rFonts w:ascii="Aptos" w:eastAsia="Times New Roman" w:hAnsi="Aptos" w:cs="Times New Roman"/>
          <w:bCs/>
          <w:color w:val="000000"/>
          <w:sz w:val="25"/>
          <w:szCs w:val="25"/>
        </w:rPr>
        <w:t xml:space="preserve"> by an administrative agency</w:t>
      </w:r>
      <w:r w:rsidR="00A12B4B">
        <w:rPr>
          <w:rFonts w:ascii="Aptos" w:eastAsia="Times New Roman" w:hAnsi="Aptos" w:cs="Times New Roman"/>
          <w:bCs/>
          <w:color w:val="000000"/>
          <w:sz w:val="25"/>
          <w:szCs w:val="25"/>
        </w:rPr>
        <w:t xml:space="preserve"> either after a hearing on the merits or for lack of subject matter jurisdiction</w:t>
      </w:r>
      <w:r>
        <w:rPr>
          <w:rStyle w:val="FootnoteReference"/>
          <w:rFonts w:ascii="Aptos" w:eastAsia="Times New Roman" w:hAnsi="Aptos" w:cs="Times New Roman"/>
          <w:bCs/>
          <w:color w:val="000000"/>
          <w:sz w:val="25"/>
          <w:szCs w:val="25"/>
        </w:rPr>
        <w:footnoteReference w:id="23"/>
      </w:r>
      <w:r w:rsidRPr="00BF430C">
        <w:rPr>
          <w:rFonts w:ascii="Aptos" w:eastAsia="Times New Roman" w:hAnsi="Aptos" w:cs="Times New Roman"/>
          <w:bCs/>
          <w:color w:val="000000"/>
          <w:sz w:val="25"/>
          <w:szCs w:val="25"/>
        </w:rPr>
        <w:t>.</w:t>
      </w:r>
      <w:r>
        <w:rPr>
          <w:rFonts w:ascii="Aptos" w:eastAsia="Times New Roman" w:hAnsi="Aptos" w:cs="Times New Roman"/>
          <w:bCs/>
          <w:color w:val="000000"/>
          <w:sz w:val="25"/>
          <w:szCs w:val="25"/>
        </w:rPr>
        <w:t xml:space="preserve">  </w:t>
      </w:r>
      <w:r w:rsidRPr="004378E8">
        <w:rPr>
          <w:rFonts w:ascii="Aptos" w:eastAsia="Times New Roman" w:hAnsi="Aptos" w:cs="Times New Roman"/>
          <w:bCs/>
          <w:color w:val="000000"/>
          <w:sz w:val="25"/>
          <w:szCs w:val="25"/>
        </w:rPr>
        <w:t>This</w:t>
      </w:r>
      <w:r>
        <w:rPr>
          <w:rFonts w:ascii="Aptos" w:eastAsia="Times New Roman" w:hAnsi="Aptos" w:cs="Times New Roman"/>
          <w:bCs/>
          <w:i/>
          <w:iCs/>
          <w:color w:val="000000"/>
          <w:sz w:val="25"/>
          <w:szCs w:val="25"/>
        </w:rPr>
        <w:t xml:space="preserve"> </w:t>
      </w:r>
      <w:r w:rsidRPr="008C3BFB">
        <w:rPr>
          <w:rFonts w:ascii="Aptos" w:eastAsia="Times New Roman" w:hAnsi="Aptos" w:cs="Times New Roman"/>
          <w:bCs/>
          <w:color w:val="000000"/>
          <w:sz w:val="25"/>
          <w:szCs w:val="25"/>
        </w:rPr>
        <w:t>“prevent</w:t>
      </w:r>
      <w:r>
        <w:rPr>
          <w:rFonts w:ascii="Aptos" w:eastAsia="Times New Roman" w:hAnsi="Aptos" w:cs="Times New Roman"/>
          <w:bCs/>
          <w:color w:val="000000"/>
          <w:sz w:val="25"/>
          <w:szCs w:val="25"/>
        </w:rPr>
        <w:t>[s]</w:t>
      </w:r>
      <w:r w:rsidRPr="008C3BFB">
        <w:rPr>
          <w:rFonts w:ascii="Aptos" w:eastAsia="Times New Roman" w:hAnsi="Aptos" w:cs="Times New Roman"/>
          <w:bCs/>
          <w:color w:val="000000"/>
          <w:sz w:val="25"/>
          <w:szCs w:val="25"/>
        </w:rPr>
        <w:t xml:space="preserve"> plaintiffs from splitting their claims by providing a strong incentive for them to plead all factually related allegations and attendant legal theories for recovery the first time they bring suit”</w:t>
      </w:r>
      <w:r w:rsidRPr="008C3BFB">
        <w:rPr>
          <w:rFonts w:ascii="Aptos" w:eastAsia="Times New Roman" w:hAnsi="Aptos" w:cs="Times New Roman"/>
          <w:bCs/>
          <w:color w:val="000000"/>
          <w:sz w:val="25"/>
          <w:szCs w:val="25"/>
          <w:vertAlign w:val="superscript"/>
        </w:rPr>
        <w:footnoteReference w:id="24"/>
      </w:r>
      <w:r w:rsidRPr="008C3BFB">
        <w:rPr>
          <w:rFonts w:ascii="Aptos" w:eastAsia="Times New Roman" w:hAnsi="Aptos" w:cs="Times New Roman"/>
          <w:bCs/>
          <w:color w:val="000000"/>
          <w:sz w:val="25"/>
          <w:szCs w:val="25"/>
        </w:rPr>
        <w:t xml:space="preserve">. </w:t>
      </w:r>
      <w:r>
        <w:rPr>
          <w:rFonts w:ascii="Aptos" w:eastAsia="Times New Roman" w:hAnsi="Aptos" w:cs="Times New Roman"/>
          <w:bCs/>
          <w:color w:val="000000"/>
          <w:sz w:val="25"/>
          <w:szCs w:val="25"/>
        </w:rPr>
        <w:t xml:space="preserve"> It also </w:t>
      </w:r>
      <w:r w:rsidRPr="008C3BFB">
        <w:rPr>
          <w:rFonts w:ascii="Aptos" w:eastAsia="Times New Roman" w:hAnsi="Aptos" w:cs="Times New Roman"/>
          <w:bCs/>
          <w:color w:val="000000"/>
          <w:sz w:val="25"/>
          <w:szCs w:val="25"/>
        </w:rPr>
        <w:t>“relieve</w:t>
      </w:r>
      <w:r>
        <w:rPr>
          <w:rFonts w:ascii="Aptos" w:eastAsia="Times New Roman" w:hAnsi="Aptos" w:cs="Times New Roman"/>
          <w:bCs/>
          <w:color w:val="000000"/>
          <w:sz w:val="25"/>
          <w:szCs w:val="25"/>
        </w:rPr>
        <w:t>[s]</w:t>
      </w:r>
      <w:r w:rsidRPr="008C3BFB">
        <w:rPr>
          <w:rFonts w:ascii="Aptos" w:eastAsia="Times New Roman" w:hAnsi="Aptos" w:cs="Times New Roman"/>
          <w:bCs/>
          <w:color w:val="000000"/>
          <w:sz w:val="25"/>
          <w:szCs w:val="25"/>
        </w:rPr>
        <w:t xml:space="preserve"> parties of the cost and vexation of multiple lawsuits, conserve</w:t>
      </w:r>
      <w:r>
        <w:rPr>
          <w:rFonts w:ascii="Aptos" w:eastAsia="Times New Roman" w:hAnsi="Aptos" w:cs="Times New Roman"/>
          <w:bCs/>
          <w:color w:val="000000"/>
          <w:sz w:val="25"/>
          <w:szCs w:val="25"/>
        </w:rPr>
        <w:t>[s]</w:t>
      </w:r>
      <w:r w:rsidRPr="008C3BFB">
        <w:rPr>
          <w:rFonts w:ascii="Aptos" w:eastAsia="Times New Roman" w:hAnsi="Aptos" w:cs="Times New Roman"/>
          <w:bCs/>
          <w:color w:val="000000"/>
          <w:sz w:val="25"/>
          <w:szCs w:val="25"/>
        </w:rPr>
        <w:t xml:space="preserve"> judicial resources, and, by preventing inconsistent decisions, encourage</w:t>
      </w:r>
      <w:r>
        <w:rPr>
          <w:rFonts w:ascii="Aptos" w:eastAsia="Times New Roman" w:hAnsi="Aptos" w:cs="Times New Roman"/>
          <w:bCs/>
          <w:color w:val="000000"/>
          <w:sz w:val="25"/>
          <w:szCs w:val="25"/>
        </w:rPr>
        <w:t>[s]</w:t>
      </w:r>
      <w:r w:rsidRPr="008C3BFB">
        <w:rPr>
          <w:rFonts w:ascii="Aptos" w:eastAsia="Times New Roman" w:hAnsi="Aptos" w:cs="Times New Roman"/>
          <w:bCs/>
          <w:color w:val="000000"/>
          <w:sz w:val="25"/>
          <w:szCs w:val="25"/>
        </w:rPr>
        <w:t xml:space="preserve"> reliance on adjudication”</w:t>
      </w:r>
      <w:r w:rsidRPr="008C3BFB">
        <w:rPr>
          <w:rFonts w:ascii="Aptos" w:eastAsia="Times New Roman" w:hAnsi="Aptos" w:cs="Times New Roman"/>
          <w:bCs/>
          <w:color w:val="000000"/>
          <w:sz w:val="25"/>
          <w:szCs w:val="25"/>
          <w:vertAlign w:val="superscript"/>
        </w:rPr>
        <w:footnoteReference w:id="25"/>
      </w:r>
      <w:r w:rsidRPr="008C3BFB">
        <w:rPr>
          <w:rFonts w:ascii="Aptos" w:eastAsia="Times New Roman" w:hAnsi="Aptos" w:cs="Times New Roman"/>
          <w:bCs/>
          <w:color w:val="000000"/>
          <w:sz w:val="25"/>
          <w:szCs w:val="25"/>
        </w:rPr>
        <w:t>.</w:t>
      </w:r>
      <w:r>
        <w:rPr>
          <w:rFonts w:ascii="Aptos" w:eastAsia="Times New Roman" w:hAnsi="Aptos" w:cs="Times New Roman"/>
          <w:bCs/>
          <w:color w:val="000000"/>
          <w:sz w:val="25"/>
          <w:szCs w:val="25"/>
        </w:rPr>
        <w:t xml:space="preserve">  </w:t>
      </w:r>
      <w:r w:rsidR="00C81166">
        <w:rPr>
          <w:rFonts w:ascii="Aptos" w:eastAsia="Times New Roman" w:hAnsi="Aptos" w:cs="Times New Roman"/>
          <w:bCs/>
          <w:color w:val="000000"/>
          <w:sz w:val="25"/>
          <w:szCs w:val="25"/>
        </w:rPr>
        <w:t>Claims</w:t>
      </w:r>
      <w:r>
        <w:rPr>
          <w:rFonts w:ascii="Aptos" w:eastAsia="Times New Roman" w:hAnsi="Aptos" w:cs="Times New Roman"/>
          <w:bCs/>
          <w:color w:val="000000"/>
          <w:sz w:val="25"/>
          <w:szCs w:val="25"/>
        </w:rPr>
        <w:t xml:space="preserve"> which are or could have been fully adjudicated in prior BSEA proceedings “cannot be relitigated” in subsequent proceedings</w:t>
      </w:r>
      <w:r w:rsidR="00E84F76">
        <w:rPr>
          <w:rFonts w:ascii="Aptos" w:eastAsia="Times New Roman" w:hAnsi="Aptos" w:cs="Times New Roman"/>
          <w:bCs/>
          <w:color w:val="000000"/>
          <w:sz w:val="25"/>
          <w:szCs w:val="25"/>
        </w:rPr>
        <w:t>,</w:t>
      </w:r>
      <w:r>
        <w:rPr>
          <w:rFonts w:ascii="Aptos" w:eastAsia="Times New Roman" w:hAnsi="Aptos" w:cs="Times New Roman"/>
          <w:bCs/>
          <w:color w:val="000000"/>
          <w:sz w:val="25"/>
          <w:szCs w:val="25"/>
        </w:rPr>
        <w:t xml:space="preserve"> and parents’ “recourse if they disagree with [a prior dispositive decision or ruling] is to file an appeal in a court of competent jurisdiction”</w:t>
      </w:r>
      <w:r>
        <w:rPr>
          <w:rStyle w:val="FootnoteReference"/>
          <w:rFonts w:ascii="Aptos" w:eastAsia="Times New Roman" w:hAnsi="Aptos" w:cs="Times New Roman"/>
          <w:bCs/>
          <w:color w:val="000000"/>
          <w:sz w:val="25"/>
          <w:szCs w:val="25"/>
        </w:rPr>
        <w:footnoteReference w:id="26"/>
      </w:r>
      <w:r>
        <w:rPr>
          <w:rFonts w:ascii="Aptos" w:eastAsia="Times New Roman" w:hAnsi="Aptos" w:cs="Times New Roman"/>
          <w:bCs/>
          <w:color w:val="000000"/>
          <w:sz w:val="25"/>
          <w:szCs w:val="25"/>
        </w:rPr>
        <w:t xml:space="preserve">. </w:t>
      </w:r>
      <w:r w:rsidRPr="00BF430C">
        <w:rPr>
          <w:rFonts w:ascii="Aptos" w:eastAsia="Times New Roman" w:hAnsi="Aptos" w:cs="Times New Roman"/>
          <w:bCs/>
          <w:color w:val="000000"/>
          <w:sz w:val="25"/>
          <w:szCs w:val="25"/>
        </w:rPr>
        <w:t> </w:t>
      </w:r>
    </w:p>
    <w:p w14:paraId="1B1D3DC9" w14:textId="640F6506" w:rsidR="00781E9A" w:rsidRDefault="00781E9A" w:rsidP="00781E9A">
      <w:pPr>
        <w:shd w:val="clear" w:color="auto" w:fill="FFFFFF"/>
        <w:rPr>
          <w:rFonts w:ascii="Aptos" w:hAnsi="Aptos" w:cs="Times New Roman"/>
          <w:i/>
          <w:iCs/>
          <w:sz w:val="25"/>
          <w:szCs w:val="25"/>
        </w:rPr>
      </w:pPr>
      <w:r>
        <w:rPr>
          <w:rFonts w:ascii="Aptos" w:eastAsia="Times New Roman" w:hAnsi="Aptos" w:cs="Times New Roman"/>
          <w:i/>
          <w:iCs/>
          <w:sz w:val="25"/>
          <w:szCs w:val="25"/>
        </w:rPr>
        <w:lastRenderedPageBreak/>
        <w:t>3</w:t>
      </w:r>
      <w:r w:rsidRPr="000370FF">
        <w:rPr>
          <w:rFonts w:ascii="Aptos" w:eastAsia="Times New Roman" w:hAnsi="Aptos" w:cs="Times New Roman"/>
          <w:i/>
          <w:iCs/>
          <w:sz w:val="25"/>
          <w:szCs w:val="25"/>
        </w:rPr>
        <w:t>.</w:t>
      </w:r>
      <w:r w:rsidRPr="000370FF">
        <w:rPr>
          <w:rFonts w:ascii="Aptos" w:eastAsia="Times New Roman" w:hAnsi="Aptos" w:cs="Times New Roman"/>
          <w:i/>
          <w:iCs/>
          <w:sz w:val="25"/>
          <w:szCs w:val="25"/>
        </w:rPr>
        <w:tab/>
      </w:r>
      <w:r w:rsidRPr="000370FF">
        <w:rPr>
          <w:rFonts w:ascii="Aptos" w:hAnsi="Aptos" w:cs="Times New Roman"/>
          <w:i/>
          <w:iCs/>
          <w:sz w:val="25"/>
          <w:szCs w:val="25"/>
        </w:rPr>
        <w:t xml:space="preserve">Jurisdiction of BSEA </w:t>
      </w:r>
    </w:p>
    <w:p w14:paraId="4BD8169E" w14:textId="77777777" w:rsidR="00781E9A" w:rsidRPr="000370FF" w:rsidRDefault="00781E9A" w:rsidP="00781E9A">
      <w:pPr>
        <w:shd w:val="clear" w:color="auto" w:fill="FFFFFF"/>
        <w:rPr>
          <w:rFonts w:ascii="Aptos" w:hAnsi="Aptos" w:cs="Times New Roman"/>
          <w:i/>
          <w:iCs/>
          <w:sz w:val="25"/>
          <w:szCs w:val="25"/>
        </w:rPr>
      </w:pPr>
    </w:p>
    <w:p w14:paraId="3BE899FE" w14:textId="3118F14B" w:rsidR="00781E9A" w:rsidRDefault="00781E9A" w:rsidP="00781E9A">
      <w:pPr>
        <w:shd w:val="clear" w:color="auto" w:fill="FFFFFF"/>
        <w:rPr>
          <w:rFonts w:ascii="Aptos" w:eastAsia="Times New Roman" w:hAnsi="Aptos" w:cs="Times New Roman"/>
          <w:bCs/>
          <w:color w:val="000000"/>
          <w:sz w:val="25"/>
          <w:szCs w:val="25"/>
        </w:rPr>
      </w:pPr>
      <w:r w:rsidRPr="00B2732F">
        <w:rPr>
          <w:sz w:val="25"/>
          <w:szCs w:val="25"/>
        </w:rPr>
        <w:t>The BSEA is not an agency of general jurisdiction</w:t>
      </w:r>
      <w:r w:rsidR="00875A7D">
        <w:rPr>
          <w:sz w:val="25"/>
          <w:szCs w:val="25"/>
        </w:rPr>
        <w:t>;</w:t>
      </w:r>
      <w:r w:rsidRPr="00B2732F">
        <w:rPr>
          <w:sz w:val="25"/>
          <w:szCs w:val="25"/>
        </w:rPr>
        <w:t xml:space="preserve"> it is limited to considering “</w:t>
      </w:r>
      <w:r w:rsidRPr="00B2732F">
        <w:rPr>
          <w:rFonts w:ascii="Aptos" w:eastAsia="Times New Roman" w:hAnsi="Aptos" w:cs="Times New Roman"/>
          <w:bCs/>
          <w:color w:val="000000"/>
          <w:sz w:val="25"/>
          <w:szCs w:val="25"/>
        </w:rPr>
        <w:t>only those claims for which enabling statutes and regulations expressly grant authority</w:t>
      </w:r>
      <w:r w:rsidRPr="00B2732F">
        <w:rPr>
          <w:rFonts w:ascii="Aptos" w:hAnsi="Aptos"/>
          <w:sz w:val="25"/>
          <w:szCs w:val="25"/>
        </w:rPr>
        <w:t>”</w:t>
      </w:r>
      <w:r w:rsidRPr="00B2732F">
        <w:rPr>
          <w:rStyle w:val="FootnoteReference"/>
          <w:rFonts w:ascii="Aptos" w:hAnsi="Aptos"/>
          <w:sz w:val="25"/>
          <w:szCs w:val="25"/>
        </w:rPr>
        <w:footnoteReference w:id="27"/>
      </w:r>
      <w:r w:rsidRPr="00B2732F">
        <w:rPr>
          <w:rFonts w:ascii="Aptos" w:hAnsi="Aptos"/>
          <w:sz w:val="25"/>
          <w:szCs w:val="25"/>
        </w:rPr>
        <w:t xml:space="preserve">.  </w:t>
      </w:r>
      <w:r w:rsidRPr="004F6F05">
        <w:rPr>
          <w:rFonts w:ascii="Aptos" w:eastAsia="Times New Roman" w:hAnsi="Aptos" w:cs="Times New Roman"/>
          <w:bCs/>
          <w:color w:val="000000"/>
          <w:sz w:val="25"/>
          <w:szCs w:val="25"/>
        </w:rPr>
        <w:t>20 USC §1415(b)(6) grants parties the right to file timely complaints (with the state educational agency designated to hear same) “with respect to any matter relating to the identification, evaluation or educational placement of the child, or the provision of a free appropriate public education to such child”</w:t>
      </w:r>
      <w:r w:rsidRPr="004F6F05">
        <w:rPr>
          <w:rStyle w:val="FootnoteReference"/>
          <w:rFonts w:ascii="Aptos" w:eastAsia="Times New Roman" w:hAnsi="Aptos" w:cs="Times New Roman"/>
          <w:bCs/>
          <w:color w:val="000000"/>
          <w:sz w:val="25"/>
          <w:szCs w:val="25"/>
        </w:rPr>
        <w:footnoteReference w:id="28"/>
      </w:r>
      <w:r w:rsidRPr="004F6F05">
        <w:rPr>
          <w:rFonts w:ascii="Aptos" w:eastAsia="Times New Roman" w:hAnsi="Aptos" w:cs="Times New Roman"/>
          <w:bCs/>
          <w:color w:val="000000"/>
          <w:sz w:val="25"/>
          <w:szCs w:val="25"/>
        </w:rPr>
        <w:t xml:space="preserve">.  Similarly, M.G.L. c. 71B §2A, establishing the BSEA, authorizes it to resolve special education disputes concerning, </w:t>
      </w:r>
    </w:p>
    <w:p w14:paraId="65688302" w14:textId="77777777" w:rsidR="00781E9A" w:rsidRPr="004F6F05" w:rsidRDefault="00781E9A" w:rsidP="00781E9A">
      <w:pPr>
        <w:rPr>
          <w:rFonts w:ascii="Aptos" w:eastAsia="Times New Roman" w:hAnsi="Aptos" w:cs="Times New Roman"/>
          <w:bCs/>
          <w:color w:val="000000"/>
          <w:sz w:val="25"/>
          <w:szCs w:val="25"/>
        </w:rPr>
      </w:pPr>
    </w:p>
    <w:p w14:paraId="61F1FA53" w14:textId="24ED8BF6" w:rsidR="00781E9A" w:rsidRDefault="00781E9A" w:rsidP="00781E9A">
      <w:pPr>
        <w:ind w:left="720" w:right="720"/>
        <w:rPr>
          <w:rFonts w:ascii="Aptos" w:eastAsia="Times New Roman" w:hAnsi="Aptos" w:cs="Times New Roman"/>
          <w:bCs/>
          <w:color w:val="000000"/>
          <w:sz w:val="25"/>
          <w:szCs w:val="25"/>
        </w:rPr>
      </w:pPr>
      <w:r w:rsidRPr="004F6F05">
        <w:rPr>
          <w:rFonts w:ascii="Aptos" w:eastAsia="Times New Roman" w:hAnsi="Aptos" w:cs="Times New Roman"/>
          <w:bCs/>
          <w:color w:val="000000"/>
          <w:sz w:val="25"/>
          <w:szCs w:val="25"/>
        </w:rPr>
        <w:t>“…</w:t>
      </w:r>
      <w:r w:rsidR="00875A7D">
        <w:rPr>
          <w:rFonts w:ascii="Aptos" w:eastAsia="Times New Roman" w:hAnsi="Aptos" w:cs="Times New Roman"/>
          <w:bCs/>
          <w:color w:val="000000"/>
          <w:sz w:val="25"/>
          <w:szCs w:val="25"/>
        </w:rPr>
        <w:t xml:space="preserve"> </w:t>
      </w:r>
      <w:r w:rsidRPr="004F6F05">
        <w:rPr>
          <w:rFonts w:ascii="Aptos" w:eastAsia="Times New Roman" w:hAnsi="Aptos" w:cs="Times New Roman"/>
          <w:bCs/>
          <w:color w:val="000000"/>
          <w:sz w:val="25"/>
          <w:szCs w:val="25"/>
        </w:rPr>
        <w:t xml:space="preserve">(i) any matter relating to the identification, evaluation, education program or educational placement of a child with a disability or the provision of a </w:t>
      </w:r>
      <w:r>
        <w:rPr>
          <w:rFonts w:ascii="Aptos" w:eastAsia="Times New Roman" w:hAnsi="Aptos" w:cs="Times New Roman"/>
          <w:bCs/>
          <w:color w:val="000000"/>
          <w:sz w:val="25"/>
          <w:szCs w:val="25"/>
        </w:rPr>
        <w:t xml:space="preserve">[FAPE] </w:t>
      </w:r>
      <w:r w:rsidRPr="004F6F05">
        <w:rPr>
          <w:rFonts w:ascii="Aptos" w:eastAsia="Times New Roman" w:hAnsi="Aptos" w:cs="Times New Roman"/>
          <w:bCs/>
          <w:color w:val="000000"/>
          <w:sz w:val="25"/>
          <w:szCs w:val="25"/>
        </w:rPr>
        <w:t xml:space="preserve">to the child arising under this chapter and regulations promulgated hereunder or under the [IDEA], 20 U.S.C. </w:t>
      </w:r>
      <w:r>
        <w:rPr>
          <w:rFonts w:ascii="Aptos" w:eastAsia="Times New Roman" w:hAnsi="Aptos" w:cs="Times New Roman"/>
          <w:bCs/>
          <w:color w:val="000000"/>
          <w:sz w:val="25"/>
          <w:szCs w:val="25"/>
        </w:rPr>
        <w:t>[§]</w:t>
      </w:r>
      <w:r w:rsidRPr="004F6F05">
        <w:rPr>
          <w:rFonts w:ascii="Aptos" w:eastAsia="Times New Roman" w:hAnsi="Aptos" w:cs="Times New Roman"/>
          <w:bCs/>
          <w:color w:val="000000"/>
          <w:sz w:val="25"/>
          <w:szCs w:val="25"/>
        </w:rPr>
        <w:t xml:space="preserve">1400 et seq., and its regulations; or (ii) a student's rights under Section 504 of the Rehabilitation Act of 1973, 29 U.S.C. </w:t>
      </w:r>
      <w:r>
        <w:rPr>
          <w:rFonts w:ascii="Aptos" w:eastAsia="Times New Roman" w:hAnsi="Aptos" w:cs="Times New Roman"/>
          <w:bCs/>
          <w:color w:val="000000"/>
          <w:sz w:val="25"/>
          <w:szCs w:val="25"/>
        </w:rPr>
        <w:t>[§]</w:t>
      </w:r>
      <w:r w:rsidRPr="004F6F05">
        <w:rPr>
          <w:rFonts w:ascii="Aptos" w:eastAsia="Times New Roman" w:hAnsi="Aptos" w:cs="Times New Roman"/>
          <w:bCs/>
          <w:color w:val="000000"/>
          <w:sz w:val="25"/>
          <w:szCs w:val="25"/>
        </w:rPr>
        <w:t>794, and its regulations”</w:t>
      </w:r>
      <w:r>
        <w:rPr>
          <w:rStyle w:val="FootnoteReference"/>
          <w:rFonts w:ascii="Aptos" w:eastAsia="Times New Roman" w:hAnsi="Aptos" w:cs="Times New Roman"/>
          <w:bCs/>
          <w:color w:val="000000"/>
          <w:sz w:val="25"/>
          <w:szCs w:val="25"/>
        </w:rPr>
        <w:footnoteReference w:id="29"/>
      </w:r>
      <w:r w:rsidRPr="004F6F05">
        <w:rPr>
          <w:rFonts w:ascii="Aptos" w:eastAsia="Times New Roman" w:hAnsi="Aptos" w:cs="Times New Roman"/>
          <w:bCs/>
          <w:color w:val="000000"/>
          <w:sz w:val="25"/>
          <w:szCs w:val="25"/>
        </w:rPr>
        <w:t xml:space="preserve">. </w:t>
      </w:r>
    </w:p>
    <w:p w14:paraId="19BC365A" w14:textId="77777777" w:rsidR="00781E9A" w:rsidRDefault="00781E9A" w:rsidP="00781E9A">
      <w:pPr>
        <w:rPr>
          <w:rFonts w:ascii="Aptos" w:eastAsia="Times New Roman" w:hAnsi="Aptos" w:cs="Times New Roman"/>
          <w:bCs/>
          <w:color w:val="000000"/>
          <w:sz w:val="25"/>
          <w:szCs w:val="25"/>
        </w:rPr>
      </w:pPr>
    </w:p>
    <w:p w14:paraId="4CFE95C1" w14:textId="2B67BC31" w:rsidR="00781E9A" w:rsidRPr="00781E9A" w:rsidRDefault="00781E9A" w:rsidP="00781E9A">
      <w:pPr>
        <w:rPr>
          <w:rFonts w:ascii="Aptos" w:eastAsia="Times New Roman" w:hAnsi="Aptos" w:cs="Times New Roman"/>
          <w:bCs/>
          <w:i/>
          <w:iCs/>
          <w:color w:val="000000"/>
          <w:sz w:val="25"/>
          <w:szCs w:val="25"/>
        </w:rPr>
      </w:pPr>
      <w:r>
        <w:rPr>
          <w:rFonts w:ascii="Aptos" w:eastAsia="Times New Roman" w:hAnsi="Aptos" w:cs="Times New Roman"/>
          <w:bCs/>
          <w:color w:val="000000"/>
          <w:sz w:val="25"/>
          <w:szCs w:val="25"/>
        </w:rPr>
        <w:t>4.</w:t>
      </w:r>
      <w:r>
        <w:rPr>
          <w:rFonts w:ascii="Aptos" w:eastAsia="Times New Roman" w:hAnsi="Aptos" w:cs="Times New Roman"/>
          <w:bCs/>
          <w:color w:val="000000"/>
          <w:sz w:val="25"/>
          <w:szCs w:val="25"/>
        </w:rPr>
        <w:tab/>
      </w:r>
      <w:r>
        <w:rPr>
          <w:rFonts w:ascii="Aptos" w:eastAsia="Times New Roman" w:hAnsi="Aptos" w:cs="Times New Roman"/>
          <w:bCs/>
          <w:i/>
          <w:iCs/>
          <w:color w:val="000000"/>
          <w:sz w:val="25"/>
          <w:szCs w:val="25"/>
        </w:rPr>
        <w:t>Effect of Revocation of Special Education</w:t>
      </w:r>
    </w:p>
    <w:p w14:paraId="39A0A389" w14:textId="77777777" w:rsidR="00781E9A" w:rsidRDefault="00781E9A" w:rsidP="00781E9A">
      <w:pPr>
        <w:rPr>
          <w:rFonts w:ascii="Aptos" w:eastAsia="Times New Roman" w:hAnsi="Aptos" w:cs="Times New Roman"/>
          <w:bCs/>
          <w:color w:val="000000"/>
          <w:sz w:val="25"/>
          <w:szCs w:val="25"/>
          <w:u w:val="single"/>
        </w:rPr>
      </w:pPr>
    </w:p>
    <w:p w14:paraId="111101F7" w14:textId="69C598A6" w:rsidR="00D65142" w:rsidRDefault="00781E9A" w:rsidP="00781E9A">
      <w:pPr>
        <w:rPr>
          <w:rFonts w:ascii="Aptos" w:eastAsia="Times New Roman" w:hAnsi="Aptos" w:cs="Times New Roman"/>
          <w:bCs/>
          <w:color w:val="000000"/>
          <w:sz w:val="25"/>
          <w:szCs w:val="25"/>
        </w:rPr>
      </w:pPr>
      <w:r>
        <w:rPr>
          <w:rFonts w:ascii="Aptos" w:eastAsia="Times New Roman" w:hAnsi="Aptos" w:cs="Times New Roman"/>
          <w:bCs/>
          <w:color w:val="000000"/>
          <w:sz w:val="25"/>
          <w:szCs w:val="25"/>
        </w:rPr>
        <w:t>The IDEA recognizes the right that parents have to “revoke[] consent in writing for the continued provision of special education and related services” and prohibits school districts from continuing to provide such services, or to pursue due process procedures to challenge the same, provided the school district provides parents with notice of their parental rights prior to ceasing provision of special education and related services</w:t>
      </w:r>
      <w:r>
        <w:rPr>
          <w:rStyle w:val="FootnoteReference"/>
          <w:rFonts w:ascii="Aptos" w:eastAsia="Times New Roman" w:hAnsi="Aptos" w:cs="Times New Roman"/>
          <w:bCs/>
          <w:color w:val="000000"/>
          <w:sz w:val="25"/>
          <w:szCs w:val="25"/>
        </w:rPr>
        <w:footnoteReference w:id="30"/>
      </w:r>
      <w:r>
        <w:rPr>
          <w:rFonts w:ascii="Aptos" w:eastAsia="Times New Roman" w:hAnsi="Aptos" w:cs="Times New Roman"/>
          <w:bCs/>
          <w:color w:val="000000"/>
          <w:sz w:val="25"/>
          <w:szCs w:val="25"/>
        </w:rPr>
        <w:t xml:space="preserve">.  In such situations, the IDEA specifies that school districts “will not </w:t>
      </w:r>
      <w:r>
        <w:rPr>
          <w:rFonts w:ascii="Aptos" w:eastAsia="Times New Roman" w:hAnsi="Aptos" w:cs="Times New Roman"/>
          <w:bCs/>
          <w:color w:val="000000"/>
          <w:sz w:val="25"/>
          <w:szCs w:val="25"/>
        </w:rPr>
        <w:lastRenderedPageBreak/>
        <w:t>be considered to be in violation of the requirement to make FAPE available to the child”, nor are they required to convene an IEP Team meeting or develop an IEP for such a student</w:t>
      </w:r>
      <w:r>
        <w:rPr>
          <w:rStyle w:val="FootnoteReference"/>
          <w:rFonts w:ascii="Aptos" w:eastAsia="Times New Roman" w:hAnsi="Aptos" w:cs="Times New Roman"/>
          <w:bCs/>
          <w:color w:val="000000"/>
          <w:sz w:val="25"/>
          <w:szCs w:val="25"/>
        </w:rPr>
        <w:footnoteReference w:id="31"/>
      </w:r>
      <w:r>
        <w:rPr>
          <w:rFonts w:ascii="Aptos" w:eastAsia="Times New Roman" w:hAnsi="Aptos" w:cs="Times New Roman"/>
          <w:bCs/>
          <w:color w:val="000000"/>
          <w:sz w:val="25"/>
          <w:szCs w:val="25"/>
        </w:rPr>
        <w:t xml:space="preserve">.  </w:t>
      </w:r>
    </w:p>
    <w:p w14:paraId="31DF7368" w14:textId="77777777" w:rsidR="00781E9A" w:rsidRDefault="00781E9A" w:rsidP="00781E9A">
      <w:pPr>
        <w:rPr>
          <w:rFonts w:ascii="Aptos" w:eastAsia="Times New Roman" w:hAnsi="Aptos" w:cs="Times New Roman"/>
          <w:bCs/>
          <w:color w:val="000000"/>
          <w:sz w:val="25"/>
          <w:szCs w:val="25"/>
        </w:rPr>
      </w:pPr>
    </w:p>
    <w:p w14:paraId="12280E28" w14:textId="1C837B16" w:rsidR="00781E9A" w:rsidRPr="000370FF" w:rsidRDefault="00781E9A" w:rsidP="00781E9A">
      <w:pPr>
        <w:shd w:val="clear" w:color="auto" w:fill="FFFFFF"/>
        <w:rPr>
          <w:rFonts w:ascii="Aptos" w:hAnsi="Aptos" w:cs="Times New Roman"/>
          <w:i/>
          <w:iCs/>
          <w:sz w:val="25"/>
          <w:szCs w:val="25"/>
        </w:rPr>
      </w:pPr>
      <w:r>
        <w:rPr>
          <w:rFonts w:ascii="Aptos" w:eastAsia="Times New Roman" w:hAnsi="Aptos" w:cs="Times New Roman"/>
          <w:bCs/>
          <w:color w:val="000000"/>
          <w:sz w:val="25"/>
          <w:szCs w:val="25"/>
        </w:rPr>
        <w:t>5</w:t>
      </w:r>
      <w:r w:rsidRPr="000370FF">
        <w:rPr>
          <w:rFonts w:ascii="Aptos" w:eastAsia="Times New Roman" w:hAnsi="Aptos" w:cs="Times New Roman"/>
          <w:bCs/>
          <w:color w:val="000000"/>
          <w:sz w:val="25"/>
          <w:szCs w:val="25"/>
        </w:rPr>
        <w:t>.</w:t>
      </w:r>
      <w:r w:rsidRPr="000370FF">
        <w:rPr>
          <w:rFonts w:ascii="Aptos" w:eastAsia="Times New Roman" w:hAnsi="Aptos" w:cs="Times New Roman"/>
          <w:bCs/>
          <w:color w:val="000000"/>
          <w:sz w:val="25"/>
          <w:szCs w:val="25"/>
        </w:rPr>
        <w:tab/>
      </w:r>
      <w:r w:rsidRPr="000370FF">
        <w:rPr>
          <w:rFonts w:ascii="Aptos" w:hAnsi="Aptos" w:cs="Times New Roman"/>
          <w:i/>
          <w:iCs/>
          <w:sz w:val="25"/>
          <w:szCs w:val="25"/>
        </w:rPr>
        <w:t xml:space="preserve">Statute of Limitations Applicable to BSEA Hearings. </w:t>
      </w:r>
    </w:p>
    <w:p w14:paraId="1609D473" w14:textId="71FF134E" w:rsidR="00781E9A" w:rsidRPr="00781E9A" w:rsidRDefault="00781E9A" w:rsidP="00781E9A">
      <w:pPr>
        <w:shd w:val="clear" w:color="auto" w:fill="FFFFFF"/>
        <w:spacing w:before="240"/>
        <w:rPr>
          <w:rFonts w:ascii="Aptos" w:eastAsia="Times New Roman" w:hAnsi="Aptos" w:cs="Times New Roman"/>
          <w:sz w:val="25"/>
          <w:szCs w:val="25"/>
        </w:rPr>
      </w:pPr>
      <w:r w:rsidRPr="000370FF">
        <w:rPr>
          <w:rFonts w:ascii="Aptos" w:eastAsia="Times New Roman" w:hAnsi="Aptos" w:cs="Times New Roman"/>
          <w:sz w:val="25"/>
          <w:szCs w:val="25"/>
        </w:rPr>
        <w:t xml:space="preserve">Due process proceedings brought under the IDEA must </w:t>
      </w:r>
      <w:proofErr w:type="gramStart"/>
      <w:r w:rsidRPr="000370FF">
        <w:rPr>
          <w:rFonts w:ascii="Aptos" w:eastAsia="Times New Roman" w:hAnsi="Aptos" w:cs="Times New Roman"/>
          <w:sz w:val="25"/>
          <w:szCs w:val="25"/>
        </w:rPr>
        <w:t>be commenced</w:t>
      </w:r>
      <w:proofErr w:type="gramEnd"/>
      <w:r w:rsidRPr="000370FF">
        <w:rPr>
          <w:rFonts w:ascii="Aptos" w:eastAsia="Times New Roman" w:hAnsi="Aptos" w:cs="Times New Roman"/>
          <w:sz w:val="25"/>
          <w:szCs w:val="25"/>
        </w:rPr>
        <w:t xml:space="preserve"> within two years of the date that a party knew or should have known of the actions forming the basis of its hearing request</w:t>
      </w:r>
      <w:r w:rsidRPr="000370FF">
        <w:rPr>
          <w:rStyle w:val="FootnoteReference"/>
          <w:rFonts w:ascii="Aptos" w:eastAsia="Times New Roman" w:hAnsi="Aptos" w:cs="Times New Roman"/>
          <w:sz w:val="25"/>
          <w:szCs w:val="25"/>
        </w:rPr>
        <w:footnoteReference w:id="32"/>
      </w:r>
      <w:r w:rsidRPr="000370FF">
        <w:rPr>
          <w:rFonts w:ascii="Aptos" w:eastAsia="Times New Roman" w:hAnsi="Aptos" w:cs="Times New Roman"/>
          <w:sz w:val="25"/>
          <w:szCs w:val="25"/>
        </w:rPr>
        <w:t xml:space="preserve">.  The only exceptions to this two-year limitation period are if a parent or student is prevented from filing a hearing request because of “(i) specific misrepresentations by the [district] that it had resolved the problem forming the basis of the complaint; or (ii) the [district]’s withholding of information from the parent [or student] that was required </w:t>
      </w:r>
      <w:r>
        <w:rPr>
          <w:rFonts w:ascii="Aptos" w:eastAsia="Times New Roman" w:hAnsi="Aptos" w:cs="Times New Roman"/>
          <w:sz w:val="25"/>
          <w:szCs w:val="25"/>
        </w:rPr>
        <w:t xml:space="preserve">under [the IDEA] </w:t>
      </w:r>
      <w:r w:rsidRPr="000370FF">
        <w:rPr>
          <w:rFonts w:ascii="Aptos" w:eastAsia="Times New Roman" w:hAnsi="Aptos" w:cs="Times New Roman"/>
          <w:sz w:val="25"/>
          <w:szCs w:val="25"/>
        </w:rPr>
        <w:t>to be provided</w:t>
      </w:r>
      <w:r>
        <w:rPr>
          <w:rFonts w:ascii="Aptos" w:eastAsia="Times New Roman" w:hAnsi="Aptos" w:cs="Times New Roman"/>
          <w:sz w:val="25"/>
          <w:szCs w:val="25"/>
        </w:rPr>
        <w:t xml:space="preserve"> to the parent</w:t>
      </w:r>
      <w:r w:rsidRPr="000370FF">
        <w:rPr>
          <w:rFonts w:ascii="Aptos" w:eastAsia="Times New Roman" w:hAnsi="Aptos" w:cs="Times New Roman"/>
          <w:sz w:val="25"/>
          <w:szCs w:val="25"/>
        </w:rPr>
        <w:t>”</w:t>
      </w:r>
      <w:r w:rsidRPr="000370FF">
        <w:rPr>
          <w:rStyle w:val="FootnoteReference"/>
          <w:rFonts w:ascii="Aptos" w:eastAsia="Times New Roman" w:hAnsi="Aptos" w:cs="Times New Roman"/>
          <w:sz w:val="25"/>
          <w:szCs w:val="25"/>
        </w:rPr>
        <w:footnoteReference w:id="33"/>
      </w:r>
      <w:r w:rsidRPr="000370FF">
        <w:rPr>
          <w:rFonts w:ascii="Aptos" w:eastAsia="Times New Roman" w:hAnsi="Aptos" w:cs="Times New Roman"/>
          <w:sz w:val="25"/>
          <w:szCs w:val="25"/>
        </w:rPr>
        <w:t xml:space="preserve">.  </w:t>
      </w:r>
    </w:p>
    <w:p w14:paraId="5485291C" w14:textId="77777777" w:rsidR="00D65142" w:rsidRDefault="00D65142" w:rsidP="00D65142">
      <w:pPr>
        <w:shd w:val="clear" w:color="auto" w:fill="FFFFFF"/>
        <w:jc w:val="center"/>
        <w:rPr>
          <w:rFonts w:ascii="Aptos" w:eastAsia="Times New Roman" w:hAnsi="Aptos" w:cs="Times New Roman"/>
          <w:b/>
          <w:bCs/>
          <w:sz w:val="25"/>
          <w:szCs w:val="25"/>
        </w:rPr>
      </w:pPr>
    </w:p>
    <w:p w14:paraId="138702D9" w14:textId="77777777" w:rsidR="00D65142" w:rsidRPr="000370FF" w:rsidRDefault="00D65142" w:rsidP="00D65142">
      <w:pPr>
        <w:shd w:val="clear" w:color="auto" w:fill="FFFFFF"/>
        <w:jc w:val="center"/>
        <w:rPr>
          <w:rFonts w:ascii="Aptos" w:eastAsia="Times New Roman" w:hAnsi="Aptos" w:cs="Times New Roman"/>
          <w:sz w:val="25"/>
          <w:szCs w:val="25"/>
        </w:rPr>
      </w:pPr>
      <w:r w:rsidRPr="000370FF">
        <w:rPr>
          <w:rFonts w:ascii="Aptos" w:eastAsia="Times New Roman" w:hAnsi="Aptos" w:cs="Times New Roman"/>
          <w:b/>
          <w:bCs/>
          <w:sz w:val="25"/>
          <w:szCs w:val="25"/>
        </w:rPr>
        <w:t>APPLICATION OF LEGAL STANDARDS</w:t>
      </w:r>
    </w:p>
    <w:p w14:paraId="3D84F2FC" w14:textId="77777777" w:rsidR="00D65142" w:rsidRPr="000370FF" w:rsidRDefault="00D65142" w:rsidP="00D65142">
      <w:pPr>
        <w:shd w:val="clear" w:color="auto" w:fill="FFFFFF"/>
        <w:rPr>
          <w:rFonts w:ascii="Aptos" w:eastAsia="Times New Roman" w:hAnsi="Aptos" w:cs="Times New Roman"/>
          <w:sz w:val="25"/>
          <w:szCs w:val="25"/>
        </w:rPr>
      </w:pPr>
    </w:p>
    <w:p w14:paraId="48F8E2EA" w14:textId="7FD72F4A" w:rsidR="00781E9A" w:rsidRDefault="00D65142" w:rsidP="00D65142">
      <w:pPr>
        <w:shd w:val="clear" w:color="auto" w:fill="FFFFFF"/>
        <w:rPr>
          <w:rFonts w:ascii="Aptos" w:eastAsia="Times New Roman" w:hAnsi="Aptos" w:cs="Times New Roman"/>
          <w:bCs/>
          <w:color w:val="000000"/>
          <w:sz w:val="25"/>
          <w:szCs w:val="25"/>
        </w:rPr>
      </w:pPr>
      <w:r w:rsidRPr="000370FF">
        <w:rPr>
          <w:rFonts w:ascii="Aptos" w:eastAsia="Times New Roman" w:hAnsi="Aptos" w:cs="Times New Roman"/>
          <w:sz w:val="25"/>
          <w:szCs w:val="25"/>
        </w:rPr>
        <w:t xml:space="preserve">After reviewing the </w:t>
      </w:r>
      <w:r w:rsidRPr="000370FF">
        <w:rPr>
          <w:rFonts w:ascii="Aptos" w:eastAsia="Times New Roman" w:hAnsi="Aptos" w:cs="Times New Roman"/>
          <w:i/>
          <w:iCs/>
          <w:sz w:val="25"/>
          <w:szCs w:val="25"/>
        </w:rPr>
        <w:t xml:space="preserve">Hearing Request </w:t>
      </w:r>
      <w:r w:rsidRPr="000370FF">
        <w:rPr>
          <w:rFonts w:ascii="Aptos" w:eastAsia="Times New Roman" w:hAnsi="Aptos" w:cs="Times New Roman"/>
          <w:sz w:val="25"/>
          <w:szCs w:val="25"/>
        </w:rPr>
        <w:t xml:space="preserve">in the light most favorable to </w:t>
      </w:r>
      <w:r>
        <w:rPr>
          <w:rFonts w:ascii="Aptos" w:eastAsia="Times New Roman" w:hAnsi="Aptos" w:cs="Times New Roman"/>
          <w:sz w:val="25"/>
          <w:szCs w:val="25"/>
        </w:rPr>
        <w:t>Parent (and Student)</w:t>
      </w:r>
      <w:r w:rsidRPr="000370FF">
        <w:rPr>
          <w:rFonts w:ascii="Aptos" w:eastAsia="Times New Roman" w:hAnsi="Aptos" w:cs="Times New Roman"/>
          <w:sz w:val="25"/>
          <w:szCs w:val="25"/>
        </w:rPr>
        <w:t xml:space="preserve">, as I am required to do, I find that </w:t>
      </w:r>
      <w:r>
        <w:rPr>
          <w:rFonts w:ascii="Aptos" w:eastAsia="Times New Roman" w:hAnsi="Aptos" w:cs="Times New Roman"/>
          <w:sz w:val="25"/>
          <w:szCs w:val="25"/>
        </w:rPr>
        <w:t xml:space="preserve">it does not contain any claims which can proceed to a hearing on the merits. </w:t>
      </w:r>
      <w:r w:rsidR="00781E9A">
        <w:rPr>
          <w:rFonts w:ascii="Aptos" w:eastAsia="Times New Roman" w:hAnsi="Aptos" w:cs="Times New Roman"/>
          <w:sz w:val="25"/>
          <w:szCs w:val="25"/>
        </w:rPr>
        <w:t xml:space="preserve"> </w:t>
      </w:r>
      <w:r w:rsidR="009D67A5">
        <w:rPr>
          <w:rFonts w:ascii="Aptos" w:eastAsia="Times New Roman" w:hAnsi="Aptos" w:cs="Times New Roman"/>
          <w:sz w:val="25"/>
          <w:szCs w:val="25"/>
        </w:rPr>
        <w:t xml:space="preserve">Even viewing </w:t>
      </w:r>
      <w:r>
        <w:rPr>
          <w:rFonts w:ascii="Aptos" w:eastAsia="Times New Roman" w:hAnsi="Aptos" w:cs="Times New Roman"/>
          <w:sz w:val="25"/>
          <w:szCs w:val="25"/>
        </w:rPr>
        <w:t>Parent</w:t>
      </w:r>
      <w:r w:rsidR="00467D38">
        <w:rPr>
          <w:rFonts w:ascii="Aptos" w:eastAsia="Times New Roman" w:hAnsi="Aptos" w:cs="Times New Roman"/>
          <w:sz w:val="25"/>
          <w:szCs w:val="25"/>
        </w:rPr>
        <w:t>’s</w:t>
      </w:r>
      <w:r>
        <w:rPr>
          <w:rFonts w:ascii="Aptos" w:eastAsia="Times New Roman" w:hAnsi="Aptos" w:cs="Times New Roman"/>
          <w:sz w:val="25"/>
          <w:szCs w:val="25"/>
        </w:rPr>
        <w:t xml:space="preserve"> claims deferentially </w:t>
      </w:r>
      <w:proofErr w:type="gramStart"/>
      <w:r>
        <w:rPr>
          <w:rFonts w:ascii="Aptos" w:eastAsia="Times New Roman" w:hAnsi="Aptos" w:cs="Times New Roman"/>
          <w:sz w:val="25"/>
          <w:szCs w:val="25"/>
        </w:rPr>
        <w:t>in light of</w:t>
      </w:r>
      <w:proofErr w:type="gramEnd"/>
      <w:r>
        <w:rPr>
          <w:rFonts w:ascii="Aptos" w:eastAsia="Times New Roman" w:hAnsi="Aptos" w:cs="Times New Roman"/>
          <w:sz w:val="25"/>
          <w:szCs w:val="25"/>
        </w:rPr>
        <w:t xml:space="preserve"> </w:t>
      </w:r>
      <w:r w:rsidR="009D67A5">
        <w:rPr>
          <w:rFonts w:ascii="Aptos" w:eastAsia="Times New Roman" w:hAnsi="Aptos" w:cs="Times New Roman"/>
          <w:sz w:val="25"/>
          <w:szCs w:val="25"/>
        </w:rPr>
        <w:t>her</w:t>
      </w:r>
      <w:r>
        <w:rPr>
          <w:rFonts w:ascii="Aptos" w:eastAsia="Times New Roman" w:hAnsi="Aptos" w:cs="Times New Roman"/>
          <w:sz w:val="25"/>
          <w:szCs w:val="25"/>
        </w:rPr>
        <w:t xml:space="preserve"> </w:t>
      </w:r>
      <w:r>
        <w:rPr>
          <w:rFonts w:ascii="Aptos" w:eastAsia="Times New Roman" w:hAnsi="Aptos" w:cs="Times New Roman"/>
          <w:i/>
          <w:iCs/>
          <w:sz w:val="25"/>
          <w:szCs w:val="25"/>
        </w:rPr>
        <w:t>pro se</w:t>
      </w:r>
      <w:r>
        <w:rPr>
          <w:rFonts w:ascii="Aptos" w:eastAsia="Times New Roman" w:hAnsi="Aptos" w:cs="Times New Roman"/>
          <w:sz w:val="25"/>
          <w:szCs w:val="25"/>
        </w:rPr>
        <w:t xml:space="preserve"> status, </w:t>
      </w:r>
      <w:r w:rsidR="009D67A5">
        <w:rPr>
          <w:rFonts w:ascii="Aptos" w:eastAsia="Times New Roman" w:hAnsi="Aptos" w:cs="Times New Roman"/>
          <w:sz w:val="25"/>
          <w:szCs w:val="25"/>
        </w:rPr>
        <w:t xml:space="preserve">they </w:t>
      </w:r>
      <w:r w:rsidR="00781E9A">
        <w:rPr>
          <w:rFonts w:ascii="Aptos" w:eastAsia="Times New Roman" w:hAnsi="Aptos" w:cs="Times New Roman"/>
          <w:sz w:val="25"/>
          <w:szCs w:val="25"/>
        </w:rPr>
        <w:t xml:space="preserve">involve, </w:t>
      </w:r>
      <w:r w:rsidR="009D67A5">
        <w:rPr>
          <w:rFonts w:ascii="Aptos" w:eastAsia="Times New Roman" w:hAnsi="Aptos" w:cs="Times New Roman"/>
          <w:sz w:val="25"/>
          <w:szCs w:val="25"/>
        </w:rPr>
        <w:t xml:space="preserve">in </w:t>
      </w:r>
      <w:r w:rsidR="00781E9A">
        <w:rPr>
          <w:rFonts w:ascii="Aptos" w:eastAsia="Times New Roman" w:hAnsi="Aptos" w:cs="Times New Roman"/>
          <w:sz w:val="25"/>
          <w:szCs w:val="25"/>
        </w:rPr>
        <w:t>substantial part, claims that were raised or that could have been raised in the Prior Matter, all of which were dismissed with prejudice</w:t>
      </w:r>
      <w:r w:rsidR="00390644">
        <w:rPr>
          <w:rFonts w:ascii="Aptos" w:eastAsia="Times New Roman" w:hAnsi="Aptos" w:cs="Times New Roman"/>
          <w:sz w:val="25"/>
          <w:szCs w:val="25"/>
        </w:rPr>
        <w:t xml:space="preserve"> for lack of subject matter jurisdiction</w:t>
      </w:r>
      <w:r w:rsidR="00781E9A">
        <w:rPr>
          <w:rFonts w:ascii="Aptos" w:eastAsia="Times New Roman" w:hAnsi="Aptos" w:cs="Times New Roman"/>
          <w:sz w:val="25"/>
          <w:szCs w:val="25"/>
        </w:rPr>
        <w:t>.  As such, these claims cannot be challenged anew and are precluded from relitigat</w:t>
      </w:r>
      <w:r w:rsidR="008F380F">
        <w:rPr>
          <w:rFonts w:ascii="Aptos" w:eastAsia="Times New Roman" w:hAnsi="Aptos" w:cs="Times New Roman"/>
          <w:sz w:val="25"/>
          <w:szCs w:val="25"/>
        </w:rPr>
        <w:t>ion</w:t>
      </w:r>
      <w:r w:rsidR="00781E9A">
        <w:rPr>
          <w:rFonts w:ascii="Aptos" w:eastAsia="Times New Roman" w:hAnsi="Aptos" w:cs="Times New Roman"/>
          <w:sz w:val="25"/>
          <w:szCs w:val="25"/>
        </w:rPr>
        <w:t xml:space="preserve"> or </w:t>
      </w:r>
      <w:r w:rsidR="008F380F">
        <w:rPr>
          <w:rFonts w:ascii="Aptos" w:eastAsia="Times New Roman" w:hAnsi="Aptos" w:cs="Times New Roman"/>
          <w:sz w:val="25"/>
          <w:szCs w:val="25"/>
        </w:rPr>
        <w:t xml:space="preserve">being </w:t>
      </w:r>
      <w:r w:rsidR="00781E9A">
        <w:rPr>
          <w:rFonts w:ascii="Aptos" w:eastAsia="Times New Roman" w:hAnsi="Aptos" w:cs="Times New Roman"/>
          <w:sz w:val="25"/>
          <w:szCs w:val="25"/>
        </w:rPr>
        <w:t>raised in the instant matter</w:t>
      </w:r>
      <w:r w:rsidR="00810989">
        <w:rPr>
          <w:rStyle w:val="FootnoteReference"/>
          <w:rFonts w:ascii="Aptos" w:eastAsia="Times New Roman" w:hAnsi="Aptos" w:cs="Times New Roman"/>
          <w:sz w:val="25"/>
          <w:szCs w:val="25"/>
        </w:rPr>
        <w:footnoteReference w:id="34"/>
      </w:r>
      <w:r w:rsidR="00781E9A">
        <w:rPr>
          <w:rFonts w:ascii="Aptos" w:eastAsia="Times New Roman" w:hAnsi="Aptos" w:cs="Times New Roman"/>
          <w:sz w:val="25"/>
          <w:szCs w:val="25"/>
        </w:rPr>
        <w:t xml:space="preserve">.  Parent’s only recourse to pursue </w:t>
      </w:r>
      <w:r w:rsidR="009D67A5">
        <w:rPr>
          <w:rFonts w:ascii="Aptos" w:eastAsia="Times New Roman" w:hAnsi="Aptos" w:cs="Times New Roman"/>
          <w:sz w:val="25"/>
          <w:szCs w:val="25"/>
        </w:rPr>
        <w:t>such claims</w:t>
      </w:r>
      <w:r w:rsidR="00781E9A">
        <w:rPr>
          <w:rFonts w:ascii="Aptos" w:eastAsia="Times New Roman" w:hAnsi="Aptos" w:cs="Times New Roman"/>
          <w:sz w:val="25"/>
          <w:szCs w:val="25"/>
        </w:rPr>
        <w:t xml:space="preserve"> would have been to file a timely appeal of the Prior Matter Dismissal Ruling, which </w:t>
      </w:r>
      <w:r w:rsidR="009D67A5">
        <w:rPr>
          <w:rFonts w:ascii="Aptos" w:eastAsia="Times New Roman" w:hAnsi="Aptos" w:cs="Times New Roman"/>
          <w:sz w:val="25"/>
          <w:szCs w:val="25"/>
        </w:rPr>
        <w:t>she did not do</w:t>
      </w:r>
      <w:r w:rsidR="00781E9A">
        <w:rPr>
          <w:rFonts w:ascii="Aptos" w:eastAsia="Times New Roman" w:hAnsi="Aptos" w:cs="Times New Roman"/>
          <w:sz w:val="25"/>
          <w:szCs w:val="25"/>
        </w:rPr>
        <w:t>.  Parent cannot now refile claims and characterize them as “continuing</w:t>
      </w:r>
      <w:r w:rsidR="003161C8">
        <w:rPr>
          <w:rFonts w:ascii="Aptos" w:eastAsia="Times New Roman" w:hAnsi="Aptos" w:cs="Times New Roman"/>
          <w:sz w:val="25"/>
          <w:szCs w:val="25"/>
        </w:rPr>
        <w:t>,</w:t>
      </w:r>
      <w:r w:rsidR="00781E9A">
        <w:rPr>
          <w:rFonts w:ascii="Aptos" w:eastAsia="Times New Roman" w:hAnsi="Aptos" w:cs="Times New Roman"/>
          <w:sz w:val="25"/>
          <w:szCs w:val="25"/>
        </w:rPr>
        <w:t>” “ongoing</w:t>
      </w:r>
      <w:r w:rsidR="003161C8">
        <w:rPr>
          <w:rFonts w:ascii="Aptos" w:eastAsia="Times New Roman" w:hAnsi="Aptos" w:cs="Times New Roman"/>
          <w:sz w:val="25"/>
          <w:szCs w:val="25"/>
        </w:rPr>
        <w:t>,</w:t>
      </w:r>
      <w:r w:rsidR="00781E9A">
        <w:rPr>
          <w:rFonts w:ascii="Aptos" w:eastAsia="Times New Roman" w:hAnsi="Aptos" w:cs="Times New Roman"/>
          <w:sz w:val="25"/>
          <w:szCs w:val="25"/>
        </w:rPr>
        <w:t>” or “unresolved</w:t>
      </w:r>
      <w:r w:rsidR="003161C8">
        <w:rPr>
          <w:rFonts w:ascii="Aptos" w:eastAsia="Times New Roman" w:hAnsi="Aptos" w:cs="Times New Roman"/>
          <w:sz w:val="25"/>
          <w:szCs w:val="25"/>
        </w:rPr>
        <w:t>,</w:t>
      </w:r>
      <w:r w:rsidR="00781E9A">
        <w:rPr>
          <w:rFonts w:ascii="Aptos" w:eastAsia="Times New Roman" w:hAnsi="Aptos" w:cs="Times New Roman"/>
          <w:sz w:val="25"/>
          <w:szCs w:val="25"/>
        </w:rPr>
        <w:t xml:space="preserve">” </w:t>
      </w:r>
      <w:proofErr w:type="gramStart"/>
      <w:r w:rsidR="00781E9A">
        <w:rPr>
          <w:rFonts w:ascii="Aptos" w:eastAsia="Times New Roman" w:hAnsi="Aptos" w:cs="Times New Roman"/>
          <w:sz w:val="25"/>
          <w:szCs w:val="25"/>
        </w:rPr>
        <w:t>so as to</w:t>
      </w:r>
      <w:proofErr w:type="gramEnd"/>
      <w:r w:rsidR="00781E9A">
        <w:rPr>
          <w:rFonts w:ascii="Aptos" w:eastAsia="Times New Roman" w:hAnsi="Aptos" w:cs="Times New Roman"/>
          <w:sz w:val="25"/>
          <w:szCs w:val="25"/>
        </w:rPr>
        <w:t xml:space="preserve"> circumvent the preclusive appellate timeline by obtaining a new Ruling in a subsequent matter.  Allowing this </w:t>
      </w:r>
      <w:r w:rsidR="000506C8">
        <w:rPr>
          <w:rFonts w:ascii="Aptos" w:eastAsia="Times New Roman" w:hAnsi="Aptos" w:cs="Times New Roman"/>
          <w:sz w:val="25"/>
          <w:szCs w:val="25"/>
        </w:rPr>
        <w:t>would be</w:t>
      </w:r>
      <w:r w:rsidR="00781E9A">
        <w:rPr>
          <w:rFonts w:ascii="Aptos" w:eastAsia="Times New Roman" w:hAnsi="Aptos" w:cs="Times New Roman"/>
          <w:sz w:val="25"/>
          <w:szCs w:val="25"/>
        </w:rPr>
        <w:t xml:space="preserve"> directly contrary to the </w:t>
      </w:r>
      <w:r w:rsidR="000506C8">
        <w:rPr>
          <w:rFonts w:ascii="Aptos" w:eastAsia="Times New Roman" w:hAnsi="Aptos" w:cs="Times New Roman"/>
          <w:sz w:val="25"/>
          <w:szCs w:val="25"/>
        </w:rPr>
        <w:t xml:space="preserve">underlying </w:t>
      </w:r>
      <w:r w:rsidR="00781E9A">
        <w:rPr>
          <w:rFonts w:ascii="Aptos" w:eastAsia="Times New Roman" w:hAnsi="Aptos" w:cs="Times New Roman"/>
          <w:sz w:val="25"/>
          <w:szCs w:val="25"/>
        </w:rPr>
        <w:t xml:space="preserve">principles </w:t>
      </w:r>
      <w:r w:rsidR="00635863">
        <w:rPr>
          <w:rFonts w:ascii="Aptos" w:eastAsia="Times New Roman" w:hAnsi="Aptos" w:cs="Times New Roman"/>
          <w:sz w:val="25"/>
          <w:szCs w:val="25"/>
        </w:rPr>
        <w:t xml:space="preserve">of legal preclusion </w:t>
      </w:r>
      <w:r w:rsidR="00781E9A">
        <w:rPr>
          <w:rFonts w:ascii="Aptos" w:eastAsia="Times New Roman" w:hAnsi="Aptos" w:cs="Times New Roman"/>
          <w:sz w:val="25"/>
          <w:szCs w:val="25"/>
        </w:rPr>
        <w:t>doctrines</w:t>
      </w:r>
      <w:r w:rsidR="00635863">
        <w:rPr>
          <w:rFonts w:ascii="Aptos" w:eastAsia="Times New Roman" w:hAnsi="Aptos" w:cs="Times New Roman"/>
          <w:sz w:val="25"/>
          <w:szCs w:val="25"/>
        </w:rPr>
        <w:t>,</w:t>
      </w:r>
      <w:r w:rsidR="00781E9A">
        <w:rPr>
          <w:rFonts w:ascii="Aptos" w:eastAsia="Times New Roman" w:hAnsi="Aptos" w:cs="Times New Roman"/>
          <w:sz w:val="25"/>
          <w:szCs w:val="25"/>
        </w:rPr>
        <w:t xml:space="preserve"> as it </w:t>
      </w:r>
      <w:r w:rsidR="00781E9A">
        <w:rPr>
          <w:rFonts w:ascii="Aptos" w:eastAsia="Times New Roman" w:hAnsi="Aptos" w:cs="Times New Roman"/>
          <w:bCs/>
          <w:color w:val="000000"/>
          <w:sz w:val="25"/>
          <w:szCs w:val="25"/>
        </w:rPr>
        <w:t>contravenes Parent’s obligation to “</w:t>
      </w:r>
      <w:r w:rsidR="00781E9A" w:rsidRPr="008C3BFB">
        <w:rPr>
          <w:rFonts w:ascii="Aptos" w:eastAsia="Times New Roman" w:hAnsi="Aptos" w:cs="Times New Roman"/>
          <w:bCs/>
          <w:color w:val="000000"/>
          <w:sz w:val="25"/>
          <w:szCs w:val="25"/>
        </w:rPr>
        <w:t xml:space="preserve">plead all factually related allegations and attendant legal theories for recovery the first time </w:t>
      </w:r>
      <w:r w:rsidR="00781E9A">
        <w:rPr>
          <w:rFonts w:ascii="Aptos" w:eastAsia="Times New Roman" w:hAnsi="Aptos" w:cs="Times New Roman"/>
          <w:bCs/>
          <w:color w:val="000000"/>
          <w:sz w:val="25"/>
          <w:szCs w:val="25"/>
        </w:rPr>
        <w:t>[she filed a hearing request]</w:t>
      </w:r>
      <w:r w:rsidR="00781E9A" w:rsidRPr="008C3BFB">
        <w:rPr>
          <w:rFonts w:ascii="Aptos" w:eastAsia="Times New Roman" w:hAnsi="Aptos" w:cs="Times New Roman"/>
          <w:bCs/>
          <w:color w:val="000000"/>
          <w:sz w:val="25"/>
          <w:szCs w:val="25"/>
        </w:rPr>
        <w:t>”</w:t>
      </w:r>
      <w:r w:rsidR="00781E9A" w:rsidRPr="008C3BFB">
        <w:rPr>
          <w:rFonts w:ascii="Aptos" w:eastAsia="Times New Roman" w:hAnsi="Aptos" w:cs="Times New Roman"/>
          <w:bCs/>
          <w:color w:val="000000"/>
          <w:sz w:val="25"/>
          <w:szCs w:val="25"/>
          <w:vertAlign w:val="superscript"/>
        </w:rPr>
        <w:footnoteReference w:id="35"/>
      </w:r>
      <w:r w:rsidR="00781E9A">
        <w:rPr>
          <w:rFonts w:ascii="Aptos" w:eastAsia="Times New Roman" w:hAnsi="Aptos" w:cs="Times New Roman"/>
          <w:bCs/>
          <w:color w:val="000000"/>
          <w:sz w:val="25"/>
          <w:szCs w:val="25"/>
        </w:rPr>
        <w:t>, requires the District to incur</w:t>
      </w:r>
      <w:r w:rsidR="00781E9A" w:rsidRPr="008C3BFB">
        <w:rPr>
          <w:rFonts w:ascii="Aptos" w:eastAsia="Times New Roman" w:hAnsi="Aptos" w:cs="Times New Roman"/>
          <w:bCs/>
          <w:color w:val="000000"/>
          <w:sz w:val="25"/>
          <w:szCs w:val="25"/>
        </w:rPr>
        <w:t xml:space="preserve"> </w:t>
      </w:r>
      <w:r w:rsidR="00781E9A">
        <w:rPr>
          <w:rFonts w:ascii="Aptos" w:eastAsia="Times New Roman" w:hAnsi="Aptos" w:cs="Times New Roman"/>
          <w:bCs/>
          <w:color w:val="000000"/>
          <w:sz w:val="25"/>
          <w:szCs w:val="25"/>
        </w:rPr>
        <w:t>“</w:t>
      </w:r>
      <w:r w:rsidR="00781E9A" w:rsidRPr="008C3BFB">
        <w:rPr>
          <w:rFonts w:ascii="Aptos" w:eastAsia="Times New Roman" w:hAnsi="Aptos" w:cs="Times New Roman"/>
          <w:bCs/>
          <w:color w:val="000000"/>
          <w:sz w:val="25"/>
          <w:szCs w:val="25"/>
        </w:rPr>
        <w:t>cost</w:t>
      </w:r>
      <w:r w:rsidR="00781E9A">
        <w:rPr>
          <w:rFonts w:ascii="Aptos" w:eastAsia="Times New Roman" w:hAnsi="Aptos" w:cs="Times New Roman"/>
          <w:bCs/>
          <w:color w:val="000000"/>
          <w:sz w:val="25"/>
          <w:szCs w:val="25"/>
        </w:rPr>
        <w:t>[s]</w:t>
      </w:r>
      <w:r w:rsidR="00781E9A" w:rsidRPr="008C3BFB">
        <w:rPr>
          <w:rFonts w:ascii="Aptos" w:eastAsia="Times New Roman" w:hAnsi="Aptos" w:cs="Times New Roman"/>
          <w:bCs/>
          <w:color w:val="000000"/>
          <w:sz w:val="25"/>
          <w:szCs w:val="25"/>
        </w:rPr>
        <w:t xml:space="preserve"> and vexation of multiple lawsuits</w:t>
      </w:r>
      <w:r w:rsidR="00781E9A">
        <w:rPr>
          <w:rFonts w:ascii="Aptos" w:eastAsia="Times New Roman" w:hAnsi="Aptos" w:cs="Times New Roman"/>
          <w:bCs/>
          <w:color w:val="000000"/>
          <w:sz w:val="25"/>
          <w:szCs w:val="25"/>
        </w:rPr>
        <w:t>”, results in expenditure not conservation of adjudicatory resources</w:t>
      </w:r>
      <w:r w:rsidR="0013135C">
        <w:rPr>
          <w:rFonts w:ascii="Aptos" w:eastAsia="Times New Roman" w:hAnsi="Aptos" w:cs="Times New Roman"/>
          <w:bCs/>
          <w:color w:val="000000"/>
          <w:sz w:val="25"/>
          <w:szCs w:val="25"/>
        </w:rPr>
        <w:t>,</w:t>
      </w:r>
      <w:r w:rsidR="00781E9A">
        <w:rPr>
          <w:rFonts w:ascii="Aptos" w:eastAsia="Times New Roman" w:hAnsi="Aptos" w:cs="Times New Roman"/>
          <w:bCs/>
          <w:color w:val="000000"/>
          <w:sz w:val="25"/>
          <w:szCs w:val="25"/>
        </w:rPr>
        <w:t xml:space="preserve"> and risks an inconsistent decision, thereby discouraging “</w:t>
      </w:r>
      <w:r w:rsidR="00781E9A" w:rsidRPr="008C3BFB">
        <w:rPr>
          <w:rFonts w:ascii="Aptos" w:eastAsia="Times New Roman" w:hAnsi="Aptos" w:cs="Times New Roman"/>
          <w:bCs/>
          <w:color w:val="000000"/>
          <w:sz w:val="25"/>
          <w:szCs w:val="25"/>
        </w:rPr>
        <w:t>reliance on adjudication”</w:t>
      </w:r>
      <w:r w:rsidR="00781E9A" w:rsidRPr="008C3BFB">
        <w:rPr>
          <w:rFonts w:ascii="Aptos" w:eastAsia="Times New Roman" w:hAnsi="Aptos" w:cs="Times New Roman"/>
          <w:bCs/>
          <w:color w:val="000000"/>
          <w:sz w:val="25"/>
          <w:szCs w:val="25"/>
          <w:vertAlign w:val="superscript"/>
        </w:rPr>
        <w:footnoteReference w:id="36"/>
      </w:r>
      <w:r w:rsidR="00781E9A" w:rsidRPr="008C3BFB">
        <w:rPr>
          <w:rFonts w:ascii="Aptos" w:eastAsia="Times New Roman" w:hAnsi="Aptos" w:cs="Times New Roman"/>
          <w:bCs/>
          <w:color w:val="000000"/>
          <w:sz w:val="25"/>
          <w:szCs w:val="25"/>
        </w:rPr>
        <w:t>.</w:t>
      </w:r>
      <w:r w:rsidR="00781E9A">
        <w:rPr>
          <w:rFonts w:ascii="Aptos" w:eastAsia="Times New Roman" w:hAnsi="Aptos" w:cs="Times New Roman"/>
          <w:bCs/>
          <w:color w:val="000000"/>
          <w:sz w:val="25"/>
          <w:szCs w:val="25"/>
        </w:rPr>
        <w:t xml:space="preserve">  </w:t>
      </w:r>
    </w:p>
    <w:p w14:paraId="553CAD75" w14:textId="77777777" w:rsidR="00781E9A" w:rsidRDefault="00781E9A" w:rsidP="00D65142">
      <w:pPr>
        <w:shd w:val="clear" w:color="auto" w:fill="FFFFFF"/>
        <w:rPr>
          <w:rFonts w:ascii="Aptos" w:eastAsia="Times New Roman" w:hAnsi="Aptos" w:cs="Times New Roman"/>
          <w:sz w:val="25"/>
          <w:szCs w:val="25"/>
        </w:rPr>
      </w:pPr>
    </w:p>
    <w:p w14:paraId="45E68FCB" w14:textId="4DFFFAC0" w:rsidR="00781E9A" w:rsidRDefault="00781E9A" w:rsidP="00D65142">
      <w:pPr>
        <w:shd w:val="clear" w:color="auto" w:fill="FFFFFF"/>
        <w:rPr>
          <w:rFonts w:ascii="Aptos" w:eastAsia="Times New Roman" w:hAnsi="Aptos" w:cs="Times New Roman"/>
          <w:b/>
          <w:bCs/>
          <w:sz w:val="25"/>
          <w:szCs w:val="25"/>
        </w:rPr>
      </w:pPr>
      <w:r>
        <w:rPr>
          <w:rFonts w:ascii="Aptos" w:eastAsia="Times New Roman" w:hAnsi="Aptos" w:cs="Times New Roman"/>
          <w:sz w:val="25"/>
          <w:szCs w:val="25"/>
        </w:rPr>
        <w:t xml:space="preserve">To the extent Parent’s </w:t>
      </w:r>
      <w:r>
        <w:rPr>
          <w:rFonts w:ascii="Aptos" w:eastAsia="Times New Roman" w:hAnsi="Aptos" w:cs="Times New Roman"/>
          <w:i/>
          <w:iCs/>
          <w:sz w:val="25"/>
          <w:szCs w:val="25"/>
        </w:rPr>
        <w:t xml:space="preserve">Hearing Request </w:t>
      </w:r>
      <w:r>
        <w:rPr>
          <w:rFonts w:ascii="Aptos" w:eastAsia="Times New Roman" w:hAnsi="Aptos" w:cs="Times New Roman"/>
          <w:sz w:val="25"/>
          <w:szCs w:val="25"/>
        </w:rPr>
        <w:t>in the instant matter includes allegations that are not otherwise precluded, they must</w:t>
      </w:r>
      <w:r w:rsidR="0013135C">
        <w:rPr>
          <w:rFonts w:ascii="Aptos" w:eastAsia="Times New Roman" w:hAnsi="Aptos" w:cs="Times New Roman"/>
          <w:sz w:val="25"/>
          <w:szCs w:val="25"/>
        </w:rPr>
        <w:t xml:space="preserve"> all</w:t>
      </w:r>
      <w:r>
        <w:rPr>
          <w:rFonts w:ascii="Aptos" w:eastAsia="Times New Roman" w:hAnsi="Aptos" w:cs="Times New Roman"/>
          <w:sz w:val="25"/>
          <w:szCs w:val="25"/>
        </w:rPr>
        <w:t xml:space="preserve"> be dismissed with prejudice</w:t>
      </w:r>
      <w:r w:rsidR="0013135C">
        <w:rPr>
          <w:rFonts w:ascii="Aptos" w:eastAsia="Times New Roman" w:hAnsi="Aptos" w:cs="Times New Roman"/>
          <w:sz w:val="25"/>
          <w:szCs w:val="25"/>
        </w:rPr>
        <w:t xml:space="preserve"> as well</w:t>
      </w:r>
      <w:r>
        <w:rPr>
          <w:rFonts w:ascii="Aptos" w:eastAsia="Times New Roman" w:hAnsi="Aptos" w:cs="Times New Roman"/>
          <w:sz w:val="25"/>
          <w:szCs w:val="25"/>
        </w:rPr>
        <w:t xml:space="preserve"> as</w:t>
      </w:r>
      <w:r w:rsidR="00A51175">
        <w:rPr>
          <w:rFonts w:ascii="Aptos" w:eastAsia="Times New Roman" w:hAnsi="Aptos" w:cs="Times New Roman"/>
          <w:sz w:val="25"/>
          <w:szCs w:val="25"/>
        </w:rPr>
        <w:t xml:space="preserve"> they </w:t>
      </w:r>
      <w:r w:rsidR="00A51175">
        <w:rPr>
          <w:rFonts w:ascii="Aptos" w:eastAsia="Times New Roman" w:hAnsi="Aptos" w:cs="Times New Roman"/>
          <w:sz w:val="25"/>
          <w:szCs w:val="25"/>
        </w:rPr>
        <w:lastRenderedPageBreak/>
        <w:t>are</w:t>
      </w:r>
      <w:r>
        <w:rPr>
          <w:rFonts w:ascii="Aptos" w:eastAsia="Times New Roman" w:hAnsi="Aptos" w:cs="Times New Roman"/>
          <w:sz w:val="25"/>
          <w:szCs w:val="25"/>
        </w:rPr>
        <w:t xml:space="preserve"> beyond the BSEA’s jurisdiction and</w:t>
      </w:r>
      <w:r w:rsidR="00A51175">
        <w:rPr>
          <w:rFonts w:ascii="Aptos" w:eastAsia="Times New Roman" w:hAnsi="Aptos" w:cs="Times New Roman"/>
          <w:sz w:val="25"/>
          <w:szCs w:val="25"/>
        </w:rPr>
        <w:t>/or</w:t>
      </w:r>
      <w:r>
        <w:rPr>
          <w:rFonts w:ascii="Aptos" w:eastAsia="Times New Roman" w:hAnsi="Aptos" w:cs="Times New Roman"/>
          <w:sz w:val="25"/>
          <w:szCs w:val="25"/>
        </w:rPr>
        <w:t xml:space="preserve"> outside the statute of limitations applicable to BSEA proceedings.  It is undisputed that </w:t>
      </w:r>
      <w:r w:rsidR="00A51175">
        <w:rPr>
          <w:rFonts w:ascii="Aptos" w:eastAsia="Times New Roman" w:hAnsi="Aptos" w:cs="Times New Roman"/>
          <w:sz w:val="25"/>
          <w:szCs w:val="25"/>
        </w:rPr>
        <w:t xml:space="preserve">on February 17, 2023, </w:t>
      </w:r>
      <w:r>
        <w:rPr>
          <w:rFonts w:ascii="Aptos" w:eastAsia="Times New Roman" w:hAnsi="Aptos" w:cs="Times New Roman"/>
          <w:sz w:val="25"/>
          <w:szCs w:val="25"/>
        </w:rPr>
        <w:t xml:space="preserve">Parent revoked consent </w:t>
      </w:r>
      <w:r w:rsidR="00CB0FDD">
        <w:rPr>
          <w:rFonts w:ascii="Aptos" w:eastAsia="Times New Roman" w:hAnsi="Aptos" w:cs="Times New Roman"/>
          <w:sz w:val="25"/>
          <w:szCs w:val="25"/>
        </w:rPr>
        <w:t>for</w:t>
      </w:r>
      <w:r>
        <w:rPr>
          <w:rFonts w:ascii="Aptos" w:eastAsia="Times New Roman" w:hAnsi="Aptos" w:cs="Times New Roman"/>
          <w:sz w:val="25"/>
          <w:szCs w:val="25"/>
        </w:rPr>
        <w:t xml:space="preserve"> Student </w:t>
      </w:r>
      <w:r w:rsidR="00CB0FDD">
        <w:rPr>
          <w:rFonts w:ascii="Aptos" w:eastAsia="Times New Roman" w:hAnsi="Aptos" w:cs="Times New Roman"/>
          <w:sz w:val="25"/>
          <w:szCs w:val="25"/>
        </w:rPr>
        <w:t xml:space="preserve">to receive </w:t>
      </w:r>
      <w:r>
        <w:rPr>
          <w:rFonts w:ascii="Aptos" w:eastAsia="Times New Roman" w:hAnsi="Aptos" w:cs="Times New Roman"/>
          <w:sz w:val="25"/>
          <w:szCs w:val="25"/>
        </w:rPr>
        <w:t xml:space="preserve">special education.  Under the IDEA, </w:t>
      </w:r>
      <w:r w:rsidR="00CB0FDD">
        <w:rPr>
          <w:rFonts w:ascii="Aptos" w:eastAsia="Times New Roman" w:hAnsi="Aptos" w:cs="Times New Roman"/>
          <w:sz w:val="25"/>
          <w:szCs w:val="25"/>
        </w:rPr>
        <w:t xml:space="preserve">upon receipt </w:t>
      </w:r>
      <w:r w:rsidR="00635863">
        <w:rPr>
          <w:rFonts w:ascii="Aptos" w:eastAsia="Times New Roman" w:hAnsi="Aptos" w:cs="Times New Roman"/>
          <w:sz w:val="25"/>
          <w:szCs w:val="25"/>
        </w:rPr>
        <w:t xml:space="preserve">of such revocation </w:t>
      </w:r>
      <w:r w:rsidR="00CB0FDD">
        <w:rPr>
          <w:rFonts w:ascii="Aptos" w:eastAsia="Times New Roman" w:hAnsi="Aptos" w:cs="Times New Roman"/>
          <w:sz w:val="25"/>
          <w:szCs w:val="25"/>
        </w:rPr>
        <w:t xml:space="preserve">and provision </w:t>
      </w:r>
      <w:r w:rsidR="00635863">
        <w:rPr>
          <w:rFonts w:ascii="Aptos" w:eastAsia="Times New Roman" w:hAnsi="Aptos" w:cs="Times New Roman"/>
          <w:sz w:val="25"/>
          <w:szCs w:val="25"/>
        </w:rPr>
        <w:t xml:space="preserve">by the District </w:t>
      </w:r>
      <w:r w:rsidR="00CB0FDD">
        <w:rPr>
          <w:rFonts w:ascii="Aptos" w:eastAsia="Times New Roman" w:hAnsi="Aptos" w:cs="Times New Roman"/>
          <w:sz w:val="25"/>
          <w:szCs w:val="25"/>
        </w:rPr>
        <w:t xml:space="preserve">of written notice of intent to discontinue special education services as well as </w:t>
      </w:r>
      <w:r w:rsidR="00F53541">
        <w:rPr>
          <w:rFonts w:ascii="Aptos" w:eastAsia="Times New Roman" w:hAnsi="Aptos" w:cs="Times New Roman"/>
          <w:sz w:val="25"/>
          <w:szCs w:val="25"/>
        </w:rPr>
        <w:t>notice of parental right</w:t>
      </w:r>
      <w:r w:rsidR="00635863">
        <w:rPr>
          <w:rFonts w:ascii="Aptos" w:eastAsia="Times New Roman" w:hAnsi="Aptos" w:cs="Times New Roman"/>
          <w:sz w:val="25"/>
          <w:szCs w:val="25"/>
        </w:rPr>
        <w:t>s (</w:t>
      </w:r>
      <w:r w:rsidR="00F53541">
        <w:rPr>
          <w:rFonts w:ascii="Aptos" w:eastAsia="Times New Roman" w:hAnsi="Aptos" w:cs="Times New Roman"/>
          <w:sz w:val="25"/>
          <w:szCs w:val="25"/>
        </w:rPr>
        <w:t>which was done in this matter</w:t>
      </w:r>
      <w:r w:rsidR="00635863">
        <w:rPr>
          <w:rFonts w:ascii="Aptos" w:eastAsia="Times New Roman" w:hAnsi="Aptos" w:cs="Times New Roman"/>
          <w:sz w:val="25"/>
          <w:szCs w:val="25"/>
        </w:rPr>
        <w:t>)</w:t>
      </w:r>
      <w:r w:rsidR="00F53541">
        <w:rPr>
          <w:rFonts w:ascii="Aptos" w:eastAsia="Times New Roman" w:hAnsi="Aptos" w:cs="Times New Roman"/>
          <w:sz w:val="25"/>
          <w:szCs w:val="25"/>
        </w:rPr>
        <w:t xml:space="preserve">, </w:t>
      </w:r>
      <w:r>
        <w:rPr>
          <w:rFonts w:ascii="Aptos" w:eastAsia="Times New Roman" w:hAnsi="Aptos" w:cs="Times New Roman"/>
          <w:sz w:val="25"/>
          <w:szCs w:val="25"/>
        </w:rPr>
        <w:t xml:space="preserve">the District ceased </w:t>
      </w:r>
      <w:r w:rsidR="0051724B">
        <w:rPr>
          <w:rFonts w:ascii="Aptos" w:eastAsia="Times New Roman" w:hAnsi="Aptos" w:cs="Times New Roman"/>
          <w:sz w:val="25"/>
          <w:szCs w:val="25"/>
        </w:rPr>
        <w:t>to have</w:t>
      </w:r>
      <w:r>
        <w:rPr>
          <w:rFonts w:ascii="Aptos" w:eastAsia="Times New Roman" w:hAnsi="Aptos" w:cs="Times New Roman"/>
          <w:sz w:val="25"/>
          <w:szCs w:val="25"/>
        </w:rPr>
        <w:t xml:space="preserve"> FAPE responsibilities to Student, including obligations to convene Team meetings or develop new IEPs</w:t>
      </w:r>
      <w:r>
        <w:rPr>
          <w:rStyle w:val="FootnoteReference"/>
          <w:rFonts w:ascii="Aptos" w:eastAsia="Times New Roman" w:hAnsi="Aptos" w:cs="Times New Roman"/>
          <w:sz w:val="25"/>
          <w:szCs w:val="25"/>
        </w:rPr>
        <w:footnoteReference w:id="37"/>
      </w:r>
      <w:r>
        <w:rPr>
          <w:rFonts w:ascii="Aptos" w:eastAsia="Times New Roman" w:hAnsi="Aptos" w:cs="Times New Roman"/>
          <w:sz w:val="25"/>
          <w:szCs w:val="25"/>
        </w:rPr>
        <w:t>.  Thus, all claims relating to substantive and procedural FAPE violations</w:t>
      </w:r>
      <w:r w:rsidR="0051295E">
        <w:rPr>
          <w:rFonts w:ascii="Aptos" w:eastAsia="Times New Roman" w:hAnsi="Aptos" w:cs="Times New Roman"/>
          <w:sz w:val="25"/>
          <w:szCs w:val="25"/>
        </w:rPr>
        <w:t xml:space="preserve"> or to</w:t>
      </w:r>
      <w:r>
        <w:rPr>
          <w:rFonts w:ascii="Aptos" w:eastAsia="Times New Roman" w:hAnsi="Aptos" w:cs="Times New Roman"/>
          <w:sz w:val="25"/>
          <w:szCs w:val="25"/>
        </w:rPr>
        <w:t xml:space="preserve"> issues involving Team Meetings, or IEPs cannot feasibly</w:t>
      </w:r>
      <w:r w:rsidR="0051295E">
        <w:rPr>
          <w:rFonts w:ascii="Aptos" w:eastAsia="Times New Roman" w:hAnsi="Aptos" w:cs="Times New Roman"/>
          <w:sz w:val="25"/>
          <w:szCs w:val="25"/>
        </w:rPr>
        <w:t>,</w:t>
      </w:r>
      <w:r>
        <w:rPr>
          <w:rFonts w:ascii="Aptos" w:eastAsia="Times New Roman" w:hAnsi="Aptos" w:cs="Times New Roman"/>
          <w:sz w:val="25"/>
          <w:szCs w:val="25"/>
        </w:rPr>
        <w:t xml:space="preserve"> much less intuitively</w:t>
      </w:r>
      <w:r w:rsidR="0051295E">
        <w:rPr>
          <w:rFonts w:ascii="Aptos" w:eastAsia="Times New Roman" w:hAnsi="Aptos" w:cs="Times New Roman"/>
          <w:sz w:val="25"/>
          <w:szCs w:val="25"/>
        </w:rPr>
        <w:t>,</w:t>
      </w:r>
      <w:r>
        <w:rPr>
          <w:rFonts w:ascii="Aptos" w:eastAsia="Times New Roman" w:hAnsi="Aptos" w:cs="Times New Roman"/>
          <w:sz w:val="25"/>
          <w:szCs w:val="25"/>
        </w:rPr>
        <w:t xml:space="preserve"> be deemed to have arisen after the revocation date.  Although Parent now alleges that the revocation was “coerced” (a claim precluded on collateral estoppel grounds </w:t>
      </w:r>
      <w:r w:rsidR="006C067F">
        <w:rPr>
          <w:rFonts w:ascii="Aptos" w:eastAsia="Times New Roman" w:hAnsi="Aptos" w:cs="Times New Roman"/>
          <w:sz w:val="25"/>
          <w:szCs w:val="25"/>
        </w:rPr>
        <w:t>since</w:t>
      </w:r>
      <w:r>
        <w:rPr>
          <w:rFonts w:ascii="Aptos" w:eastAsia="Times New Roman" w:hAnsi="Aptos" w:cs="Times New Roman"/>
          <w:sz w:val="25"/>
          <w:szCs w:val="25"/>
        </w:rPr>
        <w:t xml:space="preserve"> it could and should have been raised in the Prior Matter </w:t>
      </w:r>
      <w:r w:rsidR="006C067F">
        <w:rPr>
          <w:rFonts w:ascii="Aptos" w:eastAsia="Times New Roman" w:hAnsi="Aptos" w:cs="Times New Roman"/>
          <w:sz w:val="25"/>
          <w:szCs w:val="25"/>
        </w:rPr>
        <w:t>as</w:t>
      </w:r>
      <w:r>
        <w:rPr>
          <w:rFonts w:ascii="Aptos" w:eastAsia="Times New Roman" w:hAnsi="Aptos" w:cs="Times New Roman"/>
          <w:sz w:val="25"/>
          <w:szCs w:val="25"/>
        </w:rPr>
        <w:t xml:space="preserve"> it derives from the </w:t>
      </w:r>
      <w:r w:rsidR="0051295E">
        <w:rPr>
          <w:rFonts w:ascii="Aptos" w:eastAsia="Times New Roman" w:hAnsi="Aptos" w:cs="Times New Roman"/>
          <w:sz w:val="25"/>
          <w:szCs w:val="25"/>
        </w:rPr>
        <w:t>“</w:t>
      </w:r>
      <w:r>
        <w:rPr>
          <w:rFonts w:ascii="Aptos" w:eastAsia="Times New Roman" w:hAnsi="Aptos" w:cs="Times New Roman"/>
          <w:sz w:val="25"/>
          <w:szCs w:val="25"/>
        </w:rPr>
        <w:t>common nucleus of operative facts</w:t>
      </w:r>
      <w:r w:rsidR="0051295E">
        <w:rPr>
          <w:rFonts w:ascii="Aptos" w:eastAsia="Times New Roman" w:hAnsi="Aptos" w:cs="Times New Roman"/>
          <w:sz w:val="25"/>
          <w:szCs w:val="25"/>
        </w:rPr>
        <w:t>”</w:t>
      </w:r>
      <w:r>
        <w:rPr>
          <w:rFonts w:ascii="Aptos" w:eastAsia="Times New Roman" w:hAnsi="Aptos" w:cs="Times New Roman"/>
          <w:sz w:val="25"/>
          <w:szCs w:val="25"/>
        </w:rPr>
        <w:t xml:space="preserve"> alleged in the Prior Matter</w:t>
      </w:r>
      <w:r>
        <w:rPr>
          <w:rStyle w:val="FootnoteReference"/>
          <w:rFonts w:ascii="Aptos" w:eastAsia="Times New Roman" w:hAnsi="Aptos" w:cs="Times New Roman"/>
          <w:sz w:val="25"/>
          <w:szCs w:val="25"/>
        </w:rPr>
        <w:footnoteReference w:id="38"/>
      </w:r>
      <w:r>
        <w:rPr>
          <w:rFonts w:ascii="Aptos" w:eastAsia="Times New Roman" w:hAnsi="Aptos" w:cs="Times New Roman"/>
          <w:sz w:val="25"/>
          <w:szCs w:val="25"/>
        </w:rPr>
        <w:t>)</w:t>
      </w:r>
      <w:r w:rsidR="0051295E">
        <w:rPr>
          <w:rFonts w:ascii="Aptos" w:eastAsia="Times New Roman" w:hAnsi="Aptos" w:cs="Times New Roman"/>
          <w:sz w:val="25"/>
          <w:szCs w:val="25"/>
        </w:rPr>
        <w:t>,</w:t>
      </w:r>
      <w:r>
        <w:rPr>
          <w:rFonts w:ascii="Aptos" w:eastAsia="Times New Roman" w:hAnsi="Aptos" w:cs="Times New Roman"/>
          <w:sz w:val="25"/>
          <w:szCs w:val="25"/>
        </w:rPr>
        <w:t xml:space="preserve"> she was obligated to raise such a concern within two years from her revocation decision.  As such, on both claim preclusion and statute of limitations grounds, claims that Student was substantively or procedurally denied a FAPE, challenges to Team meetings or IEPs</w:t>
      </w:r>
      <w:r w:rsidR="005657E4">
        <w:rPr>
          <w:rFonts w:ascii="Aptos" w:eastAsia="Times New Roman" w:hAnsi="Aptos" w:cs="Times New Roman"/>
          <w:sz w:val="25"/>
          <w:szCs w:val="25"/>
        </w:rPr>
        <w:t>,</w:t>
      </w:r>
      <w:r>
        <w:rPr>
          <w:rFonts w:ascii="Aptos" w:eastAsia="Times New Roman" w:hAnsi="Aptos" w:cs="Times New Roman"/>
          <w:sz w:val="25"/>
          <w:szCs w:val="25"/>
        </w:rPr>
        <w:t xml:space="preserve"> and </w:t>
      </w:r>
      <w:r w:rsidR="009F61DD">
        <w:rPr>
          <w:rFonts w:ascii="Aptos" w:eastAsia="Times New Roman" w:hAnsi="Aptos" w:cs="Times New Roman"/>
          <w:sz w:val="25"/>
          <w:szCs w:val="25"/>
        </w:rPr>
        <w:t>the</w:t>
      </w:r>
      <w:r>
        <w:rPr>
          <w:rFonts w:ascii="Aptos" w:eastAsia="Times New Roman" w:hAnsi="Aptos" w:cs="Times New Roman"/>
          <w:sz w:val="25"/>
          <w:szCs w:val="25"/>
        </w:rPr>
        <w:t xml:space="preserve"> claim that </w:t>
      </w:r>
      <w:r w:rsidR="009F61DD">
        <w:rPr>
          <w:rFonts w:ascii="Aptos" w:eastAsia="Times New Roman" w:hAnsi="Aptos" w:cs="Times New Roman"/>
          <w:sz w:val="25"/>
          <w:szCs w:val="25"/>
        </w:rPr>
        <w:t>Parent</w:t>
      </w:r>
      <w:r>
        <w:rPr>
          <w:rFonts w:ascii="Aptos" w:eastAsia="Times New Roman" w:hAnsi="Aptos" w:cs="Times New Roman"/>
          <w:sz w:val="25"/>
          <w:szCs w:val="25"/>
        </w:rPr>
        <w:t xml:space="preserve"> was coerced in revoking consent for Student to receive special education and related services are </w:t>
      </w:r>
      <w:r>
        <w:rPr>
          <w:rFonts w:ascii="Aptos" w:eastAsia="Times New Roman" w:hAnsi="Aptos" w:cs="Times New Roman"/>
          <w:b/>
          <w:bCs/>
          <w:sz w:val="25"/>
          <w:szCs w:val="25"/>
        </w:rPr>
        <w:t>DISMISSED with prejudice.</w:t>
      </w:r>
    </w:p>
    <w:p w14:paraId="09408C10" w14:textId="77777777" w:rsidR="00781E9A" w:rsidRDefault="00781E9A" w:rsidP="00D65142">
      <w:pPr>
        <w:shd w:val="clear" w:color="auto" w:fill="FFFFFF"/>
        <w:rPr>
          <w:rFonts w:ascii="Aptos" w:eastAsia="Times New Roman" w:hAnsi="Aptos" w:cs="Times New Roman"/>
          <w:b/>
          <w:bCs/>
          <w:sz w:val="25"/>
          <w:szCs w:val="25"/>
        </w:rPr>
      </w:pPr>
    </w:p>
    <w:p w14:paraId="5ADA24F9" w14:textId="54B9F22A" w:rsidR="00781E9A" w:rsidRDefault="00781E9A" w:rsidP="00D65142">
      <w:pPr>
        <w:shd w:val="clear" w:color="auto" w:fill="FFFFFF"/>
        <w:rPr>
          <w:rFonts w:ascii="Aptos" w:eastAsia="Times New Roman" w:hAnsi="Aptos" w:cs="Times New Roman"/>
          <w:sz w:val="25"/>
          <w:szCs w:val="25"/>
        </w:rPr>
      </w:pPr>
      <w:r>
        <w:rPr>
          <w:rFonts w:ascii="Aptos" w:eastAsia="Times New Roman" w:hAnsi="Aptos" w:cs="Times New Roman"/>
          <w:sz w:val="25"/>
          <w:szCs w:val="25"/>
        </w:rPr>
        <w:t>Moreover, as I already addressed in the Prior Matter Dismissal Ruling, FAPE-based educational or internal investigation record claims were outside the statute of limitations period at that time and are thus even more untimely now.  Further, non-FAPE</w:t>
      </w:r>
      <w:r w:rsidR="002D34E2">
        <w:rPr>
          <w:rFonts w:ascii="Aptos" w:eastAsia="Times New Roman" w:hAnsi="Aptos" w:cs="Times New Roman"/>
          <w:sz w:val="25"/>
          <w:szCs w:val="25"/>
        </w:rPr>
        <w:t>-</w:t>
      </w:r>
      <w:r>
        <w:rPr>
          <w:rFonts w:ascii="Aptos" w:eastAsia="Times New Roman" w:hAnsi="Aptos" w:cs="Times New Roman"/>
          <w:sz w:val="25"/>
          <w:szCs w:val="25"/>
        </w:rPr>
        <w:t>based claims relating to such records are outside the BSEA’s jurisdiction and must be pursued in other forums.  Thus</w:t>
      </w:r>
      <w:r w:rsidR="002D34E2">
        <w:rPr>
          <w:rFonts w:ascii="Aptos" w:eastAsia="Times New Roman" w:hAnsi="Aptos" w:cs="Times New Roman"/>
          <w:sz w:val="25"/>
          <w:szCs w:val="25"/>
        </w:rPr>
        <w:t>,</w:t>
      </w:r>
      <w:r>
        <w:rPr>
          <w:rFonts w:ascii="Aptos" w:eastAsia="Times New Roman" w:hAnsi="Aptos" w:cs="Times New Roman"/>
          <w:sz w:val="25"/>
          <w:szCs w:val="25"/>
        </w:rPr>
        <w:t xml:space="preserve"> on both statute of limitations and jurisdictional grounds any educational records claims or claims challenging an undated internal investigation (to the extent they are not otherwise collaterally estopped) are also </w:t>
      </w:r>
      <w:r>
        <w:rPr>
          <w:rFonts w:ascii="Aptos" w:eastAsia="Times New Roman" w:hAnsi="Aptos" w:cs="Times New Roman"/>
          <w:b/>
          <w:bCs/>
          <w:sz w:val="25"/>
          <w:szCs w:val="25"/>
        </w:rPr>
        <w:t>DISMISSED with prejudice</w:t>
      </w:r>
      <w:r>
        <w:rPr>
          <w:rFonts w:ascii="Aptos" w:eastAsia="Times New Roman" w:hAnsi="Aptos" w:cs="Times New Roman"/>
          <w:sz w:val="25"/>
          <w:szCs w:val="25"/>
        </w:rPr>
        <w:t>.</w:t>
      </w:r>
    </w:p>
    <w:p w14:paraId="2E1F877F" w14:textId="77777777" w:rsidR="00781E9A" w:rsidRDefault="00781E9A" w:rsidP="00D65142">
      <w:pPr>
        <w:shd w:val="clear" w:color="auto" w:fill="FFFFFF"/>
        <w:rPr>
          <w:rFonts w:ascii="Aptos" w:eastAsia="Times New Roman" w:hAnsi="Aptos" w:cs="Times New Roman"/>
          <w:sz w:val="25"/>
          <w:szCs w:val="25"/>
        </w:rPr>
      </w:pPr>
    </w:p>
    <w:p w14:paraId="019E0F95" w14:textId="42618D38" w:rsidR="00781E9A" w:rsidRDefault="00781E9A" w:rsidP="00D65142">
      <w:pPr>
        <w:shd w:val="clear" w:color="auto" w:fill="FFFFFF"/>
        <w:rPr>
          <w:sz w:val="25"/>
          <w:szCs w:val="25"/>
        </w:rPr>
      </w:pPr>
      <w:r>
        <w:rPr>
          <w:rFonts w:ascii="Aptos" w:eastAsia="Times New Roman" w:hAnsi="Aptos" w:cs="Times New Roman"/>
          <w:sz w:val="25"/>
          <w:szCs w:val="25"/>
        </w:rPr>
        <w:t>Finally</w:t>
      </w:r>
      <w:r w:rsidRPr="00781E9A">
        <w:rPr>
          <w:rFonts w:ascii="Aptos" w:eastAsia="Times New Roman" w:hAnsi="Aptos" w:cs="Times New Roman"/>
          <w:sz w:val="25"/>
          <w:szCs w:val="25"/>
        </w:rPr>
        <w:t xml:space="preserve">, </w:t>
      </w:r>
      <w:r>
        <w:rPr>
          <w:rFonts w:ascii="Aptos" w:eastAsia="Times New Roman" w:hAnsi="Aptos" w:cs="Times New Roman"/>
          <w:sz w:val="25"/>
          <w:szCs w:val="25"/>
        </w:rPr>
        <w:t xml:space="preserve">I address Parent’s </w:t>
      </w:r>
      <w:r w:rsidRPr="00781E9A">
        <w:rPr>
          <w:rFonts w:ascii="Aptos" w:eastAsia="Times New Roman" w:hAnsi="Aptos" w:cs="Times New Roman"/>
          <w:sz w:val="25"/>
          <w:szCs w:val="25"/>
        </w:rPr>
        <w:t>arguably novel claim</w:t>
      </w:r>
      <w:r>
        <w:rPr>
          <w:rFonts w:ascii="Aptos" w:eastAsia="Times New Roman" w:hAnsi="Aptos" w:cs="Times New Roman"/>
          <w:sz w:val="25"/>
          <w:szCs w:val="25"/>
        </w:rPr>
        <w:t>s</w:t>
      </w:r>
      <w:r w:rsidRPr="00781E9A">
        <w:rPr>
          <w:rFonts w:ascii="Aptos" w:eastAsia="Times New Roman" w:hAnsi="Aptos" w:cs="Times New Roman"/>
          <w:sz w:val="25"/>
          <w:szCs w:val="25"/>
        </w:rPr>
        <w:t xml:space="preserve"> (albeit </w:t>
      </w:r>
      <w:r w:rsidR="00A86C7E">
        <w:rPr>
          <w:rFonts w:ascii="Aptos" w:eastAsia="Times New Roman" w:hAnsi="Aptos" w:cs="Times New Roman"/>
          <w:sz w:val="25"/>
          <w:szCs w:val="25"/>
        </w:rPr>
        <w:t xml:space="preserve">asserted </w:t>
      </w:r>
      <w:r w:rsidRPr="00781E9A">
        <w:rPr>
          <w:rFonts w:ascii="Aptos" w:eastAsia="Times New Roman" w:hAnsi="Aptos" w:cs="Times New Roman"/>
          <w:sz w:val="25"/>
          <w:szCs w:val="25"/>
        </w:rPr>
        <w:t xml:space="preserve">in the </w:t>
      </w:r>
      <w:r w:rsidRPr="00781E9A">
        <w:rPr>
          <w:rFonts w:ascii="Aptos" w:eastAsia="Times New Roman" w:hAnsi="Aptos" w:cs="Times New Roman"/>
          <w:i/>
          <w:iCs/>
          <w:sz w:val="25"/>
          <w:szCs w:val="25"/>
        </w:rPr>
        <w:t>Opposition Pleadings</w:t>
      </w:r>
      <w:r w:rsidRPr="00781E9A">
        <w:rPr>
          <w:rFonts w:ascii="Aptos" w:eastAsia="Times New Roman" w:hAnsi="Aptos" w:cs="Times New Roman"/>
          <w:sz w:val="25"/>
          <w:szCs w:val="25"/>
        </w:rPr>
        <w:t xml:space="preserve"> </w:t>
      </w:r>
      <w:r w:rsidR="00A86C7E">
        <w:rPr>
          <w:rFonts w:ascii="Aptos" w:eastAsia="Times New Roman" w:hAnsi="Aptos" w:cs="Times New Roman"/>
          <w:sz w:val="25"/>
          <w:szCs w:val="25"/>
        </w:rPr>
        <w:t xml:space="preserve">and </w:t>
      </w:r>
      <w:r w:rsidRPr="00781E9A">
        <w:rPr>
          <w:rFonts w:ascii="Aptos" w:eastAsia="Times New Roman" w:hAnsi="Aptos" w:cs="Times New Roman"/>
          <w:sz w:val="25"/>
          <w:szCs w:val="25"/>
        </w:rPr>
        <w:t xml:space="preserve">not the </w:t>
      </w:r>
      <w:r w:rsidRPr="00781E9A">
        <w:rPr>
          <w:rFonts w:ascii="Aptos" w:eastAsia="Times New Roman" w:hAnsi="Aptos" w:cs="Times New Roman"/>
          <w:i/>
          <w:iCs/>
          <w:sz w:val="25"/>
          <w:szCs w:val="25"/>
        </w:rPr>
        <w:t xml:space="preserve">Hearing Request </w:t>
      </w:r>
      <w:r w:rsidRPr="00781E9A">
        <w:rPr>
          <w:rFonts w:ascii="Aptos" w:eastAsia="Times New Roman" w:hAnsi="Aptos" w:cs="Times New Roman"/>
          <w:sz w:val="25"/>
          <w:szCs w:val="25"/>
        </w:rPr>
        <w:t>in the instant matter</w:t>
      </w:r>
      <w:r>
        <w:rPr>
          <w:rStyle w:val="FootnoteReference"/>
          <w:rFonts w:ascii="Aptos" w:eastAsia="Times New Roman" w:hAnsi="Aptos" w:cs="Times New Roman"/>
          <w:sz w:val="25"/>
          <w:szCs w:val="25"/>
        </w:rPr>
        <w:footnoteReference w:id="39"/>
      </w:r>
      <w:r w:rsidRPr="00781E9A">
        <w:rPr>
          <w:rFonts w:ascii="Aptos" w:eastAsia="Times New Roman" w:hAnsi="Aptos" w:cs="Times New Roman"/>
          <w:sz w:val="25"/>
          <w:szCs w:val="25"/>
        </w:rPr>
        <w:t>) – that the District failed to provide requested documentation for Student’s college applications in response to requests she made in October and November of 2024</w:t>
      </w:r>
      <w:r>
        <w:rPr>
          <w:rFonts w:ascii="Aptos" w:eastAsia="Times New Roman" w:hAnsi="Aptos" w:cs="Times New Roman"/>
          <w:sz w:val="25"/>
          <w:szCs w:val="25"/>
        </w:rPr>
        <w:t xml:space="preserve"> and improperly refused mediation in this matter</w:t>
      </w:r>
      <w:r w:rsidRPr="00781E9A">
        <w:rPr>
          <w:rFonts w:ascii="Aptos" w:eastAsia="Times New Roman" w:hAnsi="Aptos" w:cs="Times New Roman"/>
          <w:sz w:val="25"/>
          <w:szCs w:val="25"/>
        </w:rPr>
        <w:t xml:space="preserve">.  </w:t>
      </w:r>
      <w:r w:rsidRPr="00781E9A">
        <w:rPr>
          <w:sz w:val="25"/>
          <w:szCs w:val="25"/>
        </w:rPr>
        <w:t>Confusingly</w:t>
      </w:r>
      <w:r>
        <w:rPr>
          <w:sz w:val="25"/>
          <w:szCs w:val="25"/>
        </w:rPr>
        <w:t>,</w:t>
      </w:r>
      <w:r w:rsidRPr="00781E9A">
        <w:rPr>
          <w:sz w:val="25"/>
          <w:szCs w:val="25"/>
        </w:rPr>
        <w:t xml:space="preserve"> Parent contends that </w:t>
      </w:r>
      <w:r w:rsidR="006557A3">
        <w:rPr>
          <w:sz w:val="25"/>
          <w:szCs w:val="25"/>
        </w:rPr>
        <w:t xml:space="preserve">her </w:t>
      </w:r>
      <w:r>
        <w:rPr>
          <w:sz w:val="25"/>
          <w:szCs w:val="25"/>
        </w:rPr>
        <w:t>college application documentation claim</w:t>
      </w:r>
      <w:r w:rsidRPr="00781E9A">
        <w:rPr>
          <w:sz w:val="25"/>
          <w:szCs w:val="25"/>
        </w:rPr>
        <w:t xml:space="preserve"> could not have been raised in the Prior Matter as it “arose entirely after the prior BSEA proceeding”</w:t>
      </w:r>
      <w:r w:rsidR="006557A3">
        <w:rPr>
          <w:sz w:val="25"/>
          <w:szCs w:val="25"/>
        </w:rPr>
        <w:t>.  H</w:t>
      </w:r>
      <w:r w:rsidRPr="00781E9A">
        <w:rPr>
          <w:sz w:val="25"/>
          <w:szCs w:val="25"/>
        </w:rPr>
        <w:t xml:space="preserve">owever, </w:t>
      </w:r>
      <w:r w:rsidR="00982A37">
        <w:rPr>
          <w:sz w:val="25"/>
          <w:szCs w:val="25"/>
        </w:rPr>
        <w:t>her claim</w:t>
      </w:r>
      <w:r w:rsidRPr="00781E9A">
        <w:rPr>
          <w:sz w:val="25"/>
          <w:szCs w:val="25"/>
        </w:rPr>
        <w:t xml:space="preserve"> relies wholly on requests made in the </w:t>
      </w:r>
      <w:r w:rsidR="009F61DD">
        <w:rPr>
          <w:sz w:val="25"/>
          <w:szCs w:val="25"/>
        </w:rPr>
        <w:t>f</w:t>
      </w:r>
      <w:r w:rsidRPr="00781E9A">
        <w:rPr>
          <w:sz w:val="25"/>
          <w:szCs w:val="25"/>
        </w:rPr>
        <w:t xml:space="preserve">all of 2024, </w:t>
      </w:r>
      <w:r>
        <w:rPr>
          <w:sz w:val="25"/>
          <w:szCs w:val="25"/>
        </w:rPr>
        <w:t xml:space="preserve">almost a year before </w:t>
      </w:r>
      <w:proofErr w:type="gramStart"/>
      <w:r>
        <w:rPr>
          <w:sz w:val="25"/>
          <w:szCs w:val="25"/>
        </w:rPr>
        <w:t>the Prior</w:t>
      </w:r>
      <w:proofErr w:type="gramEnd"/>
      <w:r>
        <w:rPr>
          <w:sz w:val="25"/>
          <w:szCs w:val="25"/>
        </w:rPr>
        <w:t xml:space="preserve"> Matter was filed.  This claim, therefore, </w:t>
      </w:r>
      <w:r>
        <w:rPr>
          <w:sz w:val="25"/>
          <w:szCs w:val="25"/>
        </w:rPr>
        <w:lastRenderedPageBreak/>
        <w:t xml:space="preserve">was </w:t>
      </w:r>
      <w:r w:rsidRPr="00781E9A">
        <w:rPr>
          <w:sz w:val="25"/>
          <w:szCs w:val="25"/>
        </w:rPr>
        <w:t>clearly known to Parent at the time the hearing request in the Prior Matter was filed</w:t>
      </w:r>
      <w:r>
        <w:rPr>
          <w:sz w:val="25"/>
          <w:szCs w:val="25"/>
        </w:rPr>
        <w:t xml:space="preserve"> in August 2025</w:t>
      </w:r>
      <w:r w:rsidRPr="00781E9A">
        <w:rPr>
          <w:sz w:val="25"/>
          <w:szCs w:val="25"/>
        </w:rPr>
        <w:t xml:space="preserve">.  </w:t>
      </w:r>
      <w:r>
        <w:rPr>
          <w:sz w:val="25"/>
          <w:szCs w:val="25"/>
        </w:rPr>
        <w:t>Further, it is unclear how this claim is tied to the District’s FAPE obligations (which at that time had ceased to exist almost a year and a half earlier) or otherwise implicates any special education state or federal laws</w:t>
      </w:r>
      <w:r w:rsidR="00982A37">
        <w:rPr>
          <w:sz w:val="25"/>
          <w:szCs w:val="25"/>
        </w:rPr>
        <w:t>,</w:t>
      </w:r>
      <w:r>
        <w:rPr>
          <w:sz w:val="25"/>
          <w:szCs w:val="25"/>
        </w:rPr>
        <w:t xml:space="preserve"> which are the only types of claims within the BSEA’s jurisdiction.  It is also unclear what relief is sought or warranted </w:t>
      </w:r>
      <w:r w:rsidR="00982A37">
        <w:rPr>
          <w:sz w:val="25"/>
          <w:szCs w:val="25"/>
        </w:rPr>
        <w:t>given</w:t>
      </w:r>
      <w:r>
        <w:rPr>
          <w:sz w:val="25"/>
          <w:szCs w:val="25"/>
        </w:rPr>
        <w:t xml:space="preserve"> </w:t>
      </w:r>
      <w:r w:rsidR="006B369A">
        <w:rPr>
          <w:sz w:val="25"/>
          <w:szCs w:val="25"/>
        </w:rPr>
        <w:t xml:space="preserve">that </w:t>
      </w:r>
      <w:r>
        <w:rPr>
          <w:sz w:val="25"/>
          <w:szCs w:val="25"/>
        </w:rPr>
        <w:t>District declin</w:t>
      </w:r>
      <w:r w:rsidR="006B369A">
        <w:rPr>
          <w:sz w:val="25"/>
          <w:szCs w:val="25"/>
        </w:rPr>
        <w:t>ed</w:t>
      </w:r>
      <w:r>
        <w:rPr>
          <w:sz w:val="25"/>
          <w:szCs w:val="25"/>
        </w:rPr>
        <w:t xml:space="preserve"> to provide the requested documentation for </w:t>
      </w:r>
      <w:r w:rsidR="009F61DD">
        <w:rPr>
          <w:sz w:val="25"/>
          <w:szCs w:val="25"/>
        </w:rPr>
        <w:t>Student’s</w:t>
      </w:r>
      <w:r>
        <w:rPr>
          <w:sz w:val="25"/>
          <w:szCs w:val="25"/>
        </w:rPr>
        <w:t xml:space="preserve"> college applications, as the </w:t>
      </w:r>
      <w:r>
        <w:rPr>
          <w:i/>
          <w:iCs/>
          <w:sz w:val="25"/>
          <w:szCs w:val="25"/>
        </w:rPr>
        <w:t xml:space="preserve">Hearing Request </w:t>
      </w:r>
      <w:r>
        <w:rPr>
          <w:sz w:val="25"/>
          <w:szCs w:val="25"/>
        </w:rPr>
        <w:t xml:space="preserve">indicates that Student is “succeeding independently in college” at this time. </w:t>
      </w:r>
    </w:p>
    <w:p w14:paraId="6749B570" w14:textId="77777777" w:rsidR="009F61DD" w:rsidRDefault="009F61DD" w:rsidP="00D65142">
      <w:pPr>
        <w:shd w:val="clear" w:color="auto" w:fill="FFFFFF"/>
        <w:rPr>
          <w:sz w:val="25"/>
          <w:szCs w:val="25"/>
        </w:rPr>
      </w:pPr>
    </w:p>
    <w:p w14:paraId="237286AE" w14:textId="7043776E" w:rsidR="00781E9A" w:rsidRPr="00781E9A" w:rsidRDefault="00781E9A" w:rsidP="00D65142">
      <w:pPr>
        <w:shd w:val="clear" w:color="auto" w:fill="FFFFFF"/>
        <w:rPr>
          <w:sz w:val="25"/>
          <w:szCs w:val="25"/>
        </w:rPr>
      </w:pPr>
      <w:r>
        <w:rPr>
          <w:sz w:val="25"/>
          <w:szCs w:val="25"/>
        </w:rPr>
        <w:t>As to the mediation refusal claim, under the IDEA, use of the mediation process as a dispute resolution option (both during and separate from a due process hearing) is entirely voluntary on the part of each party</w:t>
      </w:r>
      <w:r>
        <w:rPr>
          <w:rStyle w:val="FootnoteReference"/>
          <w:sz w:val="25"/>
          <w:szCs w:val="25"/>
        </w:rPr>
        <w:footnoteReference w:id="40"/>
      </w:r>
      <w:r>
        <w:rPr>
          <w:sz w:val="25"/>
          <w:szCs w:val="25"/>
        </w:rPr>
        <w:t>.  Thus, a hearing officer has no ability to grant relief for a party’s refusal to engage in mediation requested by another party.  As such</w:t>
      </w:r>
      <w:r w:rsidRPr="00781E9A">
        <w:rPr>
          <w:sz w:val="25"/>
          <w:szCs w:val="25"/>
        </w:rPr>
        <w:t xml:space="preserve">, </w:t>
      </w:r>
      <w:r>
        <w:rPr>
          <w:sz w:val="25"/>
          <w:szCs w:val="25"/>
        </w:rPr>
        <w:t xml:space="preserve">for both collateral estoppel and jurisdictional reasons the claims challenging the refusal to provide requested documents for Student’s college applications or to participate in mediation with the BSEA are </w:t>
      </w:r>
      <w:r>
        <w:rPr>
          <w:b/>
          <w:bCs/>
          <w:sz w:val="25"/>
          <w:szCs w:val="25"/>
        </w:rPr>
        <w:t>DISMISSED with prejudice</w:t>
      </w:r>
      <w:r w:rsidRPr="00781E9A">
        <w:rPr>
          <w:sz w:val="25"/>
          <w:szCs w:val="25"/>
        </w:rPr>
        <w:t xml:space="preserve">.  </w:t>
      </w:r>
    </w:p>
    <w:p w14:paraId="41B6E37A" w14:textId="77777777" w:rsidR="00D65142" w:rsidRPr="00CE130D" w:rsidRDefault="00D65142" w:rsidP="00D65142">
      <w:pPr>
        <w:shd w:val="clear" w:color="auto" w:fill="FFFFFF"/>
        <w:rPr>
          <w:rFonts w:eastAsia="Times New Roman" w:cs="Times New Roman"/>
          <w:sz w:val="25"/>
          <w:szCs w:val="25"/>
        </w:rPr>
      </w:pPr>
    </w:p>
    <w:p w14:paraId="20419378" w14:textId="77777777" w:rsidR="00D65142" w:rsidRPr="000370FF" w:rsidRDefault="00D65142" w:rsidP="00D65142">
      <w:pPr>
        <w:shd w:val="clear" w:color="auto" w:fill="FFFFFF"/>
        <w:jc w:val="center"/>
        <w:rPr>
          <w:rFonts w:ascii="Aptos" w:eastAsia="Times New Roman" w:hAnsi="Aptos" w:cs="Times New Roman"/>
          <w:b/>
          <w:bCs/>
          <w:sz w:val="25"/>
          <w:szCs w:val="25"/>
        </w:rPr>
      </w:pPr>
      <w:r w:rsidRPr="000370FF">
        <w:rPr>
          <w:rFonts w:ascii="Aptos" w:eastAsia="Times New Roman" w:hAnsi="Aptos" w:cs="Times New Roman"/>
          <w:b/>
          <w:bCs/>
          <w:sz w:val="25"/>
          <w:szCs w:val="25"/>
        </w:rPr>
        <w:t>ORDER</w:t>
      </w:r>
    </w:p>
    <w:p w14:paraId="0EC31566" w14:textId="77777777" w:rsidR="00D65142" w:rsidRPr="000370FF" w:rsidRDefault="00D65142" w:rsidP="00D65142">
      <w:pPr>
        <w:shd w:val="clear" w:color="auto" w:fill="FFFFFF"/>
        <w:jc w:val="center"/>
        <w:rPr>
          <w:rFonts w:ascii="Aptos" w:eastAsia="Times New Roman" w:hAnsi="Aptos" w:cs="Times New Roman"/>
          <w:sz w:val="25"/>
          <w:szCs w:val="25"/>
        </w:rPr>
      </w:pPr>
    </w:p>
    <w:p w14:paraId="068ED23D" w14:textId="1A6285D4" w:rsidR="00781E9A" w:rsidRDefault="00781E9A" w:rsidP="00D65142">
      <w:pPr>
        <w:shd w:val="clear" w:color="auto" w:fill="FFFFFF"/>
        <w:rPr>
          <w:rFonts w:ascii="Aptos" w:eastAsia="Times New Roman" w:hAnsi="Aptos" w:cs="Times New Roman"/>
          <w:sz w:val="25"/>
          <w:szCs w:val="25"/>
        </w:rPr>
      </w:pPr>
      <w:r>
        <w:rPr>
          <w:rFonts w:ascii="Aptos" w:eastAsia="Times New Roman" w:hAnsi="Aptos" w:cs="Times New Roman"/>
          <w:sz w:val="25"/>
          <w:szCs w:val="25"/>
        </w:rPr>
        <w:t>The District’s</w:t>
      </w:r>
      <w:r w:rsidRPr="00085F3E">
        <w:rPr>
          <w:rFonts w:ascii="Aptos" w:eastAsia="Times New Roman" w:hAnsi="Aptos" w:cs="Times New Roman"/>
          <w:sz w:val="25"/>
          <w:szCs w:val="25"/>
        </w:rPr>
        <w:t xml:space="preserve"> </w:t>
      </w:r>
      <w:r w:rsidRPr="00085F3E">
        <w:rPr>
          <w:rFonts w:ascii="Aptos" w:eastAsia="Times New Roman" w:hAnsi="Aptos" w:cs="Times New Roman"/>
          <w:i/>
          <w:iCs/>
          <w:sz w:val="25"/>
          <w:szCs w:val="25"/>
        </w:rPr>
        <w:t>Motion</w:t>
      </w:r>
      <w:r w:rsidRPr="00085F3E">
        <w:rPr>
          <w:rFonts w:ascii="Aptos" w:eastAsia="Times New Roman" w:hAnsi="Aptos" w:cs="Times New Roman"/>
          <w:sz w:val="25"/>
          <w:szCs w:val="25"/>
        </w:rPr>
        <w:t xml:space="preserve"> is </w:t>
      </w:r>
      <w:r w:rsidRPr="00781E9A">
        <w:rPr>
          <w:rFonts w:ascii="Aptos" w:eastAsia="Times New Roman" w:hAnsi="Aptos" w:cs="Times New Roman"/>
          <w:b/>
          <w:bCs/>
          <w:sz w:val="25"/>
          <w:szCs w:val="25"/>
        </w:rPr>
        <w:t>ALLOWED</w:t>
      </w:r>
      <w:r>
        <w:rPr>
          <w:rFonts w:ascii="Aptos" w:eastAsia="Times New Roman" w:hAnsi="Aptos" w:cs="Times New Roman"/>
          <w:sz w:val="25"/>
          <w:szCs w:val="25"/>
        </w:rPr>
        <w:t xml:space="preserve">.  </w:t>
      </w:r>
      <w:r w:rsidRPr="00781E9A">
        <w:rPr>
          <w:rFonts w:ascii="Aptos" w:eastAsia="Times New Roman" w:hAnsi="Aptos" w:cs="Times New Roman"/>
          <w:sz w:val="25"/>
          <w:szCs w:val="25"/>
        </w:rPr>
        <w:t>Parent’s</w:t>
      </w:r>
      <w:r>
        <w:rPr>
          <w:rFonts w:ascii="Aptos" w:eastAsia="Times New Roman" w:hAnsi="Aptos" w:cs="Times New Roman"/>
          <w:sz w:val="25"/>
          <w:szCs w:val="25"/>
        </w:rPr>
        <w:t xml:space="preserve"> claims in the instant matter are wholly precluded as they were or could have been raised in the Prior Matter.  Parent cannot use a new matter to relitigate or circumvent appeal deadlines.  As all claims in the Prior Matter were dismissed with prejudice </w:t>
      </w:r>
      <w:r w:rsidR="00AD760C">
        <w:rPr>
          <w:rFonts w:ascii="Aptos" w:eastAsia="Times New Roman" w:hAnsi="Aptos" w:cs="Times New Roman"/>
          <w:sz w:val="25"/>
          <w:szCs w:val="25"/>
        </w:rPr>
        <w:t xml:space="preserve">for lack of subject matter jurisdiction </w:t>
      </w:r>
      <w:r>
        <w:rPr>
          <w:rFonts w:ascii="Aptos" w:eastAsia="Times New Roman" w:hAnsi="Aptos" w:cs="Times New Roman"/>
          <w:sz w:val="25"/>
          <w:szCs w:val="25"/>
        </w:rPr>
        <w:t xml:space="preserve">and </w:t>
      </w:r>
      <w:r w:rsidR="004F43C8">
        <w:rPr>
          <w:rFonts w:ascii="Aptos" w:eastAsia="Times New Roman" w:hAnsi="Aptos" w:cs="Times New Roman"/>
          <w:sz w:val="25"/>
          <w:szCs w:val="25"/>
        </w:rPr>
        <w:t xml:space="preserve">were </w:t>
      </w:r>
      <w:r>
        <w:rPr>
          <w:rFonts w:ascii="Aptos" w:eastAsia="Times New Roman" w:hAnsi="Aptos" w:cs="Times New Roman"/>
          <w:sz w:val="25"/>
          <w:szCs w:val="25"/>
        </w:rPr>
        <w:t xml:space="preserve">not timely appealed, it is improper </w:t>
      </w:r>
      <w:r w:rsidR="009F61DD">
        <w:rPr>
          <w:rFonts w:ascii="Aptos" w:eastAsia="Times New Roman" w:hAnsi="Aptos" w:cs="Times New Roman"/>
          <w:sz w:val="25"/>
          <w:szCs w:val="25"/>
        </w:rPr>
        <w:t xml:space="preserve">and unnecessary </w:t>
      </w:r>
      <w:r>
        <w:rPr>
          <w:rFonts w:ascii="Aptos" w:eastAsia="Times New Roman" w:hAnsi="Aptos" w:cs="Times New Roman"/>
          <w:sz w:val="25"/>
          <w:szCs w:val="25"/>
        </w:rPr>
        <w:t>to dismiss them again, here.</w:t>
      </w:r>
    </w:p>
    <w:p w14:paraId="7450C5B6" w14:textId="77777777" w:rsidR="00781E9A" w:rsidRDefault="00781E9A" w:rsidP="00D65142">
      <w:pPr>
        <w:shd w:val="clear" w:color="auto" w:fill="FFFFFF"/>
        <w:rPr>
          <w:rFonts w:ascii="Aptos" w:eastAsia="Times New Roman" w:hAnsi="Aptos" w:cs="Times New Roman"/>
          <w:sz w:val="25"/>
          <w:szCs w:val="25"/>
        </w:rPr>
      </w:pPr>
    </w:p>
    <w:p w14:paraId="223C4E61" w14:textId="753BFC39" w:rsidR="00781E9A" w:rsidRDefault="004F43C8" w:rsidP="00D65142">
      <w:pPr>
        <w:shd w:val="clear" w:color="auto" w:fill="FFFFFF"/>
        <w:rPr>
          <w:rFonts w:ascii="Aptos" w:eastAsia="Times New Roman" w:hAnsi="Aptos" w:cs="Times New Roman"/>
          <w:sz w:val="25"/>
          <w:szCs w:val="25"/>
        </w:rPr>
      </w:pPr>
      <w:r>
        <w:rPr>
          <w:rFonts w:ascii="Aptos" w:eastAsia="Times New Roman" w:hAnsi="Aptos" w:cs="Times New Roman"/>
          <w:sz w:val="25"/>
          <w:szCs w:val="25"/>
        </w:rPr>
        <w:t>Nevertheless</w:t>
      </w:r>
      <w:r w:rsidR="00781E9A">
        <w:rPr>
          <w:rFonts w:ascii="Aptos" w:eastAsia="Times New Roman" w:hAnsi="Aptos" w:cs="Times New Roman"/>
          <w:sz w:val="25"/>
          <w:szCs w:val="25"/>
        </w:rPr>
        <w:t xml:space="preserve">, to the extent any claims in the instant matter are not so precluded they are </w:t>
      </w:r>
      <w:r w:rsidR="00781E9A">
        <w:rPr>
          <w:rFonts w:ascii="Aptos" w:eastAsia="Times New Roman" w:hAnsi="Aptos" w:cs="Times New Roman"/>
          <w:b/>
          <w:bCs/>
          <w:sz w:val="25"/>
          <w:szCs w:val="25"/>
        </w:rPr>
        <w:t>DISMISSED with prejudice</w:t>
      </w:r>
      <w:r w:rsidR="00F15CB6">
        <w:rPr>
          <w:rFonts w:ascii="Aptos" w:eastAsia="Times New Roman" w:hAnsi="Aptos" w:cs="Times New Roman"/>
          <w:b/>
          <w:bCs/>
          <w:sz w:val="25"/>
          <w:szCs w:val="25"/>
        </w:rPr>
        <w:t xml:space="preserve"> </w:t>
      </w:r>
      <w:r w:rsidR="00781E9A">
        <w:rPr>
          <w:rFonts w:ascii="Aptos" w:eastAsia="Times New Roman" w:hAnsi="Aptos" w:cs="Times New Roman"/>
          <w:sz w:val="25"/>
          <w:szCs w:val="25"/>
        </w:rPr>
        <w:t>as being beyond the applicable statute of limitations, outside the BSEA’s limited jurisdiction</w:t>
      </w:r>
      <w:r w:rsidR="001C14BD">
        <w:rPr>
          <w:rFonts w:ascii="Aptos" w:eastAsia="Times New Roman" w:hAnsi="Aptos" w:cs="Times New Roman"/>
          <w:sz w:val="25"/>
          <w:szCs w:val="25"/>
        </w:rPr>
        <w:t>,</w:t>
      </w:r>
      <w:r w:rsidR="00781E9A">
        <w:rPr>
          <w:rFonts w:ascii="Aptos" w:eastAsia="Times New Roman" w:hAnsi="Aptos" w:cs="Times New Roman"/>
          <w:sz w:val="25"/>
          <w:szCs w:val="25"/>
        </w:rPr>
        <w:t xml:space="preserve"> and/or for failure to state a claim upon which relief may be granted</w:t>
      </w:r>
      <w:r w:rsidR="00781E9A">
        <w:rPr>
          <w:rStyle w:val="FootnoteReference"/>
          <w:rFonts w:ascii="Aptos" w:eastAsia="Times New Roman" w:hAnsi="Aptos" w:cs="Times New Roman"/>
          <w:sz w:val="25"/>
          <w:szCs w:val="25"/>
        </w:rPr>
        <w:footnoteReference w:id="41"/>
      </w:r>
      <w:r w:rsidR="00781E9A">
        <w:rPr>
          <w:rFonts w:ascii="Aptos" w:eastAsia="Times New Roman" w:hAnsi="Aptos" w:cs="Times New Roman"/>
          <w:sz w:val="25"/>
          <w:szCs w:val="25"/>
        </w:rPr>
        <w:t xml:space="preserve">.  </w:t>
      </w:r>
    </w:p>
    <w:p w14:paraId="1B008455" w14:textId="77777777" w:rsidR="00781E9A" w:rsidRDefault="00781E9A" w:rsidP="00D65142">
      <w:pPr>
        <w:shd w:val="clear" w:color="auto" w:fill="FFFFFF"/>
        <w:rPr>
          <w:rFonts w:ascii="Aptos" w:eastAsia="Times New Roman" w:hAnsi="Aptos" w:cs="Times New Roman"/>
          <w:sz w:val="25"/>
          <w:szCs w:val="25"/>
        </w:rPr>
      </w:pPr>
    </w:p>
    <w:p w14:paraId="6D18A35F" w14:textId="2D97172B" w:rsidR="00D65142" w:rsidRPr="00085F3E" w:rsidRDefault="00781E9A" w:rsidP="00D65142">
      <w:pPr>
        <w:shd w:val="clear" w:color="auto" w:fill="FFFFFF"/>
        <w:rPr>
          <w:rFonts w:ascii="Aptos" w:eastAsia="Times New Roman" w:hAnsi="Aptos" w:cs="Times New Roman"/>
          <w:sz w:val="25"/>
          <w:szCs w:val="25"/>
        </w:rPr>
      </w:pPr>
      <w:r>
        <w:rPr>
          <w:rFonts w:ascii="Aptos" w:eastAsia="Times New Roman" w:hAnsi="Aptos" w:cs="Times New Roman"/>
          <w:sz w:val="25"/>
          <w:szCs w:val="25"/>
        </w:rPr>
        <w:t xml:space="preserve">The file in this matter </w:t>
      </w:r>
      <w:r w:rsidR="00AD760C">
        <w:rPr>
          <w:rFonts w:ascii="Aptos" w:eastAsia="Times New Roman" w:hAnsi="Aptos" w:cs="Times New Roman"/>
          <w:sz w:val="25"/>
          <w:szCs w:val="25"/>
        </w:rPr>
        <w:t>will close</w:t>
      </w:r>
      <w:r>
        <w:rPr>
          <w:rFonts w:ascii="Aptos" w:eastAsia="Times New Roman" w:hAnsi="Aptos" w:cs="Times New Roman"/>
          <w:sz w:val="25"/>
          <w:szCs w:val="25"/>
        </w:rPr>
        <w:t xml:space="preserve">, and all </w:t>
      </w:r>
      <w:r w:rsidR="009F61DD">
        <w:rPr>
          <w:rFonts w:ascii="Aptos" w:eastAsia="Times New Roman" w:hAnsi="Aptos" w:cs="Times New Roman"/>
          <w:sz w:val="25"/>
          <w:szCs w:val="25"/>
        </w:rPr>
        <w:t xml:space="preserve">scheduled </w:t>
      </w:r>
      <w:r w:rsidR="00D65142">
        <w:rPr>
          <w:rFonts w:ascii="Aptos" w:eastAsia="Times New Roman" w:hAnsi="Aptos" w:cs="Times New Roman"/>
          <w:sz w:val="25"/>
          <w:szCs w:val="25"/>
        </w:rPr>
        <w:t xml:space="preserve">events, including the </w:t>
      </w:r>
      <w:r w:rsidR="00F93C75">
        <w:rPr>
          <w:rFonts w:ascii="Aptos" w:eastAsia="Times New Roman" w:hAnsi="Aptos" w:cs="Times New Roman"/>
          <w:sz w:val="25"/>
          <w:szCs w:val="25"/>
        </w:rPr>
        <w:t xml:space="preserve">April 27, 2026, </w:t>
      </w:r>
      <w:r w:rsidR="00D65142">
        <w:rPr>
          <w:rFonts w:ascii="Aptos" w:eastAsia="Times New Roman" w:hAnsi="Aptos" w:cs="Times New Roman"/>
          <w:sz w:val="25"/>
          <w:szCs w:val="25"/>
        </w:rPr>
        <w:t>Conference Call</w:t>
      </w:r>
      <w:r>
        <w:rPr>
          <w:rFonts w:ascii="Aptos" w:eastAsia="Times New Roman" w:hAnsi="Aptos" w:cs="Times New Roman"/>
          <w:sz w:val="25"/>
          <w:szCs w:val="25"/>
        </w:rPr>
        <w:t xml:space="preserve">, </w:t>
      </w:r>
      <w:r w:rsidR="00D65142">
        <w:rPr>
          <w:rFonts w:ascii="Aptos" w:eastAsia="Times New Roman" w:hAnsi="Aptos" w:cs="Times New Roman"/>
          <w:sz w:val="25"/>
          <w:szCs w:val="25"/>
        </w:rPr>
        <w:t xml:space="preserve">and the </w:t>
      </w:r>
      <w:r w:rsidR="00F93C75">
        <w:rPr>
          <w:rFonts w:ascii="Aptos" w:eastAsia="Times New Roman" w:hAnsi="Aptos" w:cs="Times New Roman"/>
          <w:sz w:val="25"/>
          <w:szCs w:val="25"/>
        </w:rPr>
        <w:t xml:space="preserve">May 11, 2026, </w:t>
      </w:r>
      <w:r w:rsidR="00D65142">
        <w:rPr>
          <w:rFonts w:ascii="Aptos" w:eastAsia="Times New Roman" w:hAnsi="Aptos" w:cs="Times New Roman"/>
          <w:sz w:val="25"/>
          <w:szCs w:val="25"/>
        </w:rPr>
        <w:t xml:space="preserve">Hearing </w:t>
      </w:r>
      <w:r>
        <w:rPr>
          <w:rFonts w:ascii="Aptos" w:eastAsia="Times New Roman" w:hAnsi="Aptos" w:cs="Times New Roman"/>
          <w:sz w:val="25"/>
          <w:szCs w:val="25"/>
        </w:rPr>
        <w:t>are cancelled and</w:t>
      </w:r>
      <w:r w:rsidR="00D65142">
        <w:rPr>
          <w:rFonts w:ascii="Aptos" w:eastAsia="Times New Roman" w:hAnsi="Aptos" w:cs="Times New Roman"/>
          <w:sz w:val="25"/>
          <w:szCs w:val="25"/>
        </w:rPr>
        <w:t xml:space="preserve"> will not </w:t>
      </w:r>
      <w:r w:rsidR="009F61DD">
        <w:rPr>
          <w:rFonts w:ascii="Aptos" w:eastAsia="Times New Roman" w:hAnsi="Aptos" w:cs="Times New Roman"/>
          <w:sz w:val="25"/>
          <w:szCs w:val="25"/>
        </w:rPr>
        <w:t>proceed</w:t>
      </w:r>
      <w:r w:rsidR="00D65142" w:rsidRPr="00085F3E">
        <w:rPr>
          <w:rFonts w:ascii="Aptos" w:eastAsia="Times New Roman" w:hAnsi="Aptos" w:cs="Times New Roman"/>
          <w:sz w:val="25"/>
          <w:szCs w:val="25"/>
        </w:rPr>
        <w:t>.</w:t>
      </w:r>
    </w:p>
    <w:p w14:paraId="654071FD" w14:textId="77777777" w:rsidR="00D65142" w:rsidRPr="000370FF" w:rsidRDefault="00D65142" w:rsidP="00D65142">
      <w:pPr>
        <w:shd w:val="clear" w:color="auto" w:fill="FFFFFF"/>
        <w:rPr>
          <w:rFonts w:ascii="Aptos" w:eastAsia="Times New Roman" w:hAnsi="Aptos" w:cs="Times New Roman"/>
          <w:sz w:val="25"/>
          <w:szCs w:val="25"/>
        </w:rPr>
      </w:pPr>
    </w:p>
    <w:p w14:paraId="7461E820" w14:textId="77777777" w:rsidR="00D65142" w:rsidRDefault="00D65142" w:rsidP="00D65142">
      <w:pPr>
        <w:shd w:val="clear" w:color="auto" w:fill="FFFFFF"/>
        <w:rPr>
          <w:rFonts w:ascii="Aptos" w:eastAsia="Times New Roman" w:hAnsi="Aptos" w:cs="Times New Roman"/>
          <w:sz w:val="25"/>
          <w:szCs w:val="25"/>
        </w:rPr>
      </w:pPr>
      <w:r w:rsidRPr="000370FF">
        <w:rPr>
          <w:rFonts w:ascii="Aptos" w:eastAsia="Times New Roman" w:hAnsi="Aptos" w:cs="Times New Roman"/>
          <w:sz w:val="25"/>
          <w:szCs w:val="25"/>
        </w:rPr>
        <w:t xml:space="preserve">By the Hearing Officer, </w:t>
      </w:r>
    </w:p>
    <w:p w14:paraId="2DA84B20" w14:textId="77777777" w:rsidR="00F93C75" w:rsidRPr="000370FF" w:rsidRDefault="00F93C75" w:rsidP="00D65142">
      <w:pPr>
        <w:shd w:val="clear" w:color="auto" w:fill="FFFFFF"/>
        <w:rPr>
          <w:rFonts w:ascii="Aptos" w:eastAsia="Times New Roman" w:hAnsi="Aptos" w:cs="Times New Roman"/>
          <w:sz w:val="25"/>
          <w:szCs w:val="25"/>
        </w:rPr>
      </w:pPr>
    </w:p>
    <w:p w14:paraId="52D041A9" w14:textId="77777777" w:rsidR="00D65142" w:rsidRPr="000370FF" w:rsidRDefault="00D65142" w:rsidP="00D65142">
      <w:pPr>
        <w:shd w:val="clear" w:color="auto" w:fill="FFFFFF"/>
        <w:rPr>
          <w:rFonts w:ascii="Aptos" w:eastAsia="Times New Roman" w:hAnsi="Aptos" w:cs="Times New Roman"/>
          <w:sz w:val="25"/>
          <w:szCs w:val="25"/>
        </w:rPr>
      </w:pPr>
      <w:r w:rsidRPr="00085F3E">
        <w:rPr>
          <w:rFonts w:ascii="Lucida Handwriting" w:eastAsia="Times New Roman" w:hAnsi="Lucida Handwriting" w:cs="Times New Roman"/>
          <w:sz w:val="25"/>
          <w:szCs w:val="25"/>
          <w:u w:val="single"/>
        </w:rPr>
        <w:t>/s/ Marguerite M. Mitchell</w:t>
      </w:r>
      <w:r w:rsidRPr="000370FF">
        <w:rPr>
          <w:rFonts w:ascii="Aptos" w:eastAsia="Times New Roman" w:hAnsi="Aptos" w:cs="Times New Roman"/>
          <w:sz w:val="25"/>
          <w:szCs w:val="25"/>
          <w:u w:val="single"/>
        </w:rPr>
        <w:br/>
      </w:r>
      <w:r w:rsidRPr="000370FF">
        <w:rPr>
          <w:rFonts w:ascii="Aptos" w:eastAsia="Times New Roman" w:hAnsi="Aptos" w:cs="Times New Roman"/>
          <w:sz w:val="25"/>
          <w:szCs w:val="25"/>
        </w:rPr>
        <w:t>Marguerite M. Mitchell</w:t>
      </w:r>
    </w:p>
    <w:p w14:paraId="339AFA8A" w14:textId="4BCA0453" w:rsidR="00781E9A" w:rsidRDefault="00D65142" w:rsidP="00D65142">
      <w:pPr>
        <w:shd w:val="clear" w:color="auto" w:fill="FFFFFF"/>
        <w:rPr>
          <w:rFonts w:ascii="Aptos" w:eastAsia="Times New Roman" w:hAnsi="Aptos" w:cs="Times New Roman"/>
          <w:sz w:val="25"/>
          <w:szCs w:val="25"/>
        </w:rPr>
      </w:pPr>
      <w:r w:rsidRPr="000370FF">
        <w:rPr>
          <w:rFonts w:ascii="Aptos" w:eastAsia="Times New Roman" w:hAnsi="Aptos" w:cs="Times New Roman"/>
          <w:sz w:val="25"/>
          <w:szCs w:val="25"/>
        </w:rPr>
        <w:t xml:space="preserve">Date: </w:t>
      </w:r>
      <w:r w:rsidR="00781E9A">
        <w:rPr>
          <w:rFonts w:ascii="Aptos" w:eastAsia="Times New Roman" w:hAnsi="Aptos" w:cs="Times New Roman"/>
          <w:sz w:val="25"/>
          <w:szCs w:val="25"/>
        </w:rPr>
        <w:t>April 2</w:t>
      </w:r>
      <w:r w:rsidR="009F61DD">
        <w:rPr>
          <w:rFonts w:ascii="Aptos" w:eastAsia="Times New Roman" w:hAnsi="Aptos" w:cs="Times New Roman"/>
          <w:sz w:val="25"/>
          <w:szCs w:val="25"/>
        </w:rPr>
        <w:t>4</w:t>
      </w:r>
      <w:r w:rsidR="00781E9A">
        <w:rPr>
          <w:rFonts w:ascii="Aptos" w:eastAsia="Times New Roman" w:hAnsi="Aptos" w:cs="Times New Roman"/>
          <w:sz w:val="25"/>
          <w:szCs w:val="25"/>
        </w:rPr>
        <w:t>, 2026</w:t>
      </w:r>
    </w:p>
    <w:p w14:paraId="1A73CE6F" w14:textId="1195C7A3" w:rsidR="00781E9A" w:rsidRDefault="00781E9A" w:rsidP="00D65142">
      <w:pPr>
        <w:shd w:val="clear" w:color="auto" w:fill="FFFFFF"/>
        <w:rPr>
          <w:rFonts w:ascii="Aptos" w:eastAsia="Times New Roman" w:hAnsi="Aptos" w:cs="Times New Roman"/>
          <w:sz w:val="25"/>
          <w:szCs w:val="25"/>
        </w:rPr>
        <w:sectPr w:rsidR="00781E9A" w:rsidSect="00D65142">
          <w:footerReference w:type="default" r:id="rId8"/>
          <w:pgSz w:w="12240" w:h="15840"/>
          <w:pgMar w:top="1440" w:right="1440" w:bottom="720" w:left="1440" w:header="720" w:footer="720" w:gutter="0"/>
          <w:cols w:space="720"/>
          <w:docGrid w:linePitch="360"/>
        </w:sectPr>
      </w:pPr>
    </w:p>
    <w:p w14:paraId="67C32A39" w14:textId="77777777" w:rsidR="00D65142" w:rsidRDefault="00D65142" w:rsidP="00D65142">
      <w:pPr>
        <w:shd w:val="clear" w:color="auto" w:fill="FFFFFF"/>
        <w:rPr>
          <w:rFonts w:ascii="Times New Roman" w:eastAsia="Times New Roman" w:hAnsi="Times New Roman" w:cs="Times New Roman"/>
          <w:sz w:val="24"/>
          <w:szCs w:val="24"/>
        </w:rPr>
      </w:pPr>
    </w:p>
    <w:p w14:paraId="4537CBDC" w14:textId="77777777" w:rsidR="00D65142" w:rsidRPr="006A114C" w:rsidRDefault="00D65142" w:rsidP="00D65142">
      <w:pPr>
        <w:spacing w:line="259" w:lineRule="auto"/>
        <w:jc w:val="center"/>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COMMONWEALTH OF MASSACHUSETTS</w:t>
      </w:r>
    </w:p>
    <w:p w14:paraId="08949A21" w14:textId="77777777" w:rsidR="00D65142" w:rsidRPr="006A114C" w:rsidRDefault="00D65142" w:rsidP="00D65142">
      <w:pPr>
        <w:spacing w:line="259" w:lineRule="auto"/>
        <w:ind w:right="250"/>
        <w:jc w:val="center"/>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BUREAU OF SPECIAL EDUCATION APPEALS</w:t>
      </w:r>
    </w:p>
    <w:p w14:paraId="47E9AA59" w14:textId="77777777" w:rsidR="00D65142" w:rsidRPr="006A114C" w:rsidRDefault="00D65142" w:rsidP="00D65142">
      <w:pPr>
        <w:tabs>
          <w:tab w:val="center" w:pos="440"/>
          <w:tab w:val="center" w:pos="4627"/>
        </w:tabs>
        <w:spacing w:after="533" w:line="259" w:lineRule="auto"/>
        <w:jc w:val="center"/>
        <w:rPr>
          <w:rFonts w:ascii="Aptos" w:eastAsia="Times New Roman" w:hAnsi="Aptos" w:cs="Times New Roman"/>
          <w:color w:val="000000"/>
          <w:sz w:val="24"/>
          <w:szCs w:val="24"/>
        </w:rPr>
      </w:pPr>
      <w:r w:rsidRPr="006A114C">
        <w:rPr>
          <w:rFonts w:ascii="Aptos" w:eastAsia="Times New Roman" w:hAnsi="Aptos" w:cs="Times New Roman"/>
          <w:color w:val="000000"/>
          <w:sz w:val="24"/>
          <w:szCs w:val="24"/>
          <w:u w:val="single" w:color="000000"/>
        </w:rPr>
        <w:t>EFFECT OF FINAL BSEA ACTIONS AND RIGHTS OF APPEAL</w:t>
      </w:r>
    </w:p>
    <w:p w14:paraId="6A38E14F" w14:textId="77777777" w:rsidR="00D65142" w:rsidRPr="006A114C" w:rsidRDefault="00D65142" w:rsidP="00D65142">
      <w:pPr>
        <w:keepNext/>
        <w:keepLines/>
        <w:spacing w:after="261" w:line="259" w:lineRule="auto"/>
        <w:ind w:left="38"/>
        <w:outlineLvl w:val="0"/>
        <w:rPr>
          <w:rFonts w:ascii="Aptos" w:eastAsia="Times New Roman" w:hAnsi="Aptos" w:cs="Times New Roman"/>
          <w:color w:val="000000"/>
          <w:sz w:val="24"/>
          <w:szCs w:val="24"/>
          <w:u w:val="single" w:color="000000"/>
        </w:rPr>
      </w:pPr>
      <w:r w:rsidRPr="006A114C">
        <w:rPr>
          <w:rFonts w:ascii="Aptos" w:eastAsia="Times New Roman" w:hAnsi="Aptos" w:cs="Times New Roman"/>
          <w:color w:val="000000"/>
          <w:sz w:val="24"/>
          <w:szCs w:val="24"/>
          <w:u w:val="single" w:color="000000"/>
        </w:rPr>
        <w:t>Effect of BSEA Decision, Dismissal with Prejudice and Allowance of Motion for Summary Judgment</w:t>
      </w:r>
    </w:p>
    <w:p w14:paraId="232890C2" w14:textId="77777777" w:rsidR="00D65142" w:rsidRPr="006A114C" w:rsidRDefault="00D65142" w:rsidP="00D65142">
      <w:pPr>
        <w:spacing w:after="312" w:line="250" w:lineRule="auto"/>
        <w:ind w:left="43" w:firstLine="5"/>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 xml:space="preserve">20 U.S.C. s. 1415(i)(1)(B) requires that a decision of the Bureau of Special Education Appeals be final and subject to no further agency review. Similarly, </w:t>
      </w:r>
      <w:proofErr w:type="gramStart"/>
      <w:r w:rsidRPr="006A114C">
        <w:rPr>
          <w:rFonts w:ascii="Aptos" w:eastAsia="Times New Roman" w:hAnsi="Aptos" w:cs="Times New Roman"/>
          <w:color w:val="000000"/>
          <w:sz w:val="24"/>
          <w:szCs w:val="24"/>
        </w:rPr>
        <w:t>a Ruling</w:t>
      </w:r>
      <w:proofErr w:type="gramEnd"/>
      <w:r w:rsidRPr="006A114C">
        <w:rPr>
          <w:rFonts w:ascii="Aptos" w:eastAsia="Times New Roman" w:hAnsi="Aptos" w:cs="Times New Roman"/>
          <w:color w:val="000000"/>
          <w:sz w:val="24"/>
          <w:szCs w:val="24"/>
        </w:rPr>
        <w:t xml:space="preserve"> Dismissing a Matter with Prejudice and </w:t>
      </w:r>
      <w:proofErr w:type="gramStart"/>
      <w:r w:rsidRPr="006A114C">
        <w:rPr>
          <w:rFonts w:ascii="Aptos" w:eastAsia="Times New Roman" w:hAnsi="Aptos" w:cs="Times New Roman"/>
          <w:color w:val="000000"/>
          <w:sz w:val="24"/>
          <w:szCs w:val="24"/>
        </w:rPr>
        <w:t>a Ruling</w:t>
      </w:r>
      <w:proofErr w:type="gramEnd"/>
      <w:r w:rsidRPr="006A114C">
        <w:rPr>
          <w:rFonts w:ascii="Aptos" w:eastAsia="Times New Roman" w:hAnsi="Aptos" w:cs="Times New Roman"/>
          <w:color w:val="000000"/>
          <w:sz w:val="24"/>
          <w:szCs w:val="24"/>
        </w:rPr>
        <w:t xml:space="preserve"> Allowing a Motion for Summary Judgment are final agency actions. If a ruling orders Dismissal with Prejudice of some, but not all claims in the hearing request, or if a ruling orders Summary Judgment with respect to some but not all claims, the ruling of Dismissal with Prejudice or Summary Judgment is final with respect to those claims only.  </w:t>
      </w:r>
    </w:p>
    <w:p w14:paraId="66461C05" w14:textId="77777777" w:rsidR="00D65142" w:rsidRPr="006A114C" w:rsidRDefault="00D65142" w:rsidP="00D65142">
      <w:pPr>
        <w:spacing w:after="312" w:line="250" w:lineRule="auto"/>
        <w:ind w:left="43" w:firstLine="5"/>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Accordingly</w:t>
      </w:r>
      <w:r w:rsidRPr="006A114C">
        <w:rPr>
          <w:rFonts w:ascii="Aptos" w:eastAsia="Times New Roman" w:hAnsi="Aptos" w:cs="Times New Roman"/>
          <w:strike/>
          <w:color w:val="000000"/>
          <w:sz w:val="24"/>
          <w:szCs w:val="24"/>
        </w:rPr>
        <w:t>,</w:t>
      </w:r>
      <w:r w:rsidRPr="006A114C">
        <w:rPr>
          <w:rFonts w:ascii="Aptos" w:eastAsia="Times New Roman" w:hAnsi="Aptos" w:cs="Times New Roman"/>
          <w:color w:val="000000"/>
          <w:sz w:val="24"/>
          <w:szCs w:val="24"/>
        </w:rPr>
        <w:t xml:space="preserve"> the Bureau cannot permit motions to reconsider or to re-open either a Bureau decision or the Rulings set forth above once they have issued. They are final subject only to judicial (court) review.</w:t>
      </w:r>
    </w:p>
    <w:p w14:paraId="2AADD8D7" w14:textId="77777777" w:rsidR="00D65142" w:rsidRPr="006A114C" w:rsidRDefault="00D65142" w:rsidP="00D65142">
      <w:pPr>
        <w:spacing w:after="292" w:line="243" w:lineRule="auto"/>
        <w:ind w:left="19" w:right="62"/>
        <w:jc w:val="both"/>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Except as set forth below, the final decision of the Bureau must be implemented immediately. Pursuant to M.G.L. c. 30A, s. 14(3), appeal of the decision does not operate as a stay.  This means that the decision must be implemented immediately even if the other party files an appeal in court, and implementation cannot be delayed while the appeal is being decided.</w:t>
      </w:r>
      <w:r>
        <w:rPr>
          <w:rFonts w:ascii="Aptos" w:eastAsia="Times New Roman" w:hAnsi="Aptos" w:cs="Times New Roman"/>
          <w:color w:val="000000"/>
          <w:sz w:val="24"/>
          <w:szCs w:val="24"/>
        </w:rPr>
        <w:t xml:space="preserve"> </w:t>
      </w:r>
      <w:r w:rsidRPr="006A114C">
        <w:rPr>
          <w:rFonts w:ascii="Aptos" w:eastAsia="Times New Roman" w:hAnsi="Aptos" w:cs="Times New Roman"/>
          <w:color w:val="000000"/>
          <w:sz w:val="24"/>
          <w:szCs w:val="24"/>
        </w:rPr>
        <w:t>Rather, a party seeking to stay—that is, delay implementation of-- the decision of the Bureau must request and obtain such stay from the court having jurisdiction over the party’s appeal.</w:t>
      </w:r>
    </w:p>
    <w:p w14:paraId="6A646E98" w14:textId="77777777" w:rsidR="00D65142" w:rsidRPr="006A114C" w:rsidRDefault="00D65142" w:rsidP="00D65142">
      <w:pPr>
        <w:spacing w:after="292" w:line="243" w:lineRule="auto"/>
        <w:ind w:left="19" w:right="62"/>
        <w:jc w:val="both"/>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 xml:space="preserve">Under the provisions of 20 U.S.C. s. 1415(j), “unless the State or local education agency and the parents otherwise agree, the child shall remain in the then-current educational placement,” while a judicial appeal of the Bureau decision is pending, unless the child is seeking initial admission to a public school, in which case “with the consent of the parents, the child shall be placed in the public school program.”  </w:t>
      </w:r>
    </w:p>
    <w:p w14:paraId="29F3A9CB" w14:textId="77777777" w:rsidR="00D65142" w:rsidRPr="006A114C" w:rsidRDefault="00D65142" w:rsidP="00D65142">
      <w:pPr>
        <w:spacing w:after="292" w:line="243" w:lineRule="auto"/>
        <w:ind w:left="19" w:right="62"/>
        <w:jc w:val="both"/>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 xml:space="preserve">Therefore, where the Bureau has ordered the public school to place the child in a new placement, and the parents or guardian agree with that order, the public school shall immediately implement the placement ordered by the Bureau.  </w:t>
      </w:r>
      <w:r w:rsidRPr="006A114C">
        <w:rPr>
          <w:rFonts w:ascii="Aptos" w:eastAsia="Times New Roman" w:hAnsi="Aptos" w:cs="Times New Roman"/>
          <w:i/>
          <w:iCs/>
          <w:color w:val="000000"/>
          <w:sz w:val="24"/>
          <w:szCs w:val="24"/>
        </w:rPr>
        <w:t>School Committee of Burlington v. Massachusetts Department of Education</w:t>
      </w:r>
      <w:r w:rsidRPr="006A114C">
        <w:rPr>
          <w:rFonts w:ascii="Aptos" w:eastAsia="Times New Roman" w:hAnsi="Aptos" w:cs="Times New Roman"/>
          <w:color w:val="000000"/>
          <w:sz w:val="24"/>
          <w:szCs w:val="24"/>
        </w:rPr>
        <w:t xml:space="preserve">, 471 U.S. 359 (1985).  Otherwise, a party seeking to change the child’s placement while judicial proceedings are pending must ask the court </w:t>
      </w:r>
      <w:proofErr w:type="gramStart"/>
      <w:r w:rsidRPr="006A114C">
        <w:rPr>
          <w:rFonts w:ascii="Aptos" w:eastAsia="Times New Roman" w:hAnsi="Aptos" w:cs="Times New Roman"/>
          <w:color w:val="000000"/>
          <w:sz w:val="24"/>
          <w:szCs w:val="24"/>
        </w:rPr>
        <w:t>having</w:t>
      </w:r>
      <w:proofErr w:type="gramEnd"/>
      <w:r w:rsidRPr="006A114C">
        <w:rPr>
          <w:rFonts w:ascii="Aptos" w:eastAsia="Times New Roman" w:hAnsi="Aptos" w:cs="Times New Roman"/>
          <w:color w:val="000000"/>
          <w:sz w:val="24"/>
          <w:szCs w:val="24"/>
        </w:rPr>
        <w:t xml:space="preserve"> jurisdiction over the appeal to grant a preliminary injunction ordering such a change in placement. </w:t>
      </w:r>
      <w:r w:rsidRPr="006A114C">
        <w:rPr>
          <w:rFonts w:ascii="Aptos" w:eastAsia="Times New Roman" w:hAnsi="Aptos" w:cs="Times New Roman"/>
          <w:i/>
          <w:iCs/>
          <w:color w:val="000000"/>
          <w:sz w:val="24"/>
          <w:szCs w:val="24"/>
        </w:rPr>
        <w:t>Honig v. Doe</w:t>
      </w:r>
      <w:r w:rsidRPr="006A114C">
        <w:rPr>
          <w:rFonts w:ascii="Aptos" w:eastAsia="Times New Roman" w:hAnsi="Aptos" w:cs="Times New Roman"/>
          <w:color w:val="000000"/>
          <w:sz w:val="24"/>
          <w:szCs w:val="24"/>
        </w:rPr>
        <w:t xml:space="preserve">, 484 U.S. 305 (1988); </w:t>
      </w:r>
      <w:r w:rsidRPr="006A114C">
        <w:rPr>
          <w:rFonts w:ascii="Aptos" w:eastAsia="Times New Roman" w:hAnsi="Aptos" w:cs="Times New Roman"/>
          <w:i/>
          <w:iCs/>
          <w:color w:val="000000"/>
          <w:sz w:val="24"/>
          <w:szCs w:val="24"/>
        </w:rPr>
        <w:t>Doe v. Brookline</w:t>
      </w:r>
      <w:r w:rsidRPr="006A114C">
        <w:rPr>
          <w:rFonts w:ascii="Aptos" w:eastAsia="Times New Roman" w:hAnsi="Aptos" w:cs="Times New Roman"/>
          <w:color w:val="000000"/>
          <w:sz w:val="24"/>
          <w:szCs w:val="24"/>
        </w:rPr>
        <w:t>, 722 F.2d 910 (1</w:t>
      </w:r>
      <w:r w:rsidRPr="006A114C">
        <w:rPr>
          <w:rFonts w:ascii="Aptos" w:eastAsia="Times New Roman" w:hAnsi="Aptos" w:cs="Times New Roman"/>
          <w:color w:val="000000"/>
          <w:sz w:val="24"/>
          <w:szCs w:val="24"/>
          <w:vertAlign w:val="superscript"/>
        </w:rPr>
        <w:t>st</w:t>
      </w:r>
      <w:r w:rsidRPr="006A114C">
        <w:rPr>
          <w:rFonts w:ascii="Aptos" w:eastAsia="Times New Roman" w:hAnsi="Aptos" w:cs="Times New Roman"/>
          <w:color w:val="000000"/>
          <w:sz w:val="24"/>
          <w:szCs w:val="24"/>
        </w:rPr>
        <w:t xml:space="preserve"> Cir. 1983).</w:t>
      </w:r>
    </w:p>
    <w:p w14:paraId="03C58BCB" w14:textId="77777777" w:rsidR="00D65142" w:rsidRPr="006A114C" w:rsidRDefault="00D65142" w:rsidP="00D65142">
      <w:pPr>
        <w:keepNext/>
        <w:keepLines/>
        <w:spacing w:after="252" w:line="259" w:lineRule="auto"/>
        <w:ind w:left="96" w:hanging="10"/>
        <w:outlineLvl w:val="0"/>
        <w:rPr>
          <w:rFonts w:ascii="Aptos" w:eastAsia="Times New Roman" w:hAnsi="Aptos" w:cs="Times New Roman"/>
          <w:color w:val="000000"/>
          <w:sz w:val="24"/>
          <w:szCs w:val="24"/>
          <w:u w:val="single" w:color="000000"/>
        </w:rPr>
      </w:pPr>
      <w:r w:rsidRPr="006A114C">
        <w:rPr>
          <w:rFonts w:ascii="Aptos" w:eastAsia="Times New Roman" w:hAnsi="Aptos" w:cs="Times New Roman"/>
          <w:color w:val="000000"/>
          <w:sz w:val="24"/>
          <w:szCs w:val="24"/>
          <w:u w:val="single" w:color="000000"/>
        </w:rPr>
        <w:lastRenderedPageBreak/>
        <w:t>Compliance</w:t>
      </w:r>
    </w:p>
    <w:p w14:paraId="4C90A351" w14:textId="77777777" w:rsidR="00D65142" w:rsidRPr="006A114C" w:rsidRDefault="00D65142" w:rsidP="00D65142">
      <w:pPr>
        <w:spacing w:after="292" w:line="243" w:lineRule="auto"/>
        <w:ind w:left="19" w:right="172"/>
        <w:jc w:val="both"/>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 xml:space="preserve">A party contending that a Bureau of Special Education Appeals decision is not being implemented may file a motion with the Bureau of Special Education Appeals contending that the decision is not being implemented and setting out the areas of non-compliance. The Hearing Officer may convene a hearing at which the scope of the inquiry shall be limited to the facts on the issue of compliance, facts of </w:t>
      </w:r>
      <w:proofErr w:type="gramStart"/>
      <w:r w:rsidRPr="006A114C">
        <w:rPr>
          <w:rFonts w:ascii="Aptos" w:eastAsia="Times New Roman" w:hAnsi="Aptos" w:cs="Times New Roman"/>
          <w:color w:val="000000"/>
          <w:sz w:val="24"/>
          <w:szCs w:val="24"/>
        </w:rPr>
        <w:t>such a</w:t>
      </w:r>
      <w:proofErr w:type="gramEnd"/>
      <w:r w:rsidRPr="006A114C">
        <w:rPr>
          <w:rFonts w:ascii="Aptos" w:eastAsia="Times New Roman" w:hAnsi="Aptos" w:cs="Times New Roman"/>
          <w:color w:val="000000"/>
          <w:sz w:val="24"/>
          <w:szCs w:val="24"/>
        </w:rPr>
        <w:t xml:space="preserve"> nature as to excuse performance, and facts bearing on a remedy. Upon </w:t>
      </w:r>
      <w:proofErr w:type="gramStart"/>
      <w:r w:rsidRPr="006A114C">
        <w:rPr>
          <w:rFonts w:ascii="Aptos" w:eastAsia="Times New Roman" w:hAnsi="Aptos" w:cs="Times New Roman"/>
          <w:color w:val="000000"/>
          <w:sz w:val="24"/>
          <w:szCs w:val="24"/>
        </w:rPr>
        <w:t>a finding of</w:t>
      </w:r>
      <w:proofErr w:type="gramEnd"/>
      <w:r w:rsidRPr="006A114C">
        <w:rPr>
          <w:rFonts w:ascii="Aptos" w:eastAsia="Times New Roman" w:hAnsi="Aptos" w:cs="Times New Roman"/>
          <w:color w:val="000000"/>
          <w:sz w:val="24"/>
          <w:szCs w:val="24"/>
        </w:rPr>
        <w:t xml:space="preserve"> non-compliance, the Hearing Officer may fashion appropriate relief, including referral of the matter to the Legal Office of the Department of Elementary and Secondary Education or other office for appropriate enforcement action. 603 CMR 28.08(6)(b).</w:t>
      </w:r>
    </w:p>
    <w:p w14:paraId="63D63995" w14:textId="77777777" w:rsidR="00D65142" w:rsidRPr="006A114C" w:rsidRDefault="00D65142" w:rsidP="00D65142">
      <w:pPr>
        <w:keepNext/>
        <w:keepLines/>
        <w:spacing w:after="252" w:line="259" w:lineRule="auto"/>
        <w:ind w:left="-5" w:hanging="10"/>
        <w:outlineLvl w:val="0"/>
        <w:rPr>
          <w:rFonts w:ascii="Aptos" w:eastAsia="Times New Roman" w:hAnsi="Aptos" w:cs="Times New Roman"/>
          <w:color w:val="000000"/>
          <w:sz w:val="24"/>
          <w:szCs w:val="24"/>
          <w:u w:val="single" w:color="000000"/>
        </w:rPr>
      </w:pPr>
      <w:r w:rsidRPr="006A114C">
        <w:rPr>
          <w:rFonts w:ascii="Aptos" w:eastAsia="Times New Roman" w:hAnsi="Aptos" w:cs="Times New Roman"/>
          <w:color w:val="000000"/>
          <w:sz w:val="24"/>
          <w:szCs w:val="24"/>
          <w:u w:val="single" w:color="000000"/>
        </w:rPr>
        <w:t>Rights of Appeal</w:t>
      </w:r>
    </w:p>
    <w:p w14:paraId="2C6BFD32" w14:textId="77777777" w:rsidR="00D65142" w:rsidRPr="006A114C" w:rsidRDefault="00D65142" w:rsidP="00D65142">
      <w:pPr>
        <w:spacing w:after="292" w:line="243" w:lineRule="auto"/>
        <w:ind w:left="19" w:right="172"/>
        <w:jc w:val="both"/>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Any party aggrieved by a final agency action by the Bureau of Special Education Appeals may file a complaint for review in the state superior court of competent jurisdiction or in the District Court of the United States for Massachusetts. 20 U.S.C. s. 1415(i)(2).</w:t>
      </w:r>
    </w:p>
    <w:p w14:paraId="45DD2880" w14:textId="77777777" w:rsidR="00D65142" w:rsidRDefault="00D65142" w:rsidP="00D65142">
      <w:pPr>
        <w:spacing w:line="243" w:lineRule="auto"/>
        <w:ind w:left="19" w:right="172"/>
        <w:jc w:val="both"/>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An appeal of a Bureau decision to state superior court or to federal district court must be filed within ninety (90) days from the date of the decision. 20 U.S.C. s. 1415(i)(2)(B).</w:t>
      </w:r>
    </w:p>
    <w:p w14:paraId="50679F53" w14:textId="77777777" w:rsidR="00D65142" w:rsidRPr="006A114C" w:rsidRDefault="00D65142" w:rsidP="00D65142">
      <w:pPr>
        <w:spacing w:line="243" w:lineRule="auto"/>
        <w:ind w:left="19" w:right="172"/>
        <w:jc w:val="both"/>
        <w:rPr>
          <w:rFonts w:ascii="Aptos" w:eastAsia="Times New Roman" w:hAnsi="Aptos" w:cs="Times New Roman"/>
          <w:color w:val="000000"/>
          <w:sz w:val="24"/>
          <w:szCs w:val="24"/>
        </w:rPr>
      </w:pPr>
    </w:p>
    <w:p w14:paraId="3258116A" w14:textId="77777777" w:rsidR="00D65142" w:rsidRPr="006A114C" w:rsidRDefault="00D65142" w:rsidP="00D65142">
      <w:pPr>
        <w:keepNext/>
        <w:keepLines/>
        <w:spacing w:after="252" w:line="259" w:lineRule="auto"/>
        <w:ind w:left="-5" w:hanging="10"/>
        <w:outlineLvl w:val="0"/>
        <w:rPr>
          <w:rFonts w:ascii="Aptos" w:eastAsia="Times New Roman" w:hAnsi="Aptos" w:cs="Times New Roman"/>
          <w:color w:val="000000"/>
          <w:sz w:val="24"/>
          <w:szCs w:val="24"/>
          <w:u w:val="single" w:color="000000"/>
        </w:rPr>
      </w:pPr>
      <w:r w:rsidRPr="006A114C">
        <w:rPr>
          <w:rFonts w:ascii="Aptos" w:eastAsia="Times New Roman" w:hAnsi="Aptos" w:cs="Times New Roman"/>
          <w:color w:val="000000"/>
          <w:sz w:val="24"/>
          <w:szCs w:val="24"/>
          <w:u w:val="single" w:color="000000"/>
        </w:rPr>
        <w:t>Confidentiality</w:t>
      </w:r>
    </w:p>
    <w:p w14:paraId="77A0D650" w14:textId="77777777" w:rsidR="00D65142" w:rsidRPr="006A114C" w:rsidRDefault="00D65142" w:rsidP="00D65142">
      <w:pPr>
        <w:spacing w:line="243" w:lineRule="auto"/>
        <w:ind w:left="19" w:right="34"/>
        <w:jc w:val="both"/>
        <w:rPr>
          <w:rFonts w:ascii="Aptos" w:eastAsia="Times New Roman" w:hAnsi="Aptos" w:cs="Times New Roman"/>
          <w:i/>
          <w:iCs/>
          <w:color w:val="000000"/>
          <w:sz w:val="24"/>
          <w:szCs w:val="24"/>
        </w:rPr>
      </w:pPr>
      <w:r w:rsidRPr="006A114C">
        <w:rPr>
          <w:rFonts w:ascii="Aptos" w:eastAsia="Times New Roman" w:hAnsi="Aptos" w:cs="Times New Roman"/>
          <w:color w:val="000000"/>
          <w:sz w:val="24"/>
          <w:szCs w:val="24"/>
        </w:rPr>
        <w:t xml:space="preserve">In order to preserve the confidentiality of the student involved in these proceedings, when an appeal is taken to superior court or to federal district court, the parties are strongly urged to file the complaint without identifying the true name of the parents or the child, and to move that all exhibits, including the transcript of the hearing before the Bureau of Special Education Appeals, be impounded by the court. See </w:t>
      </w:r>
      <w:r w:rsidRPr="006A114C">
        <w:rPr>
          <w:rFonts w:ascii="Aptos" w:eastAsia="Times New Roman" w:hAnsi="Aptos" w:cs="Times New Roman"/>
          <w:i/>
          <w:iCs/>
          <w:color w:val="000000"/>
          <w:sz w:val="24"/>
          <w:szCs w:val="24"/>
        </w:rPr>
        <w:t>Webster Grove</w:t>
      </w:r>
      <w:r>
        <w:rPr>
          <w:rFonts w:ascii="Aptos" w:eastAsia="Times New Roman" w:hAnsi="Aptos" w:cs="Times New Roman"/>
          <w:i/>
          <w:iCs/>
          <w:color w:val="000000"/>
          <w:sz w:val="24"/>
          <w:szCs w:val="24"/>
        </w:rPr>
        <w:t xml:space="preserve"> </w:t>
      </w:r>
      <w:r w:rsidRPr="006A114C">
        <w:rPr>
          <w:rFonts w:ascii="Aptos" w:eastAsia="Times New Roman" w:hAnsi="Aptos" w:cs="Times New Roman"/>
          <w:i/>
          <w:iCs/>
          <w:color w:val="000000"/>
          <w:sz w:val="24"/>
          <w:szCs w:val="24"/>
        </w:rPr>
        <w:t>School District v. Pulitzer Publishing</w:t>
      </w:r>
      <w:r>
        <w:rPr>
          <w:rFonts w:ascii="Aptos" w:eastAsia="Times New Roman" w:hAnsi="Aptos" w:cs="Times New Roman"/>
          <w:i/>
          <w:iCs/>
          <w:color w:val="000000"/>
          <w:sz w:val="24"/>
          <w:szCs w:val="24"/>
        </w:rPr>
        <w:t xml:space="preserve"> </w:t>
      </w:r>
      <w:r w:rsidRPr="006A114C">
        <w:rPr>
          <w:rFonts w:ascii="Aptos" w:eastAsia="Times New Roman" w:hAnsi="Aptos" w:cs="Times New Roman"/>
          <w:i/>
          <w:iCs/>
          <w:color w:val="000000"/>
          <w:sz w:val="24"/>
          <w:szCs w:val="24"/>
        </w:rPr>
        <w:t>Company</w:t>
      </w:r>
      <w:r w:rsidRPr="006A114C">
        <w:rPr>
          <w:rFonts w:ascii="Aptos" w:eastAsia="Times New Roman" w:hAnsi="Aptos" w:cs="Times New Roman"/>
          <w:color w:val="000000"/>
          <w:sz w:val="24"/>
          <w:szCs w:val="24"/>
        </w:rPr>
        <w:t>, 898 F.2d 1371 (8th. Cir. 1990). If the appealing party does not seek to impound the documents, the Bureau of Special Education Appeals, through the Attorney General's Office, may move to impound the documents.</w:t>
      </w:r>
    </w:p>
    <w:p w14:paraId="704AADDA" w14:textId="77777777" w:rsidR="00D65142" w:rsidRDefault="00D65142" w:rsidP="00D65142">
      <w:pPr>
        <w:spacing w:line="259" w:lineRule="auto"/>
        <w:ind w:left="62"/>
        <w:rPr>
          <w:rFonts w:ascii="Aptos" w:eastAsia="Times New Roman" w:hAnsi="Aptos" w:cs="Times New Roman"/>
          <w:color w:val="000000"/>
          <w:sz w:val="24"/>
          <w:szCs w:val="24"/>
          <w:u w:val="single"/>
        </w:rPr>
      </w:pPr>
    </w:p>
    <w:p w14:paraId="7BFC6885" w14:textId="77777777" w:rsidR="00D65142" w:rsidRDefault="00D65142" w:rsidP="00D65142">
      <w:pPr>
        <w:spacing w:line="259" w:lineRule="auto"/>
        <w:rPr>
          <w:rFonts w:ascii="Aptos" w:eastAsia="Times New Roman" w:hAnsi="Aptos" w:cs="Times New Roman"/>
          <w:color w:val="000000"/>
          <w:sz w:val="24"/>
          <w:szCs w:val="24"/>
          <w:u w:val="single"/>
        </w:rPr>
      </w:pPr>
      <w:r w:rsidRPr="006A114C">
        <w:rPr>
          <w:rFonts w:ascii="Aptos" w:eastAsia="Times New Roman" w:hAnsi="Aptos" w:cs="Times New Roman"/>
          <w:color w:val="000000"/>
          <w:sz w:val="24"/>
          <w:szCs w:val="24"/>
          <w:u w:val="single"/>
        </w:rPr>
        <w:t>Record of the Hearing</w:t>
      </w:r>
    </w:p>
    <w:p w14:paraId="1D42BEEA" w14:textId="77777777" w:rsidR="00D65142" w:rsidRPr="006A114C" w:rsidRDefault="00D65142" w:rsidP="00D65142">
      <w:pPr>
        <w:spacing w:line="259" w:lineRule="auto"/>
        <w:rPr>
          <w:rFonts w:ascii="Aptos" w:eastAsia="Times New Roman" w:hAnsi="Aptos" w:cs="Times New Roman"/>
          <w:color w:val="000000"/>
          <w:sz w:val="24"/>
          <w:szCs w:val="24"/>
          <w:u w:val="single"/>
        </w:rPr>
      </w:pPr>
    </w:p>
    <w:p w14:paraId="24A2CF95" w14:textId="77777777" w:rsidR="00D65142" w:rsidRPr="006A114C" w:rsidRDefault="00D65142" w:rsidP="00D65142">
      <w:pPr>
        <w:spacing w:after="292" w:line="243" w:lineRule="auto"/>
        <w:ind w:left="19" w:right="172"/>
        <w:jc w:val="both"/>
        <w:rPr>
          <w:rFonts w:ascii="Aptos" w:eastAsia="Times New Roman" w:hAnsi="Aptos" w:cs="Times New Roman"/>
          <w:color w:val="000000"/>
          <w:sz w:val="24"/>
          <w:szCs w:val="24"/>
        </w:rPr>
      </w:pPr>
      <w:r w:rsidRPr="006A114C">
        <w:rPr>
          <w:rFonts w:ascii="Aptos" w:eastAsia="Times New Roman" w:hAnsi="Aptos" w:cs="Times New Roman"/>
          <w:color w:val="000000"/>
          <w:sz w:val="24"/>
          <w:szCs w:val="24"/>
        </w:rPr>
        <w:t>The Bureau of Special Education Appeals will provide an electronic verbatim record of the hearing to any party, free of charge, upon receipt of a written request. Pursuant to federal law, upon receipt of a written request from any party, the Bureau of Special Education Appeals will arrange for and provide a certified written transcription of the entire proceedings by a certified court reporter, free of charge.</w:t>
      </w:r>
    </w:p>
    <w:p w14:paraId="15023FED" w14:textId="77777777" w:rsidR="00D65142" w:rsidRDefault="00D65142" w:rsidP="00D65142"/>
    <w:p w14:paraId="125B34CD" w14:textId="77777777" w:rsidR="00D65142" w:rsidRDefault="00D65142" w:rsidP="00D65142"/>
    <w:p w14:paraId="24B5F0CC" w14:textId="77777777" w:rsidR="00E82A3C" w:rsidRDefault="00E82A3C"/>
    <w:sectPr w:rsidR="00E82A3C" w:rsidSect="00D65142">
      <w:footerReference w:type="default" r:id="rId9"/>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8C6A7" w14:textId="77777777" w:rsidR="000C30A2" w:rsidRDefault="000C30A2" w:rsidP="00D65142">
      <w:r>
        <w:separator/>
      </w:r>
    </w:p>
  </w:endnote>
  <w:endnote w:type="continuationSeparator" w:id="0">
    <w:p w14:paraId="1E2759CB" w14:textId="77777777" w:rsidR="000C30A2" w:rsidRDefault="000C30A2" w:rsidP="00D6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Lucida Handwriting">
    <w:panose1 w:val="03010101010101010101"/>
    <w:charset w:val="00"/>
    <w:family w:val="script"/>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630412"/>
      <w:docPartObj>
        <w:docPartGallery w:val="Page Numbers (Bottom of Page)"/>
        <w:docPartUnique/>
      </w:docPartObj>
    </w:sdtPr>
    <w:sdtEndPr>
      <w:rPr>
        <w:rFonts w:ascii="Aptos" w:hAnsi="Aptos" w:cs="Times New Roman"/>
        <w:noProof/>
        <w:sz w:val="25"/>
        <w:szCs w:val="25"/>
      </w:rPr>
    </w:sdtEndPr>
    <w:sdtContent>
      <w:p w14:paraId="1BF97957" w14:textId="77777777" w:rsidR="00D65142" w:rsidRPr="00E4135F" w:rsidRDefault="00D65142">
        <w:pPr>
          <w:pStyle w:val="Footer"/>
          <w:jc w:val="right"/>
          <w:rPr>
            <w:rFonts w:ascii="Aptos" w:hAnsi="Aptos" w:cs="Times New Roman"/>
            <w:sz w:val="25"/>
            <w:szCs w:val="25"/>
          </w:rPr>
        </w:pPr>
        <w:r w:rsidRPr="00E4135F">
          <w:rPr>
            <w:rFonts w:ascii="Aptos" w:hAnsi="Aptos" w:cs="Times New Roman"/>
            <w:sz w:val="25"/>
            <w:szCs w:val="25"/>
          </w:rPr>
          <w:fldChar w:fldCharType="begin"/>
        </w:r>
        <w:r w:rsidRPr="00E4135F">
          <w:rPr>
            <w:rFonts w:ascii="Aptos" w:hAnsi="Aptos" w:cs="Times New Roman"/>
            <w:sz w:val="25"/>
            <w:szCs w:val="25"/>
          </w:rPr>
          <w:instrText xml:space="preserve"> PAGE   \* MERGEFORMAT </w:instrText>
        </w:r>
        <w:r w:rsidRPr="00E4135F">
          <w:rPr>
            <w:rFonts w:ascii="Aptos" w:hAnsi="Aptos" w:cs="Times New Roman"/>
            <w:sz w:val="25"/>
            <w:szCs w:val="25"/>
          </w:rPr>
          <w:fldChar w:fldCharType="separate"/>
        </w:r>
        <w:r w:rsidRPr="00E4135F">
          <w:rPr>
            <w:rFonts w:ascii="Aptos" w:hAnsi="Aptos" w:cs="Times New Roman"/>
            <w:noProof/>
            <w:sz w:val="25"/>
            <w:szCs w:val="25"/>
          </w:rPr>
          <w:t>2</w:t>
        </w:r>
        <w:r w:rsidRPr="00E4135F">
          <w:rPr>
            <w:rFonts w:ascii="Aptos" w:hAnsi="Aptos" w:cs="Times New Roman"/>
            <w:noProof/>
            <w:sz w:val="25"/>
            <w:szCs w:val="25"/>
          </w:rPr>
          <w:fldChar w:fldCharType="end"/>
        </w:r>
      </w:p>
    </w:sdtContent>
  </w:sdt>
  <w:p w14:paraId="4CB0BA06" w14:textId="77777777" w:rsidR="00D65142" w:rsidRDefault="00D65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CB8C5" w14:textId="77777777" w:rsidR="00D65142" w:rsidRPr="00E4135F" w:rsidRDefault="00D65142">
    <w:pPr>
      <w:pStyle w:val="Footer"/>
      <w:jc w:val="right"/>
      <w:rPr>
        <w:rFonts w:ascii="Aptos" w:hAnsi="Aptos" w:cs="Times New Roman"/>
        <w:sz w:val="25"/>
        <w:szCs w:val="25"/>
      </w:rPr>
    </w:pPr>
  </w:p>
  <w:p w14:paraId="01A95382" w14:textId="77777777" w:rsidR="00D65142" w:rsidRDefault="00D65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F36F8" w14:textId="77777777" w:rsidR="000C30A2" w:rsidRDefault="000C30A2" w:rsidP="00D65142">
      <w:r>
        <w:separator/>
      </w:r>
    </w:p>
  </w:footnote>
  <w:footnote w:type="continuationSeparator" w:id="0">
    <w:p w14:paraId="698A9AE5" w14:textId="77777777" w:rsidR="000C30A2" w:rsidRDefault="000C30A2" w:rsidP="00D65142">
      <w:r>
        <w:continuationSeparator/>
      </w:r>
    </w:p>
  </w:footnote>
  <w:footnote w:id="1">
    <w:p w14:paraId="0FE7692F" w14:textId="6B47C53A" w:rsidR="00D65142" w:rsidRPr="00D65142" w:rsidRDefault="00D65142">
      <w:pPr>
        <w:pStyle w:val="FootnoteText"/>
      </w:pPr>
      <w:r>
        <w:rPr>
          <w:rStyle w:val="FootnoteReference"/>
        </w:rPr>
        <w:footnoteRef/>
      </w:r>
      <w:r>
        <w:t xml:space="preserve">   </w:t>
      </w:r>
      <w:r w:rsidR="00CE595C">
        <w:t>Although dated April</w:t>
      </w:r>
      <w:r>
        <w:t xml:space="preserve"> 16, 2026</w:t>
      </w:r>
      <w:r w:rsidR="00CF3162">
        <w:t>,</w:t>
      </w:r>
      <w:r>
        <w:t xml:space="preserve"> as </w:t>
      </w:r>
      <w:r w:rsidR="00CE595C">
        <w:t xml:space="preserve">the </w:t>
      </w:r>
      <w:r w:rsidR="00EC5985">
        <w:rPr>
          <w:i/>
          <w:iCs/>
        </w:rPr>
        <w:t>Opposition</w:t>
      </w:r>
      <w:r>
        <w:t xml:space="preserve"> was received after business hours, it is deemed </w:t>
      </w:r>
      <w:r w:rsidR="00221520">
        <w:t xml:space="preserve">to have been </w:t>
      </w:r>
      <w:r>
        <w:t>filed on April 17, 2026.</w:t>
      </w:r>
    </w:p>
  </w:footnote>
  <w:footnote w:id="2">
    <w:p w14:paraId="50055DCF" w14:textId="77777777" w:rsidR="00D65142" w:rsidRPr="001C7828" w:rsidRDefault="00D65142" w:rsidP="00D65142">
      <w:pPr>
        <w:pStyle w:val="FootnoteText"/>
        <w:rPr>
          <w:rFonts w:ascii="Aptos" w:hAnsi="Aptos"/>
        </w:rPr>
      </w:pPr>
      <w:r w:rsidRPr="001C7828">
        <w:rPr>
          <w:rStyle w:val="FootnoteReference"/>
          <w:rFonts w:ascii="Aptos" w:hAnsi="Aptos"/>
        </w:rPr>
        <w:footnoteRef/>
      </w:r>
      <w:r w:rsidRPr="001C7828">
        <w:rPr>
          <w:rFonts w:ascii="Aptos" w:hAnsi="Aptos"/>
        </w:rPr>
        <w:t xml:space="preserve">   The factual statements contained herein are taken as true for purposes of this </w:t>
      </w:r>
      <w:r w:rsidRPr="001C7828">
        <w:rPr>
          <w:rFonts w:ascii="Aptos" w:hAnsi="Aptos"/>
          <w:i/>
          <w:iCs/>
        </w:rPr>
        <w:t>Ruling</w:t>
      </w:r>
      <w:r w:rsidRPr="001C7828">
        <w:rPr>
          <w:rFonts w:ascii="Aptos" w:hAnsi="Aptos"/>
        </w:rPr>
        <w:t xml:space="preserve"> only.</w:t>
      </w:r>
    </w:p>
  </w:footnote>
  <w:footnote w:id="3">
    <w:p w14:paraId="093F3F40" w14:textId="2014C543" w:rsidR="00375168" w:rsidRPr="00831FF1" w:rsidRDefault="00375168" w:rsidP="00375168">
      <w:pPr>
        <w:pStyle w:val="FootnoteText"/>
      </w:pPr>
      <w:r>
        <w:rPr>
          <w:rStyle w:val="FootnoteReference"/>
        </w:rPr>
        <w:footnoteRef/>
      </w:r>
      <w:r>
        <w:t xml:space="preserve">   I take administrative notice of the record in BSEA </w:t>
      </w:r>
      <w:r w:rsidR="00746227">
        <w:t>#</w:t>
      </w:r>
      <w:r>
        <w:t>2602235 (Prior Matter) and incorporate the Prior Matter Dismissal Ruling herein.</w:t>
      </w:r>
    </w:p>
  </w:footnote>
  <w:footnote w:id="4">
    <w:p w14:paraId="29C1B3F0" w14:textId="5E1E8FE0" w:rsidR="00D65142" w:rsidRDefault="00D65142">
      <w:pPr>
        <w:pStyle w:val="FootnoteText"/>
      </w:pPr>
      <w:r>
        <w:rPr>
          <w:rStyle w:val="FootnoteReference"/>
        </w:rPr>
        <w:footnoteRef/>
      </w:r>
      <w:r>
        <w:t xml:space="preserve">   That matter was filed by both Mother and Father</w:t>
      </w:r>
      <w:r w:rsidR="00221520">
        <w:t xml:space="preserve">.  The </w:t>
      </w:r>
      <w:r>
        <w:t>instant matter was filed by Mother</w:t>
      </w:r>
      <w:r w:rsidR="004D2BA2">
        <w:t>, only</w:t>
      </w:r>
      <w:r>
        <w:t>.</w:t>
      </w:r>
    </w:p>
  </w:footnote>
  <w:footnote w:id="5">
    <w:p w14:paraId="36A876C0" w14:textId="202090E4" w:rsidR="00781E9A" w:rsidRPr="00781E9A" w:rsidRDefault="00781E9A">
      <w:pPr>
        <w:pStyle w:val="FootnoteText"/>
      </w:pPr>
      <w:r w:rsidRPr="00781E9A">
        <w:rPr>
          <w:rStyle w:val="FootnoteReference"/>
        </w:rPr>
        <w:footnoteRef/>
      </w:r>
      <w:r w:rsidRPr="00781E9A">
        <w:t xml:space="preserve">   </w:t>
      </w:r>
      <w:r>
        <w:t>As noted in the</w:t>
      </w:r>
      <w:r w:rsidRPr="00781E9A">
        <w:t xml:space="preserve"> Prior Matter Dismissal Ruling, </w:t>
      </w:r>
      <w:r>
        <w:t xml:space="preserve">Student was </w:t>
      </w:r>
      <w:r w:rsidR="00377CB3">
        <w:t xml:space="preserve">then 18 </w:t>
      </w:r>
      <w:r>
        <w:t xml:space="preserve">and had already graduated.  Moreover, </w:t>
      </w:r>
      <w:r w:rsidRPr="00781E9A">
        <w:rPr>
          <w:rFonts w:ascii="Aptos" w:hAnsi="Aptos" w:cs="Times New Roman"/>
        </w:rPr>
        <w:t>in March 2023, when Student was a sophomore, Parents had “withdr[awn] Student from his IEP”</w:t>
      </w:r>
      <w:r>
        <w:rPr>
          <w:rFonts w:ascii="Aptos" w:hAnsi="Aptos" w:cs="Times New Roman"/>
        </w:rPr>
        <w:t>.</w:t>
      </w:r>
    </w:p>
  </w:footnote>
  <w:footnote w:id="6">
    <w:p w14:paraId="6D424C60" w14:textId="0DA9CDFE" w:rsidR="005B0833" w:rsidRDefault="005B0833">
      <w:pPr>
        <w:pStyle w:val="FootnoteText"/>
      </w:pPr>
      <w:r>
        <w:rPr>
          <w:rStyle w:val="FootnoteReference"/>
        </w:rPr>
        <w:footnoteRef/>
      </w:r>
      <w:r>
        <w:t xml:space="preserve">   As part of the filing, Parent included an email allegedly from Student </w:t>
      </w:r>
      <w:r w:rsidR="00F6612E">
        <w:t>advising</w:t>
      </w:r>
      <w:r>
        <w:t xml:space="preserve"> “I, [Student] consent to this filing and release of my educational records”.  </w:t>
      </w:r>
      <w:r w:rsidR="00502297">
        <w:t xml:space="preserve">Parent also indicated that she is an “Educational Advocate” as part of her signature line to the </w:t>
      </w:r>
      <w:r w:rsidR="00502297">
        <w:rPr>
          <w:i/>
          <w:iCs/>
        </w:rPr>
        <w:t>Hearing Request</w:t>
      </w:r>
      <w:r w:rsidR="00502297">
        <w:t xml:space="preserve">.  </w:t>
      </w:r>
      <w:r>
        <w:t xml:space="preserve">However, as with the Prior Matter, Parent did not provide any information as to educational decision-making authority she may have on behalf of Student, and it is unclear what authority Parent relies on to bring claims on </w:t>
      </w:r>
      <w:r w:rsidR="00BB7F9C">
        <w:t xml:space="preserve">Student’s </w:t>
      </w:r>
      <w:r>
        <w:t xml:space="preserve">behalf.  See </w:t>
      </w:r>
      <w:r>
        <w:rPr>
          <w:i/>
          <w:iCs/>
        </w:rPr>
        <w:t xml:space="preserve">In Re:  Lincoln-Sudbury Public Schools </w:t>
      </w:r>
      <w:r>
        <w:t xml:space="preserve">BSEA No. 11-2546, 16 MSER 424 (Figueroa, 2010) (concluding that under </w:t>
      </w:r>
      <w:r w:rsidRPr="00C34738">
        <w:t>20 USC §1415(m) and 603 CMR 28.01(15)</w:t>
      </w:r>
      <w:r>
        <w:t xml:space="preserve"> educational decision making and other related rights transfer to a student when she turns eighteen</w:t>
      </w:r>
      <w:r w:rsidR="00C45E6F">
        <w:t xml:space="preserve"> as “[t]</w:t>
      </w:r>
      <w:r w:rsidRPr="00822E75">
        <w:t>he plain meaning of the statute and the statutory intent is to transfer educational decision-making to students at the age of majority with few exceptions, none of which has been established by Parent in the instant case. As such, Parent lack</w:t>
      </w:r>
      <w:r w:rsidR="00795465">
        <w:t>s</w:t>
      </w:r>
      <w:r w:rsidRPr="00822E75">
        <w:t xml:space="preserve"> standing to request a hearing on Student's behalf. Only Student has standing to request a hearing </w:t>
      </w:r>
      <w:proofErr w:type="gramStart"/>
      <w:r w:rsidRPr="00822E75">
        <w:t>at this time</w:t>
      </w:r>
      <w:proofErr w:type="gramEnd"/>
      <w:r>
        <w:t xml:space="preserve">”).  </w:t>
      </w:r>
      <w:r w:rsidR="00C45E6F">
        <w:t>Although</w:t>
      </w:r>
      <w:r>
        <w:t xml:space="preserve"> in the instant case, </w:t>
      </w:r>
      <w:r w:rsidR="00C45E6F">
        <w:t xml:space="preserve">as in the Prior Matter Dismissal Ruling, </w:t>
      </w:r>
      <w:r>
        <w:t>this lack of standing provides grounds in and of itself for dismissal without prejudice, it was not raised by the District.  I therefore address the District’s arguments for dismissal with prejudice first</w:t>
      </w:r>
      <w:r w:rsidR="00502297">
        <w:t>.</w:t>
      </w:r>
    </w:p>
  </w:footnote>
  <w:footnote w:id="7">
    <w:p w14:paraId="02AD02CD" w14:textId="37C9A077" w:rsidR="000B4E18" w:rsidRDefault="000B4E18">
      <w:pPr>
        <w:pStyle w:val="FootnoteText"/>
      </w:pPr>
      <w:r>
        <w:rPr>
          <w:rStyle w:val="FootnoteReference"/>
        </w:rPr>
        <w:footnoteRef/>
      </w:r>
      <w:r>
        <w:t xml:space="preserve">   Parent noted this was a prior school district the family lived in at the time.</w:t>
      </w:r>
    </w:p>
  </w:footnote>
  <w:footnote w:id="8">
    <w:p w14:paraId="551EBBB6" w14:textId="24E49738" w:rsidR="00460E0F" w:rsidRDefault="00460E0F">
      <w:pPr>
        <w:pStyle w:val="FootnoteText"/>
      </w:pPr>
      <w:r>
        <w:rPr>
          <w:rStyle w:val="FootnoteReference"/>
        </w:rPr>
        <w:footnoteRef/>
      </w:r>
      <w:r>
        <w:t xml:space="preserve">   This exhibit consist</w:t>
      </w:r>
      <w:r w:rsidR="00781E9A">
        <w:t>s</w:t>
      </w:r>
      <w:r>
        <w:t xml:space="preserve"> of the emailed communication chain </w:t>
      </w:r>
      <w:r w:rsidR="00781E9A">
        <w:t>from</w:t>
      </w:r>
      <w:r>
        <w:t xml:space="preserve"> February 17, 2023, </w:t>
      </w:r>
      <w:r w:rsidR="00162145">
        <w:t>relative to</w:t>
      </w:r>
      <w:r>
        <w:t xml:space="preserve"> Parent’s initial email </w:t>
      </w:r>
      <w:r w:rsidR="00781E9A">
        <w:t>seeking to “take [Student] off his IEP</w:t>
      </w:r>
      <w:r w:rsidR="00162145">
        <w:t>”</w:t>
      </w:r>
      <w:r>
        <w:t>, the District’s initial response to clarify</w:t>
      </w:r>
      <w:r w:rsidR="00781E9A">
        <w:t xml:space="preserve"> if Parent was revoking consent to special education</w:t>
      </w:r>
      <w:r>
        <w:t>, Parent’s confirmation reply and the District’s subsequent response with documentation</w:t>
      </w:r>
      <w:r w:rsidR="00781E9A">
        <w:t xml:space="preserve"> of its intent to cease provision of special education to Student and a copy of the </w:t>
      </w:r>
      <w:r>
        <w:t>Procedural Safeguards Notice.</w:t>
      </w:r>
    </w:p>
  </w:footnote>
  <w:footnote w:id="9">
    <w:p w14:paraId="21F6BC18" w14:textId="77777777" w:rsidR="00D65142" w:rsidRPr="004E4EE7" w:rsidRDefault="00D65142" w:rsidP="00D65142">
      <w:pPr>
        <w:pStyle w:val="FootnoteText"/>
        <w:rPr>
          <w:rFonts w:ascii="Aptos" w:hAnsi="Aptos" w:cs="Times New Roman"/>
        </w:rPr>
      </w:pPr>
      <w:r w:rsidRPr="004E4EE7">
        <w:rPr>
          <w:rStyle w:val="FootnoteReference"/>
          <w:rFonts w:ascii="Aptos" w:hAnsi="Aptos" w:cs="Times New Roman"/>
        </w:rPr>
        <w:footnoteRef/>
      </w:r>
      <w:r w:rsidRPr="004E4EE7">
        <w:rPr>
          <w:rFonts w:ascii="Aptos" w:hAnsi="Aptos" w:cs="Times New Roman"/>
        </w:rPr>
        <w:t xml:space="preserve">   </w:t>
      </w:r>
      <w:r w:rsidRPr="004E4EE7">
        <w:rPr>
          <w:rFonts w:ascii="Aptos" w:eastAsia="Times New Roman" w:hAnsi="Aptos" w:cs="Times New Roman"/>
        </w:rPr>
        <w:t>As these rules/regulations are analogous to Rule 12(b)(6) of the Federal and Massachusetts Rules of Civil Procedure (FRCP and MRCP, respectively), hearing officers are generally guided by federal court decisions in deciding such motions.</w:t>
      </w:r>
    </w:p>
  </w:footnote>
  <w:footnote w:id="10">
    <w:p w14:paraId="119A9A72" w14:textId="77777777" w:rsidR="00D65142" w:rsidRPr="004E4EE7" w:rsidRDefault="00D65142" w:rsidP="00D65142">
      <w:pPr>
        <w:pStyle w:val="FootnoteText"/>
        <w:rPr>
          <w:rFonts w:ascii="Aptos" w:hAnsi="Aptos" w:cs="Times New Roman"/>
        </w:rPr>
      </w:pPr>
      <w:r w:rsidRPr="004E4EE7">
        <w:rPr>
          <w:rStyle w:val="FootnoteReference"/>
          <w:rFonts w:ascii="Aptos" w:hAnsi="Aptos" w:cs="Times New Roman"/>
        </w:rPr>
        <w:footnoteRef/>
      </w:r>
      <w:r w:rsidRPr="004E4EE7">
        <w:rPr>
          <w:rFonts w:ascii="Aptos" w:hAnsi="Aptos" w:cs="Times New Roman"/>
        </w:rPr>
        <w:t xml:space="preserve">   </w:t>
      </w:r>
      <w:r w:rsidRPr="004E4EE7">
        <w:rPr>
          <w:rFonts w:ascii="Aptos" w:eastAsia="Times New Roman" w:hAnsi="Aptos" w:cs="Times New Roman"/>
          <w:i/>
          <w:iCs/>
        </w:rPr>
        <w:t>Iannocchino v. Ford Motor Co.</w:t>
      </w:r>
      <w:r w:rsidRPr="004E4EE7">
        <w:rPr>
          <w:rFonts w:ascii="Aptos" w:eastAsia="Times New Roman" w:hAnsi="Aptos" w:cs="Times New Roman"/>
        </w:rPr>
        <w:t>, 451 Mass. 623, 636 (2008) quoting </w:t>
      </w:r>
      <w:r w:rsidRPr="004E4EE7">
        <w:rPr>
          <w:rFonts w:ascii="Aptos" w:eastAsia="Times New Roman" w:hAnsi="Aptos" w:cs="Times New Roman"/>
          <w:i/>
          <w:iCs/>
        </w:rPr>
        <w:t>Bell Atl. Corp. v. Twombly</w:t>
      </w:r>
      <w:r w:rsidRPr="004E4EE7">
        <w:rPr>
          <w:rFonts w:ascii="Aptos" w:eastAsia="Times New Roman" w:hAnsi="Aptos" w:cs="Times New Roman"/>
        </w:rPr>
        <w:t>, 550 U.S. 544, 557 (2007).</w:t>
      </w:r>
    </w:p>
  </w:footnote>
  <w:footnote w:id="11">
    <w:p w14:paraId="7323C3F4" w14:textId="77777777" w:rsidR="00D65142" w:rsidRPr="004E4EE7" w:rsidRDefault="00D65142" w:rsidP="00D65142">
      <w:pPr>
        <w:pStyle w:val="FootnoteText"/>
        <w:rPr>
          <w:rFonts w:ascii="Aptos" w:eastAsia="Times New Roman" w:hAnsi="Aptos" w:cs="Times New Roman"/>
        </w:rPr>
      </w:pPr>
      <w:r w:rsidRPr="004E4EE7">
        <w:rPr>
          <w:rStyle w:val="FootnoteReference"/>
          <w:rFonts w:ascii="Aptos" w:hAnsi="Aptos" w:cs="Times New Roman"/>
        </w:rPr>
        <w:footnoteRef/>
      </w:r>
      <w:r w:rsidRPr="004E4EE7">
        <w:rPr>
          <w:rFonts w:ascii="Aptos" w:hAnsi="Aptos" w:cs="Times New Roman"/>
        </w:rPr>
        <w:t xml:space="preserve">   </w:t>
      </w:r>
      <w:r w:rsidRPr="004E4EE7">
        <w:rPr>
          <w:rFonts w:ascii="Aptos" w:eastAsia="Times New Roman" w:hAnsi="Aptos" w:cs="Times New Roman"/>
          <w:i/>
          <w:iCs/>
        </w:rPr>
        <w:t>Blank v. Chelmsford Ob/Gyn, P.C.</w:t>
      </w:r>
      <w:r w:rsidRPr="004E4EE7">
        <w:rPr>
          <w:rFonts w:ascii="Aptos" w:eastAsia="Times New Roman" w:hAnsi="Aptos" w:cs="Times New Roman"/>
        </w:rPr>
        <w:t>, 420 Mass. 404, 407 (1995).</w:t>
      </w:r>
    </w:p>
  </w:footnote>
  <w:footnote w:id="12">
    <w:p w14:paraId="3E215EDA" w14:textId="77D26D88" w:rsidR="00D65142" w:rsidRPr="004E4EE7" w:rsidRDefault="00D65142" w:rsidP="00D65142">
      <w:pPr>
        <w:pStyle w:val="FootnoteText"/>
        <w:rPr>
          <w:rFonts w:ascii="Aptos" w:hAnsi="Aptos"/>
        </w:rPr>
      </w:pPr>
      <w:r w:rsidRPr="004E4EE7">
        <w:rPr>
          <w:rStyle w:val="FootnoteReference"/>
          <w:rFonts w:ascii="Aptos" w:hAnsi="Aptos"/>
        </w:rPr>
        <w:footnoteRef/>
      </w:r>
      <w:r w:rsidRPr="004E4EE7">
        <w:rPr>
          <w:rFonts w:ascii="Aptos" w:hAnsi="Aptos"/>
        </w:rPr>
        <w:t xml:space="preserve"> </w:t>
      </w:r>
      <w:r>
        <w:rPr>
          <w:rFonts w:ascii="Aptos" w:hAnsi="Aptos"/>
        </w:rPr>
        <w:t xml:space="preserve">  </w:t>
      </w:r>
      <w:r w:rsidRPr="004E4EE7">
        <w:rPr>
          <w:rFonts w:ascii="Aptos" w:eastAsia="Times New Roman" w:hAnsi="Aptos" w:cs="Times New Roman"/>
          <w:i/>
          <w:iCs/>
        </w:rPr>
        <w:t>Iannocchino</w:t>
      </w:r>
      <w:r w:rsidR="004F5303">
        <w:rPr>
          <w:rFonts w:ascii="Aptos" w:eastAsia="Times New Roman" w:hAnsi="Aptos" w:cs="Times New Roman"/>
        </w:rPr>
        <w:t>,</w:t>
      </w:r>
      <w:r w:rsidRPr="004E4EE7">
        <w:rPr>
          <w:rFonts w:ascii="Aptos" w:eastAsia="Times New Roman" w:hAnsi="Aptos" w:cs="Times New Roman"/>
          <w:i/>
          <w:iCs/>
        </w:rPr>
        <w:t xml:space="preserve"> </w:t>
      </w:r>
      <w:r w:rsidRPr="004E4EE7">
        <w:rPr>
          <w:rFonts w:ascii="Aptos" w:eastAsia="Times New Roman" w:hAnsi="Aptos" w:cs="Times New Roman"/>
        </w:rPr>
        <w:t>451 Mass. at 636 (quoting </w:t>
      </w:r>
      <w:r w:rsidRPr="004E4EE7">
        <w:rPr>
          <w:rFonts w:ascii="Aptos" w:eastAsia="Times New Roman" w:hAnsi="Aptos" w:cs="Times New Roman"/>
          <w:i/>
          <w:iCs/>
        </w:rPr>
        <w:t>Bell Atl. Corp.</w:t>
      </w:r>
      <w:r w:rsidRPr="004E4EE7">
        <w:rPr>
          <w:rFonts w:ascii="Aptos" w:eastAsia="Times New Roman" w:hAnsi="Aptos" w:cs="Times New Roman"/>
        </w:rPr>
        <w:t xml:space="preserve">, 550 U.S. at 555); see </w:t>
      </w:r>
      <w:r w:rsidRPr="004E4EE7">
        <w:rPr>
          <w:rFonts w:ascii="Aptos" w:hAnsi="Aptos" w:cs="Times New Roman"/>
          <w:i/>
          <w:iCs/>
        </w:rPr>
        <w:t>Ocasio-Hernandez v. Fortuno-Burset</w:t>
      </w:r>
      <w:r w:rsidRPr="004E4EE7">
        <w:rPr>
          <w:rFonts w:ascii="Aptos" w:hAnsi="Aptos" w:cs="Times New Roman"/>
        </w:rPr>
        <w:t>, 640 F.3d 1, 12 (1st Cir. 2011)</w:t>
      </w:r>
      <w:r w:rsidRPr="004E4EE7">
        <w:rPr>
          <w:rFonts w:ascii="Aptos" w:eastAsia="Times New Roman" w:hAnsi="Aptos" w:cs="Times New Roman"/>
        </w:rPr>
        <w:t>.</w:t>
      </w:r>
    </w:p>
  </w:footnote>
  <w:footnote w:id="13">
    <w:p w14:paraId="2140AABD" w14:textId="289F7AE2" w:rsidR="00D65142" w:rsidRPr="004E4EE7" w:rsidRDefault="00D65142" w:rsidP="00D65142">
      <w:pPr>
        <w:pStyle w:val="FootnoteText"/>
        <w:rPr>
          <w:rFonts w:ascii="Aptos" w:hAnsi="Aptos"/>
        </w:rPr>
      </w:pPr>
      <w:r w:rsidRPr="004E4EE7">
        <w:rPr>
          <w:rStyle w:val="FootnoteReference"/>
          <w:rFonts w:ascii="Aptos" w:hAnsi="Aptos"/>
        </w:rPr>
        <w:footnoteRef/>
      </w:r>
      <w:r w:rsidRPr="004E4EE7">
        <w:rPr>
          <w:rFonts w:ascii="Aptos" w:hAnsi="Aptos"/>
        </w:rPr>
        <w:t xml:space="preserve">   </w:t>
      </w:r>
      <w:r w:rsidRPr="004E4EE7">
        <w:rPr>
          <w:rFonts w:ascii="Aptos" w:eastAsia="Times New Roman" w:hAnsi="Aptos" w:cs="Times New Roman"/>
          <w:bCs/>
          <w:i/>
          <w:iCs/>
          <w:color w:val="000000"/>
        </w:rPr>
        <w:t>Haines v. Kerner</w:t>
      </w:r>
      <w:r w:rsidRPr="004E4EE7">
        <w:rPr>
          <w:rFonts w:ascii="Aptos" w:eastAsia="Times New Roman" w:hAnsi="Aptos" w:cs="Times New Roman"/>
          <w:bCs/>
          <w:color w:val="000000"/>
        </w:rPr>
        <w:t>, 404 U.S. 519, 520 (1972) (allegations contained in a hearing request are to be held to “less stringent standards than formal pleadings drafted by lawyers”)</w:t>
      </w:r>
      <w:r w:rsidRPr="004E4EE7">
        <w:rPr>
          <w:rFonts w:ascii="Aptos" w:hAnsi="Aptos" w:cs="Times New Roman"/>
        </w:rPr>
        <w:t xml:space="preserve">; </w:t>
      </w:r>
      <w:r w:rsidRPr="004E4EE7">
        <w:rPr>
          <w:rFonts w:ascii="Aptos" w:hAnsi="Aptos" w:cs="Times New Roman"/>
          <w:i/>
          <w:iCs/>
          <w:color w:val="000000" w:themeColor="text1"/>
        </w:rPr>
        <w:t>Ahmed v. Rosenblatt</w:t>
      </w:r>
      <w:r w:rsidRPr="004E4EE7">
        <w:rPr>
          <w:rFonts w:ascii="Aptos" w:hAnsi="Aptos" w:cs="Times New Roman"/>
          <w:color w:val="000000" w:themeColor="text1"/>
        </w:rPr>
        <w:t xml:space="preserve">, 118 F.3d 886, 890 (1st Cir. 1997) </w:t>
      </w:r>
      <w:r w:rsidRPr="004E4EE7">
        <w:rPr>
          <w:rFonts w:ascii="Aptos" w:hAnsi="Aptos" w:cs="Times New Roman"/>
        </w:rPr>
        <w:t>(</w:t>
      </w:r>
      <w:r w:rsidRPr="004E4EE7">
        <w:rPr>
          <w:rFonts w:ascii="Aptos" w:hAnsi="Aptos" w:cs="Times New Roman"/>
          <w:color w:val="000000" w:themeColor="text1"/>
        </w:rPr>
        <w:t>“The policy behind affording pro se plaintiffs liberal interpretation [of their hearing request] is that if they present sufficient facts [to state a claim], the court may intuit the correct cause of action, even if it was imperfectly pled”)</w:t>
      </w:r>
      <w:r w:rsidRPr="004E4EE7">
        <w:rPr>
          <w:rFonts w:ascii="Aptos" w:hAnsi="Aptos" w:cs="Times New Roman"/>
        </w:rPr>
        <w:t xml:space="preserve">; </w:t>
      </w:r>
      <w:r w:rsidRPr="004E4EE7">
        <w:rPr>
          <w:rFonts w:ascii="Aptos" w:hAnsi="Aptos" w:cs="Times New Roman"/>
          <w:i/>
          <w:iCs/>
        </w:rPr>
        <w:t>In Re: Springfield Pub. Schs.</w:t>
      </w:r>
      <w:r w:rsidRPr="004E4EE7">
        <w:rPr>
          <w:rFonts w:ascii="Aptos" w:hAnsi="Aptos" w:cs="Times New Roman"/>
        </w:rPr>
        <w:t xml:space="preserve">, BSEA </w:t>
      </w:r>
      <w:r w:rsidR="00A471EF">
        <w:rPr>
          <w:rFonts w:ascii="Aptos" w:hAnsi="Aptos" w:cs="Times New Roman"/>
        </w:rPr>
        <w:t>#</w:t>
      </w:r>
      <w:r w:rsidRPr="004E4EE7">
        <w:rPr>
          <w:rFonts w:ascii="Aptos" w:hAnsi="Aptos" w:cs="Times New Roman"/>
        </w:rPr>
        <w:t xml:space="preserve">2203555, 22 MSER 109, (Berman, 2022); see </w:t>
      </w:r>
      <w:r w:rsidRPr="004E4EE7">
        <w:rPr>
          <w:rFonts w:ascii="Aptos" w:hAnsi="Aptos" w:cs="Times New Roman"/>
          <w:i/>
          <w:iCs/>
        </w:rPr>
        <w:t>In Re: Easthampton Pub. Sch.</w:t>
      </w:r>
      <w:r w:rsidRPr="004E4EE7">
        <w:rPr>
          <w:rFonts w:ascii="Aptos" w:hAnsi="Aptos" w:cs="Times New Roman"/>
        </w:rPr>
        <w:t xml:space="preserve">, BSEA </w:t>
      </w:r>
      <w:r w:rsidR="00A471EF">
        <w:rPr>
          <w:rFonts w:ascii="Aptos" w:hAnsi="Aptos" w:cs="Times New Roman"/>
        </w:rPr>
        <w:t>#</w:t>
      </w:r>
      <w:r w:rsidRPr="004E4EE7">
        <w:rPr>
          <w:rFonts w:ascii="Aptos" w:hAnsi="Aptos" w:cs="Times New Roman"/>
        </w:rPr>
        <w:t>2203513, 28 MSER 35, (Kantor Nir, 2022).</w:t>
      </w:r>
    </w:p>
  </w:footnote>
  <w:footnote w:id="14">
    <w:p w14:paraId="48E2CA75" w14:textId="77777777" w:rsidR="00D65142" w:rsidRPr="004E4EE7" w:rsidRDefault="00D65142" w:rsidP="00D65142">
      <w:pPr>
        <w:pStyle w:val="FootnoteText"/>
        <w:rPr>
          <w:rFonts w:ascii="Aptos" w:hAnsi="Aptos" w:cs="Times New Roman"/>
        </w:rPr>
      </w:pPr>
      <w:r w:rsidRPr="004E4EE7">
        <w:rPr>
          <w:rStyle w:val="FootnoteReference"/>
          <w:rFonts w:ascii="Aptos" w:hAnsi="Aptos" w:cs="Times New Roman"/>
        </w:rPr>
        <w:footnoteRef/>
      </w:r>
      <w:r w:rsidRPr="004E4EE7">
        <w:rPr>
          <w:rFonts w:ascii="Aptos" w:hAnsi="Aptos" w:cs="Times New Roman"/>
        </w:rPr>
        <w:t xml:space="preserve">  </w:t>
      </w:r>
      <w:r>
        <w:rPr>
          <w:rFonts w:ascii="Aptos" w:hAnsi="Aptos" w:cs="Times New Roman"/>
        </w:rPr>
        <w:t xml:space="preserve"> </w:t>
      </w:r>
      <w:r w:rsidRPr="004E4EE7">
        <w:rPr>
          <w:rFonts w:ascii="Aptos" w:hAnsi="Aptos" w:cs="Times New Roman"/>
          <w:i/>
          <w:iCs/>
        </w:rPr>
        <w:t>Ahmed</w:t>
      </w:r>
      <w:r w:rsidRPr="004E4EE7">
        <w:rPr>
          <w:rFonts w:ascii="Aptos" w:hAnsi="Aptos" w:cs="Times New Roman"/>
        </w:rPr>
        <w:t>, 118 F.3d at 890.</w:t>
      </w:r>
    </w:p>
  </w:footnote>
  <w:footnote w:id="15">
    <w:p w14:paraId="3F7DD461" w14:textId="77777777" w:rsidR="00D65142" w:rsidRPr="004E4EE7" w:rsidRDefault="00D65142" w:rsidP="00D65142">
      <w:pPr>
        <w:pStyle w:val="FootnoteText"/>
        <w:rPr>
          <w:rFonts w:ascii="Aptos" w:hAnsi="Aptos"/>
        </w:rPr>
      </w:pPr>
      <w:r w:rsidRPr="004E4EE7">
        <w:rPr>
          <w:rStyle w:val="FootnoteReference"/>
          <w:rFonts w:ascii="Aptos" w:hAnsi="Aptos"/>
        </w:rPr>
        <w:footnoteRef/>
      </w:r>
      <w:r>
        <w:rPr>
          <w:rFonts w:ascii="Aptos" w:hAnsi="Aptos"/>
        </w:rPr>
        <w:t xml:space="preserve"> </w:t>
      </w:r>
      <w:r w:rsidRPr="004E4EE7">
        <w:rPr>
          <w:rFonts w:ascii="Aptos" w:hAnsi="Aptos"/>
        </w:rPr>
        <w:t xml:space="preserve">  </w:t>
      </w:r>
      <w:r w:rsidRPr="004E4EE7">
        <w:rPr>
          <w:rFonts w:ascii="Aptos" w:hAnsi="Aptos" w:cs="Times New Roman"/>
          <w:i/>
          <w:iCs/>
        </w:rPr>
        <w:t>Lampkin-Asam v. Volusia Cnty. Sch. Bd.</w:t>
      </w:r>
      <w:r w:rsidRPr="004E4EE7">
        <w:rPr>
          <w:rFonts w:ascii="Aptos" w:hAnsi="Aptos" w:cs="Times New Roman"/>
        </w:rPr>
        <w:t xml:space="preserve">, 261 F.App'x 274, 276–77 (11th Cir. 2008) quoting </w:t>
      </w:r>
      <w:r w:rsidRPr="004E4EE7">
        <w:rPr>
          <w:rFonts w:ascii="Aptos" w:hAnsi="Aptos" w:cs="Times New Roman"/>
          <w:i/>
          <w:iCs/>
        </w:rPr>
        <w:t>Hepperle v. Johnston,</w:t>
      </w:r>
      <w:r w:rsidRPr="004E4EE7">
        <w:rPr>
          <w:rFonts w:ascii="Aptos" w:hAnsi="Aptos" w:cs="Times New Roman"/>
        </w:rPr>
        <w:t xml:space="preserve"> 544 F.2d 201, 202 (5th Cir.1976).</w:t>
      </w:r>
    </w:p>
  </w:footnote>
  <w:footnote w:id="16">
    <w:p w14:paraId="18BA17B6" w14:textId="77777777" w:rsidR="00781E9A" w:rsidRPr="00261E00" w:rsidRDefault="00781E9A" w:rsidP="00781E9A">
      <w:pPr>
        <w:pStyle w:val="FootnoteText"/>
        <w:rPr>
          <w:rFonts w:ascii="Aptos" w:hAnsi="Aptos" w:cs="Times New Roman"/>
        </w:rPr>
      </w:pPr>
      <w:r w:rsidRPr="00261E00">
        <w:rPr>
          <w:rStyle w:val="FootnoteReference"/>
          <w:rFonts w:ascii="Aptos" w:hAnsi="Aptos" w:cs="Times New Roman"/>
        </w:rPr>
        <w:footnoteRef/>
      </w:r>
      <w:r w:rsidRPr="00261E00">
        <w:rPr>
          <w:rFonts w:ascii="Aptos" w:hAnsi="Aptos" w:cs="Times New Roman"/>
        </w:rPr>
        <w:t xml:space="preserve">   20 USC 1415(i)(1)(A) (“A decision made in a hearing conducted pursuant to subsection (f) or (k) shall be final, except that any party involved in such hearing may appeal such decision under the provisions of [20 USC 1415] subsection (g) and paragraph (2)”); 34 CFR 300.514(a) (“A decision made in a hearing conducted pursuant to [34 CFR] §§300.507 through 300.513 or §§300.530 through 300.534 is final …”); see M.G.L. c. 30A §14 (“…  any person or appointing authority aggrieved by a final decision of any agency in an adjudicatory proceeding, whether such decision is affirmative or negative in form, shall be entitled to a judicial review thereof”).</w:t>
      </w:r>
    </w:p>
  </w:footnote>
  <w:footnote w:id="17">
    <w:p w14:paraId="362C6202" w14:textId="77777777" w:rsidR="00781E9A" w:rsidRPr="00261E00" w:rsidRDefault="00781E9A" w:rsidP="00781E9A">
      <w:pPr>
        <w:pStyle w:val="FootnoteText"/>
        <w:rPr>
          <w:rFonts w:ascii="Aptos" w:hAnsi="Aptos"/>
          <w:i/>
          <w:iCs/>
        </w:rPr>
      </w:pPr>
      <w:r w:rsidRPr="00261E00">
        <w:rPr>
          <w:rStyle w:val="FootnoteReference"/>
          <w:rFonts w:ascii="Aptos" w:hAnsi="Aptos"/>
        </w:rPr>
        <w:footnoteRef/>
      </w:r>
      <w:r w:rsidRPr="00261E00">
        <w:rPr>
          <w:rFonts w:ascii="Aptos" w:hAnsi="Aptos"/>
        </w:rPr>
        <w:t xml:space="preserve">   </w:t>
      </w:r>
      <w:r w:rsidRPr="00261E00">
        <w:rPr>
          <w:rFonts w:ascii="Aptos" w:hAnsi="Aptos"/>
          <w:i/>
          <w:iCs/>
        </w:rPr>
        <w:t>Hearing Rule XII(B).</w:t>
      </w:r>
    </w:p>
  </w:footnote>
  <w:footnote w:id="18">
    <w:p w14:paraId="5FB8A5BD" w14:textId="77777777" w:rsidR="00781E9A" w:rsidRPr="00261E00" w:rsidRDefault="00781E9A" w:rsidP="00781E9A">
      <w:pPr>
        <w:pStyle w:val="FootnoteText"/>
        <w:rPr>
          <w:rFonts w:ascii="Aptos" w:hAnsi="Aptos" w:cs="Times New Roman"/>
          <w:i/>
          <w:iCs/>
        </w:rPr>
      </w:pPr>
      <w:r w:rsidRPr="00261E00">
        <w:rPr>
          <w:rStyle w:val="FootnoteReference"/>
          <w:rFonts w:ascii="Aptos" w:hAnsi="Aptos" w:cs="Times New Roman"/>
        </w:rPr>
        <w:footnoteRef/>
      </w:r>
      <w:r w:rsidRPr="00261E00">
        <w:rPr>
          <w:rFonts w:ascii="Aptos" w:hAnsi="Aptos" w:cs="Times New Roman"/>
        </w:rPr>
        <w:t xml:space="preserve">   </w:t>
      </w:r>
      <w:r w:rsidRPr="00261E00">
        <w:rPr>
          <w:rFonts w:ascii="Aptos" w:hAnsi="Aptos" w:cs="Times New Roman"/>
          <w:i/>
          <w:iCs/>
        </w:rPr>
        <w:t>Hearing Rule XVI(A).</w:t>
      </w:r>
    </w:p>
  </w:footnote>
  <w:footnote w:id="19">
    <w:p w14:paraId="49BB3AA5" w14:textId="079495F2" w:rsidR="00781E9A" w:rsidRPr="00261E00" w:rsidRDefault="00781E9A" w:rsidP="00781E9A">
      <w:pPr>
        <w:pStyle w:val="FootnoteText"/>
        <w:rPr>
          <w:rFonts w:ascii="Aptos" w:hAnsi="Aptos"/>
        </w:rPr>
      </w:pPr>
      <w:r w:rsidRPr="00261E00">
        <w:rPr>
          <w:rStyle w:val="FootnoteReference"/>
          <w:rFonts w:ascii="Aptos" w:hAnsi="Aptos"/>
        </w:rPr>
        <w:footnoteRef/>
      </w:r>
      <w:r w:rsidRPr="00261E00">
        <w:rPr>
          <w:rFonts w:ascii="Aptos" w:hAnsi="Aptos"/>
        </w:rPr>
        <w:t xml:space="preserve"> </w:t>
      </w:r>
      <w:r>
        <w:rPr>
          <w:rFonts w:ascii="Aptos" w:hAnsi="Aptos"/>
        </w:rPr>
        <w:t xml:space="preserve">  </w:t>
      </w:r>
      <w:r w:rsidRPr="00261E00">
        <w:rPr>
          <w:rFonts w:ascii="Aptos" w:eastAsia="Times New Roman" w:hAnsi="Aptos" w:cs="Times New Roman"/>
        </w:rPr>
        <w:t xml:space="preserve">M.G.L. c 30A §11(8).  </w:t>
      </w:r>
      <w:r w:rsidR="00363377">
        <w:rPr>
          <w:rFonts w:ascii="Aptos" w:hAnsi="Aptos" w:cs="Times New Roman"/>
        </w:rPr>
        <w:t>N</w:t>
      </w:r>
      <w:r>
        <w:rPr>
          <w:rFonts w:ascii="Aptos" w:hAnsi="Aptos" w:cs="Times New Roman"/>
        </w:rPr>
        <w:t xml:space="preserve">ote that </w:t>
      </w:r>
      <w:r w:rsidR="00363377">
        <w:rPr>
          <w:rFonts w:ascii="Aptos" w:hAnsi="Aptos" w:cs="Times New Roman"/>
        </w:rPr>
        <w:t xml:space="preserve">in </w:t>
      </w:r>
      <w:r w:rsidRPr="00261E00">
        <w:rPr>
          <w:rFonts w:ascii="Aptos" w:hAnsi="Aptos" w:cs="Times New Roman"/>
        </w:rPr>
        <w:t xml:space="preserve">the “Scope of Rules” section of the </w:t>
      </w:r>
      <w:r w:rsidRPr="00261E00">
        <w:rPr>
          <w:rFonts w:ascii="Aptos" w:hAnsi="Aptos" w:cs="Times New Roman"/>
          <w:i/>
          <w:iCs/>
        </w:rPr>
        <w:t xml:space="preserve">Hearing Rules, </w:t>
      </w:r>
      <w:r w:rsidR="006F42EA">
        <w:rPr>
          <w:rFonts w:ascii="Aptos" w:hAnsi="Aptos" w:cs="Times New Roman"/>
        </w:rPr>
        <w:t xml:space="preserve">it states </w:t>
      </w:r>
      <w:r w:rsidRPr="00261E00">
        <w:rPr>
          <w:rFonts w:ascii="Aptos" w:hAnsi="Aptos" w:cs="Times New Roman"/>
        </w:rPr>
        <w:t xml:space="preserve">the </w:t>
      </w:r>
      <w:r w:rsidRPr="00261E00">
        <w:rPr>
          <w:rFonts w:ascii="Aptos" w:hAnsi="Aptos" w:cs="Times New Roman"/>
          <w:i/>
          <w:iCs/>
        </w:rPr>
        <w:t>Hearing Rules</w:t>
      </w:r>
      <w:r w:rsidRPr="00261E00">
        <w:rPr>
          <w:rFonts w:ascii="Aptos" w:hAnsi="Aptos" w:cs="Times New Roman"/>
        </w:rPr>
        <w:t xml:space="preserve"> are “governed by 603 CMR 28.00, federal due process procedures and the Massachusetts Administrative Procedure Act, M.G.L. c. 30A”.</w:t>
      </w:r>
    </w:p>
  </w:footnote>
  <w:footnote w:id="20">
    <w:p w14:paraId="0E6A91A7" w14:textId="1AEF0C0D" w:rsidR="00781E9A" w:rsidRPr="00464B3D" w:rsidRDefault="00781E9A" w:rsidP="00781E9A">
      <w:pPr>
        <w:pStyle w:val="FootnoteText"/>
        <w:rPr>
          <w:rFonts w:ascii="Aptos" w:eastAsia="Times New Roman" w:hAnsi="Aptos" w:cs="Times New Roman"/>
          <w:bCs/>
          <w:color w:val="000000"/>
        </w:rPr>
      </w:pPr>
      <w:r w:rsidRPr="00B356E6">
        <w:rPr>
          <w:rStyle w:val="FootnoteReference"/>
          <w:rFonts w:ascii="Aptos" w:hAnsi="Aptos" w:cs="Times New Roman"/>
        </w:rPr>
        <w:footnoteRef/>
      </w:r>
      <w:r w:rsidRPr="00B356E6">
        <w:rPr>
          <w:rFonts w:ascii="Aptos" w:hAnsi="Aptos" w:cs="Times New Roman"/>
        </w:rPr>
        <w:t xml:space="preserve">  </w:t>
      </w:r>
      <w:r w:rsidRPr="00B356E6">
        <w:rPr>
          <w:rFonts w:ascii="Aptos" w:hAnsi="Aptos" w:cs="Times New Roman"/>
          <w:i/>
          <w:iCs/>
        </w:rPr>
        <w:t xml:space="preserve"> </w:t>
      </w:r>
      <w:r w:rsidR="00EE5BE8" w:rsidRPr="00EE5BE8">
        <w:rPr>
          <w:rFonts w:ascii="Aptos" w:hAnsi="Aptos" w:cs="Times New Roman"/>
          <w:i/>
          <w:iCs/>
        </w:rPr>
        <w:t>Gonzalez-Pina v. Rodriguez</w:t>
      </w:r>
      <w:r w:rsidR="00EE5BE8" w:rsidRPr="00EE5BE8">
        <w:rPr>
          <w:rFonts w:ascii="Aptos" w:hAnsi="Aptos" w:cs="Times New Roman"/>
        </w:rPr>
        <w:t>, 407 F.3d 425, 4</w:t>
      </w:r>
      <w:r w:rsidR="00EE5BE8">
        <w:rPr>
          <w:rFonts w:ascii="Aptos" w:hAnsi="Aptos" w:cs="Times New Roman"/>
        </w:rPr>
        <w:t>30</w:t>
      </w:r>
      <w:r w:rsidR="00EE5BE8" w:rsidRPr="00EE5BE8">
        <w:rPr>
          <w:rFonts w:ascii="Aptos" w:hAnsi="Aptos" w:cs="Times New Roman"/>
        </w:rPr>
        <w:t xml:space="preserve"> (1st Cir. 2005)</w:t>
      </w:r>
      <w:r w:rsidR="00EE5BE8">
        <w:rPr>
          <w:rFonts w:ascii="Aptos" w:hAnsi="Aptos" w:cs="Times New Roman"/>
        </w:rPr>
        <w:t xml:space="preserve"> </w:t>
      </w:r>
      <w:r w:rsidRPr="00B356E6">
        <w:rPr>
          <w:rFonts w:ascii="Aptos" w:hAnsi="Aptos" w:cs="Times New Roman"/>
        </w:rPr>
        <w:t xml:space="preserve">quoting </w:t>
      </w:r>
      <w:r w:rsidRPr="00B356E6">
        <w:rPr>
          <w:rFonts w:ascii="Aptos" w:hAnsi="Aptos" w:cs="Times New Roman"/>
          <w:i/>
          <w:iCs/>
        </w:rPr>
        <w:t>Jackson v. Coalter</w:t>
      </w:r>
      <w:r w:rsidRPr="00B356E6">
        <w:rPr>
          <w:rFonts w:ascii="Aptos" w:hAnsi="Aptos" w:cs="Times New Roman"/>
        </w:rPr>
        <w:t>, 337 F.3d 74, 85 (1st Cir.2003)</w:t>
      </w:r>
      <w:r w:rsidR="00875A7D">
        <w:rPr>
          <w:rFonts w:ascii="Aptos" w:hAnsi="Aptos" w:cs="Times New Roman"/>
        </w:rPr>
        <w:t>,</w:t>
      </w:r>
      <w:r w:rsidRPr="00B356E6">
        <w:rPr>
          <w:rFonts w:ascii="Aptos" w:hAnsi="Aptos" w:cs="Times New Roman"/>
        </w:rPr>
        <w:t xml:space="preserve"> quoting </w:t>
      </w:r>
      <w:r w:rsidRPr="00B356E6">
        <w:rPr>
          <w:rFonts w:ascii="Aptos" w:hAnsi="Aptos" w:cs="Times New Roman"/>
          <w:i/>
          <w:iCs/>
        </w:rPr>
        <w:t>Ashe v. Swenson</w:t>
      </w:r>
      <w:r w:rsidRPr="00B356E6">
        <w:rPr>
          <w:rFonts w:ascii="Aptos" w:hAnsi="Aptos" w:cs="Times New Roman"/>
        </w:rPr>
        <w:t>, 397 U.S. 436, 443 (1970)</w:t>
      </w:r>
      <w:r w:rsidR="001F79FD">
        <w:rPr>
          <w:rFonts w:ascii="Aptos" w:hAnsi="Aptos" w:cs="Times New Roman"/>
        </w:rPr>
        <w:t xml:space="preserve">; see </w:t>
      </w:r>
      <w:r w:rsidR="00AD6115" w:rsidRPr="00B356E6">
        <w:rPr>
          <w:rFonts w:ascii="Aptos" w:eastAsia="Times New Roman" w:hAnsi="Aptos" w:cs="Times New Roman"/>
          <w:bCs/>
          <w:i/>
          <w:iCs/>
          <w:color w:val="000000"/>
        </w:rPr>
        <w:t>Allen v. McCurry</w:t>
      </w:r>
      <w:r w:rsidR="00AD6115" w:rsidRPr="00B356E6">
        <w:rPr>
          <w:rFonts w:ascii="Aptos" w:eastAsia="Times New Roman" w:hAnsi="Aptos" w:cs="Times New Roman"/>
          <w:bCs/>
          <w:color w:val="000000"/>
        </w:rPr>
        <w:t>, 449 U.S. 90, 94 (1980)</w:t>
      </w:r>
      <w:r w:rsidR="00AD6115">
        <w:rPr>
          <w:rFonts w:ascii="Aptos" w:eastAsia="Times New Roman" w:hAnsi="Aptos" w:cs="Times New Roman"/>
          <w:bCs/>
          <w:color w:val="000000"/>
        </w:rPr>
        <w:t xml:space="preserve"> </w:t>
      </w:r>
      <w:r w:rsidR="001F79FD">
        <w:rPr>
          <w:rFonts w:ascii="Aptos" w:eastAsia="Times New Roman" w:hAnsi="Aptos" w:cs="Times New Roman"/>
          <w:bCs/>
          <w:color w:val="000000"/>
        </w:rPr>
        <w:t>(“</w:t>
      </w:r>
      <w:r w:rsidR="00464B3D" w:rsidRPr="00464B3D">
        <w:rPr>
          <w:rFonts w:ascii="Aptos" w:eastAsia="Times New Roman" w:hAnsi="Aptos" w:cs="Times New Roman"/>
          <w:bCs/>
          <w:color w:val="000000"/>
        </w:rPr>
        <w:t>Under collateral estoppel, once a court has decided an issue of fact or law necessary to its judgment, that decision may preclude relitigation of the issue in a suit on a different cause of action involving a party to the first case</w:t>
      </w:r>
      <w:r w:rsidR="00464B3D">
        <w:rPr>
          <w:rFonts w:ascii="Aptos" w:eastAsia="Times New Roman" w:hAnsi="Aptos" w:cs="Times New Roman"/>
          <w:bCs/>
          <w:color w:val="000000"/>
        </w:rPr>
        <w:t>”)</w:t>
      </w:r>
      <w:r w:rsidR="00AD6115">
        <w:rPr>
          <w:rFonts w:ascii="Aptos" w:eastAsia="Times New Roman" w:hAnsi="Aptos" w:cs="Times New Roman"/>
          <w:bCs/>
          <w:color w:val="000000"/>
        </w:rPr>
        <w:t xml:space="preserve"> (internal citations omitted)</w:t>
      </w:r>
      <w:r w:rsidR="006A36E9">
        <w:rPr>
          <w:rFonts w:ascii="Aptos" w:eastAsia="Times New Roman" w:hAnsi="Aptos" w:cs="Times New Roman"/>
          <w:bCs/>
          <w:color w:val="000000"/>
        </w:rPr>
        <w:t xml:space="preserve">; </w:t>
      </w:r>
      <w:r w:rsidR="006A36E9">
        <w:rPr>
          <w:rFonts w:ascii="Aptos" w:eastAsia="Times New Roman" w:hAnsi="Aptos" w:cs="Times New Roman"/>
          <w:bCs/>
          <w:i/>
          <w:iCs/>
          <w:color w:val="000000"/>
        </w:rPr>
        <w:t>Muniz Cortes v. Intermedics, Inc.</w:t>
      </w:r>
      <w:r w:rsidR="006A36E9">
        <w:rPr>
          <w:rFonts w:ascii="Aptos" w:eastAsia="Times New Roman" w:hAnsi="Aptos" w:cs="Times New Roman"/>
          <w:bCs/>
          <w:color w:val="000000"/>
        </w:rPr>
        <w:t>, 229 F.3d 12, 14</w:t>
      </w:r>
      <w:r w:rsidR="0047142C">
        <w:rPr>
          <w:rFonts w:ascii="Aptos" w:eastAsia="Times New Roman" w:hAnsi="Aptos" w:cs="Times New Roman"/>
          <w:bCs/>
          <w:color w:val="000000"/>
        </w:rPr>
        <w:t xml:space="preserve"> (1st Cir, 2000)</w:t>
      </w:r>
      <w:r w:rsidR="006A36E9">
        <w:rPr>
          <w:rFonts w:ascii="Aptos" w:eastAsia="Times New Roman" w:hAnsi="Aptos" w:cs="Times New Roman"/>
          <w:bCs/>
          <w:color w:val="000000"/>
        </w:rPr>
        <w:t xml:space="preserve"> (</w:t>
      </w:r>
      <w:r w:rsidR="00F22654">
        <w:rPr>
          <w:rFonts w:ascii="Aptos" w:eastAsia="Times New Roman" w:hAnsi="Aptos" w:cs="Times New Roman"/>
          <w:bCs/>
          <w:color w:val="000000"/>
        </w:rPr>
        <w:t xml:space="preserve">recognizing that a dismissal for lack of subject matter jurisdiction is not considered to be “on the merits” and therefore is without </w:t>
      </w:r>
      <w:r w:rsidR="00F22654">
        <w:rPr>
          <w:rFonts w:ascii="Aptos" w:eastAsia="Times New Roman" w:hAnsi="Aptos" w:cs="Times New Roman"/>
          <w:bCs/>
          <w:i/>
          <w:iCs/>
          <w:color w:val="000000"/>
        </w:rPr>
        <w:t xml:space="preserve">res judicata </w:t>
      </w:r>
      <w:r w:rsidR="00F22654">
        <w:rPr>
          <w:rFonts w:ascii="Aptos" w:eastAsia="Times New Roman" w:hAnsi="Aptos" w:cs="Times New Roman"/>
          <w:bCs/>
          <w:color w:val="000000"/>
        </w:rPr>
        <w:t xml:space="preserve">effect but holding that </w:t>
      </w:r>
      <w:r w:rsidR="006A36E9">
        <w:rPr>
          <w:rFonts w:ascii="Aptos" w:eastAsia="Times New Roman" w:hAnsi="Aptos" w:cs="Times New Roman"/>
          <w:bCs/>
          <w:color w:val="000000"/>
        </w:rPr>
        <w:t>“</w:t>
      </w:r>
      <w:r w:rsidR="00F22654">
        <w:rPr>
          <w:rFonts w:ascii="Aptos" w:eastAsia="Times New Roman" w:hAnsi="Aptos" w:cs="Times New Roman"/>
          <w:bCs/>
          <w:color w:val="000000"/>
        </w:rPr>
        <w:t>[e]</w:t>
      </w:r>
      <w:r w:rsidR="006A36E9">
        <w:rPr>
          <w:rFonts w:ascii="Aptos" w:eastAsia="Times New Roman" w:hAnsi="Aptos" w:cs="Times New Roman"/>
          <w:bCs/>
          <w:color w:val="000000"/>
        </w:rPr>
        <w:t xml:space="preserve">ven assuming  arguendo that res judicata does not bar the federal district court from </w:t>
      </w:r>
      <w:r w:rsidR="00AF7CBF" w:rsidRPr="00AF7CBF">
        <w:rPr>
          <w:rFonts w:ascii="Aptos" w:eastAsia="Times New Roman" w:hAnsi="Aptos" w:cs="Times New Roman"/>
          <w:bCs/>
          <w:color w:val="000000"/>
        </w:rPr>
        <w:t>adjudicating appellants' </w:t>
      </w:r>
      <w:r w:rsidR="00AF7CBF" w:rsidRPr="00AF7CBF">
        <w:rPr>
          <w:rFonts w:ascii="Aptos" w:eastAsia="Times New Roman" w:hAnsi="Aptos" w:cs="Times New Roman"/>
          <w:bCs/>
          <w:i/>
          <w:iCs/>
          <w:color w:val="000000"/>
        </w:rPr>
        <w:t>claims,</w:t>
      </w:r>
      <w:r w:rsidR="00AF7CBF" w:rsidRPr="00AF7CBF">
        <w:rPr>
          <w:rFonts w:ascii="Aptos" w:eastAsia="Times New Roman" w:hAnsi="Aptos" w:cs="Times New Roman"/>
          <w:bCs/>
          <w:color w:val="000000"/>
        </w:rPr>
        <w:t> the doctrine of collateral estoppel prevents the court from rehearing the </w:t>
      </w:r>
      <w:r w:rsidR="00AF7CBF" w:rsidRPr="00AF7CBF">
        <w:rPr>
          <w:rFonts w:ascii="Aptos" w:eastAsia="Times New Roman" w:hAnsi="Aptos" w:cs="Times New Roman"/>
          <w:bCs/>
          <w:i/>
          <w:iCs/>
          <w:color w:val="000000"/>
        </w:rPr>
        <w:t>issue</w:t>
      </w:r>
      <w:r w:rsidR="00AF7CBF" w:rsidRPr="00AF7CBF">
        <w:rPr>
          <w:rFonts w:ascii="Aptos" w:eastAsia="Times New Roman" w:hAnsi="Aptos" w:cs="Times New Roman"/>
          <w:bCs/>
          <w:color w:val="000000"/>
        </w:rPr>
        <w:t> of preemption</w:t>
      </w:r>
      <w:r w:rsidR="0047142C">
        <w:rPr>
          <w:rFonts w:ascii="Aptos" w:eastAsia="Times New Roman" w:hAnsi="Aptos" w:cs="Times New Roman"/>
          <w:bCs/>
          <w:color w:val="000000"/>
        </w:rPr>
        <w:t>”</w:t>
      </w:r>
      <w:r w:rsidR="00AF7CBF">
        <w:rPr>
          <w:rFonts w:ascii="Aptos" w:eastAsia="Times New Roman" w:hAnsi="Aptos" w:cs="Times New Roman"/>
          <w:bCs/>
          <w:color w:val="000000"/>
        </w:rPr>
        <w:t>) (emphasis in original)</w:t>
      </w:r>
      <w:r w:rsidR="001B1BE8">
        <w:rPr>
          <w:rFonts w:ascii="Aptos" w:eastAsia="Times New Roman" w:hAnsi="Aptos" w:cs="Times New Roman"/>
          <w:bCs/>
          <w:color w:val="000000"/>
        </w:rPr>
        <w:t>.</w:t>
      </w:r>
    </w:p>
  </w:footnote>
  <w:footnote w:id="21">
    <w:p w14:paraId="7A7F38F3" w14:textId="26898D92" w:rsidR="00AD6115" w:rsidRPr="00B356E6" w:rsidRDefault="00AD6115" w:rsidP="00AD6115">
      <w:pPr>
        <w:pStyle w:val="FootnoteText"/>
        <w:rPr>
          <w:rFonts w:ascii="Aptos" w:hAnsi="Aptos" w:cs="Times New Roman"/>
          <w:i/>
          <w:iCs/>
        </w:rPr>
      </w:pPr>
      <w:r w:rsidRPr="00B356E6">
        <w:rPr>
          <w:rStyle w:val="FootnoteReference"/>
          <w:rFonts w:ascii="Aptos" w:hAnsi="Aptos" w:cs="Times New Roman"/>
        </w:rPr>
        <w:footnoteRef/>
      </w:r>
      <w:r w:rsidRPr="00B356E6">
        <w:rPr>
          <w:rFonts w:ascii="Aptos" w:hAnsi="Aptos" w:cs="Times New Roman"/>
        </w:rPr>
        <w:t xml:space="preserve">   </w:t>
      </w:r>
      <w:r w:rsidRPr="00B356E6">
        <w:rPr>
          <w:rFonts w:ascii="Aptos" w:eastAsia="Times New Roman" w:hAnsi="Aptos" w:cs="Times New Roman"/>
          <w:bCs/>
          <w:i/>
          <w:iCs/>
          <w:color w:val="000000"/>
        </w:rPr>
        <w:t>Allen</w:t>
      </w:r>
      <w:r w:rsidRPr="00B356E6">
        <w:rPr>
          <w:rFonts w:ascii="Aptos" w:eastAsia="Times New Roman" w:hAnsi="Aptos" w:cs="Times New Roman"/>
          <w:bCs/>
          <w:color w:val="000000"/>
        </w:rPr>
        <w:t xml:space="preserve">, 449 U.S. </w:t>
      </w:r>
      <w:r>
        <w:rPr>
          <w:rFonts w:ascii="Aptos" w:eastAsia="Times New Roman" w:hAnsi="Aptos" w:cs="Times New Roman"/>
          <w:bCs/>
          <w:color w:val="000000"/>
        </w:rPr>
        <w:t xml:space="preserve">at </w:t>
      </w:r>
      <w:r w:rsidRPr="00B356E6">
        <w:rPr>
          <w:rFonts w:ascii="Aptos" w:eastAsia="Times New Roman" w:hAnsi="Aptos" w:cs="Times New Roman"/>
          <w:bCs/>
          <w:color w:val="000000"/>
        </w:rPr>
        <w:t>94</w:t>
      </w:r>
      <w:r w:rsidRPr="00B356E6">
        <w:rPr>
          <w:rFonts w:ascii="Aptos" w:hAnsi="Aptos" w:cs="Times New Roman"/>
        </w:rPr>
        <w:t>; </w:t>
      </w:r>
      <w:r w:rsidRPr="00B356E6">
        <w:rPr>
          <w:rFonts w:ascii="Aptos" w:hAnsi="Aptos" w:cs="Times New Roman"/>
          <w:i/>
          <w:iCs/>
        </w:rPr>
        <w:t>In Re: Sonus Networks, Inc., Shareholder Derivative Litigation</w:t>
      </w:r>
      <w:r w:rsidRPr="00B356E6">
        <w:rPr>
          <w:rFonts w:ascii="Aptos" w:hAnsi="Aptos" w:cs="Times New Roman"/>
        </w:rPr>
        <w:t>, 499 F.3d 47, 56-57 (1st Cir. 2007); </w:t>
      </w:r>
      <w:r w:rsidRPr="00B356E6">
        <w:rPr>
          <w:rFonts w:ascii="Aptos" w:eastAsia="Times New Roman" w:hAnsi="Aptos" w:cs="Times New Roman"/>
          <w:bCs/>
          <w:i/>
          <w:iCs/>
          <w:color w:val="000000"/>
        </w:rPr>
        <w:t>Kobrin v. Board of Registration in Medicine</w:t>
      </w:r>
      <w:r w:rsidRPr="00B356E6">
        <w:rPr>
          <w:rFonts w:ascii="Aptos" w:eastAsia="Times New Roman" w:hAnsi="Aptos" w:cs="Times New Roman"/>
          <w:bCs/>
          <w:color w:val="000000"/>
        </w:rPr>
        <w:t>, 444 Mass. 837, 843-44 (2005)</w:t>
      </w:r>
      <w:r w:rsidRPr="00B356E6">
        <w:rPr>
          <w:rFonts w:ascii="Aptos" w:hAnsi="Aptos" w:cs="Times New Roman"/>
        </w:rPr>
        <w:t>.</w:t>
      </w:r>
      <w:r w:rsidR="00263C20">
        <w:rPr>
          <w:rFonts w:ascii="Aptos" w:hAnsi="Aptos" w:cs="Times New Roman"/>
        </w:rPr>
        <w:t xml:space="preserve">  </w:t>
      </w:r>
    </w:p>
  </w:footnote>
  <w:footnote w:id="22">
    <w:p w14:paraId="7DB8B823" w14:textId="5FA85C00" w:rsidR="00AD6115" w:rsidRPr="00E7746C" w:rsidRDefault="00AD6115" w:rsidP="00AD6115">
      <w:pPr>
        <w:pStyle w:val="FootnoteText"/>
        <w:rPr>
          <w:rFonts w:ascii="Aptos" w:hAnsi="Aptos" w:cs="Times New Roman"/>
          <w:lang w:val="es-AR"/>
        </w:rPr>
      </w:pPr>
      <w:r w:rsidRPr="00B356E6">
        <w:rPr>
          <w:rStyle w:val="FootnoteReference"/>
          <w:rFonts w:ascii="Aptos" w:hAnsi="Aptos" w:cs="Times New Roman"/>
        </w:rPr>
        <w:footnoteRef/>
      </w:r>
      <w:r w:rsidRPr="00B356E6">
        <w:rPr>
          <w:rFonts w:ascii="Aptos" w:hAnsi="Aptos" w:cs="Times New Roman"/>
        </w:rPr>
        <w:t xml:space="preserve">   </w:t>
      </w:r>
      <w:r w:rsidRPr="00B356E6">
        <w:rPr>
          <w:rFonts w:ascii="Aptos" w:hAnsi="Aptos" w:cs="Times New Roman"/>
          <w:i/>
          <w:iCs/>
        </w:rPr>
        <w:t>Breneman v. U.S. ex rel. F.A.A</w:t>
      </w:r>
      <w:r w:rsidRPr="00B356E6">
        <w:rPr>
          <w:rFonts w:ascii="Aptos" w:hAnsi="Aptos" w:cs="Times New Roman"/>
        </w:rPr>
        <w:t xml:space="preserve">., 381 F.3d 33, 38 (1st Cir. 2004); </w:t>
      </w:r>
      <w:r w:rsidRPr="00B356E6">
        <w:rPr>
          <w:rFonts w:ascii="Aptos" w:hAnsi="Aptos" w:cs="Times New Roman"/>
          <w:i/>
          <w:iCs/>
        </w:rPr>
        <w:t xml:space="preserve">In Re: Marshfield Pub. </w:t>
      </w:r>
      <w:r w:rsidRPr="00E7746C">
        <w:rPr>
          <w:rFonts w:ascii="Aptos" w:hAnsi="Aptos" w:cs="Times New Roman"/>
          <w:i/>
          <w:iCs/>
          <w:lang w:val="es-AR"/>
        </w:rPr>
        <w:t xml:space="preserve">Schs., </w:t>
      </w:r>
      <w:r w:rsidRPr="00E7746C">
        <w:rPr>
          <w:rFonts w:ascii="Aptos" w:hAnsi="Aptos" w:cs="Times New Roman"/>
          <w:lang w:val="es-AR"/>
        </w:rPr>
        <w:t xml:space="preserve">BSEA #2209242, 28 MSER 93 (Kantor Nir, 2022); </w:t>
      </w:r>
      <w:proofErr w:type="spellStart"/>
      <w:r w:rsidRPr="00E7746C">
        <w:rPr>
          <w:rFonts w:ascii="Aptos" w:hAnsi="Aptos" w:cs="Times New Roman"/>
          <w:lang w:val="es-AR"/>
        </w:rPr>
        <w:t>see</w:t>
      </w:r>
      <w:proofErr w:type="spellEnd"/>
      <w:r w:rsidRPr="00E7746C">
        <w:rPr>
          <w:rFonts w:ascii="Aptos" w:hAnsi="Aptos" w:cs="Times New Roman"/>
          <w:lang w:val="es-AR"/>
        </w:rPr>
        <w:t xml:space="preserve"> </w:t>
      </w:r>
      <w:r w:rsidRPr="00E7746C">
        <w:rPr>
          <w:rFonts w:ascii="Aptos" w:hAnsi="Aptos" w:cs="Times New Roman"/>
          <w:i/>
          <w:iCs/>
          <w:lang w:val="es-AR"/>
        </w:rPr>
        <w:t>Gonzalez-</w:t>
      </w:r>
      <w:r w:rsidR="00E7746C" w:rsidRPr="00E7746C">
        <w:rPr>
          <w:rFonts w:ascii="Aptos" w:hAnsi="Aptos" w:cs="Times New Roman"/>
          <w:i/>
          <w:iCs/>
          <w:lang w:val="es-AR"/>
        </w:rPr>
        <w:t>Pina</w:t>
      </w:r>
      <w:r w:rsidRPr="00E7746C">
        <w:rPr>
          <w:rFonts w:ascii="Aptos" w:hAnsi="Aptos" w:cs="Times New Roman"/>
          <w:lang w:val="es-AR"/>
        </w:rPr>
        <w:t xml:space="preserve">, 407 F.3d </w:t>
      </w:r>
      <w:r w:rsidR="00EE5BE8" w:rsidRPr="00E7746C">
        <w:rPr>
          <w:rFonts w:ascii="Aptos" w:hAnsi="Aptos" w:cs="Times New Roman"/>
          <w:lang w:val="es-AR"/>
        </w:rPr>
        <w:t>at 429</w:t>
      </w:r>
      <w:r w:rsidRPr="00E7746C">
        <w:rPr>
          <w:rFonts w:ascii="Aptos" w:hAnsi="Aptos" w:cs="Times New Roman"/>
          <w:lang w:val="es-AR"/>
        </w:rPr>
        <w:t>.</w:t>
      </w:r>
    </w:p>
  </w:footnote>
  <w:footnote w:id="23">
    <w:p w14:paraId="29626C3E" w14:textId="7D3F1B27" w:rsidR="00781E9A" w:rsidRPr="00B356E6" w:rsidRDefault="00781E9A" w:rsidP="00781E9A">
      <w:pPr>
        <w:pStyle w:val="FootnoteText"/>
        <w:rPr>
          <w:rFonts w:ascii="Aptos" w:hAnsi="Aptos"/>
        </w:rPr>
      </w:pPr>
      <w:r w:rsidRPr="00B356E6">
        <w:rPr>
          <w:rStyle w:val="FootnoteReference"/>
          <w:rFonts w:ascii="Aptos" w:hAnsi="Aptos"/>
        </w:rPr>
        <w:footnoteRef/>
      </w:r>
      <w:r w:rsidRPr="00B356E6">
        <w:rPr>
          <w:rFonts w:ascii="Aptos" w:hAnsi="Aptos"/>
        </w:rPr>
        <w:t xml:space="preserve">   See </w:t>
      </w:r>
      <w:r w:rsidRPr="00B356E6">
        <w:rPr>
          <w:rFonts w:ascii="Aptos" w:eastAsia="Times New Roman" w:hAnsi="Aptos" w:cs="Times New Roman"/>
          <w:bCs/>
          <w:i/>
          <w:iCs/>
          <w:color w:val="000000"/>
        </w:rPr>
        <w:t>Allen</w:t>
      </w:r>
      <w:r w:rsidRPr="00B356E6">
        <w:rPr>
          <w:rFonts w:ascii="Aptos" w:eastAsia="Times New Roman" w:hAnsi="Aptos" w:cs="Times New Roman"/>
          <w:bCs/>
          <w:color w:val="000000"/>
        </w:rPr>
        <w:t>, 449 U.S. at 94; </w:t>
      </w:r>
      <w:r w:rsidRPr="00B356E6">
        <w:rPr>
          <w:rFonts w:ascii="Aptos" w:eastAsia="Times New Roman" w:hAnsi="Aptos" w:cs="Times New Roman"/>
          <w:bCs/>
          <w:i/>
          <w:iCs/>
          <w:color w:val="000000"/>
        </w:rPr>
        <w:t xml:space="preserve"> Sonus Networks, Inc</w:t>
      </w:r>
      <w:r w:rsidRPr="00B356E6">
        <w:rPr>
          <w:rFonts w:ascii="Aptos" w:eastAsia="Times New Roman" w:hAnsi="Aptos" w:cs="Times New Roman"/>
          <w:bCs/>
          <w:color w:val="000000"/>
        </w:rPr>
        <w:t>, 499 F.3d at 56-57; </w:t>
      </w:r>
      <w:r w:rsidRPr="00B356E6">
        <w:rPr>
          <w:rFonts w:ascii="Aptos" w:eastAsia="Times New Roman" w:hAnsi="Aptos" w:cs="Times New Roman"/>
          <w:bCs/>
          <w:i/>
          <w:iCs/>
          <w:color w:val="000000"/>
        </w:rPr>
        <w:t>Gonzalez-Pina</w:t>
      </w:r>
      <w:r w:rsidRPr="00B356E6">
        <w:rPr>
          <w:rFonts w:ascii="Aptos" w:eastAsia="Times New Roman" w:hAnsi="Aptos" w:cs="Times New Roman"/>
          <w:bCs/>
          <w:color w:val="000000"/>
        </w:rPr>
        <w:t xml:space="preserve">, 407 F.3d at 429; </w:t>
      </w:r>
      <w:r w:rsidRPr="00B356E6">
        <w:rPr>
          <w:rFonts w:ascii="Aptos" w:eastAsia="Times New Roman" w:hAnsi="Aptos" w:cs="Times New Roman"/>
          <w:bCs/>
          <w:i/>
          <w:iCs/>
          <w:color w:val="000000"/>
        </w:rPr>
        <w:t>Kobrin</w:t>
      </w:r>
      <w:r w:rsidRPr="00B356E6">
        <w:rPr>
          <w:rFonts w:ascii="Aptos" w:eastAsia="Times New Roman" w:hAnsi="Aptos" w:cs="Times New Roman"/>
          <w:bCs/>
          <w:color w:val="000000"/>
        </w:rPr>
        <w:t>, 444 Mass. at 844 (internal citations omitted) (A “final order of an administrative agency in an adjudicatory proceedin</w:t>
      </w:r>
      <w:r w:rsidR="00BF30ED">
        <w:rPr>
          <w:rFonts w:ascii="Aptos" w:eastAsia="Times New Roman" w:hAnsi="Aptos" w:cs="Times New Roman"/>
          <w:bCs/>
          <w:color w:val="000000"/>
        </w:rPr>
        <w:t xml:space="preserve">g not appealed from and as to which the appeal period has expired </w:t>
      </w:r>
      <w:r w:rsidRPr="00B356E6">
        <w:rPr>
          <w:rFonts w:ascii="Aptos" w:eastAsia="Times New Roman" w:hAnsi="Aptos" w:cs="Times New Roman"/>
          <w:bCs/>
          <w:color w:val="000000"/>
        </w:rPr>
        <w:t>precludes relitigation of the same issues between the same parties, just as would a final judgment of a court of competent jurisdiction”).</w:t>
      </w:r>
    </w:p>
  </w:footnote>
  <w:footnote w:id="24">
    <w:p w14:paraId="3FDF3F52" w14:textId="77777777" w:rsidR="00781E9A" w:rsidRPr="00B356E6" w:rsidRDefault="00781E9A" w:rsidP="00781E9A">
      <w:pPr>
        <w:pStyle w:val="FootnoteText"/>
        <w:rPr>
          <w:rFonts w:ascii="Aptos" w:hAnsi="Aptos" w:cs="Times New Roman"/>
        </w:rPr>
      </w:pPr>
      <w:r w:rsidRPr="00B356E6">
        <w:rPr>
          <w:rStyle w:val="FootnoteReference"/>
          <w:rFonts w:ascii="Aptos" w:hAnsi="Aptos" w:cs="Times New Roman"/>
        </w:rPr>
        <w:footnoteRef/>
      </w:r>
      <w:r w:rsidRPr="00B356E6">
        <w:rPr>
          <w:rFonts w:ascii="Aptos" w:hAnsi="Aptos" w:cs="Times New Roman"/>
        </w:rPr>
        <w:t xml:space="preserve">   </w:t>
      </w:r>
      <w:r w:rsidRPr="00B356E6">
        <w:rPr>
          <w:rFonts w:ascii="Aptos" w:hAnsi="Aptos" w:cs="Times New Roman"/>
          <w:i/>
          <w:iCs/>
        </w:rPr>
        <w:t>Apparel Art Int'l, Inc. v. Amertex Enterprises Ltd.</w:t>
      </w:r>
      <w:r w:rsidRPr="00B356E6">
        <w:rPr>
          <w:rFonts w:ascii="Aptos" w:hAnsi="Aptos" w:cs="Times New Roman"/>
        </w:rPr>
        <w:t>, 48 F.3d 576, 583 (1st Cir. 1995).</w:t>
      </w:r>
    </w:p>
  </w:footnote>
  <w:footnote w:id="25">
    <w:p w14:paraId="728CFA7D" w14:textId="77777777" w:rsidR="00781E9A" w:rsidRPr="00B356E6" w:rsidRDefault="00781E9A" w:rsidP="00781E9A">
      <w:pPr>
        <w:pStyle w:val="FootnoteText"/>
        <w:rPr>
          <w:rFonts w:ascii="Aptos" w:hAnsi="Aptos" w:cs="Times New Roman"/>
        </w:rPr>
      </w:pPr>
      <w:r w:rsidRPr="00B356E6">
        <w:rPr>
          <w:rStyle w:val="FootnoteReference"/>
          <w:rFonts w:ascii="Aptos" w:hAnsi="Aptos" w:cs="Times New Roman"/>
        </w:rPr>
        <w:footnoteRef/>
      </w:r>
      <w:r w:rsidRPr="00B356E6">
        <w:rPr>
          <w:rFonts w:ascii="Aptos" w:hAnsi="Aptos" w:cs="Times New Roman"/>
        </w:rPr>
        <w:t xml:space="preserve">   </w:t>
      </w:r>
      <w:r w:rsidRPr="00B356E6">
        <w:rPr>
          <w:rFonts w:ascii="Aptos" w:hAnsi="Aptos" w:cs="Times New Roman"/>
          <w:i/>
          <w:iCs/>
        </w:rPr>
        <w:t>Id.</w:t>
      </w:r>
      <w:r w:rsidRPr="00B356E6">
        <w:rPr>
          <w:rFonts w:ascii="Aptos" w:hAnsi="Aptos" w:cs="Times New Roman"/>
        </w:rPr>
        <w:t xml:space="preserve"> quoting </w:t>
      </w:r>
      <w:r w:rsidRPr="00B356E6">
        <w:rPr>
          <w:rFonts w:ascii="Aptos" w:hAnsi="Aptos" w:cs="Times New Roman"/>
          <w:i/>
          <w:iCs/>
        </w:rPr>
        <w:t>Allen</w:t>
      </w:r>
      <w:r w:rsidRPr="00B356E6">
        <w:rPr>
          <w:rFonts w:ascii="Aptos" w:hAnsi="Aptos" w:cs="Times New Roman"/>
        </w:rPr>
        <w:t>, 449 U.S. at 94.</w:t>
      </w:r>
    </w:p>
  </w:footnote>
  <w:footnote w:id="26">
    <w:p w14:paraId="2572751D" w14:textId="1403C784" w:rsidR="00781E9A" w:rsidRPr="00B356E6" w:rsidRDefault="00781E9A" w:rsidP="00781E9A">
      <w:pPr>
        <w:pStyle w:val="FootnoteText"/>
        <w:rPr>
          <w:rFonts w:ascii="Aptos" w:hAnsi="Aptos"/>
        </w:rPr>
      </w:pPr>
      <w:r w:rsidRPr="00781E9A">
        <w:rPr>
          <w:rStyle w:val="FootnoteReference"/>
          <w:rFonts w:ascii="Aptos" w:hAnsi="Aptos"/>
        </w:rPr>
        <w:footnoteRef/>
      </w:r>
      <w:r w:rsidRPr="00781E9A">
        <w:rPr>
          <w:rFonts w:ascii="Aptos" w:hAnsi="Aptos"/>
        </w:rPr>
        <w:t xml:space="preserve">   </w:t>
      </w:r>
      <w:r w:rsidRPr="00781E9A">
        <w:rPr>
          <w:rFonts w:ascii="Aptos" w:hAnsi="Aptos"/>
          <w:i/>
          <w:iCs/>
        </w:rPr>
        <w:t>In Re: Student 1, Student 2, Student 3, Student 4 &amp; Dudley-Charlton Reg</w:t>
      </w:r>
      <w:r w:rsidR="00875A7D">
        <w:rPr>
          <w:rFonts w:ascii="Aptos" w:hAnsi="Aptos"/>
          <w:i/>
          <w:iCs/>
        </w:rPr>
        <w:t>’</w:t>
      </w:r>
      <w:r w:rsidRPr="00781E9A">
        <w:rPr>
          <w:rFonts w:ascii="Aptos" w:hAnsi="Aptos"/>
          <w:i/>
          <w:iCs/>
        </w:rPr>
        <w:t>l Sch. Dist.</w:t>
      </w:r>
      <w:r w:rsidRPr="00781E9A">
        <w:rPr>
          <w:rFonts w:ascii="Aptos" w:hAnsi="Aptos"/>
        </w:rPr>
        <w:t>, BSEA #2605107, 32</w:t>
      </w:r>
      <w:r>
        <w:rPr>
          <w:rFonts w:ascii="Aptos" w:hAnsi="Aptos"/>
        </w:rPr>
        <w:t xml:space="preserve"> MSER 23 (Mitchell, 2026); </w:t>
      </w:r>
      <w:r w:rsidR="00DD35FC">
        <w:rPr>
          <w:rFonts w:ascii="Aptos" w:hAnsi="Aptos"/>
          <w:i/>
          <w:iCs/>
        </w:rPr>
        <w:t xml:space="preserve">In Re: Dept. of Elem. and Secondary </w:t>
      </w:r>
      <w:r w:rsidR="00DD35FC" w:rsidRPr="00DD35FC">
        <w:rPr>
          <w:rFonts w:ascii="Aptos" w:hAnsi="Aptos"/>
          <w:i/>
          <w:iCs/>
        </w:rPr>
        <w:t>Education,</w:t>
      </w:r>
      <w:r w:rsidR="00DD35FC">
        <w:rPr>
          <w:rFonts w:ascii="Aptos" w:hAnsi="Aptos"/>
        </w:rPr>
        <w:t xml:space="preserve"> BSEA #2607507, 32 MSER 33 (Kantor Nir, 2026) (dismissing Claim E</w:t>
      </w:r>
      <w:r w:rsidR="00261B89">
        <w:rPr>
          <w:rFonts w:ascii="Aptos" w:hAnsi="Aptos"/>
        </w:rPr>
        <w:t xml:space="preserve"> as it involved previous claims that had been dismissed in a prior matter for lack of subject matter jurisdiction</w:t>
      </w:r>
      <w:r w:rsidR="003818C8">
        <w:rPr>
          <w:rFonts w:ascii="Aptos" w:hAnsi="Aptos"/>
        </w:rPr>
        <w:t xml:space="preserve"> recognizing that </w:t>
      </w:r>
      <w:r w:rsidR="008D4651">
        <w:rPr>
          <w:rFonts w:ascii="Aptos" w:hAnsi="Aptos"/>
        </w:rPr>
        <w:t>although “a ‘</w:t>
      </w:r>
      <w:r w:rsidR="008D4651" w:rsidRPr="008D4651">
        <w:rPr>
          <w:rFonts w:ascii="Aptos" w:hAnsi="Aptos"/>
        </w:rPr>
        <w:t>dismissal for lack of subject matter jurisdiction is not considered to be 'on the merits,' and therefore is without res judicata effect</w:t>
      </w:r>
      <w:r w:rsidR="008772D9">
        <w:rPr>
          <w:rFonts w:ascii="Aptos" w:hAnsi="Aptos"/>
        </w:rPr>
        <w:t>’</w:t>
      </w:r>
      <w:r w:rsidR="008D4651">
        <w:rPr>
          <w:rFonts w:ascii="Aptos" w:hAnsi="Aptos"/>
        </w:rPr>
        <w:t xml:space="preserve">… </w:t>
      </w:r>
      <w:r w:rsidR="008D4651" w:rsidRPr="008D4651">
        <w:rPr>
          <w:rFonts w:ascii="Aptos" w:hAnsi="Aptos"/>
        </w:rPr>
        <w:t xml:space="preserve">the First Circuit has found that </w:t>
      </w:r>
      <w:r w:rsidR="008772D9">
        <w:rPr>
          <w:rFonts w:ascii="Aptos" w:hAnsi="Aptos"/>
        </w:rPr>
        <w:t>‘</w:t>
      </w:r>
      <w:r w:rsidR="008D4651" w:rsidRPr="008D4651">
        <w:rPr>
          <w:rFonts w:ascii="Aptos" w:hAnsi="Aptos"/>
        </w:rPr>
        <w:t>dismissal for lack of subject matter jurisdiction precludes re[-]litigation of the issues determined in ruling on the jurisdictional question</w:t>
      </w:r>
      <w:r w:rsidR="008772D9">
        <w:rPr>
          <w:rFonts w:ascii="Aptos" w:hAnsi="Aptos"/>
        </w:rPr>
        <w:t xml:space="preserve">’), citing </w:t>
      </w:r>
      <w:r w:rsidR="00A12B4B" w:rsidRPr="00A12B4B">
        <w:rPr>
          <w:rFonts w:ascii="Aptos" w:hAnsi="Aptos"/>
          <w:i/>
          <w:iCs/>
        </w:rPr>
        <w:t>Muniz Cortes,</w:t>
      </w:r>
      <w:r w:rsidR="00A12B4B" w:rsidRPr="00A12B4B">
        <w:rPr>
          <w:rFonts w:ascii="Aptos" w:hAnsi="Aptos"/>
        </w:rPr>
        <w:t xml:space="preserve"> 229 F.3d </w:t>
      </w:r>
      <w:r w:rsidR="00A0762C">
        <w:rPr>
          <w:rFonts w:ascii="Aptos" w:hAnsi="Aptos"/>
        </w:rPr>
        <w:t>at</w:t>
      </w:r>
      <w:r w:rsidR="00A12B4B" w:rsidRPr="00A12B4B">
        <w:rPr>
          <w:rFonts w:ascii="Aptos" w:hAnsi="Aptos"/>
        </w:rPr>
        <w:t xml:space="preserve"> 14</w:t>
      </w:r>
      <w:r w:rsidR="00A12B4B">
        <w:rPr>
          <w:rFonts w:ascii="Aptos" w:hAnsi="Aptos"/>
        </w:rPr>
        <w:t>-15;</w:t>
      </w:r>
      <w:r w:rsidR="008D4651">
        <w:rPr>
          <w:rFonts w:ascii="Aptos" w:hAnsi="Aptos"/>
        </w:rPr>
        <w:t xml:space="preserve"> </w:t>
      </w:r>
      <w:r w:rsidRPr="00DD35FC">
        <w:rPr>
          <w:rFonts w:ascii="Aptos" w:hAnsi="Aptos"/>
        </w:rPr>
        <w:t>In</w:t>
      </w:r>
      <w:r w:rsidRPr="00B356E6">
        <w:rPr>
          <w:rFonts w:ascii="Aptos" w:hAnsi="Aptos"/>
          <w:i/>
          <w:iCs/>
        </w:rPr>
        <w:t xml:space="preserve"> Re:  Walpole Pub. Schs.</w:t>
      </w:r>
      <w:r w:rsidRPr="00B356E6">
        <w:rPr>
          <w:rFonts w:ascii="Aptos" w:hAnsi="Aptos"/>
        </w:rPr>
        <w:t>, BSEA #1701652, 22 MSER 199 (Putney-Yaceshyn, 2016)</w:t>
      </w:r>
      <w:r>
        <w:rPr>
          <w:rFonts w:ascii="Aptos" w:hAnsi="Aptos"/>
        </w:rPr>
        <w:t>; s</w:t>
      </w:r>
      <w:r w:rsidRPr="00B356E6">
        <w:rPr>
          <w:rFonts w:ascii="Aptos" w:hAnsi="Aptos"/>
        </w:rPr>
        <w:t xml:space="preserve">ee </w:t>
      </w:r>
      <w:r w:rsidRPr="00781E9A">
        <w:rPr>
          <w:rFonts w:ascii="Aptos" w:hAnsi="Aptos"/>
          <w:i/>
          <w:iCs/>
        </w:rPr>
        <w:t>In Re: Springfield Pub. Schs., et. al., </w:t>
      </w:r>
      <w:r w:rsidRPr="00781E9A">
        <w:rPr>
          <w:rFonts w:ascii="Aptos" w:hAnsi="Aptos"/>
        </w:rPr>
        <w:t xml:space="preserve">BSEA </w:t>
      </w:r>
      <w:r w:rsidR="002C6614">
        <w:rPr>
          <w:rFonts w:ascii="Aptos" w:hAnsi="Aptos"/>
        </w:rPr>
        <w:t>#</w:t>
      </w:r>
      <w:r w:rsidRPr="00781E9A">
        <w:rPr>
          <w:rFonts w:ascii="Aptos" w:hAnsi="Aptos"/>
        </w:rPr>
        <w:t>2309351, 29 MSER 154 (Mitchell, 2023)</w:t>
      </w:r>
      <w:r w:rsidRPr="00B356E6">
        <w:rPr>
          <w:rFonts w:ascii="Aptos" w:hAnsi="Aptos"/>
          <w:bCs/>
        </w:rPr>
        <w:t xml:space="preserve">; </w:t>
      </w:r>
      <w:r w:rsidRPr="00B356E6">
        <w:rPr>
          <w:rFonts w:ascii="Aptos" w:hAnsi="Aptos" w:cs="Times New Roman"/>
          <w:i/>
          <w:iCs/>
        </w:rPr>
        <w:t>In Re: Marshfield</w:t>
      </w:r>
      <w:r w:rsidRPr="00B356E6">
        <w:rPr>
          <w:rFonts w:ascii="Aptos" w:hAnsi="Aptos" w:cs="Times New Roman"/>
        </w:rPr>
        <w:t xml:space="preserve">, BSEA #2209242; </w:t>
      </w:r>
      <w:r w:rsidRPr="00B356E6">
        <w:rPr>
          <w:rFonts w:ascii="Aptos" w:hAnsi="Aptos" w:cs="Times New Roman"/>
          <w:i/>
          <w:iCs/>
        </w:rPr>
        <w:t>In Re: [DESE] and Xili</w:t>
      </w:r>
      <w:r w:rsidRPr="00B356E6">
        <w:rPr>
          <w:rFonts w:ascii="Aptos" w:hAnsi="Aptos" w:cs="Times New Roman"/>
        </w:rPr>
        <w:t xml:space="preserve">, BSEA #1802999, 24 MSER 14 (Byrne 2018) (“The common law doctrine of estoppel … prevents BSEA consideration of the Parent's residency-related claims as a Court in this jurisdiction considered and disposed of the same claims, arising from the same factual allegations against the same party. That ruling is binding on the BSEA”); </w:t>
      </w:r>
      <w:r w:rsidRPr="00B356E6">
        <w:rPr>
          <w:rFonts w:ascii="Aptos" w:hAnsi="Aptos" w:cs="Times New Roman"/>
          <w:i/>
          <w:iCs/>
        </w:rPr>
        <w:t>In Re: The Gifford School and XiLi</w:t>
      </w:r>
      <w:r w:rsidRPr="00B356E6">
        <w:rPr>
          <w:rFonts w:ascii="Aptos" w:hAnsi="Aptos" w:cs="Times New Roman"/>
        </w:rPr>
        <w:t>, BSEA #1803736, 24 MSER 18 (Byrne 2018) (“[t]he Parent now seeks to assert the same facts and the same claims for the same time period against the same party in interest/privy, [but t]raditional doctrines of estoppel preclude BSEA consideration of those previously determined facts and claims” (citation omitted)).</w:t>
      </w:r>
    </w:p>
  </w:footnote>
  <w:footnote w:id="27">
    <w:p w14:paraId="68A945F5" w14:textId="1884236C" w:rsidR="00781E9A" w:rsidRPr="004E4EE7" w:rsidRDefault="00781E9A" w:rsidP="00781E9A">
      <w:pPr>
        <w:rPr>
          <w:rFonts w:ascii="Aptos" w:eastAsia="Times New Roman" w:hAnsi="Aptos" w:cs="Times New Roman"/>
          <w:bCs/>
          <w:color w:val="000000"/>
          <w:sz w:val="20"/>
          <w:szCs w:val="20"/>
        </w:rPr>
      </w:pPr>
      <w:r w:rsidRPr="004E4EE7">
        <w:rPr>
          <w:rStyle w:val="FootnoteReference"/>
          <w:rFonts w:ascii="Aptos" w:hAnsi="Aptos"/>
        </w:rPr>
        <w:footnoteRef/>
      </w:r>
      <w:r w:rsidRPr="004E4EE7">
        <w:rPr>
          <w:rFonts w:ascii="Aptos" w:hAnsi="Aptos"/>
          <w:sz w:val="20"/>
          <w:szCs w:val="20"/>
        </w:rPr>
        <w:t xml:space="preserve">   </w:t>
      </w:r>
      <w:r w:rsidRPr="004E4EE7">
        <w:rPr>
          <w:rFonts w:ascii="Aptos" w:hAnsi="Aptos"/>
          <w:i/>
          <w:iCs/>
          <w:sz w:val="20"/>
          <w:szCs w:val="20"/>
        </w:rPr>
        <w:t>In Re:  Springfield Pub. Schs.</w:t>
      </w:r>
      <w:r w:rsidRPr="004E4EE7">
        <w:rPr>
          <w:rFonts w:ascii="Aptos" w:hAnsi="Aptos"/>
          <w:sz w:val="20"/>
          <w:szCs w:val="20"/>
        </w:rPr>
        <w:t xml:space="preserve">, BSEA </w:t>
      </w:r>
      <w:r w:rsidR="00500E5D">
        <w:rPr>
          <w:rFonts w:ascii="Aptos" w:hAnsi="Aptos"/>
          <w:sz w:val="20"/>
          <w:szCs w:val="20"/>
        </w:rPr>
        <w:t>#</w:t>
      </w:r>
      <w:r w:rsidRPr="004E4EE7">
        <w:rPr>
          <w:rFonts w:ascii="Aptos" w:hAnsi="Aptos"/>
          <w:sz w:val="20"/>
          <w:szCs w:val="20"/>
        </w:rPr>
        <w:t xml:space="preserve">2203555, 28 MSER 111 (Berman, 2022) citing </w:t>
      </w:r>
      <w:r w:rsidRPr="004E4EE7">
        <w:rPr>
          <w:rFonts w:ascii="Aptos" w:eastAsia="Times New Roman" w:hAnsi="Aptos" w:cs="Times New Roman"/>
          <w:bCs/>
          <w:i/>
          <w:iCs/>
          <w:color w:val="000000"/>
          <w:sz w:val="20"/>
          <w:szCs w:val="20"/>
        </w:rPr>
        <w:t>Globe Newspaper Co. v. Beacon Hill Architectural Comm.</w:t>
      </w:r>
      <w:r w:rsidRPr="004E4EE7">
        <w:rPr>
          <w:rFonts w:ascii="Aptos" w:eastAsia="Times New Roman" w:hAnsi="Aptos" w:cs="Times New Roman"/>
          <w:bCs/>
          <w:color w:val="000000"/>
          <w:sz w:val="20"/>
          <w:szCs w:val="20"/>
        </w:rPr>
        <w:t>, 421 Mass. 570, 586 (1996) (“Any judicial review of agency action embodies the principle that an agency has no inherent authority beyond its enabling act and therefore it may do nothing that contradicts such legislation”); see</w:t>
      </w:r>
      <w:r w:rsidRPr="004E4EE7">
        <w:rPr>
          <w:rFonts w:ascii="Aptos" w:hAnsi="Aptos"/>
          <w:sz w:val="20"/>
          <w:szCs w:val="20"/>
        </w:rPr>
        <w:t xml:space="preserve"> </w:t>
      </w:r>
      <w:r w:rsidRPr="004E4EE7">
        <w:rPr>
          <w:rFonts w:ascii="Aptos" w:hAnsi="Aptos" w:cs="Times New Roman"/>
          <w:sz w:val="20"/>
          <w:szCs w:val="20"/>
        </w:rPr>
        <w:t>20 U.S.C. §1400 </w:t>
      </w:r>
      <w:r w:rsidRPr="004E4EE7">
        <w:rPr>
          <w:rFonts w:ascii="Aptos" w:hAnsi="Aptos" w:cs="Times New Roman"/>
          <w:i/>
          <w:iCs/>
          <w:sz w:val="20"/>
          <w:szCs w:val="20"/>
        </w:rPr>
        <w:t>et. seq</w:t>
      </w:r>
      <w:r w:rsidRPr="004E4EE7">
        <w:rPr>
          <w:rFonts w:ascii="Aptos" w:hAnsi="Aptos" w:cs="Times New Roman"/>
          <w:sz w:val="20"/>
          <w:szCs w:val="20"/>
        </w:rPr>
        <w:t xml:space="preserve">; M.G.L. 71B; 29 U.S.C. §794; </w:t>
      </w:r>
      <w:r w:rsidRPr="004E4EE7">
        <w:rPr>
          <w:rFonts w:ascii="Aptos" w:hAnsi="Aptos"/>
          <w:i/>
          <w:iCs/>
          <w:sz w:val="20"/>
          <w:szCs w:val="20"/>
        </w:rPr>
        <w:t>In Re: Student &amp; Quincy Pub. Sch. and Dept. of Elem</w:t>
      </w:r>
      <w:r>
        <w:rPr>
          <w:rFonts w:ascii="Aptos" w:hAnsi="Aptos"/>
          <w:i/>
          <w:iCs/>
          <w:sz w:val="20"/>
          <w:szCs w:val="20"/>
        </w:rPr>
        <w:t>.</w:t>
      </w:r>
      <w:r w:rsidRPr="004E4EE7">
        <w:rPr>
          <w:rFonts w:ascii="Aptos" w:hAnsi="Aptos"/>
          <w:i/>
          <w:iCs/>
          <w:sz w:val="20"/>
          <w:szCs w:val="20"/>
        </w:rPr>
        <w:t xml:space="preserve"> and Secondary Education, </w:t>
      </w:r>
      <w:r w:rsidRPr="004E4EE7">
        <w:rPr>
          <w:rFonts w:ascii="Aptos" w:hAnsi="Aptos"/>
          <w:sz w:val="20"/>
          <w:szCs w:val="20"/>
        </w:rPr>
        <w:t xml:space="preserve">BSEA </w:t>
      </w:r>
      <w:r w:rsidR="00031236">
        <w:rPr>
          <w:rFonts w:ascii="Aptos" w:hAnsi="Aptos"/>
          <w:sz w:val="20"/>
          <w:szCs w:val="20"/>
        </w:rPr>
        <w:t>#</w:t>
      </w:r>
      <w:r w:rsidRPr="004E4EE7">
        <w:rPr>
          <w:rFonts w:ascii="Aptos" w:hAnsi="Aptos"/>
          <w:sz w:val="20"/>
          <w:szCs w:val="20"/>
        </w:rPr>
        <w:t xml:space="preserve">2408249, 30 MSER 176 (Mitchell, 2024); </w:t>
      </w:r>
      <w:r w:rsidRPr="004E4EE7">
        <w:rPr>
          <w:rFonts w:ascii="Aptos" w:hAnsi="Aptos"/>
          <w:i/>
          <w:iCs/>
          <w:sz w:val="20"/>
          <w:szCs w:val="20"/>
        </w:rPr>
        <w:t>In Re: Holyoke Pub. Sch. and Jay</w:t>
      </w:r>
      <w:r w:rsidRPr="004E4EE7">
        <w:rPr>
          <w:rFonts w:ascii="Aptos" w:hAnsi="Aptos"/>
          <w:sz w:val="20"/>
          <w:szCs w:val="20"/>
        </w:rPr>
        <w:t xml:space="preserve">, BSEA </w:t>
      </w:r>
      <w:r w:rsidR="00031236">
        <w:rPr>
          <w:rFonts w:ascii="Aptos" w:hAnsi="Aptos"/>
          <w:sz w:val="20"/>
          <w:szCs w:val="20"/>
        </w:rPr>
        <w:t>#</w:t>
      </w:r>
      <w:r w:rsidRPr="004E4EE7">
        <w:rPr>
          <w:rFonts w:ascii="Aptos" w:hAnsi="Aptos"/>
          <w:sz w:val="20"/>
          <w:szCs w:val="20"/>
        </w:rPr>
        <w:t>1800619, 24 MSER 20 (Oliver, 2018).</w:t>
      </w:r>
    </w:p>
  </w:footnote>
  <w:footnote w:id="28">
    <w:p w14:paraId="40EDA9C9" w14:textId="77777777" w:rsidR="00781E9A" w:rsidRPr="004E4EE7" w:rsidRDefault="00781E9A" w:rsidP="00781E9A">
      <w:pPr>
        <w:pStyle w:val="FootnoteText"/>
        <w:rPr>
          <w:rFonts w:ascii="Aptos" w:hAnsi="Aptos" w:cs="Times New Roman"/>
        </w:rPr>
      </w:pPr>
      <w:r w:rsidRPr="004E4EE7">
        <w:rPr>
          <w:rStyle w:val="FootnoteReference"/>
          <w:rFonts w:ascii="Aptos" w:hAnsi="Aptos" w:cs="Times New Roman"/>
        </w:rPr>
        <w:footnoteRef/>
      </w:r>
      <w:r w:rsidRPr="004E4EE7">
        <w:rPr>
          <w:rFonts w:ascii="Aptos" w:hAnsi="Aptos" w:cs="Times New Roman"/>
        </w:rPr>
        <w:t xml:space="preserve">   See 34 CFR 300.507(a)(1).</w:t>
      </w:r>
    </w:p>
  </w:footnote>
  <w:footnote w:id="29">
    <w:p w14:paraId="78975F6E" w14:textId="117B3299" w:rsidR="00781E9A" w:rsidRPr="004E4EE7" w:rsidRDefault="00781E9A" w:rsidP="00781E9A">
      <w:pPr>
        <w:pStyle w:val="FootnoteText"/>
        <w:rPr>
          <w:rFonts w:ascii="Aptos" w:hAnsi="Aptos"/>
        </w:rPr>
      </w:pPr>
      <w:r w:rsidRPr="004E4EE7">
        <w:rPr>
          <w:rStyle w:val="FootnoteReference"/>
          <w:rFonts w:ascii="Aptos" w:hAnsi="Aptos"/>
        </w:rPr>
        <w:footnoteRef/>
      </w:r>
      <w:r w:rsidRPr="004E4EE7">
        <w:rPr>
          <w:rFonts w:ascii="Aptos" w:hAnsi="Aptos"/>
        </w:rPr>
        <w:t xml:space="preserve">   See </w:t>
      </w:r>
      <w:r w:rsidRPr="004E4EE7">
        <w:rPr>
          <w:rFonts w:ascii="Aptos" w:hAnsi="Aptos" w:cs="Times New Roman"/>
        </w:rPr>
        <w:t>603 CMR 28.08(3)(a) (providing for the BSEA to hear “… any matter concerning the eligibility, evaluation, placement, IEP, provision of special education in accordance with state and federal law or the procedural protections of state and federal law for students with disabilities”)</w:t>
      </w:r>
      <w:r w:rsidR="00467D38">
        <w:rPr>
          <w:rFonts w:ascii="Aptos" w:hAnsi="Aptos" w:cs="Times New Roman"/>
        </w:rPr>
        <w:t>.</w:t>
      </w:r>
    </w:p>
  </w:footnote>
  <w:footnote w:id="30">
    <w:p w14:paraId="1BB23B84" w14:textId="14B4AB17" w:rsidR="00781E9A" w:rsidRDefault="00781E9A">
      <w:pPr>
        <w:pStyle w:val="FootnoteText"/>
      </w:pPr>
      <w:r>
        <w:rPr>
          <w:rStyle w:val="FootnoteReference"/>
        </w:rPr>
        <w:footnoteRef/>
      </w:r>
      <w:r>
        <w:t xml:space="preserve">   34 CFR 300.300(4)(i) and (ii); see 603 CMR 28.07(1)(a)(2) and (4) (recognizing a “parent’s right to discontinue special education and related services provide to his or her child by notifying the school district in writing that the parent revokes consent to the continued provision of all” such services and obligating a district who receives such a notice to respond “promptly by sending notice to the parent of the district’s intention to discontinue all special education and related services to the student 10 school days from the date of the district’s notice based on the parent’s revocation of consent”).</w:t>
      </w:r>
    </w:p>
  </w:footnote>
  <w:footnote w:id="31">
    <w:p w14:paraId="271E866E" w14:textId="20816C33" w:rsidR="00781E9A" w:rsidRDefault="00781E9A">
      <w:pPr>
        <w:pStyle w:val="FootnoteText"/>
      </w:pPr>
      <w:r>
        <w:rPr>
          <w:rStyle w:val="FootnoteReference"/>
        </w:rPr>
        <w:footnoteRef/>
      </w:r>
      <w:r>
        <w:t xml:space="preserve">   34 CFR 300.300(4)(ii) and (iii).</w:t>
      </w:r>
    </w:p>
  </w:footnote>
  <w:footnote w:id="32">
    <w:p w14:paraId="7D0706A7" w14:textId="77777777" w:rsidR="00781E9A" w:rsidRPr="001C7828" w:rsidRDefault="00781E9A" w:rsidP="00781E9A">
      <w:pPr>
        <w:pStyle w:val="FootnoteText"/>
        <w:rPr>
          <w:rFonts w:ascii="Aptos" w:hAnsi="Aptos" w:cs="Times New Roman"/>
        </w:rPr>
      </w:pPr>
      <w:r w:rsidRPr="001C7828">
        <w:rPr>
          <w:rStyle w:val="FootnoteReference"/>
          <w:rFonts w:ascii="Aptos" w:hAnsi="Aptos" w:cs="Times New Roman"/>
        </w:rPr>
        <w:footnoteRef/>
      </w:r>
      <w:r w:rsidRPr="00781E9A">
        <w:rPr>
          <w:rFonts w:ascii="Aptos" w:hAnsi="Aptos" w:cs="Times New Roman"/>
        </w:rPr>
        <w:t xml:space="preserve">   20 USC 1415(f)(3)(C); 34 CFR 300.507(a)(2); 34 CFR 300.511(e).  </w:t>
      </w:r>
      <w:r w:rsidRPr="001C7828">
        <w:rPr>
          <w:rFonts w:ascii="Aptos" w:hAnsi="Aptos" w:cs="Times New Roman"/>
        </w:rPr>
        <w:t>Massachusetts does not have a different limitation period for special education due process proceedings.</w:t>
      </w:r>
    </w:p>
  </w:footnote>
  <w:footnote w:id="33">
    <w:p w14:paraId="11973CAA" w14:textId="77777777" w:rsidR="00781E9A" w:rsidRPr="001C7828" w:rsidRDefault="00781E9A" w:rsidP="00781E9A">
      <w:pPr>
        <w:pStyle w:val="FootnoteText"/>
        <w:rPr>
          <w:rFonts w:ascii="Aptos" w:hAnsi="Aptos" w:cs="Times New Roman"/>
        </w:rPr>
      </w:pPr>
      <w:r w:rsidRPr="001C7828">
        <w:rPr>
          <w:rStyle w:val="FootnoteReference"/>
          <w:rFonts w:ascii="Aptos" w:hAnsi="Aptos" w:cs="Times New Roman"/>
        </w:rPr>
        <w:footnoteRef/>
      </w:r>
      <w:r w:rsidRPr="001C7828">
        <w:rPr>
          <w:rFonts w:ascii="Aptos" w:hAnsi="Aptos" w:cs="Times New Roman"/>
        </w:rPr>
        <w:t xml:space="preserve">   20 USC 1415(f)(3)(D); 34 CFR 300.511(f).</w:t>
      </w:r>
    </w:p>
  </w:footnote>
  <w:footnote w:id="34">
    <w:p w14:paraId="7D3E261C" w14:textId="13DE61B5" w:rsidR="00810989" w:rsidRDefault="00810989">
      <w:pPr>
        <w:pStyle w:val="FootnoteText"/>
      </w:pPr>
      <w:r>
        <w:rPr>
          <w:rStyle w:val="FootnoteReference"/>
        </w:rPr>
        <w:footnoteRef/>
      </w:r>
      <w:r>
        <w:t xml:space="preserve">   See </w:t>
      </w:r>
      <w:r w:rsidR="008F2551" w:rsidRPr="00A12B4B">
        <w:rPr>
          <w:rFonts w:ascii="Aptos" w:hAnsi="Aptos"/>
          <w:i/>
          <w:iCs/>
        </w:rPr>
        <w:t>Muniz Cortes,</w:t>
      </w:r>
      <w:r w:rsidR="008F2551" w:rsidRPr="00A12B4B">
        <w:rPr>
          <w:rFonts w:ascii="Aptos" w:hAnsi="Aptos"/>
        </w:rPr>
        <w:t xml:space="preserve"> 229 F.3d </w:t>
      </w:r>
      <w:r w:rsidR="008F2551">
        <w:rPr>
          <w:rFonts w:ascii="Aptos" w:hAnsi="Aptos"/>
        </w:rPr>
        <w:t>at</w:t>
      </w:r>
      <w:r w:rsidR="008F2551" w:rsidRPr="00A12B4B">
        <w:rPr>
          <w:rFonts w:ascii="Aptos" w:hAnsi="Aptos"/>
        </w:rPr>
        <w:t xml:space="preserve"> 14</w:t>
      </w:r>
      <w:r w:rsidR="008F2551">
        <w:rPr>
          <w:rFonts w:ascii="Aptos" w:hAnsi="Aptos"/>
        </w:rPr>
        <w:t>-15.</w:t>
      </w:r>
    </w:p>
  </w:footnote>
  <w:footnote w:id="35">
    <w:p w14:paraId="1F3E2994" w14:textId="04CC3AAA" w:rsidR="00781E9A" w:rsidRPr="00B356E6" w:rsidRDefault="00781E9A" w:rsidP="00781E9A">
      <w:pPr>
        <w:pStyle w:val="FootnoteText"/>
        <w:rPr>
          <w:rFonts w:ascii="Aptos" w:hAnsi="Aptos" w:cs="Times New Roman"/>
        </w:rPr>
      </w:pPr>
      <w:r w:rsidRPr="00B356E6">
        <w:rPr>
          <w:rStyle w:val="FootnoteReference"/>
          <w:rFonts w:ascii="Aptos" w:hAnsi="Aptos" w:cs="Times New Roman"/>
        </w:rPr>
        <w:footnoteRef/>
      </w:r>
      <w:r w:rsidRPr="00B356E6">
        <w:rPr>
          <w:rFonts w:ascii="Aptos" w:hAnsi="Aptos" w:cs="Times New Roman"/>
        </w:rPr>
        <w:t xml:space="preserve">   </w:t>
      </w:r>
      <w:r w:rsidRPr="00B356E6">
        <w:rPr>
          <w:rFonts w:ascii="Aptos" w:hAnsi="Aptos" w:cs="Times New Roman"/>
          <w:i/>
          <w:iCs/>
        </w:rPr>
        <w:t>Apparel Art Int'l, Inc.</w:t>
      </w:r>
      <w:r w:rsidRPr="00B356E6">
        <w:rPr>
          <w:rFonts w:ascii="Aptos" w:hAnsi="Aptos" w:cs="Times New Roman"/>
        </w:rPr>
        <w:t xml:space="preserve">, 48 F.3d </w:t>
      </w:r>
      <w:r>
        <w:rPr>
          <w:rFonts w:ascii="Aptos" w:hAnsi="Aptos" w:cs="Times New Roman"/>
        </w:rPr>
        <w:t xml:space="preserve">at </w:t>
      </w:r>
      <w:r w:rsidRPr="00B356E6">
        <w:rPr>
          <w:rFonts w:ascii="Aptos" w:hAnsi="Aptos" w:cs="Times New Roman"/>
        </w:rPr>
        <w:t>583.</w:t>
      </w:r>
    </w:p>
  </w:footnote>
  <w:footnote w:id="36">
    <w:p w14:paraId="2ECDE7D0" w14:textId="77777777" w:rsidR="00781E9A" w:rsidRPr="00B356E6" w:rsidRDefault="00781E9A" w:rsidP="00781E9A">
      <w:pPr>
        <w:pStyle w:val="FootnoteText"/>
        <w:rPr>
          <w:rFonts w:ascii="Aptos" w:hAnsi="Aptos" w:cs="Times New Roman"/>
        </w:rPr>
      </w:pPr>
      <w:r w:rsidRPr="00B356E6">
        <w:rPr>
          <w:rStyle w:val="FootnoteReference"/>
          <w:rFonts w:ascii="Aptos" w:hAnsi="Aptos" w:cs="Times New Roman"/>
        </w:rPr>
        <w:footnoteRef/>
      </w:r>
      <w:r w:rsidRPr="00B356E6">
        <w:rPr>
          <w:rFonts w:ascii="Aptos" w:hAnsi="Aptos" w:cs="Times New Roman"/>
        </w:rPr>
        <w:t xml:space="preserve">   </w:t>
      </w:r>
      <w:r w:rsidRPr="00B356E6">
        <w:rPr>
          <w:rFonts w:ascii="Aptos" w:hAnsi="Aptos" w:cs="Times New Roman"/>
          <w:i/>
          <w:iCs/>
        </w:rPr>
        <w:t>Id.</w:t>
      </w:r>
      <w:r w:rsidRPr="00B356E6">
        <w:rPr>
          <w:rFonts w:ascii="Aptos" w:hAnsi="Aptos" w:cs="Times New Roman"/>
        </w:rPr>
        <w:t xml:space="preserve"> quoting </w:t>
      </w:r>
      <w:r w:rsidRPr="00B356E6">
        <w:rPr>
          <w:rFonts w:ascii="Aptos" w:hAnsi="Aptos" w:cs="Times New Roman"/>
          <w:i/>
          <w:iCs/>
        </w:rPr>
        <w:t>Allen</w:t>
      </w:r>
      <w:r w:rsidRPr="00B356E6">
        <w:rPr>
          <w:rFonts w:ascii="Aptos" w:hAnsi="Aptos" w:cs="Times New Roman"/>
        </w:rPr>
        <w:t>, 449 U.S. at 94.</w:t>
      </w:r>
    </w:p>
  </w:footnote>
  <w:footnote w:id="37">
    <w:p w14:paraId="134BBE29" w14:textId="238358C6" w:rsidR="00781E9A" w:rsidRDefault="00781E9A">
      <w:pPr>
        <w:pStyle w:val="FootnoteText"/>
      </w:pPr>
      <w:r>
        <w:rPr>
          <w:rStyle w:val="FootnoteReference"/>
        </w:rPr>
        <w:footnoteRef/>
      </w:r>
      <w:r>
        <w:t xml:space="preserve">   34 CFR 300.300(4); 603 CMR 28.07(1)(a).</w:t>
      </w:r>
      <w:r w:rsidR="00355929">
        <w:t xml:space="preserve"> (P-</w:t>
      </w:r>
      <w:r w:rsidR="0051724B">
        <w:t>C)</w:t>
      </w:r>
      <w:r w:rsidR="003A12C4">
        <w:t>.</w:t>
      </w:r>
    </w:p>
  </w:footnote>
  <w:footnote w:id="38">
    <w:p w14:paraId="756ED61A" w14:textId="6F6CF45F" w:rsidR="00781E9A" w:rsidRPr="002570C3" w:rsidRDefault="00781E9A" w:rsidP="00781E9A">
      <w:pPr>
        <w:pStyle w:val="FootnoteText"/>
        <w:rPr>
          <w:i/>
          <w:iCs/>
          <w:highlight w:val="yellow"/>
        </w:rPr>
      </w:pPr>
      <w:r>
        <w:rPr>
          <w:rStyle w:val="FootnoteReference"/>
        </w:rPr>
        <w:footnoteRef/>
      </w:r>
      <w:r>
        <w:t xml:space="preserve">   </w:t>
      </w:r>
      <w:r w:rsidRPr="00781E9A">
        <w:rPr>
          <w:i/>
          <w:iCs/>
        </w:rPr>
        <w:t xml:space="preserve">Breneman, </w:t>
      </w:r>
      <w:r w:rsidRPr="00781E9A">
        <w:t xml:space="preserve">381 F.3d at 38; </w:t>
      </w:r>
      <w:r w:rsidRPr="00781E9A">
        <w:rPr>
          <w:i/>
          <w:iCs/>
        </w:rPr>
        <w:t>Apparel Art Int’l, Inc.</w:t>
      </w:r>
      <w:r w:rsidRPr="00781E9A">
        <w:t xml:space="preserve">, 48 F.3d at 583-84; see </w:t>
      </w:r>
      <w:r w:rsidRPr="00781E9A">
        <w:rPr>
          <w:i/>
          <w:iCs/>
        </w:rPr>
        <w:t>In Re: Student &amp; Braintree Public Schools</w:t>
      </w:r>
      <w:r w:rsidRPr="00781E9A">
        <w:t>, BSEA # 2511326, 31 MSER 371 (Mitchell, 2025)</w:t>
      </w:r>
      <w:r>
        <w:t>.</w:t>
      </w:r>
    </w:p>
  </w:footnote>
  <w:footnote w:id="39">
    <w:p w14:paraId="64294752" w14:textId="39643F3C" w:rsidR="00781E9A" w:rsidRDefault="00781E9A">
      <w:pPr>
        <w:pStyle w:val="FootnoteText"/>
      </w:pPr>
      <w:r>
        <w:rPr>
          <w:rStyle w:val="FootnoteReference"/>
        </w:rPr>
        <w:footnoteRef/>
      </w:r>
      <w:r>
        <w:t xml:space="preserve">  </w:t>
      </w:r>
      <w:r w:rsidR="009343C9">
        <w:t xml:space="preserve"> </w:t>
      </w:r>
      <w:r>
        <w:t xml:space="preserve">While, typically, motions to dismiss should be analyzed only considering the initial pleadings (i.e., the </w:t>
      </w:r>
      <w:r>
        <w:rPr>
          <w:i/>
          <w:iCs/>
        </w:rPr>
        <w:t>Hearing Request</w:t>
      </w:r>
      <w:r>
        <w:t xml:space="preserve">) </w:t>
      </w:r>
      <w:r w:rsidR="006557A3">
        <w:t xml:space="preserve">and </w:t>
      </w:r>
      <w:r>
        <w:t>not subsequent information, given Parent</w:t>
      </w:r>
      <w:r w:rsidR="00795465">
        <w:t>’s</w:t>
      </w:r>
      <w:r>
        <w:t xml:space="preserve"> </w:t>
      </w:r>
      <w:r>
        <w:rPr>
          <w:i/>
          <w:iCs/>
        </w:rPr>
        <w:t>pro se</w:t>
      </w:r>
      <w:r>
        <w:t xml:space="preserve"> status, I have considered all her pleadings, consistent with my obligation to assess </w:t>
      </w:r>
      <w:r w:rsidRPr="005B61F0">
        <w:rPr>
          <w:i/>
          <w:iCs/>
        </w:rPr>
        <w:t>pro se</w:t>
      </w:r>
      <w:r>
        <w:t xml:space="preserve"> pleadings less stringently, and liberally interpret them so as to “intuit a correct cause of action even if imperfectly pled”, if possible.  </w:t>
      </w:r>
      <w:r w:rsidRPr="004E4EE7">
        <w:rPr>
          <w:rFonts w:ascii="Aptos" w:hAnsi="Aptos" w:cs="Times New Roman"/>
          <w:i/>
          <w:iCs/>
        </w:rPr>
        <w:t>Ahmed</w:t>
      </w:r>
      <w:r w:rsidRPr="004E4EE7">
        <w:rPr>
          <w:rFonts w:ascii="Aptos" w:hAnsi="Aptos" w:cs="Times New Roman"/>
        </w:rPr>
        <w:t>, 118 F.3d at 890</w:t>
      </w:r>
      <w:r>
        <w:rPr>
          <w:rFonts w:ascii="Aptos" w:hAnsi="Aptos" w:cs="Times New Roman"/>
        </w:rPr>
        <w:t>.</w:t>
      </w:r>
    </w:p>
  </w:footnote>
  <w:footnote w:id="40">
    <w:p w14:paraId="55237474" w14:textId="3D8332D3" w:rsidR="00781E9A" w:rsidRPr="00516DEC" w:rsidRDefault="00781E9A">
      <w:pPr>
        <w:pStyle w:val="FootnoteText"/>
      </w:pPr>
      <w:r>
        <w:rPr>
          <w:rStyle w:val="FootnoteReference"/>
        </w:rPr>
        <w:footnoteRef/>
      </w:r>
      <w:r w:rsidRPr="00516DEC">
        <w:t xml:space="preserve">   20 USC 1415(e)(2)(A)(i); see 20 USC 1415(f)(1)(B)(i).</w:t>
      </w:r>
    </w:p>
  </w:footnote>
  <w:footnote w:id="41">
    <w:p w14:paraId="2E78EB98" w14:textId="4298B800" w:rsidR="00781E9A" w:rsidRDefault="00781E9A">
      <w:pPr>
        <w:pStyle w:val="FootnoteText"/>
      </w:pPr>
      <w:r>
        <w:rPr>
          <w:rStyle w:val="FootnoteReference"/>
        </w:rPr>
        <w:footnoteRef/>
      </w:r>
      <w:r>
        <w:t xml:space="preserve">   As to the District’s request for findings of fact to issue to pursue an attorney’s fees claims, </w:t>
      </w:r>
      <w:r w:rsidR="00516DEC">
        <w:t xml:space="preserve">as </w:t>
      </w:r>
      <w:r>
        <w:t xml:space="preserve">findings of fact can only issue after a hearing on the merits, and </w:t>
      </w:r>
      <w:r w:rsidR="00516DEC">
        <w:t>since</w:t>
      </w:r>
      <w:r>
        <w:t xml:space="preserve"> I have concluded that a hearing on the merits is not available in this matter</w:t>
      </w:r>
      <w:r w:rsidR="00516DEC">
        <w:t xml:space="preserve">, </w:t>
      </w:r>
      <w:r>
        <w:t xml:space="preserve">I decline to address the request further.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6B1EF4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9820A0B"/>
    <w:multiLevelType w:val="hybridMultilevel"/>
    <w:tmpl w:val="FF480946"/>
    <w:lvl w:ilvl="0" w:tplc="3AA659D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4749617">
    <w:abstractNumId w:val="0"/>
  </w:num>
  <w:num w:numId="2" w16cid:durableId="1184170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142"/>
    <w:rsid w:val="00003016"/>
    <w:rsid w:val="00014FC3"/>
    <w:rsid w:val="00031236"/>
    <w:rsid w:val="000506C8"/>
    <w:rsid w:val="000B4E18"/>
    <w:rsid w:val="000C30A2"/>
    <w:rsid w:val="000D4132"/>
    <w:rsid w:val="0013135C"/>
    <w:rsid w:val="00162145"/>
    <w:rsid w:val="00185EC9"/>
    <w:rsid w:val="001905BC"/>
    <w:rsid w:val="00197A2D"/>
    <w:rsid w:val="001B1BE8"/>
    <w:rsid w:val="001B6B15"/>
    <w:rsid w:val="001C14BD"/>
    <w:rsid w:val="001D0E26"/>
    <w:rsid w:val="001F79FD"/>
    <w:rsid w:val="00221520"/>
    <w:rsid w:val="002256A0"/>
    <w:rsid w:val="002570C3"/>
    <w:rsid w:val="00261B89"/>
    <w:rsid w:val="00263C20"/>
    <w:rsid w:val="00271DF9"/>
    <w:rsid w:val="002A400C"/>
    <w:rsid w:val="002C6614"/>
    <w:rsid w:val="002D34E2"/>
    <w:rsid w:val="002D40F7"/>
    <w:rsid w:val="003107B4"/>
    <w:rsid w:val="003161C8"/>
    <w:rsid w:val="00355929"/>
    <w:rsid w:val="00363377"/>
    <w:rsid w:val="00375168"/>
    <w:rsid w:val="00377CB3"/>
    <w:rsid w:val="003818C8"/>
    <w:rsid w:val="0038501B"/>
    <w:rsid w:val="00390644"/>
    <w:rsid w:val="003A12C4"/>
    <w:rsid w:val="003A395B"/>
    <w:rsid w:val="003B0D68"/>
    <w:rsid w:val="003E2F05"/>
    <w:rsid w:val="004149F7"/>
    <w:rsid w:val="004178FE"/>
    <w:rsid w:val="00434EEC"/>
    <w:rsid w:val="00457DA9"/>
    <w:rsid w:val="00460E0F"/>
    <w:rsid w:val="00464B3D"/>
    <w:rsid w:val="00467D38"/>
    <w:rsid w:val="0047142C"/>
    <w:rsid w:val="00483D3E"/>
    <w:rsid w:val="004D1437"/>
    <w:rsid w:val="004D2BA2"/>
    <w:rsid w:val="004D6A16"/>
    <w:rsid w:val="004F43C8"/>
    <w:rsid w:val="004F5303"/>
    <w:rsid w:val="00500E5D"/>
    <w:rsid w:val="00502297"/>
    <w:rsid w:val="00511460"/>
    <w:rsid w:val="0051295E"/>
    <w:rsid w:val="005154C8"/>
    <w:rsid w:val="00516DEC"/>
    <w:rsid w:val="0051724B"/>
    <w:rsid w:val="00546AF6"/>
    <w:rsid w:val="005610EF"/>
    <w:rsid w:val="005657E4"/>
    <w:rsid w:val="00574879"/>
    <w:rsid w:val="005B0833"/>
    <w:rsid w:val="005E4CB6"/>
    <w:rsid w:val="005F68C3"/>
    <w:rsid w:val="006113B5"/>
    <w:rsid w:val="00627E69"/>
    <w:rsid w:val="00635863"/>
    <w:rsid w:val="006557A3"/>
    <w:rsid w:val="00682E2F"/>
    <w:rsid w:val="006A36E9"/>
    <w:rsid w:val="006B369A"/>
    <w:rsid w:val="006C067F"/>
    <w:rsid w:val="006D7EA1"/>
    <w:rsid w:val="006E2833"/>
    <w:rsid w:val="006E7658"/>
    <w:rsid w:val="006F42EA"/>
    <w:rsid w:val="006F43E0"/>
    <w:rsid w:val="00701F22"/>
    <w:rsid w:val="00713F49"/>
    <w:rsid w:val="00746227"/>
    <w:rsid w:val="00760ACB"/>
    <w:rsid w:val="00781E9A"/>
    <w:rsid w:val="00795465"/>
    <w:rsid w:val="00810989"/>
    <w:rsid w:val="0081379F"/>
    <w:rsid w:val="00831FF1"/>
    <w:rsid w:val="00841BFF"/>
    <w:rsid w:val="00844FEA"/>
    <w:rsid w:val="00875A7D"/>
    <w:rsid w:val="008772D9"/>
    <w:rsid w:val="008B2967"/>
    <w:rsid w:val="008D4651"/>
    <w:rsid w:val="008F2551"/>
    <w:rsid w:val="008F380F"/>
    <w:rsid w:val="009343C9"/>
    <w:rsid w:val="0095748E"/>
    <w:rsid w:val="00977EAE"/>
    <w:rsid w:val="00982A37"/>
    <w:rsid w:val="009A68B7"/>
    <w:rsid w:val="009D67A5"/>
    <w:rsid w:val="009D76C1"/>
    <w:rsid w:val="009D7EBA"/>
    <w:rsid w:val="009F61DD"/>
    <w:rsid w:val="00A0762C"/>
    <w:rsid w:val="00A12B4B"/>
    <w:rsid w:val="00A471EF"/>
    <w:rsid w:val="00A51175"/>
    <w:rsid w:val="00A66114"/>
    <w:rsid w:val="00A81C93"/>
    <w:rsid w:val="00A86C7E"/>
    <w:rsid w:val="00A96090"/>
    <w:rsid w:val="00AA7A9B"/>
    <w:rsid w:val="00AB6375"/>
    <w:rsid w:val="00AD6115"/>
    <w:rsid w:val="00AD760C"/>
    <w:rsid w:val="00AE152B"/>
    <w:rsid w:val="00AF7CBF"/>
    <w:rsid w:val="00B4099F"/>
    <w:rsid w:val="00B62B73"/>
    <w:rsid w:val="00B84FC1"/>
    <w:rsid w:val="00BB7F9C"/>
    <w:rsid w:val="00BF30ED"/>
    <w:rsid w:val="00BF7DE4"/>
    <w:rsid w:val="00C037FA"/>
    <w:rsid w:val="00C05691"/>
    <w:rsid w:val="00C45E6F"/>
    <w:rsid w:val="00C65B26"/>
    <w:rsid w:val="00C81166"/>
    <w:rsid w:val="00CB0FDD"/>
    <w:rsid w:val="00CE595C"/>
    <w:rsid w:val="00CF3162"/>
    <w:rsid w:val="00D65142"/>
    <w:rsid w:val="00DD35FC"/>
    <w:rsid w:val="00DE1E94"/>
    <w:rsid w:val="00DF5651"/>
    <w:rsid w:val="00DF5883"/>
    <w:rsid w:val="00E158D5"/>
    <w:rsid w:val="00E472DA"/>
    <w:rsid w:val="00E7746C"/>
    <w:rsid w:val="00E82A3C"/>
    <w:rsid w:val="00E84F76"/>
    <w:rsid w:val="00EC0052"/>
    <w:rsid w:val="00EC5985"/>
    <w:rsid w:val="00EC6C76"/>
    <w:rsid w:val="00EE5BE8"/>
    <w:rsid w:val="00F15CB6"/>
    <w:rsid w:val="00F22654"/>
    <w:rsid w:val="00F53541"/>
    <w:rsid w:val="00F6612E"/>
    <w:rsid w:val="00F93C75"/>
    <w:rsid w:val="00FA1F87"/>
    <w:rsid w:val="00FF11A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AE470"/>
  <w15:chartTrackingRefBased/>
  <w15:docId w15:val="{33010E57-D18B-4EA3-92BF-B1E1DF78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142"/>
    <w:pPr>
      <w:spacing w:after="0" w:line="240" w:lineRule="auto"/>
    </w:pPr>
    <w:rPr>
      <w:kern w:val="0"/>
      <w:sz w:val="22"/>
      <w:szCs w:val="22"/>
      <w14:ligatures w14:val="none"/>
    </w:rPr>
  </w:style>
  <w:style w:type="paragraph" w:styleId="Heading1">
    <w:name w:val="heading 1"/>
    <w:basedOn w:val="Normal"/>
    <w:next w:val="Normal"/>
    <w:link w:val="Heading1Char"/>
    <w:uiPriority w:val="9"/>
    <w:qFormat/>
    <w:rsid w:val="00D65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1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1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1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1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142"/>
    <w:rPr>
      <w:rFonts w:eastAsiaTheme="majorEastAsia" w:cstheme="majorBidi"/>
      <w:color w:val="272727" w:themeColor="text1" w:themeTint="D8"/>
    </w:rPr>
  </w:style>
  <w:style w:type="paragraph" w:styleId="Title">
    <w:name w:val="Title"/>
    <w:basedOn w:val="Normal"/>
    <w:next w:val="Normal"/>
    <w:link w:val="TitleChar"/>
    <w:uiPriority w:val="10"/>
    <w:qFormat/>
    <w:rsid w:val="00D651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142"/>
    <w:pPr>
      <w:spacing w:before="160"/>
      <w:jc w:val="center"/>
    </w:pPr>
    <w:rPr>
      <w:i/>
      <w:iCs/>
      <w:color w:val="404040" w:themeColor="text1" w:themeTint="BF"/>
    </w:rPr>
  </w:style>
  <w:style w:type="character" w:customStyle="1" w:styleId="QuoteChar">
    <w:name w:val="Quote Char"/>
    <w:basedOn w:val="DefaultParagraphFont"/>
    <w:link w:val="Quote"/>
    <w:uiPriority w:val="29"/>
    <w:rsid w:val="00D65142"/>
    <w:rPr>
      <w:i/>
      <w:iCs/>
      <w:color w:val="404040" w:themeColor="text1" w:themeTint="BF"/>
    </w:rPr>
  </w:style>
  <w:style w:type="paragraph" w:styleId="ListParagraph">
    <w:name w:val="List Paragraph"/>
    <w:basedOn w:val="Normal"/>
    <w:uiPriority w:val="34"/>
    <w:qFormat/>
    <w:rsid w:val="00D65142"/>
    <w:pPr>
      <w:ind w:left="720"/>
      <w:contextualSpacing/>
    </w:pPr>
  </w:style>
  <w:style w:type="character" w:styleId="IntenseEmphasis">
    <w:name w:val="Intense Emphasis"/>
    <w:basedOn w:val="DefaultParagraphFont"/>
    <w:uiPriority w:val="21"/>
    <w:qFormat/>
    <w:rsid w:val="00D65142"/>
    <w:rPr>
      <w:i/>
      <w:iCs/>
      <w:color w:val="0F4761" w:themeColor="accent1" w:themeShade="BF"/>
    </w:rPr>
  </w:style>
  <w:style w:type="paragraph" w:styleId="IntenseQuote">
    <w:name w:val="Intense Quote"/>
    <w:basedOn w:val="Normal"/>
    <w:next w:val="Normal"/>
    <w:link w:val="IntenseQuoteChar"/>
    <w:uiPriority w:val="30"/>
    <w:qFormat/>
    <w:rsid w:val="00D65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142"/>
    <w:rPr>
      <w:i/>
      <w:iCs/>
      <w:color w:val="0F4761" w:themeColor="accent1" w:themeShade="BF"/>
    </w:rPr>
  </w:style>
  <w:style w:type="character" w:styleId="IntenseReference">
    <w:name w:val="Intense Reference"/>
    <w:basedOn w:val="DefaultParagraphFont"/>
    <w:uiPriority w:val="32"/>
    <w:qFormat/>
    <w:rsid w:val="00D65142"/>
    <w:rPr>
      <w:b/>
      <w:bCs/>
      <w:smallCaps/>
      <w:color w:val="0F4761" w:themeColor="accent1" w:themeShade="BF"/>
      <w:spacing w:val="5"/>
    </w:rPr>
  </w:style>
  <w:style w:type="paragraph" w:styleId="FootnoteText">
    <w:name w:val="footnote text"/>
    <w:basedOn w:val="Normal"/>
    <w:link w:val="FootnoteTextChar"/>
    <w:unhideWhenUsed/>
    <w:rsid w:val="00D65142"/>
    <w:rPr>
      <w:sz w:val="20"/>
      <w:szCs w:val="20"/>
    </w:rPr>
  </w:style>
  <w:style w:type="character" w:customStyle="1" w:styleId="FootnoteTextChar">
    <w:name w:val="Footnote Text Char"/>
    <w:basedOn w:val="DefaultParagraphFont"/>
    <w:link w:val="FootnoteText"/>
    <w:uiPriority w:val="99"/>
    <w:rsid w:val="00D65142"/>
    <w:rPr>
      <w:kern w:val="0"/>
      <w:sz w:val="20"/>
      <w:szCs w:val="20"/>
      <w14:ligatures w14:val="none"/>
    </w:rPr>
  </w:style>
  <w:style w:type="character" w:styleId="FootnoteReference">
    <w:name w:val="footnote reference"/>
    <w:basedOn w:val="DefaultParagraphFont"/>
    <w:uiPriority w:val="99"/>
    <w:unhideWhenUsed/>
    <w:rsid w:val="00D65142"/>
    <w:rPr>
      <w:vertAlign w:val="superscript"/>
    </w:rPr>
  </w:style>
  <w:style w:type="paragraph" w:styleId="Footer">
    <w:name w:val="footer"/>
    <w:basedOn w:val="Normal"/>
    <w:link w:val="FooterChar"/>
    <w:uiPriority w:val="99"/>
    <w:unhideWhenUsed/>
    <w:rsid w:val="00D65142"/>
    <w:pPr>
      <w:tabs>
        <w:tab w:val="center" w:pos="4680"/>
        <w:tab w:val="right" w:pos="9360"/>
      </w:tabs>
    </w:pPr>
  </w:style>
  <w:style w:type="character" w:customStyle="1" w:styleId="FooterChar">
    <w:name w:val="Footer Char"/>
    <w:basedOn w:val="DefaultParagraphFont"/>
    <w:link w:val="Footer"/>
    <w:uiPriority w:val="99"/>
    <w:rsid w:val="00D65142"/>
    <w:rPr>
      <w:kern w:val="0"/>
      <w:sz w:val="22"/>
      <w:szCs w:val="22"/>
      <w14:ligatures w14:val="none"/>
    </w:rPr>
  </w:style>
  <w:style w:type="paragraph" w:styleId="NormalWeb">
    <w:name w:val="Normal (Web)"/>
    <w:basedOn w:val="Normal"/>
    <w:uiPriority w:val="99"/>
    <w:unhideWhenUsed/>
    <w:rsid w:val="00D65142"/>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65142"/>
    <w:rPr>
      <w:color w:val="467886" w:themeColor="hyperlink"/>
      <w:u w:val="single"/>
    </w:rPr>
  </w:style>
  <w:style w:type="character" w:styleId="UnresolvedMention">
    <w:name w:val="Unresolved Mention"/>
    <w:basedOn w:val="DefaultParagraphFont"/>
    <w:uiPriority w:val="99"/>
    <w:semiHidden/>
    <w:unhideWhenUsed/>
    <w:rsid w:val="00781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66930-7A3C-4573-B2C5-267648C77CEA}">
  <ds:schemaRefs>
    <ds:schemaRef ds:uri="http://schemas.openxmlformats.org/officeDocument/2006/bibliography"/>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3989</Words>
  <Characters>22743</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Marguerite (ALA)</dc:creator>
  <cp:keywords/>
  <dc:description/>
  <cp:lastModifiedBy>Erlichman, Reece (ALA)</cp:lastModifiedBy>
  <cp:revision>2</cp:revision>
  <dcterms:created xsi:type="dcterms:W3CDTF">2026-05-04T13:53:00Z</dcterms:created>
  <dcterms:modified xsi:type="dcterms:W3CDTF">2026-05-04T13:53:00Z</dcterms:modified>
</cp:coreProperties>
</file>