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5DCE" w14:textId="4E0CFDC8" w:rsidR="00540939" w:rsidRPr="006415D5" w:rsidRDefault="00E45FC2" w:rsidP="00540939">
      <w:pPr>
        <w:shd w:val="clear" w:color="auto" w:fill="FFFFFF"/>
        <w:spacing w:after="0" w:line="231" w:lineRule="atLeast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</w:pPr>
      <w:r w:rsidRPr="006415D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Bundling </w:t>
      </w:r>
      <w:r w:rsidR="00540939" w:rsidRPr="006415D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A</w:t>
      </w:r>
      <w:r w:rsidRPr="006415D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ntibody and </w:t>
      </w:r>
      <w:r w:rsidR="00540939" w:rsidRPr="006415D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R</w:t>
      </w:r>
      <w:r w:rsidRPr="006415D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eflex </w:t>
      </w:r>
      <w:r w:rsidR="00540939" w:rsidRPr="006415D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T</w:t>
      </w:r>
      <w:r w:rsidRPr="006415D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esting for</w:t>
      </w:r>
      <w:r w:rsidR="00540939" w:rsidRPr="006415D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 S</w:t>
      </w:r>
      <w:r w:rsidRPr="006415D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ingle </w:t>
      </w:r>
      <w:r w:rsidR="00540939" w:rsidRPr="006415D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B</w:t>
      </w:r>
      <w:r w:rsidRPr="006415D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 xml:space="preserve">lood </w:t>
      </w:r>
      <w:r w:rsidR="00540939" w:rsidRPr="006415D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D</w:t>
      </w:r>
      <w:r w:rsidRPr="006415D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raw</w:t>
      </w:r>
    </w:p>
    <w:p w14:paraId="7483AF90" w14:textId="3D74A47E" w:rsidR="00E45FC2" w:rsidRPr="006415D5" w:rsidRDefault="00540939" w:rsidP="00540939">
      <w:pPr>
        <w:shd w:val="clear" w:color="auto" w:fill="FFFFFF"/>
        <w:spacing w:after="0" w:line="231" w:lineRule="atLeast"/>
        <w:jc w:val="center"/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</w:pPr>
      <w:r w:rsidRPr="006415D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A</w:t>
      </w:r>
      <w:r w:rsidR="00E45FC2" w:rsidRPr="006415D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dapted from SSTAR</w:t>
      </w:r>
      <w:r w:rsidRPr="006415D5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, Fall River</w:t>
      </w:r>
    </w:p>
    <w:p w14:paraId="14B026D6" w14:textId="44CE94DE" w:rsidR="003F3F9B" w:rsidRPr="006415D5" w:rsidRDefault="003F3F9B" w:rsidP="004E11C3">
      <w:pPr>
        <w:shd w:val="clear" w:color="auto" w:fill="FFFFFF"/>
        <w:spacing w:after="0" w:line="231" w:lineRule="atLeast"/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</w:pPr>
    </w:p>
    <w:p w14:paraId="4431DA2C" w14:textId="61A39369" w:rsidR="003F3F9B" w:rsidRPr="006415D5" w:rsidRDefault="00D127AD" w:rsidP="004E11C3">
      <w:pPr>
        <w:shd w:val="clear" w:color="auto" w:fill="FFFFFF"/>
        <w:spacing w:after="0" w:line="231" w:lineRule="atLeast"/>
        <w:rPr>
          <w:rFonts w:eastAsia="Times New Roman" w:cstheme="minorHAnsi"/>
          <w:bCs/>
          <w:sz w:val="24"/>
          <w:szCs w:val="24"/>
          <w:bdr w:val="none" w:sz="0" w:space="0" w:color="auto" w:frame="1"/>
        </w:rPr>
      </w:pPr>
      <w:r w:rsidRPr="006415D5">
        <w:rPr>
          <w:rFonts w:eastAsia="Times New Roman" w:cstheme="minorHAnsi"/>
          <w:bCs/>
          <w:sz w:val="24"/>
          <w:szCs w:val="24"/>
          <w:bdr w:val="none" w:sz="0" w:space="0" w:color="auto" w:frame="1"/>
        </w:rPr>
        <w:t xml:space="preserve">To reduce the need for callbacks for repeat lab draws, it is preferable to screen for HCV using reflex testing that automatically follows a positive HCV antibody test with </w:t>
      </w:r>
      <w:r w:rsidR="000374F2" w:rsidRPr="006415D5">
        <w:rPr>
          <w:rFonts w:eastAsia="Times New Roman" w:cstheme="minorHAnsi"/>
          <w:bCs/>
          <w:sz w:val="24"/>
          <w:szCs w:val="24"/>
          <w:bdr w:val="none" w:sz="0" w:space="0" w:color="auto" w:frame="1"/>
        </w:rPr>
        <w:t>a</w:t>
      </w:r>
      <w:r w:rsidR="00540939" w:rsidRPr="006415D5">
        <w:rPr>
          <w:rFonts w:eastAsia="Times New Roman" w:cstheme="minorHAnsi"/>
          <w:bCs/>
          <w:sz w:val="24"/>
          <w:szCs w:val="24"/>
          <w:bdr w:val="none" w:sz="0" w:space="0" w:color="auto" w:frame="1"/>
        </w:rPr>
        <w:t>n</w:t>
      </w:r>
      <w:r w:rsidR="0008186F" w:rsidRPr="006415D5">
        <w:rPr>
          <w:rFonts w:eastAsia="Times New Roman" w:cstheme="minorHAnsi"/>
          <w:bCs/>
          <w:sz w:val="24"/>
          <w:szCs w:val="24"/>
          <w:bdr w:val="none" w:sz="0" w:space="0" w:color="auto" w:frame="1"/>
        </w:rPr>
        <w:t xml:space="preserve"> HCV </w:t>
      </w:r>
      <w:r w:rsidRPr="006415D5">
        <w:rPr>
          <w:rFonts w:eastAsia="Times New Roman" w:cstheme="minorHAnsi"/>
          <w:bCs/>
          <w:sz w:val="24"/>
          <w:szCs w:val="24"/>
          <w:bdr w:val="none" w:sz="0" w:space="0" w:color="auto" w:frame="1"/>
        </w:rPr>
        <w:t xml:space="preserve">viral load and (if </w:t>
      </w:r>
      <w:r w:rsidR="000374F2" w:rsidRPr="006415D5">
        <w:rPr>
          <w:rFonts w:eastAsia="Times New Roman" w:cstheme="minorHAnsi"/>
          <w:bCs/>
          <w:sz w:val="24"/>
          <w:szCs w:val="24"/>
          <w:bdr w:val="none" w:sz="0" w:space="0" w:color="auto" w:frame="1"/>
        </w:rPr>
        <w:t>positive</w:t>
      </w:r>
      <w:r w:rsidRPr="006415D5">
        <w:rPr>
          <w:rFonts w:eastAsia="Times New Roman" w:cstheme="minorHAnsi"/>
          <w:bCs/>
          <w:sz w:val="24"/>
          <w:szCs w:val="24"/>
          <w:bdr w:val="none" w:sz="0" w:space="0" w:color="auto" w:frame="1"/>
        </w:rPr>
        <w:t>) genotype testing.</w:t>
      </w:r>
      <w:r w:rsidR="0008186F" w:rsidRPr="006415D5">
        <w:rPr>
          <w:rFonts w:eastAsia="Times New Roman" w:cstheme="minorHAnsi"/>
          <w:bCs/>
          <w:sz w:val="24"/>
          <w:szCs w:val="24"/>
          <w:bdr w:val="none" w:sz="0" w:space="0" w:color="auto" w:frame="1"/>
        </w:rPr>
        <w:t xml:space="preserve">  </w:t>
      </w:r>
      <w:r w:rsidRPr="006415D5">
        <w:rPr>
          <w:rFonts w:eastAsia="Times New Roman" w:cstheme="minorHAnsi"/>
          <w:bCs/>
          <w:sz w:val="24"/>
          <w:szCs w:val="24"/>
          <w:bdr w:val="none" w:sz="0" w:space="0" w:color="auto" w:frame="1"/>
        </w:rPr>
        <w:t xml:space="preserve">For clinics that do not already have the ability to order such reflex testing, the following provides advice on working </w:t>
      </w:r>
      <w:r w:rsidR="0008186F" w:rsidRPr="006415D5">
        <w:rPr>
          <w:rFonts w:eastAsia="Times New Roman" w:cstheme="minorHAnsi"/>
          <w:bCs/>
          <w:sz w:val="24"/>
          <w:szCs w:val="24"/>
          <w:bdr w:val="none" w:sz="0" w:space="0" w:color="auto" w:frame="1"/>
        </w:rPr>
        <w:t>with the lab to set this up.</w:t>
      </w:r>
    </w:p>
    <w:p w14:paraId="47775539" w14:textId="77777777" w:rsidR="0008186F" w:rsidRPr="006415D5" w:rsidRDefault="0008186F" w:rsidP="004E11C3">
      <w:pPr>
        <w:shd w:val="clear" w:color="auto" w:fill="FFFFFF"/>
        <w:spacing w:after="0" w:line="231" w:lineRule="atLeast"/>
        <w:rPr>
          <w:rFonts w:eastAsia="Times New Roman" w:cstheme="minorHAnsi"/>
          <w:bCs/>
          <w:sz w:val="24"/>
          <w:szCs w:val="24"/>
          <w:bdr w:val="none" w:sz="0" w:space="0" w:color="auto" w:frame="1"/>
        </w:rPr>
      </w:pPr>
    </w:p>
    <w:p w14:paraId="5D23308A" w14:textId="5CFA47F6" w:rsidR="00925357" w:rsidRPr="006415D5" w:rsidRDefault="00925357" w:rsidP="00925357">
      <w:pPr>
        <w:pStyle w:val="ListParagraph"/>
        <w:numPr>
          <w:ilvl w:val="0"/>
          <w:numId w:val="8"/>
        </w:numPr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Implementation process required discussion with lab contractor. </w:t>
      </w:r>
      <w:r w:rsidR="00F00520"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>The lab vendor initially expressed some skepticism regarding additional cost associated with implementation of reflex testing.  Buy-in was facilitated by emphasizing:</w:t>
      </w:r>
    </w:p>
    <w:p w14:paraId="2ADDB360" w14:textId="25A07919" w:rsidR="00F00520" w:rsidRPr="006415D5" w:rsidRDefault="00F00520" w:rsidP="00F00520">
      <w:pPr>
        <w:pStyle w:val="ListParagraph"/>
        <w:numPr>
          <w:ilvl w:val="1"/>
          <w:numId w:val="8"/>
        </w:numPr>
        <w:shd w:val="clear" w:color="auto" w:fill="FFFFFF"/>
        <w:spacing w:after="0" w:line="231" w:lineRule="atLeast"/>
        <w:rPr>
          <w:rFonts w:eastAsia="Times New Roman" w:cstheme="minorHAnsi"/>
        </w:rPr>
      </w:pPr>
      <w:r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There are not clinical situations where an antibody result would be used without also performing the HCV RNA test. </w:t>
      </w:r>
    </w:p>
    <w:p w14:paraId="5027E891" w14:textId="5A0A4C17" w:rsidR="00925357" w:rsidRPr="006415D5" w:rsidRDefault="00925357" w:rsidP="00F00520">
      <w:pPr>
        <w:pStyle w:val="ListParagraph"/>
        <w:numPr>
          <w:ilvl w:val="1"/>
          <w:numId w:val="8"/>
        </w:numPr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>Emphasize with the lab vendor that this change will not incur more cost to the lab, and in fact will increase revenues as patients will not be lost to follow-up for viral load or genotype testing</w:t>
      </w:r>
    </w:p>
    <w:p w14:paraId="773C6B52" w14:textId="77777777" w:rsidR="00F00520" w:rsidRPr="006415D5" w:rsidRDefault="0008186F" w:rsidP="00F00520">
      <w:pPr>
        <w:pStyle w:val="ListParagraph"/>
        <w:numPr>
          <w:ilvl w:val="0"/>
          <w:numId w:val="8"/>
        </w:numPr>
        <w:shd w:val="clear" w:color="auto" w:fill="FFFFFF"/>
        <w:spacing w:after="0" w:line="231" w:lineRule="atLeast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This cascade of labs may require the assignment of a new lab code, requiring cooperation between the clinician and lab vendor. </w:t>
      </w:r>
    </w:p>
    <w:p w14:paraId="2CCF6D5B" w14:textId="77777777" w:rsidR="00F00520" w:rsidRPr="006415D5" w:rsidRDefault="00F00520" w:rsidP="00F00520">
      <w:pPr>
        <w:pStyle w:val="ListParagraph"/>
        <w:numPr>
          <w:ilvl w:val="1"/>
          <w:numId w:val="8"/>
        </w:numPr>
        <w:shd w:val="clear" w:color="auto" w:fill="FFFFFF"/>
        <w:spacing w:after="0" w:line="231" w:lineRule="atLeast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>Clinic IT support will be needed to add the new lab code to the EMR.</w:t>
      </w:r>
    </w:p>
    <w:p w14:paraId="63A585C3" w14:textId="5C5EA4FB" w:rsidR="00F00520" w:rsidRPr="006415D5" w:rsidRDefault="00F00520" w:rsidP="006415D5">
      <w:pPr>
        <w:pStyle w:val="ListParagraph"/>
        <w:numPr>
          <w:ilvl w:val="1"/>
          <w:numId w:val="8"/>
        </w:numPr>
        <w:shd w:val="clear" w:color="auto" w:fill="FFFFFF"/>
        <w:spacing w:after="0" w:line="231" w:lineRule="atLeast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Important to ensure that new providers are “added” this order in the contracting lab’s system </w:t>
      </w:r>
    </w:p>
    <w:p w14:paraId="74D9B255" w14:textId="24EF815C" w:rsidR="00925357" w:rsidRPr="006415D5" w:rsidRDefault="002F3AA3" w:rsidP="00925357">
      <w:pPr>
        <w:pStyle w:val="ListParagraph"/>
        <w:numPr>
          <w:ilvl w:val="0"/>
          <w:numId w:val="8"/>
        </w:numPr>
        <w:shd w:val="clear" w:color="auto" w:fill="FFFFFF"/>
        <w:spacing w:after="0" w:line="231" w:lineRule="atLeast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>Providers should be notified of this change in the recommended HCV screening process</w:t>
      </w:r>
      <w:r w:rsidR="00925357"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>.</w:t>
      </w:r>
    </w:p>
    <w:p w14:paraId="04A4CABE" w14:textId="77777777" w:rsidR="00925357" w:rsidRPr="006415D5" w:rsidRDefault="00925357" w:rsidP="00925357">
      <w:pPr>
        <w:pStyle w:val="ListParagraph"/>
        <w:numPr>
          <w:ilvl w:val="1"/>
          <w:numId w:val="8"/>
        </w:numPr>
        <w:shd w:val="clear" w:color="auto" w:fill="FFFFFF"/>
        <w:spacing w:after="0" w:line="231" w:lineRule="atLeast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>The Combined screening and confirmation test was simply labeled as “HCV antibody” in EMR lab order module for simplicity.</w:t>
      </w:r>
    </w:p>
    <w:p w14:paraId="4BCAD89B" w14:textId="3FBEEB71" w:rsidR="00925357" w:rsidRPr="006415D5" w:rsidRDefault="00925357" w:rsidP="00925357">
      <w:pPr>
        <w:pStyle w:val="ListParagraph"/>
        <w:numPr>
          <w:ilvl w:val="1"/>
          <w:numId w:val="8"/>
        </w:numPr>
        <w:shd w:val="clear" w:color="auto" w:fill="FFFFFF"/>
        <w:spacing w:after="0" w:line="231" w:lineRule="atLeast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This test is included in preselected “favorites” to encourage providers to select it.  </w:t>
      </w:r>
    </w:p>
    <w:p w14:paraId="2EC22CC4" w14:textId="6FFD2233" w:rsidR="006415D5" w:rsidRPr="006415D5" w:rsidRDefault="006415D5" w:rsidP="006415D5">
      <w:pPr>
        <w:pStyle w:val="ListParagraph"/>
        <w:numPr>
          <w:ilvl w:val="1"/>
          <w:numId w:val="8"/>
        </w:numPr>
        <w:shd w:val="clear" w:color="auto" w:fill="FFFFFF"/>
        <w:spacing w:after="0" w:line="231" w:lineRule="atLeast"/>
        <w:rPr>
          <w:rFonts w:eastAsia="Times New Roman" w:cstheme="minorHAnsi"/>
        </w:rPr>
      </w:pPr>
      <w:r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>Once implemented this was a seamless process from patient and provider perspective as it did not require providers to change processes; therefore, no training needed beyond description of change in results.</w:t>
      </w:r>
    </w:p>
    <w:p w14:paraId="1FFA36E8" w14:textId="4D7BA153" w:rsidR="00F91574" w:rsidRPr="006415D5" w:rsidRDefault="002F3AA3" w:rsidP="00F91574">
      <w:pPr>
        <w:pStyle w:val="ListParagraph"/>
        <w:numPr>
          <w:ilvl w:val="0"/>
          <w:numId w:val="8"/>
        </w:numPr>
        <w:shd w:val="clear" w:color="auto" w:fill="FFFFFF"/>
        <w:spacing w:after="0" w:line="231" w:lineRule="atLeast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>The lab technician must draw enough blood for both an antibody screening test, quantitative PCR test (viral load) and genotype</w:t>
      </w:r>
    </w:p>
    <w:p w14:paraId="481232CA" w14:textId="63CA5A3E" w:rsidR="00925357" w:rsidRPr="006415D5" w:rsidRDefault="00925357" w:rsidP="00925357">
      <w:pPr>
        <w:numPr>
          <w:ilvl w:val="1"/>
          <w:numId w:val="8"/>
        </w:numPr>
        <w:shd w:val="clear" w:color="auto" w:fill="FFFFFF"/>
        <w:spacing w:after="0" w:line="231" w:lineRule="atLeast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>This reduces need from 3 separate lab visits to 2 for uncomplicated cases, which patients sometimes don’t follow through on</w:t>
      </w:r>
    </w:p>
    <w:p w14:paraId="6A2262AB" w14:textId="7E5BD50C" w:rsidR="00925357" w:rsidRPr="006415D5" w:rsidRDefault="00925357" w:rsidP="006415D5">
      <w:pPr>
        <w:pStyle w:val="ListParagraph"/>
        <w:numPr>
          <w:ilvl w:val="1"/>
          <w:numId w:val="8"/>
        </w:numPr>
        <w:shd w:val="clear" w:color="auto" w:fill="FFFFFF"/>
        <w:spacing w:after="0" w:line="231" w:lineRule="atLeast"/>
        <w:rPr>
          <w:rFonts w:eastAsia="Times New Roman" w:cstheme="minorHAnsi"/>
        </w:rPr>
      </w:pPr>
      <w:r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>Requires 2 vials of blood to be drawn but can be obtained from single venipuncture site</w:t>
      </w:r>
    </w:p>
    <w:p w14:paraId="6EF68FCC" w14:textId="41028C40" w:rsidR="004E11C3" w:rsidRPr="006415D5" w:rsidRDefault="002F3AA3" w:rsidP="00F91574">
      <w:pPr>
        <w:pStyle w:val="ListParagraph"/>
        <w:numPr>
          <w:ilvl w:val="0"/>
          <w:numId w:val="8"/>
        </w:numPr>
        <w:shd w:val="clear" w:color="auto" w:fill="FFFFFF"/>
        <w:spacing w:after="0" w:line="231" w:lineRule="atLeast"/>
        <w:rPr>
          <w:rFonts w:eastAsia="Times New Roman" w:cstheme="minorHAnsi"/>
          <w:sz w:val="24"/>
          <w:szCs w:val="24"/>
          <w:bdr w:val="none" w:sz="0" w:space="0" w:color="auto" w:frame="1"/>
        </w:rPr>
      </w:pPr>
      <w:r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Using a medical assistant or HCV </w:t>
      </w:r>
      <w:r w:rsidR="000374F2"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patient navigator to accompany </w:t>
      </w:r>
      <w:r w:rsidR="00E45FC2"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>patient</w:t>
      </w:r>
      <w:r w:rsidR="000374F2"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>s</w:t>
      </w:r>
      <w:r w:rsidR="00E45FC2"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 xml:space="preserve"> to </w:t>
      </w:r>
      <w:r w:rsidR="000374F2"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>the lab, and hav</w:t>
      </w:r>
      <w:r w:rsidR="00F91574"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>ing evening and weekend lab hours</w:t>
      </w:r>
      <w:r w:rsidR="000374F2"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>, can help improve lab completion rates</w:t>
      </w:r>
      <w:r w:rsidR="00F91574" w:rsidRPr="006415D5">
        <w:rPr>
          <w:rFonts w:eastAsia="Times New Roman" w:cstheme="minorHAnsi"/>
          <w:sz w:val="24"/>
          <w:szCs w:val="24"/>
          <w:bdr w:val="none" w:sz="0" w:space="0" w:color="auto" w:frame="1"/>
        </w:rPr>
        <w:t>.</w:t>
      </w:r>
    </w:p>
    <w:p w14:paraId="19CB5A0E" w14:textId="77777777" w:rsidR="00925357" w:rsidRPr="006415D5" w:rsidRDefault="00925357" w:rsidP="006415D5">
      <w:pPr>
        <w:shd w:val="clear" w:color="auto" w:fill="FFFFFF"/>
        <w:spacing w:after="0" w:line="231" w:lineRule="atLeast"/>
        <w:rPr>
          <w:rFonts w:eastAsia="Times New Roman" w:cstheme="minorHAnsi"/>
          <w:sz w:val="24"/>
          <w:szCs w:val="24"/>
          <w:bdr w:val="none" w:sz="0" w:space="0" w:color="auto" w:frame="1"/>
        </w:rPr>
      </w:pPr>
    </w:p>
    <w:p w14:paraId="37C4EFED" w14:textId="77777777" w:rsidR="008A1D98" w:rsidRPr="00540939" w:rsidRDefault="00F6251C">
      <w:pPr>
        <w:rPr>
          <w:rFonts w:cstheme="minorHAnsi"/>
          <w:strike/>
          <w:sz w:val="24"/>
          <w:szCs w:val="24"/>
        </w:rPr>
      </w:pPr>
    </w:p>
    <w:sectPr w:rsidR="008A1D98" w:rsidRPr="00540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212D"/>
    <w:multiLevelType w:val="hybridMultilevel"/>
    <w:tmpl w:val="0B68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928"/>
    <w:multiLevelType w:val="hybridMultilevel"/>
    <w:tmpl w:val="208E63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F2C9E"/>
    <w:multiLevelType w:val="hybridMultilevel"/>
    <w:tmpl w:val="7D0CB3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36FF6"/>
    <w:multiLevelType w:val="hybridMultilevel"/>
    <w:tmpl w:val="319E038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32E5312"/>
    <w:multiLevelType w:val="hybridMultilevel"/>
    <w:tmpl w:val="1F80B5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365B24"/>
    <w:multiLevelType w:val="hybridMultilevel"/>
    <w:tmpl w:val="D0200D9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3377D7F"/>
    <w:multiLevelType w:val="multilevel"/>
    <w:tmpl w:val="8BF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A54627"/>
    <w:multiLevelType w:val="hybridMultilevel"/>
    <w:tmpl w:val="5DECB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2B733F"/>
    <w:multiLevelType w:val="hybridMultilevel"/>
    <w:tmpl w:val="109817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C2"/>
    <w:rsid w:val="000374F2"/>
    <w:rsid w:val="0008186F"/>
    <w:rsid w:val="002F3AA3"/>
    <w:rsid w:val="003F3F9B"/>
    <w:rsid w:val="00412F06"/>
    <w:rsid w:val="004E11C3"/>
    <w:rsid w:val="00517707"/>
    <w:rsid w:val="00540939"/>
    <w:rsid w:val="005D1ED8"/>
    <w:rsid w:val="006415D5"/>
    <w:rsid w:val="0067747E"/>
    <w:rsid w:val="00925357"/>
    <w:rsid w:val="009F6CD2"/>
    <w:rsid w:val="00AC6E7A"/>
    <w:rsid w:val="00B83C9B"/>
    <w:rsid w:val="00CD7F7D"/>
    <w:rsid w:val="00D127AD"/>
    <w:rsid w:val="00E45FC2"/>
    <w:rsid w:val="00EE56C6"/>
    <w:rsid w:val="00F00520"/>
    <w:rsid w:val="00F6251C"/>
    <w:rsid w:val="00F70CE9"/>
    <w:rsid w:val="00F91574"/>
    <w:rsid w:val="00FC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2D6D"/>
  <w15:chartTrackingRefBased/>
  <w15:docId w15:val="{C434C111-31A6-46AF-A18D-590B7E16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F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5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6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6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6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6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C4740093EF1498A5C438829F68559" ma:contentTypeVersion="11" ma:contentTypeDescription="Create a new document." ma:contentTypeScope="" ma:versionID="befa0e0450500b9c5678d09493eb24e9">
  <xsd:schema xmlns:xsd="http://www.w3.org/2001/XMLSchema" xmlns:xs="http://www.w3.org/2001/XMLSchema" xmlns:p="http://schemas.microsoft.com/office/2006/metadata/properties" xmlns:ns3="94064097-2571-4b59-be25-dd8671d3c47e" targetNamespace="http://schemas.microsoft.com/office/2006/metadata/properties" ma:root="true" ma:fieldsID="8ef56eb915bdb67ac94079f9b25cd0c9" ns3:_="">
    <xsd:import namespace="94064097-2571-4b59-be25-dd8671d3c4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097-2571-4b59-be25-dd8671d3c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FB830-E7CE-419B-A2C1-35A155C67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097-2571-4b59-be25-dd8671d3c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49989-FA35-4813-AF93-4B9F81703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1C272-D59C-40BC-BC64-538E0C2AB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Bundling Antibody and Reflex Testing -  Adapted from SSTAR</dc:title>
  <dc:subject/>
  <dc:creator>Carson-Sasso, Vanessa</dc:creator>
  <cp:keywords/>
  <dc:description/>
  <cp:lastModifiedBy>Yeaple, Jennifer (DPH)</cp:lastModifiedBy>
  <cp:revision>2</cp:revision>
  <dcterms:created xsi:type="dcterms:W3CDTF">2022-09-12T11:53:00Z</dcterms:created>
  <dcterms:modified xsi:type="dcterms:W3CDTF">2022-09-12T11:53:00Z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0x0101005C0C4740093EF1498A5C438829F68559</vt:lpwstr>
  </property>
</Properties>
</file>