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FC" w:rsidRDefault="00D77D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</w:rPr>
      </w:pPr>
    </w:p>
    <w:p w:rsidR="0002436D" w:rsidRPr="00AD40D8" w:rsidRDefault="00D77DFC" w:rsidP="00AD40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000"/>
        <w:jc w:val="center"/>
        <w:rPr>
          <w:b/>
          <w:sz w:val="36"/>
        </w:rPr>
      </w:pPr>
      <w:r>
        <w:rPr>
          <w:b/>
          <w:sz w:val="36"/>
        </w:rPr>
        <w:t xml:space="preserve">INDOOR AIR QUALITY </w:t>
      </w:r>
      <w:r w:rsidR="00F3216C">
        <w:rPr>
          <w:b/>
          <w:sz w:val="36"/>
        </w:rPr>
        <w:t>RE</w:t>
      </w:r>
      <w:r>
        <w:rPr>
          <w:b/>
          <w:sz w:val="36"/>
        </w:rPr>
        <w:t>ASSESSMENT</w:t>
      </w:r>
    </w:p>
    <w:p w:rsidR="00CB5EEB" w:rsidRPr="005A00D7" w:rsidRDefault="00CD1E80" w:rsidP="00AD40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960"/>
        <w:jc w:val="center"/>
        <w:rPr>
          <w:b/>
          <w:bCs/>
          <w:sz w:val="32"/>
        </w:rPr>
      </w:pPr>
      <w:r>
        <w:rPr>
          <w:b/>
          <w:bCs/>
          <w:sz w:val="32"/>
        </w:rPr>
        <w:t>Burncoat High School</w:t>
      </w:r>
    </w:p>
    <w:p w:rsidR="00A41298" w:rsidRPr="005A00D7" w:rsidRDefault="00CD1E80" w:rsidP="005A00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bCs/>
          <w:sz w:val="32"/>
        </w:rPr>
      </w:pPr>
      <w:r>
        <w:rPr>
          <w:b/>
          <w:bCs/>
          <w:sz w:val="32"/>
        </w:rPr>
        <w:t>179 Burncoat</w:t>
      </w:r>
      <w:r w:rsidR="00A41298" w:rsidRPr="005A00D7">
        <w:rPr>
          <w:b/>
          <w:bCs/>
          <w:sz w:val="32"/>
        </w:rPr>
        <w:t xml:space="preserve"> St</w:t>
      </w:r>
      <w:r w:rsidR="006403A9">
        <w:rPr>
          <w:b/>
          <w:bCs/>
          <w:sz w:val="32"/>
        </w:rPr>
        <w:t>reet</w:t>
      </w:r>
    </w:p>
    <w:p w:rsidR="00D77DFC" w:rsidRDefault="00CD1E80" w:rsidP="00427E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960"/>
        <w:jc w:val="center"/>
      </w:pPr>
      <w:r>
        <w:rPr>
          <w:b/>
          <w:bCs/>
          <w:sz w:val="32"/>
        </w:rPr>
        <w:t>Worcester</w:t>
      </w:r>
      <w:r w:rsidR="00B80723" w:rsidRPr="005A00D7">
        <w:rPr>
          <w:b/>
          <w:bCs/>
          <w:sz w:val="32"/>
        </w:rPr>
        <w:t>, MA</w:t>
      </w:r>
    </w:p>
    <w:p w:rsidR="00D77DFC" w:rsidRDefault="00DC69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GoBack"/>
      <w:r>
        <w:rPr>
          <w:noProof/>
        </w:rPr>
        <w:drawing>
          <wp:inline distT="0" distB="0" distL="0" distR="0">
            <wp:extent cx="4389120" cy="3291840"/>
            <wp:effectExtent l="0" t="0" r="0" b="0"/>
            <wp:docPr id="1" name="Picture 1" descr="Exterior view of Burncoat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ior view of Burncoat High School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7DFC" w:rsidRDefault="00D77DFC" w:rsidP="00427E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720"/>
        <w:jc w:val="center"/>
      </w:pPr>
      <w:r>
        <w:t>Prepared by:</w:t>
      </w:r>
    </w:p>
    <w:p w:rsidR="00D77DFC" w:rsidRDefault="00D77D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Massachusetts Department of Public Health</w:t>
      </w:r>
    </w:p>
    <w:p w:rsidR="00D77DFC" w:rsidRDefault="00315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Bureau of Environmental Health</w:t>
      </w:r>
    </w:p>
    <w:p w:rsidR="00D77DFC" w:rsidRDefault="00D77D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Indoor Air Quality Program</w:t>
      </w:r>
    </w:p>
    <w:p w:rsidR="00D77DFC" w:rsidRDefault="00221DF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May</w:t>
      </w:r>
      <w:r w:rsidR="00CD1E80">
        <w:t xml:space="preserve"> 2017</w:t>
      </w:r>
    </w:p>
    <w:p w:rsidR="00D77DFC" w:rsidRDefault="00D77DFC" w:rsidP="0078465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77DFC" w:rsidRDefault="00D77DFC" w:rsidP="00C2534B">
      <w:pPr>
        <w:pStyle w:val="Heading1"/>
      </w:pPr>
      <w:r>
        <w:br w:type="page"/>
      </w:r>
      <w:r w:rsidRPr="00B741C3">
        <w:lastRenderedPageBreak/>
        <w:t>Background/Introduction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843"/>
        <w:gridCol w:w="4254"/>
      </w:tblGrid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Building: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CD1E80" w:rsidP="00CB5EE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Burncoat High School (BH</w:t>
            </w:r>
            <w:r w:rsidR="007262E8">
              <w:rPr>
                <w:bCs/>
              </w:rPr>
              <w:t>S)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Address: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CD1E80" w:rsidP="003D19B1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179 Burncoat Street</w:t>
            </w:r>
            <w:r w:rsidR="00CB5EEB" w:rsidRPr="00CB5EEB">
              <w:rPr>
                <w:bCs/>
              </w:rPr>
              <w:t xml:space="preserve">, </w:t>
            </w:r>
            <w:r w:rsidR="003D19B1">
              <w:rPr>
                <w:bCs/>
              </w:rPr>
              <w:t xml:space="preserve">Worcester, </w:t>
            </w:r>
            <w:r w:rsidR="00CB5EEB" w:rsidRPr="00CB5EEB">
              <w:rPr>
                <w:bCs/>
              </w:rPr>
              <w:t>MA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Assessment Requested by: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475B7E" w:rsidP="00CB5EEB">
            <w:pPr>
              <w:rPr>
                <w:bCs/>
              </w:rPr>
            </w:pPr>
            <w:r>
              <w:t xml:space="preserve">Brian Allen, </w:t>
            </w:r>
            <w:r w:rsidR="00E82920" w:rsidRPr="00E82920">
              <w:t>Chief Financial and Operations Officer</w:t>
            </w:r>
            <w:r>
              <w:t>, Worcester Public Schools</w:t>
            </w:r>
            <w:r w:rsidR="00F163D6">
              <w:t xml:space="preserve"> (WPS)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Reason for Request: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DD5C8A" w:rsidP="00475B7E">
            <w:pPr>
              <w:tabs>
                <w:tab w:val="left" w:pos="1485"/>
              </w:tabs>
              <w:rPr>
                <w:bCs/>
              </w:rPr>
            </w:pPr>
            <w:r>
              <w:t xml:space="preserve">Reassess </w:t>
            </w:r>
            <w:r w:rsidR="00140770">
              <w:t>the ventilation</w:t>
            </w:r>
            <w:r w:rsidR="00CB5EEB" w:rsidRPr="00CB5EEB">
              <w:t xml:space="preserve"> 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Date of Assessment: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140770" w:rsidP="00C42B72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April 7</w:t>
            </w:r>
            <w:r w:rsidR="00CB5EEB" w:rsidRPr="00CB5EEB">
              <w:rPr>
                <w:bCs/>
              </w:rPr>
              <w:t>, 201</w:t>
            </w:r>
            <w:r w:rsidR="00C42B72">
              <w:rPr>
                <w:bCs/>
              </w:rPr>
              <w:t>7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Massachusetts Department of Public Health/Bureau of Environmental Health (MDPH/BEH) Staff Conducting Assessment:</w:t>
            </w:r>
          </w:p>
        </w:tc>
        <w:tc>
          <w:tcPr>
            <w:tcW w:w="4254" w:type="dxa"/>
            <w:shd w:val="clear" w:color="auto" w:fill="auto"/>
          </w:tcPr>
          <w:p w:rsidR="00CB5EEB" w:rsidRDefault="00956777" w:rsidP="00956777">
            <w:r>
              <w:t>Mike Feeney</w:t>
            </w:r>
            <w:r w:rsidR="00CB5EEB" w:rsidRPr="00CB5EEB">
              <w:t xml:space="preserve">, </w:t>
            </w:r>
            <w:r>
              <w:t>Director</w:t>
            </w:r>
            <w:r w:rsidR="00CB5EEB" w:rsidRPr="00CB5EEB">
              <w:t xml:space="preserve">, </w:t>
            </w:r>
            <w:r w:rsidR="00221DFD">
              <w:t>Indoor Air Quality (</w:t>
            </w:r>
            <w:r w:rsidR="00CB5EEB" w:rsidRPr="00CB5EEB">
              <w:t>IAQ</w:t>
            </w:r>
            <w:r w:rsidR="00221DFD">
              <w:t>)</w:t>
            </w:r>
            <w:r w:rsidR="00CB5EEB" w:rsidRPr="00CB5EEB">
              <w:t xml:space="preserve"> Program</w:t>
            </w:r>
            <w:r>
              <w:t>,</w:t>
            </w:r>
          </w:p>
          <w:p w:rsidR="00956777" w:rsidRPr="00CB5EEB" w:rsidRDefault="00956777" w:rsidP="00956777">
            <w:r>
              <w:t>Jason Dustin E</w:t>
            </w:r>
            <w:r w:rsidR="00140770">
              <w:t>nvironmental Analyst/Inspector</w:t>
            </w:r>
            <w:r>
              <w:t xml:space="preserve"> IAQ Program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 xml:space="preserve">Date of Building Construction: 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956777" w:rsidP="00CB5EE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1964</w:t>
            </w:r>
          </w:p>
        </w:tc>
      </w:tr>
      <w:tr w:rsidR="00CB5EEB" w:rsidRPr="00CB5EEB" w:rsidTr="00301A14">
        <w:trPr>
          <w:trHeight w:val="323"/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Building Description:</w:t>
            </w:r>
          </w:p>
        </w:tc>
        <w:tc>
          <w:tcPr>
            <w:tcW w:w="4254" w:type="dxa"/>
            <w:shd w:val="clear" w:color="auto" w:fill="auto"/>
          </w:tcPr>
          <w:p w:rsidR="00CB5EEB" w:rsidRPr="00D63D0C" w:rsidRDefault="00D63D0C" w:rsidP="00CF3349">
            <w:pPr>
              <w:tabs>
                <w:tab w:val="left" w:pos="1485"/>
              </w:tabs>
              <w:rPr>
                <w:bCs/>
              </w:rPr>
            </w:pPr>
            <w:r w:rsidRPr="00D63D0C">
              <w:t>Two-level</w:t>
            </w:r>
            <w:r w:rsidR="00CB5EEB" w:rsidRPr="00D63D0C">
              <w:t xml:space="preserve"> brick building consisting of classrooms, auditorium, gymnasium, art rooms, kitchen, cafeteria, library and office space.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Building Population: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CB5EEB" w:rsidP="001B43A2">
            <w:pPr>
              <w:tabs>
                <w:tab w:val="left" w:pos="1485"/>
              </w:tabs>
              <w:rPr>
                <w:bCs/>
              </w:rPr>
            </w:pPr>
            <w:r w:rsidRPr="00CB5EEB">
              <w:t xml:space="preserve">The </w:t>
            </w:r>
            <w:r w:rsidR="00C2534B">
              <w:t xml:space="preserve">school has approximately </w:t>
            </w:r>
            <w:r w:rsidR="00956777">
              <w:t>1,064</w:t>
            </w:r>
            <w:r w:rsidR="00C2534B">
              <w:t xml:space="preserve"> students and </w:t>
            </w:r>
            <w:r w:rsidR="001B43A2" w:rsidRPr="001B43A2">
              <w:t>75</w:t>
            </w:r>
            <w:r w:rsidR="00C2534B" w:rsidRPr="001B43A2">
              <w:t xml:space="preserve"> staff</w:t>
            </w:r>
            <w:r w:rsidRPr="00CB5EEB">
              <w:t xml:space="preserve"> </w:t>
            </w:r>
          </w:p>
        </w:tc>
      </w:tr>
      <w:tr w:rsidR="00CB5EEB" w:rsidRPr="00CB5EEB" w:rsidTr="00301A14">
        <w:trPr>
          <w:jc w:val="center"/>
        </w:trPr>
        <w:tc>
          <w:tcPr>
            <w:tcW w:w="4843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/>
                <w:bCs/>
              </w:rPr>
            </w:pPr>
            <w:r w:rsidRPr="00CB5EEB">
              <w:rPr>
                <w:b/>
                <w:bCs/>
              </w:rPr>
              <w:t>Windows:</w:t>
            </w:r>
          </w:p>
        </w:tc>
        <w:tc>
          <w:tcPr>
            <w:tcW w:w="4254" w:type="dxa"/>
            <w:shd w:val="clear" w:color="auto" w:fill="auto"/>
          </w:tcPr>
          <w:p w:rsidR="00CB5EEB" w:rsidRPr="00CB5EEB" w:rsidRDefault="00CB5EEB" w:rsidP="00CB5EEB">
            <w:pPr>
              <w:tabs>
                <w:tab w:val="left" w:pos="1485"/>
              </w:tabs>
              <w:rPr>
                <w:bCs/>
              </w:rPr>
            </w:pPr>
            <w:r w:rsidRPr="00CB5EEB">
              <w:rPr>
                <w:bCs/>
              </w:rPr>
              <w:t>Openable</w:t>
            </w:r>
          </w:p>
        </w:tc>
      </w:tr>
    </w:tbl>
    <w:p w:rsidR="00182A0A" w:rsidRDefault="00182A0A" w:rsidP="00182A0A">
      <w:pPr>
        <w:spacing w:line="480" w:lineRule="auto"/>
        <w:rPr>
          <w:rFonts w:eastAsia="Calibri"/>
          <w:sz w:val="22"/>
          <w:szCs w:val="22"/>
        </w:rPr>
      </w:pPr>
    </w:p>
    <w:p w:rsidR="00182A0A" w:rsidRPr="00182A0A" w:rsidRDefault="00A5284D" w:rsidP="002E64D9">
      <w:pPr>
        <w:pStyle w:val="BodyText"/>
        <w:rPr>
          <w:rFonts w:eastAsia="Calibri"/>
        </w:rPr>
      </w:pPr>
      <w:r>
        <w:rPr>
          <w:rFonts w:eastAsia="Calibri"/>
        </w:rPr>
        <w:t xml:space="preserve">The </w:t>
      </w:r>
      <w:r w:rsidR="00140770">
        <w:rPr>
          <w:rFonts w:eastAsia="Calibri"/>
        </w:rPr>
        <w:t>reason for this visit was to reassess the adequacy of the venti</w:t>
      </w:r>
      <w:r w:rsidR="00976B2A">
        <w:rPr>
          <w:rFonts w:eastAsia="Calibri"/>
        </w:rPr>
        <w:t xml:space="preserve">lation system. The first assessment </w:t>
      </w:r>
      <w:r w:rsidR="00140770" w:rsidRPr="006B7C8A">
        <w:rPr>
          <w:rFonts w:eastAsia="Calibri"/>
        </w:rPr>
        <w:t>(</w:t>
      </w:r>
      <w:r w:rsidR="005D7A8B" w:rsidRPr="006B7C8A">
        <w:rPr>
          <w:rFonts w:eastAsia="Calibri"/>
        </w:rPr>
        <w:t>MDPH, 2017</w:t>
      </w:r>
      <w:r w:rsidR="00140770" w:rsidRPr="006B7C8A">
        <w:rPr>
          <w:rFonts w:eastAsia="Calibri"/>
        </w:rPr>
        <w:t>) showed</w:t>
      </w:r>
      <w:r w:rsidR="00140770">
        <w:rPr>
          <w:rFonts w:eastAsia="Calibri"/>
        </w:rPr>
        <w:t xml:space="preserve"> that due to some inactive exhaust systems</w:t>
      </w:r>
      <w:r w:rsidR="00B87FF2">
        <w:rPr>
          <w:rFonts w:eastAsia="Calibri"/>
        </w:rPr>
        <w:t xml:space="preserve"> and a closed fresh air intake vent</w:t>
      </w:r>
      <w:r w:rsidR="00140770">
        <w:rPr>
          <w:rFonts w:eastAsia="Calibri"/>
        </w:rPr>
        <w:t xml:space="preserve">, there were some areas with elevated carbon </w:t>
      </w:r>
      <w:r w:rsidR="00976B2A">
        <w:rPr>
          <w:rFonts w:eastAsia="Calibri"/>
        </w:rPr>
        <w:t>dioxide. WPS reportedly implemented</w:t>
      </w:r>
      <w:r w:rsidR="00140770">
        <w:rPr>
          <w:rFonts w:eastAsia="Calibri"/>
        </w:rPr>
        <w:t xml:space="preserve"> many of the recommendations</w:t>
      </w:r>
      <w:r w:rsidR="00976B2A">
        <w:rPr>
          <w:rFonts w:eastAsia="Calibri"/>
        </w:rPr>
        <w:t xml:space="preserve"> from the first visit and requested the IAQ program</w:t>
      </w:r>
      <w:r w:rsidR="00140770">
        <w:rPr>
          <w:rFonts w:eastAsia="Calibri"/>
        </w:rPr>
        <w:t xml:space="preserve"> to perform further testing to ensure that these </w:t>
      </w:r>
      <w:r w:rsidR="00976B2A">
        <w:rPr>
          <w:rFonts w:eastAsia="Calibri"/>
        </w:rPr>
        <w:t xml:space="preserve">ventilation </w:t>
      </w:r>
      <w:r w:rsidR="00140770">
        <w:rPr>
          <w:rFonts w:eastAsia="Calibri"/>
        </w:rPr>
        <w:t>changes were effective.</w:t>
      </w:r>
    </w:p>
    <w:p w:rsidR="00C2534B" w:rsidRPr="00C2534B" w:rsidRDefault="00C2534B" w:rsidP="005A00D7">
      <w:pPr>
        <w:pStyle w:val="Heading1"/>
      </w:pPr>
      <w:r w:rsidRPr="00C2534B">
        <w:t>Methods</w:t>
      </w:r>
    </w:p>
    <w:p w:rsidR="00C2534B" w:rsidRPr="00C2534B" w:rsidRDefault="00C2534B" w:rsidP="00C2534B">
      <w:pPr>
        <w:pStyle w:val="BodyText"/>
      </w:pPr>
      <w:r w:rsidRPr="00C2534B">
        <w:t xml:space="preserve">Please refer to the IAQ Manual and appendices for methods, sampling procedures, and interpretation of </w:t>
      </w:r>
      <w:r w:rsidRPr="00DA1DA2">
        <w:t>results (MDPH, 2015).</w:t>
      </w:r>
    </w:p>
    <w:p w:rsidR="00182A0A" w:rsidRPr="00182A0A" w:rsidRDefault="00182A0A" w:rsidP="002E64D9">
      <w:pPr>
        <w:pStyle w:val="Heading1"/>
      </w:pPr>
      <w:r w:rsidRPr="00182A0A">
        <w:lastRenderedPageBreak/>
        <w:t>General Ventilation</w:t>
      </w:r>
    </w:p>
    <w:p w:rsidR="00C2534B" w:rsidRDefault="00C2534B" w:rsidP="00C2534B">
      <w:pPr>
        <w:pStyle w:val="BodyText"/>
      </w:pPr>
      <w:r w:rsidRPr="00C2534B">
        <w:t>The following is a summary of indoor air testing results (</w:t>
      </w:r>
      <w:r w:rsidR="00C70DE0">
        <w:t>Table 1</w:t>
      </w:r>
      <w:r w:rsidRPr="00C2534B">
        <w:t>).</w:t>
      </w:r>
    </w:p>
    <w:p w:rsidR="005C7F35" w:rsidRDefault="00C2534B" w:rsidP="00C2534B">
      <w:pPr>
        <w:pStyle w:val="BodyTextBulleted"/>
      </w:pPr>
      <w:r w:rsidRPr="005C7F35">
        <w:rPr>
          <w:b/>
          <w:i/>
        </w:rPr>
        <w:t>Carbon dioxide</w:t>
      </w:r>
      <w:r w:rsidRPr="00DA1DA2">
        <w:t xml:space="preserve"> measurements were </w:t>
      </w:r>
      <w:r w:rsidR="005C7F35">
        <w:t>below</w:t>
      </w:r>
      <w:r w:rsidRPr="00DA1DA2">
        <w:t xml:space="preserve"> the MDPH recommended level of 800 parts per million (ppm) in </w:t>
      </w:r>
      <w:r w:rsidR="00CF3349">
        <w:t>the majority</w:t>
      </w:r>
      <w:r w:rsidR="00D6644B">
        <w:t xml:space="preserve"> of </w:t>
      </w:r>
      <w:r w:rsidR="00CB5952" w:rsidRPr="00DA1DA2">
        <w:t xml:space="preserve">areas surveyed </w:t>
      </w:r>
      <w:r w:rsidR="00CF3349">
        <w:t>the day of assessment</w:t>
      </w:r>
      <w:r w:rsidR="004F581B">
        <w:t>,</w:t>
      </w:r>
      <w:r w:rsidR="00CF3349">
        <w:t xml:space="preserve"> </w:t>
      </w:r>
      <w:r w:rsidR="005C7F35">
        <w:t xml:space="preserve">indicating adequate </w:t>
      </w:r>
      <w:r w:rsidR="00424660">
        <w:t>fresh air exchange.</w:t>
      </w:r>
    </w:p>
    <w:p w:rsidR="005C7F35" w:rsidRDefault="00C2534B" w:rsidP="00C2534B">
      <w:pPr>
        <w:pStyle w:val="BodyTextBulleted"/>
      </w:pPr>
      <w:r w:rsidRPr="005C7F35">
        <w:rPr>
          <w:b/>
          <w:i/>
        </w:rPr>
        <w:t>Temperature</w:t>
      </w:r>
      <w:r w:rsidRPr="00DA1DA2">
        <w:t xml:space="preserve"> was </w:t>
      </w:r>
      <w:r w:rsidR="00675EB9" w:rsidRPr="00DA1DA2">
        <w:t xml:space="preserve">within </w:t>
      </w:r>
      <w:r w:rsidR="002918DE" w:rsidRPr="00DA1DA2">
        <w:t>the</w:t>
      </w:r>
      <w:r w:rsidRPr="00DA1DA2">
        <w:t xml:space="preserve"> MDPH recommended range of 70°F to 78°F </w:t>
      </w:r>
      <w:r w:rsidR="002918DE" w:rsidRPr="00DA1DA2">
        <w:t xml:space="preserve">in </w:t>
      </w:r>
      <w:r w:rsidR="00E26221" w:rsidRPr="00DA1DA2">
        <w:t>most of</w:t>
      </w:r>
      <w:r w:rsidR="006403A9" w:rsidRPr="00DA1DA2">
        <w:t xml:space="preserve"> the areas visited</w:t>
      </w:r>
      <w:r w:rsidR="00E26221" w:rsidRPr="00DA1DA2">
        <w:t>.</w:t>
      </w:r>
    </w:p>
    <w:p w:rsidR="00C2534B" w:rsidRPr="00DA1DA2" w:rsidRDefault="00C2534B" w:rsidP="00C2534B">
      <w:pPr>
        <w:pStyle w:val="BodyTextBulleted"/>
      </w:pPr>
      <w:r w:rsidRPr="005C7F35">
        <w:rPr>
          <w:b/>
          <w:i/>
        </w:rPr>
        <w:t>Relative humidity</w:t>
      </w:r>
      <w:r w:rsidRPr="00DA1DA2">
        <w:t xml:space="preserve"> was </w:t>
      </w:r>
      <w:r w:rsidR="005C7F35">
        <w:t>below</w:t>
      </w:r>
      <w:r w:rsidR="00CF3349">
        <w:t xml:space="preserve"> </w:t>
      </w:r>
      <w:r w:rsidR="002918DE" w:rsidRPr="00DA1DA2">
        <w:t>the</w:t>
      </w:r>
      <w:r w:rsidRPr="00DA1DA2">
        <w:t xml:space="preserve"> MDPH recommended range of 40</w:t>
      </w:r>
      <w:r w:rsidR="002918DE" w:rsidRPr="00DA1DA2">
        <w:t>%</w:t>
      </w:r>
      <w:r w:rsidR="005C7F35">
        <w:t xml:space="preserve"> to 60% in most areas as is typical during the heating season in the Northeast.</w:t>
      </w:r>
    </w:p>
    <w:p w:rsidR="00C2534B" w:rsidRPr="00DA1DA2" w:rsidRDefault="00C2534B" w:rsidP="00C2534B">
      <w:pPr>
        <w:pStyle w:val="BodyTextBulleted"/>
      </w:pPr>
      <w:r w:rsidRPr="00DA1DA2">
        <w:rPr>
          <w:b/>
          <w:i/>
        </w:rPr>
        <w:t>Carbon monoxide</w:t>
      </w:r>
      <w:r w:rsidRPr="00DA1DA2">
        <w:t xml:space="preserve"> levels were non-detectable in all areas tested.</w:t>
      </w:r>
    </w:p>
    <w:p w:rsidR="00C2534B" w:rsidRPr="002918DE" w:rsidRDefault="00C2534B" w:rsidP="00C2534B">
      <w:pPr>
        <w:pStyle w:val="BodyTextBulleted"/>
      </w:pPr>
      <w:r w:rsidRPr="00DA1DA2">
        <w:rPr>
          <w:b/>
          <w:i/>
        </w:rPr>
        <w:t>Particulate matter (PM2.5)</w:t>
      </w:r>
      <w:r w:rsidRPr="00DA1DA2">
        <w:t xml:space="preserve"> concentrations measured were below </w:t>
      </w:r>
      <w:r w:rsidR="002918DE" w:rsidRPr="00DA1DA2">
        <w:t>the</w:t>
      </w:r>
      <w:r w:rsidRPr="00DA1DA2">
        <w:t xml:space="preserve"> National Ambient Air Quality (NAAQS)</w:t>
      </w:r>
      <w:r w:rsidRPr="002918DE">
        <w:t xml:space="preserve"> level of 35 μg/m</w:t>
      </w:r>
      <w:r w:rsidRPr="002918DE">
        <w:rPr>
          <w:vertAlign w:val="superscript"/>
        </w:rPr>
        <w:t>3</w:t>
      </w:r>
      <w:r w:rsidRPr="002918DE">
        <w:t xml:space="preserve"> in </w:t>
      </w:r>
      <w:r w:rsidR="004E4E6C">
        <w:t xml:space="preserve">all </w:t>
      </w:r>
      <w:r w:rsidR="002918DE" w:rsidRPr="002918DE">
        <w:t>areas surveyed</w:t>
      </w:r>
      <w:r w:rsidRPr="002918DE">
        <w:t>.</w:t>
      </w:r>
    </w:p>
    <w:p w:rsidR="00C2534B" w:rsidRPr="00C2534B" w:rsidRDefault="00C2534B" w:rsidP="00C2534B">
      <w:pPr>
        <w:pStyle w:val="Heading2"/>
      </w:pPr>
      <w:r w:rsidRPr="00C2534B">
        <w:t>Ventilation</w:t>
      </w:r>
    </w:p>
    <w:p w:rsidR="00A53CF3" w:rsidRPr="00106CE1" w:rsidRDefault="00D77DFC" w:rsidP="007262E8">
      <w:pPr>
        <w:pStyle w:val="BodyText"/>
      </w:pPr>
      <w:r w:rsidRPr="00583451">
        <w:t>Fresh ai</w:t>
      </w:r>
      <w:r w:rsidR="00837664" w:rsidRPr="00583451">
        <w:t>r in</w:t>
      </w:r>
      <w:r w:rsidR="00837664" w:rsidRPr="007262E8">
        <w:t xml:space="preserve"> </w:t>
      </w:r>
      <w:r w:rsidR="00635BD1">
        <w:t xml:space="preserve">most </w:t>
      </w:r>
      <w:r w:rsidR="00837664" w:rsidRPr="007262E8">
        <w:t>classrooms is supplied by</w:t>
      </w:r>
      <w:r w:rsidRPr="007262E8">
        <w:t xml:space="preserve"> </w:t>
      </w:r>
      <w:r w:rsidR="00635BD1">
        <w:t>air handling unit</w:t>
      </w:r>
      <w:r w:rsidR="00CF3349">
        <w:t>s</w:t>
      </w:r>
      <w:r w:rsidR="00635BD1">
        <w:t xml:space="preserve"> (AHU</w:t>
      </w:r>
      <w:r w:rsidR="00CF3349">
        <w:t>s</w:t>
      </w:r>
      <w:r w:rsidR="00635BD1">
        <w:t xml:space="preserve">) located in </w:t>
      </w:r>
      <w:r w:rsidR="00CF3349">
        <w:t>a</w:t>
      </w:r>
      <w:r w:rsidR="00A53CF3">
        <w:t xml:space="preserve"> mechanical room in </w:t>
      </w:r>
      <w:r w:rsidR="00635BD1">
        <w:t>the lower level</w:t>
      </w:r>
      <w:r w:rsidR="00837664" w:rsidRPr="007262E8">
        <w:t xml:space="preserve">. </w:t>
      </w:r>
      <w:r w:rsidR="00635BD1">
        <w:t>The AHU</w:t>
      </w:r>
      <w:r w:rsidR="005971C8">
        <w:t>s</w:t>
      </w:r>
      <w:r w:rsidRPr="007262E8">
        <w:t xml:space="preserve"> draw air from outdoors through </w:t>
      </w:r>
      <w:r w:rsidR="005971C8">
        <w:t>an</w:t>
      </w:r>
      <w:r w:rsidRPr="007262E8">
        <w:t xml:space="preserve"> inta</w:t>
      </w:r>
      <w:r w:rsidR="00635BD1">
        <w:t xml:space="preserve">ke </w:t>
      </w:r>
      <w:r w:rsidR="00A53CF3">
        <w:t xml:space="preserve">vent </w:t>
      </w:r>
      <w:r w:rsidR="00635BD1">
        <w:t>on the exterior wall of the building</w:t>
      </w:r>
      <w:r w:rsidR="00635BD1" w:rsidRPr="00106CE1">
        <w:t xml:space="preserve">. </w:t>
      </w:r>
      <w:r w:rsidR="00987F61">
        <w:t>In most classrooms, r</w:t>
      </w:r>
      <w:r w:rsidRPr="00106CE1">
        <w:t xml:space="preserve">eturn air </w:t>
      </w:r>
      <w:r w:rsidR="00635BD1" w:rsidRPr="00106CE1">
        <w:t xml:space="preserve">is drawn through </w:t>
      </w:r>
      <w:r w:rsidR="005C7F35">
        <w:t>floor vents</w:t>
      </w:r>
      <w:r w:rsidR="00A41298" w:rsidRPr="00106CE1">
        <w:t xml:space="preserve">. </w:t>
      </w:r>
      <w:r w:rsidRPr="00106CE1">
        <w:t xml:space="preserve">Fresh and return air </w:t>
      </w:r>
      <w:r w:rsidR="000D3896" w:rsidRPr="00106CE1">
        <w:t xml:space="preserve">streams </w:t>
      </w:r>
      <w:r w:rsidRPr="00106CE1">
        <w:t>are mixed</w:t>
      </w:r>
      <w:r w:rsidR="00635BD1" w:rsidRPr="00106CE1">
        <w:t xml:space="preserve"> </w:t>
      </w:r>
      <w:r w:rsidR="000D3896" w:rsidRPr="00106CE1">
        <w:t xml:space="preserve">together </w:t>
      </w:r>
      <w:r w:rsidR="00635BD1" w:rsidRPr="00106CE1">
        <w:t>in a large mixing room in the lower level</w:t>
      </w:r>
      <w:r w:rsidR="005C7F35">
        <w:t>.</w:t>
      </w:r>
      <w:r w:rsidR="00635BD1" w:rsidRPr="00106CE1">
        <w:t xml:space="preserve"> Supply air is then </w:t>
      </w:r>
      <w:r w:rsidRPr="00106CE1">
        <w:t xml:space="preserve">filtered, </w:t>
      </w:r>
      <w:r w:rsidR="00837664" w:rsidRPr="00106CE1">
        <w:t>heated,</w:t>
      </w:r>
      <w:r w:rsidRPr="00106CE1">
        <w:t xml:space="preserve"> and p</w:t>
      </w:r>
      <w:r w:rsidR="00635BD1" w:rsidRPr="00106CE1">
        <w:t xml:space="preserve">rovided to classrooms </w:t>
      </w:r>
      <w:r w:rsidR="00A072E5">
        <w:t>via</w:t>
      </w:r>
      <w:r w:rsidR="00635BD1" w:rsidRPr="00106CE1">
        <w:t xml:space="preserve"> </w:t>
      </w:r>
      <w:r w:rsidR="005971C8">
        <w:t xml:space="preserve">floor-mounted </w:t>
      </w:r>
      <w:r w:rsidRPr="00106CE1">
        <w:t>air diffuser</w:t>
      </w:r>
      <w:r w:rsidR="00635BD1" w:rsidRPr="00106CE1">
        <w:t>s</w:t>
      </w:r>
      <w:r w:rsidR="000644BD" w:rsidRPr="00106CE1">
        <w:t>.</w:t>
      </w:r>
    </w:p>
    <w:p w:rsidR="00CA4E08" w:rsidRPr="004C3774" w:rsidRDefault="00D71BF5" w:rsidP="007262E8">
      <w:pPr>
        <w:pStyle w:val="BodyText"/>
      </w:pPr>
      <w:r>
        <w:t>BHS F</w:t>
      </w:r>
      <w:r w:rsidR="005C7F35" w:rsidRPr="004C3774">
        <w:t xml:space="preserve">acilities staff reported </w:t>
      </w:r>
      <w:r w:rsidR="00B87294" w:rsidRPr="004C3774">
        <w:t>that the louver</w:t>
      </w:r>
      <w:r w:rsidR="00D60680" w:rsidRPr="004C3774">
        <w:t xml:space="preserve">s for the fresh air intake vent </w:t>
      </w:r>
      <w:r w:rsidR="00B87294" w:rsidRPr="004C3774">
        <w:t xml:space="preserve">in the mixing room </w:t>
      </w:r>
      <w:r w:rsidR="00583F61" w:rsidRPr="004C3774">
        <w:t xml:space="preserve">were </w:t>
      </w:r>
      <w:r w:rsidR="005C7F35" w:rsidRPr="004C3774">
        <w:t xml:space="preserve">opened to the proper setting. </w:t>
      </w:r>
      <w:r w:rsidR="00CA4E08" w:rsidRPr="004C3774">
        <w:t xml:space="preserve">BHS </w:t>
      </w:r>
      <w:r>
        <w:t xml:space="preserve">staff </w:t>
      </w:r>
      <w:r w:rsidR="00CA4E08" w:rsidRPr="004C3774">
        <w:t xml:space="preserve">also </w:t>
      </w:r>
      <w:r w:rsidR="00C62F41">
        <w:t xml:space="preserve">reported that the </w:t>
      </w:r>
      <w:r w:rsidR="00CA4E08" w:rsidRPr="004C3774">
        <w:t xml:space="preserve">exhaust units that were inactive during the previous assessment have been repaired. According to the measurements shown in Table 1, the recommendations that were implemented have made a </w:t>
      </w:r>
      <w:r w:rsidR="00243F7C">
        <w:t>significant improvement</w:t>
      </w:r>
      <w:r w:rsidR="00CA4E08" w:rsidRPr="004C3774">
        <w:t xml:space="preserve"> i</w:t>
      </w:r>
      <w:r w:rsidR="00243F7C">
        <w:t>n air exchange</w:t>
      </w:r>
      <w:r w:rsidR="00CA4E08" w:rsidRPr="004C3774">
        <w:t xml:space="preserve">. </w:t>
      </w:r>
      <w:r>
        <w:t xml:space="preserve">It was reported by </w:t>
      </w:r>
      <w:r w:rsidR="00243F7C">
        <w:t xml:space="preserve">BHS </w:t>
      </w:r>
      <w:r>
        <w:t>Facilities staff that the B Cafeteria ventilation was being worked on at the time of this assessment and may account for the elevated carbon dioxide readings.</w:t>
      </w:r>
    </w:p>
    <w:p w:rsidR="00D60680" w:rsidRPr="004C3774" w:rsidRDefault="00CA4E08" w:rsidP="007262E8">
      <w:pPr>
        <w:pStyle w:val="BodyText"/>
      </w:pPr>
      <w:r w:rsidRPr="004C3774">
        <w:t>There are some isolated areas that lack supply or exhaust ventilation. These areas should utilize open windows</w:t>
      </w:r>
      <w:r w:rsidR="005318FF" w:rsidRPr="004C3774">
        <w:t xml:space="preserve"> and doors</w:t>
      </w:r>
      <w:r w:rsidRPr="004C3774">
        <w:t xml:space="preserve"> until a long term solution can be implemented.</w:t>
      </w:r>
    </w:p>
    <w:p w:rsidR="00D77DFC" w:rsidRPr="00106CE1" w:rsidRDefault="005C7F35" w:rsidP="005C7F35">
      <w:pPr>
        <w:pStyle w:val="BodyText"/>
      </w:pPr>
      <w:r w:rsidRPr="004C3774">
        <w:t>BHS facilities staff reported that f</w:t>
      </w:r>
      <w:r w:rsidR="00205AED" w:rsidRPr="004C3774">
        <w:t xml:space="preserve">loor-mounted supply and return vents were </w:t>
      </w:r>
      <w:r w:rsidRPr="004C3774">
        <w:t xml:space="preserve">cleaned of </w:t>
      </w:r>
      <w:r w:rsidR="00205AED" w:rsidRPr="004C3774">
        <w:t>accum</w:t>
      </w:r>
      <w:r w:rsidRPr="004C3774">
        <w:t>ulated</w:t>
      </w:r>
      <w:r>
        <w:t xml:space="preserve"> debris and that staff have </w:t>
      </w:r>
      <w:r w:rsidR="00167D1E" w:rsidRPr="00106CE1">
        <w:t>be</w:t>
      </w:r>
      <w:r>
        <w:t>en educated to avoid blocking the vent</w:t>
      </w:r>
      <w:r w:rsidR="005318FF">
        <w:t>s</w:t>
      </w:r>
      <w:r>
        <w:t xml:space="preserve"> with </w:t>
      </w:r>
      <w:r w:rsidR="00D77DFC" w:rsidRPr="00106CE1">
        <w:t xml:space="preserve">stored </w:t>
      </w:r>
      <w:r>
        <w:lastRenderedPageBreak/>
        <w:t>furniture/</w:t>
      </w:r>
      <w:r w:rsidR="00D77DFC" w:rsidRPr="00106CE1">
        <w:t>materials</w:t>
      </w:r>
      <w:r w:rsidR="007262E8" w:rsidRPr="00106CE1">
        <w:t xml:space="preserve">. </w:t>
      </w:r>
      <w:r>
        <w:t>As mentioned in the prior report, i</w:t>
      </w:r>
      <w:r w:rsidR="00E22962" w:rsidRPr="00106CE1">
        <w:t>n order to function properly, both supply and return</w:t>
      </w:r>
      <w:r w:rsidR="00D77DFC" w:rsidRPr="00106CE1">
        <w:t xml:space="preserve"> vents must remain free of obstructions.</w:t>
      </w:r>
      <w:r w:rsidR="00273132">
        <w:t xml:space="preserve"> </w:t>
      </w:r>
    </w:p>
    <w:p w:rsidR="00D77DFC" w:rsidRPr="00106CE1" w:rsidRDefault="00D77DFC" w:rsidP="008326A2">
      <w:pPr>
        <w:pStyle w:val="Heading2"/>
      </w:pPr>
      <w:r w:rsidRPr="00106CE1">
        <w:t>Microbial/Moisture Concerns</w:t>
      </w:r>
    </w:p>
    <w:p w:rsidR="00D77DFC" w:rsidRPr="004C3774" w:rsidRDefault="00B67B42" w:rsidP="00243F06">
      <w:pPr>
        <w:pStyle w:val="BodyText"/>
      </w:pPr>
      <w:r w:rsidRPr="004C3774">
        <w:t>Some areas were noted to have remaining w</w:t>
      </w:r>
      <w:r w:rsidR="00D97C00" w:rsidRPr="004C3774">
        <w:t xml:space="preserve">ater-damaged ceiling tiles </w:t>
      </w:r>
      <w:r w:rsidRPr="004C3774">
        <w:t xml:space="preserve">and plaster ceilings/walls. BHS facilities staff reported that </w:t>
      </w:r>
      <w:r w:rsidR="00243F7C">
        <w:t xml:space="preserve">plans are underway to renovate </w:t>
      </w:r>
      <w:r w:rsidRPr="004C3774">
        <w:t>the women’s locker ar</w:t>
      </w:r>
      <w:r w:rsidR="00243F7C">
        <w:t xml:space="preserve">ea and that they will </w:t>
      </w:r>
      <w:r w:rsidRPr="004C3774">
        <w:t>continue to replace historic water-damaged ceiling tiles.</w:t>
      </w:r>
    </w:p>
    <w:p w:rsidR="008326A2" w:rsidRPr="004C3774" w:rsidRDefault="008326A2" w:rsidP="00243F06">
      <w:pPr>
        <w:pStyle w:val="BodyText"/>
      </w:pPr>
      <w:r w:rsidRPr="004C3774">
        <w:t>Measures should be taken to ensure water-</w:t>
      </w:r>
      <w:r w:rsidR="001E5D62" w:rsidRPr="004C3774">
        <w:t xml:space="preserve">damaged materials are cleaned, replaced, and/or </w:t>
      </w:r>
      <w:r w:rsidRPr="004C3774">
        <w:t xml:space="preserve">repaired in a manner consistent with the U.S. Environmental Protection Agency’s </w:t>
      </w:r>
      <w:r w:rsidR="009A78CC" w:rsidRPr="004C3774">
        <w:t xml:space="preserve">guidelines </w:t>
      </w:r>
      <w:r w:rsidRPr="004C3774">
        <w:t>(US EPA, 2008). The US EPA and the American Conference of Governmental Industrial Hygienists (ACGIH) recommend that porous materials (e.g., c</w:t>
      </w:r>
      <w:r w:rsidR="002D39C8" w:rsidRPr="004C3774">
        <w:t>eiling tiles</w:t>
      </w:r>
      <w:r w:rsidRPr="004C3774">
        <w:t xml:space="preserve">, </w:t>
      </w:r>
      <w:r w:rsidR="008C09BF" w:rsidRPr="004C3774">
        <w:t>gypsum wallboard</w:t>
      </w:r>
      <w:r w:rsidRPr="004C3774">
        <w:t>) be dried with fans and heating within 24 to 48 hours of becoming wet (US EPA, 2008; ACGIH, 1989). If not dried within this time frame</w:t>
      </w:r>
      <w:r w:rsidR="002D39C8" w:rsidRPr="004C3774">
        <w:t xml:space="preserve"> they</w:t>
      </w:r>
      <w:r w:rsidRPr="004C3774">
        <w:t xml:space="preserve"> should be removed/discarded.</w:t>
      </w:r>
    </w:p>
    <w:p w:rsidR="00D77DFC" w:rsidRPr="004C3774" w:rsidRDefault="00D77DFC" w:rsidP="008326A2">
      <w:pPr>
        <w:pStyle w:val="Heading2"/>
      </w:pPr>
      <w:r w:rsidRPr="004C3774">
        <w:t>Other Concerns</w:t>
      </w:r>
    </w:p>
    <w:p w:rsidR="00A74C66" w:rsidRPr="004C3774" w:rsidRDefault="00B0371A" w:rsidP="00A74C66">
      <w:pPr>
        <w:pStyle w:val="BodyText"/>
      </w:pPr>
      <w:r w:rsidRPr="004C3774">
        <w:t>Some occupants reported that abandoned drain traps were a continuing problem in regards to sewer odors. These odors should be reported promptly and the drains should be either properly capped or have water poured into them on a regular basis to avoid future issues.</w:t>
      </w:r>
    </w:p>
    <w:p w:rsidR="00807A4D" w:rsidRPr="00DA1DA2" w:rsidRDefault="00B0371A" w:rsidP="00807A4D">
      <w:pPr>
        <w:pStyle w:val="BodyText"/>
      </w:pPr>
      <w:r w:rsidRPr="004C3774">
        <w:t>BHS</w:t>
      </w:r>
      <w:r>
        <w:t xml:space="preserve"> staff reported that they are researching alternatives to the tennis balls used as chair glides. They plan to implement the alternative glides as soon as they make an appropriate choice.</w:t>
      </w:r>
    </w:p>
    <w:p w:rsidR="00D77DFC" w:rsidRDefault="00D77DFC" w:rsidP="001E5D62">
      <w:pPr>
        <w:pStyle w:val="Heading1"/>
      </w:pPr>
      <w:r w:rsidRPr="00277DA0">
        <w:t>Conclus</w:t>
      </w:r>
      <w:r>
        <w:t>ions/Recommendations</w:t>
      </w:r>
    </w:p>
    <w:p w:rsidR="00BA03DE" w:rsidRPr="00BA03DE" w:rsidRDefault="00BA03DE" w:rsidP="005A00D7">
      <w:pPr>
        <w:pStyle w:val="Recommendations"/>
      </w:pPr>
      <w:r w:rsidRPr="00DA1DA2">
        <w:t>Continue to ensure</w:t>
      </w:r>
      <w:r w:rsidR="00CA4E08">
        <w:t xml:space="preserve"> all water leaks </w:t>
      </w:r>
      <w:r>
        <w:t>are fixed promptly and remove any water-damaged porous materials (e.g., ceiling tiles) that were not dried properly within 24-48 hours.</w:t>
      </w:r>
    </w:p>
    <w:p w:rsidR="00B6685E" w:rsidRPr="00DA1DA2" w:rsidRDefault="00B6685E" w:rsidP="005A00D7">
      <w:pPr>
        <w:pStyle w:val="Recommendations"/>
      </w:pPr>
      <w:r w:rsidRPr="00DA1DA2">
        <w:t>Ensure that any water-damaged plaster ceilings/walls are repaired and clean an</w:t>
      </w:r>
      <w:r w:rsidR="00CA4E08">
        <w:t xml:space="preserve">y associated debris </w:t>
      </w:r>
      <w:r w:rsidRPr="00DA1DA2">
        <w:t>to avoid irritant effects.</w:t>
      </w:r>
    </w:p>
    <w:p w:rsidR="00D87A15" w:rsidRPr="00DA1DA2" w:rsidRDefault="000F23D6" w:rsidP="005A00D7">
      <w:pPr>
        <w:pStyle w:val="Recommendations"/>
      </w:pPr>
      <w:r w:rsidRPr="00DA1DA2">
        <w:t>Determine whether abandoned plumbing fixtures are to be used or not. Fixtures that are to be used should have water poured into drains on a regular basis to avoid dry drain traps. Fixtures no longer needed should be removed and properly capped.</w:t>
      </w:r>
    </w:p>
    <w:p w:rsidR="008A3FA6" w:rsidRDefault="00CA4E08" w:rsidP="005A00D7">
      <w:pPr>
        <w:pStyle w:val="Recommendations"/>
      </w:pPr>
      <w:r>
        <w:lastRenderedPageBreak/>
        <w:t>Continue to e</w:t>
      </w:r>
      <w:r w:rsidR="002310CC" w:rsidRPr="00DA1DA2">
        <w:t xml:space="preserve">nsure that all </w:t>
      </w:r>
      <w:r w:rsidR="00D1793D" w:rsidRPr="00DA1DA2">
        <w:t>ventilation</w:t>
      </w:r>
      <w:r w:rsidR="002310CC" w:rsidRPr="00DA1DA2">
        <w:t xml:space="preserve"> components </w:t>
      </w:r>
      <w:r w:rsidR="005318FF">
        <w:t xml:space="preserve">throughout the building </w:t>
      </w:r>
      <w:r w:rsidR="002310CC" w:rsidRPr="00DA1DA2">
        <w:t>are properly functioning and operating continuously during occupied hours.</w:t>
      </w:r>
    </w:p>
    <w:p w:rsidR="00F1318D" w:rsidRDefault="00F1318D" w:rsidP="00FF4A5B">
      <w:pPr>
        <w:pStyle w:val="Recommendations"/>
      </w:pPr>
      <w:r>
        <w:t>Encourage occupants to utilize open windows and doors in areas lacking mechanical ventilation until a long-term solution can be implemented.</w:t>
      </w:r>
    </w:p>
    <w:p w:rsidR="00FF4A5B" w:rsidRPr="00FF4A5B" w:rsidRDefault="00CA4E08" w:rsidP="00FF4A5B">
      <w:pPr>
        <w:pStyle w:val="Recommendations"/>
      </w:pPr>
      <w:r>
        <w:t>Continue to implement rem</w:t>
      </w:r>
      <w:r w:rsidR="005318FF">
        <w:t>aining recommendations from the previous assessment (MDPH, 2017)</w:t>
      </w:r>
      <w:r>
        <w:t>.</w:t>
      </w:r>
    </w:p>
    <w:p w:rsidR="003870A5" w:rsidRPr="006553B9" w:rsidRDefault="003870A5" w:rsidP="003870A5">
      <w:pPr>
        <w:pStyle w:val="Recommendations"/>
      </w:pPr>
      <w:r w:rsidRPr="00DA1DA2">
        <w:t>Consider adopting the US EPA (2000) docum</w:t>
      </w:r>
      <w:r w:rsidRPr="006553B9">
        <w:t xml:space="preserve">ent, “Tools for Schools”, as an instrument for maintaining a good </w:t>
      </w:r>
      <w:r>
        <w:t>IAQ</w:t>
      </w:r>
      <w:r w:rsidR="008F0F5B">
        <w:t xml:space="preserve"> environment in the building. </w:t>
      </w:r>
      <w:r w:rsidRPr="006553B9">
        <w:t xml:space="preserve">This document is available at: </w:t>
      </w:r>
      <w:hyperlink r:id="rId9" w:tooltip="US EPA (2000), &quot;Tools for Schools&quot;" w:history="1">
        <w:r w:rsidRPr="006553B9">
          <w:rPr>
            <w:color w:val="0000FF"/>
            <w:u w:val="single"/>
          </w:rPr>
          <w:t>htt</w:t>
        </w:r>
        <w:r w:rsidRPr="006553B9">
          <w:rPr>
            <w:color w:val="0000FF"/>
            <w:u w:val="single"/>
          </w:rPr>
          <w:t>p</w:t>
        </w:r>
        <w:r w:rsidRPr="006553B9">
          <w:rPr>
            <w:color w:val="0000FF"/>
            <w:u w:val="single"/>
          </w:rPr>
          <w:t>://www.epa.gov/iaq/schools/i</w:t>
        </w:r>
        <w:r w:rsidRPr="006553B9">
          <w:rPr>
            <w:color w:val="0000FF"/>
            <w:u w:val="single"/>
          </w:rPr>
          <w:t>n</w:t>
        </w:r>
        <w:r w:rsidRPr="006553B9">
          <w:rPr>
            <w:color w:val="0000FF"/>
            <w:u w:val="single"/>
          </w:rPr>
          <w:t>dex.html</w:t>
        </w:r>
      </w:hyperlink>
      <w:r w:rsidRPr="006553B9">
        <w:t>.</w:t>
      </w:r>
    </w:p>
    <w:p w:rsidR="003870A5" w:rsidRDefault="003870A5" w:rsidP="003870A5">
      <w:pPr>
        <w:pStyle w:val="Recommendations"/>
      </w:pPr>
      <w:r w:rsidRPr="00DA1DA2">
        <w:t>R</w:t>
      </w:r>
      <w:r w:rsidRPr="006553B9">
        <w:t xml:space="preserve">efer to resource manual and other related </w:t>
      </w:r>
      <w:r>
        <w:t>IAQ</w:t>
      </w:r>
      <w:r w:rsidRPr="006553B9">
        <w:t xml:space="preserve"> documents located on the MDPH’s website for further building-wide evaluations and advice on maintaining public buildings.</w:t>
      </w:r>
      <w:r w:rsidR="00273132">
        <w:t xml:space="preserve"> </w:t>
      </w:r>
      <w:r w:rsidRPr="006553B9">
        <w:t>These documents are available at:</w:t>
      </w:r>
      <w:r w:rsidR="00E654B4" w:rsidRPr="00E654B4">
        <w:t xml:space="preserve"> </w:t>
      </w:r>
      <w:hyperlink r:id="rId10" w:tooltip="MDPH Indoor Air Quality Program" w:history="1">
        <w:r w:rsidR="00CB2480" w:rsidRPr="00DA47C8">
          <w:rPr>
            <w:rStyle w:val="Hyperlink"/>
          </w:rPr>
          <w:t>http://</w:t>
        </w:r>
        <w:r w:rsidR="00CB2480" w:rsidRPr="00DA47C8">
          <w:rPr>
            <w:rStyle w:val="Hyperlink"/>
          </w:rPr>
          <w:t>m</w:t>
        </w:r>
        <w:r w:rsidR="00CB2480" w:rsidRPr="00DA47C8">
          <w:rPr>
            <w:rStyle w:val="Hyperlink"/>
          </w:rPr>
          <w:t>a</w:t>
        </w:r>
        <w:r w:rsidR="00CB2480" w:rsidRPr="00DA47C8">
          <w:rPr>
            <w:rStyle w:val="Hyperlink"/>
          </w:rPr>
          <w:t>s</w:t>
        </w:r>
        <w:r w:rsidR="00CB2480" w:rsidRPr="00DA47C8">
          <w:rPr>
            <w:rStyle w:val="Hyperlink"/>
          </w:rPr>
          <w:t>s.gov/dph/iaq</w:t>
        </w:r>
      </w:hyperlink>
      <w:r w:rsidR="00CB2480">
        <w:t>.</w:t>
      </w:r>
    </w:p>
    <w:p w:rsidR="00F1318D" w:rsidRDefault="00F1318D" w:rsidP="00F1318D">
      <w:pPr>
        <w:pStyle w:val="Recommendations"/>
        <w:numPr>
          <w:ilvl w:val="0"/>
          <w:numId w:val="0"/>
        </w:numPr>
      </w:pPr>
    </w:p>
    <w:p w:rsidR="00F1318D" w:rsidRPr="00F1318D" w:rsidRDefault="00F1318D" w:rsidP="00F1318D">
      <w:pPr>
        <w:pStyle w:val="Recommendations"/>
        <w:numPr>
          <w:ilvl w:val="0"/>
          <w:numId w:val="0"/>
        </w:numPr>
        <w:rPr>
          <w:b/>
          <w:sz w:val="28"/>
          <w:szCs w:val="28"/>
        </w:rPr>
      </w:pPr>
      <w:r w:rsidRPr="00DD5C8A">
        <w:rPr>
          <w:b/>
          <w:sz w:val="28"/>
          <w:szCs w:val="28"/>
        </w:rPr>
        <w:t>Long-term Recommendation</w:t>
      </w:r>
    </w:p>
    <w:p w:rsidR="00F1318D" w:rsidRPr="006553B9" w:rsidRDefault="00F1318D" w:rsidP="00F1318D">
      <w:pPr>
        <w:pStyle w:val="Recommendations"/>
        <w:numPr>
          <w:ilvl w:val="0"/>
          <w:numId w:val="43"/>
        </w:numPr>
      </w:pPr>
      <w:r>
        <w:t>Consider contracting with an HVAC engineer to design/install mechanical ventilation in those areas which are not equipped with it.</w:t>
      </w:r>
    </w:p>
    <w:p w:rsidR="00D77DFC" w:rsidRDefault="00D77DFC" w:rsidP="005A00D7">
      <w:pPr>
        <w:pStyle w:val="Heading1"/>
      </w:pPr>
      <w:r>
        <w:br w:type="page"/>
      </w:r>
      <w:r w:rsidRPr="009D2EF8">
        <w:lastRenderedPageBreak/>
        <w:t>References</w:t>
      </w:r>
    </w:p>
    <w:p w:rsidR="00C51CE1" w:rsidRPr="00DA1DA2" w:rsidRDefault="00273132" w:rsidP="00C51CE1">
      <w:pPr>
        <w:pStyle w:val="references"/>
      </w:pPr>
      <w:r w:rsidRPr="00DA1DA2">
        <w:t xml:space="preserve">American Conference of Governmental Industrial Hygienists (ACGIH). </w:t>
      </w:r>
      <w:r w:rsidR="00C51CE1" w:rsidRPr="00DA1DA2">
        <w:t>1989.</w:t>
      </w:r>
      <w:r>
        <w:t xml:space="preserve"> </w:t>
      </w:r>
      <w:r w:rsidR="00C51CE1" w:rsidRPr="00DA1DA2">
        <w:t>Guidelines for the Assessment of Bioaerosols in the Indoor Environment. American Conference of Governmental Industrial Hygienists, Cincinnati, OH.</w:t>
      </w:r>
    </w:p>
    <w:p w:rsidR="00C5353D" w:rsidRDefault="00C5353D" w:rsidP="00C5353D">
      <w:pPr>
        <w:spacing w:after="240"/>
      </w:pPr>
      <w:r w:rsidRPr="00C5353D">
        <w:t xml:space="preserve">MDPH. 2015. Massachusetts Department of Public Health. Indoor Air Quality Manual: Chapters I-III. Available at: </w:t>
      </w:r>
      <w:hyperlink r:id="rId11" w:tooltip="Indoor Air Quality Manual: Chapters I-III" w:history="1">
        <w:r w:rsidRPr="00DA1DA2">
          <w:rPr>
            <w:u w:val="single"/>
          </w:rPr>
          <w:t>http://</w:t>
        </w:r>
        <w:r w:rsidRPr="00DA1DA2">
          <w:rPr>
            <w:u w:val="single"/>
          </w:rPr>
          <w:t>w</w:t>
        </w:r>
        <w:r w:rsidRPr="00DA1DA2">
          <w:rPr>
            <w:u w:val="single"/>
          </w:rPr>
          <w:t>ww.m</w:t>
        </w:r>
        <w:r w:rsidRPr="00DA1DA2">
          <w:rPr>
            <w:u w:val="single"/>
          </w:rPr>
          <w:t>a</w:t>
        </w:r>
        <w:r w:rsidRPr="00DA1DA2">
          <w:rPr>
            <w:u w:val="single"/>
          </w:rPr>
          <w:t>ss</w:t>
        </w:r>
        <w:r w:rsidRPr="00DA1DA2">
          <w:rPr>
            <w:u w:val="single"/>
          </w:rPr>
          <w:t>.</w:t>
        </w:r>
        <w:r w:rsidRPr="00DA1DA2">
          <w:rPr>
            <w:u w:val="single"/>
          </w:rPr>
          <w:t>gov/eoh</w:t>
        </w:r>
        <w:r w:rsidRPr="00DA1DA2">
          <w:rPr>
            <w:u w:val="single"/>
          </w:rPr>
          <w:t>h</w:t>
        </w:r>
        <w:r w:rsidRPr="00DA1DA2">
          <w:rPr>
            <w:u w:val="single"/>
          </w:rPr>
          <w:t>s</w:t>
        </w:r>
        <w:r w:rsidRPr="00DA1DA2">
          <w:rPr>
            <w:u w:val="single"/>
          </w:rPr>
          <w:t>/gov/depart</w:t>
        </w:r>
        <w:r w:rsidRPr="00DA1DA2">
          <w:rPr>
            <w:u w:val="single"/>
          </w:rPr>
          <w:t>m</w:t>
        </w:r>
        <w:r w:rsidRPr="00DA1DA2">
          <w:rPr>
            <w:u w:val="single"/>
          </w:rPr>
          <w:t>ents/dph/programs/environmental-health/exposure-topics/iaq/i</w:t>
        </w:r>
        <w:r w:rsidRPr="00DA1DA2">
          <w:rPr>
            <w:u w:val="single"/>
          </w:rPr>
          <w:t>a</w:t>
        </w:r>
        <w:r w:rsidRPr="00DA1DA2">
          <w:rPr>
            <w:u w:val="single"/>
          </w:rPr>
          <w:t>q-man</w:t>
        </w:r>
        <w:r w:rsidRPr="00DA1DA2">
          <w:rPr>
            <w:u w:val="single"/>
          </w:rPr>
          <w:t>u</w:t>
        </w:r>
        <w:r w:rsidRPr="00DA1DA2">
          <w:rPr>
            <w:u w:val="single"/>
          </w:rPr>
          <w:t>a</w:t>
        </w:r>
        <w:r w:rsidRPr="00DA1DA2">
          <w:rPr>
            <w:u w:val="single"/>
          </w:rPr>
          <w:t>l</w:t>
        </w:r>
        <w:r w:rsidRPr="00DA1DA2">
          <w:rPr>
            <w:u w:val="single"/>
          </w:rPr>
          <w:t>/</w:t>
        </w:r>
      </w:hyperlink>
      <w:r w:rsidRPr="00C5353D">
        <w:t>.</w:t>
      </w:r>
    </w:p>
    <w:p w:rsidR="005D7A8B" w:rsidRDefault="005D7A8B" w:rsidP="00C5353D">
      <w:pPr>
        <w:spacing w:after="240"/>
      </w:pPr>
      <w:r w:rsidRPr="009D2EF8">
        <w:t>MDPH. 2017. Massachusetts</w:t>
      </w:r>
      <w:r>
        <w:t xml:space="preserve"> Department of Public Health. Indoor Air Quality Assessment: Worce</w:t>
      </w:r>
      <w:r w:rsidR="005318FF">
        <w:t>ster Burncoat High School. March</w:t>
      </w:r>
      <w:r>
        <w:t xml:space="preserve"> 2017. Available at: </w:t>
      </w:r>
      <w:hyperlink r:id="rId12" w:tooltip="MDPH. 2017. Massachusetts Department of Public Health. Indoor Air Quality Assessment: Worcester Burncoat High School. March 2017" w:history="1">
        <w:r w:rsidR="00611580" w:rsidRPr="004A7904">
          <w:rPr>
            <w:rStyle w:val="Hyperlink"/>
          </w:rPr>
          <w:t>http://www.mass.gov/eohhs/gov/departments/dph/programs/environmental-health/exposure-topics/iaq/iaq-rpts/cities-and-towns-w.html</w:t>
        </w:r>
      </w:hyperlink>
    </w:p>
    <w:p w:rsidR="00D77DFC" w:rsidRPr="00DA1DA2" w:rsidRDefault="00D77DFC" w:rsidP="005A00D7">
      <w:pPr>
        <w:pStyle w:val="references"/>
      </w:pPr>
      <w:r w:rsidRPr="00DA1DA2">
        <w:t>US EPA. 2000. Tools for Schools. Office of Air and Radiation, Office of Radiation and Indoor Air, Indoor Environments Division (6609J). EPA 402-K-95-001, Second Edition.</w:t>
      </w:r>
      <w:r w:rsidR="00273132">
        <w:t xml:space="preserve"> </w:t>
      </w:r>
      <w:hyperlink r:id="rId13" w:tooltip="US EPA. 2000. Tools for Schools" w:history="1">
        <w:r w:rsidR="00CB2480" w:rsidRPr="00DA1DA2">
          <w:rPr>
            <w:rStyle w:val="Hyperlink"/>
          </w:rPr>
          <w:t>https://www.epa.gov/iaq-scho</w:t>
        </w:r>
        <w:r w:rsidR="00CB2480" w:rsidRPr="00DA1DA2">
          <w:rPr>
            <w:rStyle w:val="Hyperlink"/>
          </w:rPr>
          <w:t>o</w:t>
        </w:r>
        <w:r w:rsidR="00CB2480" w:rsidRPr="00DA1DA2">
          <w:rPr>
            <w:rStyle w:val="Hyperlink"/>
          </w:rPr>
          <w:t>ls</w:t>
        </w:r>
      </w:hyperlink>
      <w:r w:rsidR="00CB2480" w:rsidRPr="00DA1DA2">
        <w:t>.</w:t>
      </w:r>
    </w:p>
    <w:p w:rsidR="00A8265B" w:rsidRDefault="00B61A23" w:rsidP="00B61A23">
      <w:pPr>
        <w:pStyle w:val="references"/>
        <w:sectPr w:rsidR="00A8265B"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DA1DA2">
        <w:t>US EP</w:t>
      </w:r>
      <w:r w:rsidRPr="00E654B4">
        <w:t xml:space="preserve">A. 2008. “Mold Remediation in Schools and Commercial Buildings”. Office of Air and Radiation, Indoor Environments Division, Washington, DC. EPA 402-K-01-001. September 2008. Available at: </w:t>
      </w:r>
      <w:hyperlink r:id="rId16" w:tooltip="US EPA. 2008. “Mold Remediation in Schools and Commercial Buildings”" w:history="1">
        <w:r w:rsidRPr="00E654B4">
          <w:rPr>
            <w:u w:val="single"/>
          </w:rPr>
          <w:t>http://w</w:t>
        </w:r>
        <w:r w:rsidRPr="00E654B4">
          <w:rPr>
            <w:u w:val="single"/>
          </w:rPr>
          <w:t>w</w:t>
        </w:r>
        <w:r w:rsidRPr="00E654B4">
          <w:rPr>
            <w:u w:val="single"/>
          </w:rPr>
          <w:t>w.e</w:t>
        </w:r>
        <w:r w:rsidRPr="00E654B4">
          <w:rPr>
            <w:u w:val="single"/>
          </w:rPr>
          <w:t>p</w:t>
        </w:r>
        <w:r w:rsidRPr="00E654B4">
          <w:rPr>
            <w:u w:val="single"/>
          </w:rPr>
          <w:t>a.</w:t>
        </w:r>
        <w:r w:rsidRPr="00E654B4">
          <w:rPr>
            <w:u w:val="single"/>
          </w:rPr>
          <w:t>g</w:t>
        </w:r>
        <w:r w:rsidRPr="00E654B4">
          <w:rPr>
            <w:u w:val="single"/>
          </w:rPr>
          <w:t>ov/mold/mold-remediatio</w:t>
        </w:r>
        <w:r w:rsidRPr="00E654B4">
          <w:rPr>
            <w:u w:val="single"/>
          </w:rPr>
          <w:t>n</w:t>
        </w:r>
        <w:r w:rsidRPr="00E654B4">
          <w:rPr>
            <w:u w:val="single"/>
          </w:rPr>
          <w:t>-schools-and-commercial-buildings-guide</w:t>
        </w:r>
      </w:hyperlink>
      <w:r w:rsidRPr="00E654B4">
        <w:t>.</w:t>
      </w:r>
    </w:p>
    <w:tbl>
      <w:tblPr>
        <w:tblW w:w="105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920"/>
        <w:gridCol w:w="1136"/>
        <w:gridCol w:w="810"/>
        <w:gridCol w:w="1080"/>
        <w:gridCol w:w="954"/>
        <w:gridCol w:w="1116"/>
        <w:gridCol w:w="2615"/>
      </w:tblGrid>
      <w:tr w:rsidR="00A8265B" w:rsidRPr="00A8265B" w:rsidTr="00A8265B">
        <w:trPr>
          <w:cantSplit/>
          <w:trHeight w:val="350"/>
          <w:tblHeader/>
          <w:jc w:val="center"/>
        </w:trPr>
        <w:tc>
          <w:tcPr>
            <w:tcW w:w="1909" w:type="dxa"/>
            <w:vMerge w:val="restart"/>
            <w:tcBorders>
              <w:top w:val="single" w:sz="12" w:space="0" w:color="000000"/>
            </w:tcBorders>
            <w:vAlign w:val="bottom"/>
          </w:tcPr>
          <w:p w:rsidR="00A8265B" w:rsidRPr="00A8265B" w:rsidRDefault="00A8265B" w:rsidP="00A8265B">
            <w:pPr>
              <w:keepNext/>
              <w:jc w:val="center"/>
              <w:outlineLvl w:val="0"/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Location</w:t>
            </w:r>
          </w:p>
        </w:tc>
        <w:tc>
          <w:tcPr>
            <w:tcW w:w="920" w:type="dxa"/>
            <w:vMerge w:val="restart"/>
            <w:tcBorders>
              <w:top w:val="single" w:sz="12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Carbon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Dioxide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(ppm)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</w:tcBorders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Carbon Monoxide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(ppm)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Temp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(°F)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Relative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Humidity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(%)</w:t>
            </w:r>
          </w:p>
        </w:tc>
        <w:tc>
          <w:tcPr>
            <w:tcW w:w="954" w:type="dxa"/>
            <w:vMerge w:val="restart"/>
            <w:tcBorders>
              <w:top w:val="single" w:sz="12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PM2.5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(µg/m</w:t>
            </w:r>
            <w:r w:rsidRPr="00A8265B">
              <w:rPr>
                <w:sz w:val="20"/>
                <w:vertAlign w:val="superscript"/>
              </w:rPr>
              <w:t>3</w:t>
            </w:r>
            <w:r w:rsidRPr="00A8265B">
              <w:rPr>
                <w:sz w:val="20"/>
              </w:rPr>
              <w:t>)</w:t>
            </w:r>
          </w:p>
        </w:tc>
        <w:tc>
          <w:tcPr>
            <w:tcW w:w="1116" w:type="dxa"/>
            <w:vMerge w:val="restart"/>
            <w:tcBorders>
              <w:top w:val="single" w:sz="12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Occupants</w:t>
            </w:r>
          </w:p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in Room</w:t>
            </w:r>
          </w:p>
        </w:tc>
        <w:tc>
          <w:tcPr>
            <w:tcW w:w="2615" w:type="dxa"/>
            <w:vMerge w:val="restart"/>
            <w:tcBorders>
              <w:top w:val="single" w:sz="12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Remarks</w:t>
            </w:r>
          </w:p>
        </w:tc>
      </w:tr>
      <w:tr w:rsidR="00A8265B" w:rsidRPr="00A8265B" w:rsidTr="00A8265B">
        <w:trPr>
          <w:cantSplit/>
          <w:trHeight w:val="350"/>
          <w:tblHeader/>
          <w:jc w:val="center"/>
        </w:trPr>
        <w:tc>
          <w:tcPr>
            <w:tcW w:w="1909" w:type="dxa"/>
            <w:vMerge/>
            <w:tcBorders>
              <w:bottom w:val="single" w:sz="6" w:space="0" w:color="000000"/>
            </w:tcBorders>
            <w:vAlign w:val="bottom"/>
          </w:tcPr>
          <w:p w:rsidR="00A8265B" w:rsidRPr="00A8265B" w:rsidRDefault="00A8265B" w:rsidP="00A8265B">
            <w:pPr>
              <w:keepNext/>
              <w:jc w:val="center"/>
              <w:outlineLvl w:val="0"/>
              <w:rPr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6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bottom w:val="single" w:sz="6" w:space="0" w:color="000000"/>
            </w:tcBorders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6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6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</w:p>
        </w:tc>
        <w:tc>
          <w:tcPr>
            <w:tcW w:w="954" w:type="dxa"/>
            <w:vMerge/>
            <w:tcBorders>
              <w:bottom w:val="single" w:sz="6" w:space="0" w:color="000000"/>
            </w:tcBorders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bottom w:val="single" w:sz="6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</w:p>
        </w:tc>
        <w:tc>
          <w:tcPr>
            <w:tcW w:w="2615" w:type="dxa"/>
            <w:vMerge/>
            <w:tcBorders>
              <w:bottom w:val="single" w:sz="6" w:space="0" w:color="000000"/>
            </w:tcBorders>
            <w:vAlign w:val="bottom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rPr>
                <w:sz w:val="20"/>
              </w:rPr>
            </w:pPr>
            <w:r w:rsidRPr="00A8265B">
              <w:rPr>
                <w:sz w:val="20"/>
              </w:rPr>
              <w:t>Background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jc w:val="center"/>
              <w:rPr>
                <w:sz w:val="20"/>
              </w:rPr>
            </w:pPr>
            <w:r w:rsidRPr="00A8265B">
              <w:rPr>
                <w:sz w:val="20"/>
              </w:rPr>
              <w:t>396</w:t>
            </w: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jc w:val="center"/>
              <w:rPr>
                <w:sz w:val="20"/>
              </w:rPr>
            </w:pPr>
            <w:r w:rsidRPr="00A8265B">
              <w:rPr>
                <w:sz w:val="20"/>
              </w:rPr>
              <w:t>1.0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jc w:val="center"/>
              <w:rPr>
                <w:sz w:val="20"/>
              </w:rPr>
            </w:pPr>
            <w:r w:rsidRPr="00A8265B">
              <w:rPr>
                <w:sz w:val="20"/>
              </w:rPr>
              <w:t>49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jc w:val="center"/>
              <w:rPr>
                <w:sz w:val="20"/>
              </w:rPr>
            </w:pPr>
            <w:r w:rsidRPr="00A8265B">
              <w:rPr>
                <w:sz w:val="20"/>
              </w:rPr>
              <w:t>46</w:t>
            </w: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jc w:val="center"/>
              <w:rPr>
                <w:sz w:val="20"/>
              </w:rPr>
            </w:pPr>
            <w:r w:rsidRPr="00A8265B">
              <w:rPr>
                <w:sz w:val="20"/>
              </w:rPr>
              <w:t>13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261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FFF"/>
            <w:vAlign w:val="center"/>
          </w:tcPr>
          <w:p w:rsidR="00A8265B" w:rsidRPr="00A8265B" w:rsidRDefault="00A8265B" w:rsidP="00A8265B">
            <w:pPr>
              <w:spacing w:before="60" w:after="60"/>
              <w:rPr>
                <w:sz w:val="20"/>
              </w:rPr>
            </w:pPr>
            <w:r w:rsidRPr="00A8265B">
              <w:rPr>
                <w:sz w:val="20"/>
              </w:rPr>
              <w:t>Partly cloudy, moderate wind</w:t>
            </w: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A12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640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A14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639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A16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637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39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A18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647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A5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607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31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A5 Conference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512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611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33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A7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661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33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A7 main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587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A8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691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A9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614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33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A9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677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32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A9-Center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535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A9-Greeen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491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A9-Michaud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515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31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B1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584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B10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673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31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B11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812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24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 xml:space="preserve"> B14 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719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32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16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B16  Cafe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1434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B19 Suite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32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B2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667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35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B3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867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36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19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754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B5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577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B5A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710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36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676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32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B9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32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C1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448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29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Reported mice problem</w:t>
            </w: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C1 supply room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466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Drain odors, MT, cleaning complaints</w:t>
            </w: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C11 Library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683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C19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553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23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C19 Storage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516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29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C1A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390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25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16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Windows open</w:t>
            </w:r>
          </w:p>
        </w:tc>
      </w:tr>
      <w:tr w:rsidR="00A8265B" w:rsidRPr="00A8265B" w:rsidTr="00A8265B">
        <w:trPr>
          <w:cantSplit/>
          <w:trHeight w:val="637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C2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511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677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484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838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76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29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C8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750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76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19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C9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448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Cafeteria B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1286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46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100+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Cafeteria D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562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32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100+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Clinician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694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77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  <w:highlight w:val="yellow"/>
              </w:rPr>
            </w:pPr>
            <w:r w:rsidRPr="00A8265B">
              <w:rPr>
                <w:sz w:val="20"/>
              </w:rPr>
              <w:t xml:space="preserve">   -Corles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893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D1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468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D10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511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D14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776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31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26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D16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382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Windows open</w:t>
            </w: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D18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Room locked</w:t>
            </w: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D2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474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D20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456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D24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743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31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D3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505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439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D5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556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578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32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D8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631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D8A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501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29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E1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642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13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E2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571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31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E3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519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21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E4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529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29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E5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462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76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26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E5A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453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E6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495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E8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590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14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F6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563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75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16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F8-10 Auto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461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13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25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520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Gym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35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H10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541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35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12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H14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672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33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H16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478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69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33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Windows open</w:t>
            </w: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lastRenderedPageBreak/>
              <w:t>H17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-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Door locked</w:t>
            </w: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H8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535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66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41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H9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550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69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38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Main Office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646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36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4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Police office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551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35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10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Principal’s Office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567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70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36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11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 xml:space="preserve">   -rear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745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73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ROTC class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1077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39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13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ROTC office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1001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71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37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2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  <w:tr w:rsidR="00A8265B" w:rsidRPr="00A8265B" w:rsidTr="00A8265B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  <w:r w:rsidRPr="00A8265B">
              <w:rPr>
                <w:sz w:val="20"/>
              </w:rPr>
              <w:t>Women Teachers</w:t>
            </w:r>
          </w:p>
        </w:tc>
        <w:tc>
          <w:tcPr>
            <w:tcW w:w="92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764</w:t>
            </w:r>
          </w:p>
        </w:tc>
        <w:tc>
          <w:tcPr>
            <w:tcW w:w="113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ND</w:t>
            </w:r>
          </w:p>
        </w:tc>
        <w:tc>
          <w:tcPr>
            <w:tcW w:w="81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72</w:t>
            </w:r>
          </w:p>
        </w:tc>
        <w:tc>
          <w:tcPr>
            <w:tcW w:w="1080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34</w:t>
            </w:r>
          </w:p>
        </w:tc>
        <w:tc>
          <w:tcPr>
            <w:tcW w:w="954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A8265B" w:rsidRPr="00A8265B" w:rsidRDefault="00A8265B" w:rsidP="00A8265B">
            <w:pPr>
              <w:jc w:val="center"/>
              <w:rPr>
                <w:sz w:val="20"/>
              </w:rPr>
            </w:pPr>
            <w:r w:rsidRPr="00A8265B">
              <w:rPr>
                <w:sz w:val="20"/>
              </w:rPr>
              <w:t>0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A8265B" w:rsidRPr="00A8265B" w:rsidRDefault="00A8265B" w:rsidP="00A8265B">
            <w:pPr>
              <w:rPr>
                <w:sz w:val="20"/>
              </w:rPr>
            </w:pPr>
          </w:p>
        </w:tc>
      </w:tr>
    </w:tbl>
    <w:p w:rsidR="00A8265B" w:rsidRPr="00A8265B" w:rsidRDefault="00A8265B" w:rsidP="00A8265B">
      <w:pPr>
        <w:rPr>
          <w:sz w:val="20"/>
        </w:rPr>
      </w:pPr>
    </w:p>
    <w:p w:rsidR="00D77DFC" w:rsidRDefault="00D77DFC" w:rsidP="00B61A23">
      <w:pPr>
        <w:pStyle w:val="references"/>
      </w:pPr>
    </w:p>
    <w:sectPr w:rsidR="00D77DFC" w:rsidSect="00A8265B">
      <w:headerReference w:type="default" r:id="rId17"/>
      <w:footerReference w:type="default" r:id="rId18"/>
      <w:headerReference w:type="first" r:id="rId19"/>
      <w:footerReference w:type="first" r:id="rId20"/>
      <w:pgSz w:w="15840" w:h="12240" w:orient="landscape" w:code="1"/>
      <w:pgMar w:top="446" w:right="720" w:bottom="806" w:left="720" w:header="72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CE" w:rsidRDefault="005831CE">
      <w:r>
        <w:separator/>
      </w:r>
    </w:p>
  </w:endnote>
  <w:endnote w:type="continuationSeparator" w:id="0">
    <w:p w:rsidR="005831CE" w:rsidRDefault="0058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5B" w:rsidRDefault="00A826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A8265B" w:rsidRDefault="00A82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5B" w:rsidRDefault="00A826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91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265B" w:rsidRDefault="00A826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54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3407"/>
      <w:gridCol w:w="2617"/>
      <w:gridCol w:w="2526"/>
      <w:gridCol w:w="2202"/>
      <w:gridCol w:w="2202"/>
    </w:tblGrid>
    <w:tr w:rsidR="00A8265B" w:rsidRPr="00F374D5" w:rsidTr="00A8265B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ND = non detect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MT = missing tile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</w:tr>
    <w:tr w:rsidR="00A8265B" w:rsidRPr="00F374D5" w:rsidTr="00A8265B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</w:tr>
    <w:tr w:rsidR="00A8265B" w:rsidRPr="00F374D5" w:rsidTr="00A8265B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</w:tr>
  </w:tbl>
  <w:p w:rsidR="00A8265B" w:rsidRPr="009804D7" w:rsidRDefault="00A8265B" w:rsidP="00A8265B">
    <w:pPr>
      <w:tabs>
        <w:tab w:val="left" w:pos="9180"/>
      </w:tabs>
      <w:rPr>
        <w:b/>
        <w:sz w:val="20"/>
      </w:rPr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A8265B" w:rsidTr="00A8265B">
      <w:tc>
        <w:tcPr>
          <w:tcW w:w="2718" w:type="dxa"/>
          <w:tcBorders>
            <w:top w:val="single" w:sz="18" w:space="0" w:color="auto"/>
          </w:tcBorders>
        </w:tcPr>
        <w:p w:rsidR="00A8265B" w:rsidRDefault="00A8265B" w:rsidP="00A8265B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Carbon Dioxide:</w:t>
          </w:r>
        </w:p>
      </w:tc>
      <w:tc>
        <w:tcPr>
          <w:tcW w:w="4860" w:type="dxa"/>
          <w:tcBorders>
            <w:top w:val="single" w:sz="18" w:space="0" w:color="auto"/>
          </w:tcBorders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  <w:tcBorders>
            <w:top w:val="single" w:sz="18" w:space="0" w:color="auto"/>
          </w:tcBorders>
        </w:tcPr>
        <w:p w:rsidR="00A8265B" w:rsidRDefault="00A8265B" w:rsidP="00A8265B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  <w:tcBorders>
            <w:top w:val="single" w:sz="18" w:space="0" w:color="auto"/>
          </w:tcBorders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A8265B" w:rsidTr="00A8265B">
      <w:tc>
        <w:tcPr>
          <w:tcW w:w="2718" w:type="dxa"/>
        </w:tcPr>
        <w:p w:rsidR="00A8265B" w:rsidRDefault="00A8265B" w:rsidP="00A8265B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A8265B" w:rsidRDefault="00A8265B" w:rsidP="00A8265B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A8265B" w:rsidRDefault="00A8265B" w:rsidP="00A8265B">
    <w:pPr>
      <w:pStyle w:val="Footer"/>
      <w:jc w:val="center"/>
    </w:pPr>
  </w:p>
  <w:p w:rsidR="00A8265B" w:rsidRPr="00FB37EB" w:rsidRDefault="00A8265B" w:rsidP="00A8265B">
    <w:pPr>
      <w:pStyle w:val="Footer"/>
      <w:tabs>
        <w:tab w:val="center" w:pos="7200"/>
        <w:tab w:val="left" w:pos="8526"/>
      </w:tabs>
    </w:pPr>
    <w:r>
      <w:tab/>
    </w:r>
    <w:r>
      <w:tab/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69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54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2247"/>
      <w:gridCol w:w="3777"/>
      <w:gridCol w:w="273"/>
      <w:gridCol w:w="2253"/>
      <w:gridCol w:w="2202"/>
      <w:gridCol w:w="2202"/>
    </w:tblGrid>
    <w:tr w:rsidR="00A8265B" w:rsidRPr="00F374D5" w:rsidTr="00A8265B">
      <w:trPr>
        <w:trHeight w:val="300"/>
        <w:jc w:val="center"/>
      </w:trPr>
      <w:tc>
        <w:tcPr>
          <w:tcW w:w="22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40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ND = non detect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MT = missing tile</w:t>
          </w:r>
        </w:p>
      </w:tc>
    </w:tr>
    <w:tr w:rsidR="00A8265B" w:rsidRPr="00F374D5" w:rsidTr="00A8265B">
      <w:trPr>
        <w:trHeight w:val="300"/>
        <w:jc w:val="center"/>
      </w:trPr>
      <w:tc>
        <w:tcPr>
          <w:tcW w:w="22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37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52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</w:tr>
    <w:tr w:rsidR="00A8265B" w:rsidRPr="00F374D5" w:rsidTr="00A8265B">
      <w:trPr>
        <w:trHeight w:val="300"/>
        <w:jc w:val="center"/>
      </w:trPr>
      <w:tc>
        <w:tcPr>
          <w:tcW w:w="22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Pr="00F374D5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37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52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265B" w:rsidRDefault="00A8265B" w:rsidP="00A8265B">
          <w:pPr>
            <w:rPr>
              <w:rFonts w:ascii="Times" w:hAnsi="Times" w:cs="Times"/>
              <w:sz w:val="20"/>
            </w:rPr>
          </w:pPr>
        </w:p>
      </w:tc>
    </w:tr>
  </w:tbl>
  <w:p w:rsidR="00A8265B" w:rsidRDefault="00A8265B" w:rsidP="00A8265B">
    <w:pPr>
      <w:tabs>
        <w:tab w:val="left" w:pos="9180"/>
      </w:tabs>
      <w:rPr>
        <w:b/>
        <w:sz w:val="20"/>
      </w:rPr>
    </w:pPr>
  </w:p>
  <w:p w:rsidR="00A8265B" w:rsidRDefault="00A8265B" w:rsidP="00A8265B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A8265B" w:rsidTr="00A8265B">
      <w:tc>
        <w:tcPr>
          <w:tcW w:w="2718" w:type="dxa"/>
          <w:tcBorders>
            <w:top w:val="single" w:sz="18" w:space="0" w:color="auto"/>
          </w:tcBorders>
        </w:tcPr>
        <w:p w:rsidR="00A8265B" w:rsidRDefault="00A8265B" w:rsidP="00A8265B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Carbon Dioxide:</w:t>
          </w:r>
        </w:p>
      </w:tc>
      <w:tc>
        <w:tcPr>
          <w:tcW w:w="4860" w:type="dxa"/>
          <w:tcBorders>
            <w:top w:val="single" w:sz="18" w:space="0" w:color="auto"/>
          </w:tcBorders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  <w:tcBorders>
            <w:top w:val="single" w:sz="18" w:space="0" w:color="auto"/>
          </w:tcBorders>
        </w:tcPr>
        <w:p w:rsidR="00A8265B" w:rsidRDefault="00A8265B" w:rsidP="00A8265B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  <w:tcBorders>
            <w:top w:val="single" w:sz="18" w:space="0" w:color="auto"/>
          </w:tcBorders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A8265B" w:rsidTr="00A8265B">
      <w:tc>
        <w:tcPr>
          <w:tcW w:w="2718" w:type="dxa"/>
        </w:tcPr>
        <w:p w:rsidR="00A8265B" w:rsidRDefault="00A8265B" w:rsidP="00A8265B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A8265B" w:rsidRDefault="00A8265B" w:rsidP="00A8265B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A8265B" w:rsidRDefault="00A8265B" w:rsidP="00A8265B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A8265B" w:rsidRDefault="00A8265B" w:rsidP="00A8265B">
    <w:pPr>
      <w:pStyle w:val="Footer"/>
      <w:jc w:val="center"/>
    </w:pPr>
  </w:p>
  <w:p w:rsidR="00A8265B" w:rsidRDefault="00A8265B" w:rsidP="00A8265B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691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CE" w:rsidRDefault="005831CE">
      <w:r>
        <w:separator/>
      </w:r>
    </w:p>
  </w:footnote>
  <w:footnote w:type="continuationSeparator" w:id="0">
    <w:p w:rsidR="005831CE" w:rsidRDefault="0058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28"/>
      <w:gridCol w:w="3516"/>
      <w:gridCol w:w="2514"/>
      <w:gridCol w:w="2358"/>
    </w:tblGrid>
    <w:tr w:rsidR="00A8265B" w:rsidTr="00A8265B">
      <w:trPr>
        <w:cantSplit/>
      </w:trPr>
      <w:tc>
        <w:tcPr>
          <w:tcW w:w="12258" w:type="dxa"/>
          <w:gridSpan w:val="3"/>
        </w:tcPr>
        <w:p w:rsidR="00A8265B" w:rsidRPr="00677AC6" w:rsidRDefault="00A8265B" w:rsidP="00A8265B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Location: </w:t>
          </w:r>
          <w:r w:rsidRPr="00306CAC">
            <w:rPr>
              <w:b/>
            </w:rPr>
            <w:t>Burncoat High School</w:t>
          </w:r>
        </w:p>
      </w:tc>
      <w:tc>
        <w:tcPr>
          <w:tcW w:w="2358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A8265B" w:rsidTr="00A8265B">
      <w:trPr>
        <w:cantSplit/>
      </w:trPr>
      <w:tc>
        <w:tcPr>
          <w:tcW w:w="6228" w:type="dxa"/>
        </w:tcPr>
        <w:p w:rsidR="00A8265B" w:rsidRDefault="00A8265B" w:rsidP="00A8265B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Address: 179 Burncoat St., Worcester, MA</w:t>
          </w:r>
        </w:p>
      </w:tc>
      <w:tc>
        <w:tcPr>
          <w:tcW w:w="3516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2514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Date:</w:t>
          </w:r>
          <w:r>
            <w:rPr>
              <w:b/>
            </w:rPr>
            <w:t xml:space="preserve"> 4/7/2017</w:t>
          </w:r>
        </w:p>
      </w:tc>
    </w:tr>
  </w:tbl>
  <w:p w:rsidR="00A8265B" w:rsidRPr="00FB37EB" w:rsidRDefault="00A8265B" w:rsidP="00A82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28"/>
      <w:gridCol w:w="3516"/>
      <w:gridCol w:w="2514"/>
      <w:gridCol w:w="2358"/>
    </w:tblGrid>
    <w:tr w:rsidR="00A8265B" w:rsidTr="00A8265B">
      <w:trPr>
        <w:cantSplit/>
      </w:trPr>
      <w:tc>
        <w:tcPr>
          <w:tcW w:w="12258" w:type="dxa"/>
          <w:gridSpan w:val="3"/>
        </w:tcPr>
        <w:p w:rsidR="00A8265B" w:rsidRPr="00677AC6" w:rsidRDefault="00A8265B" w:rsidP="00A8265B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Location: Burncoat High School</w:t>
          </w:r>
        </w:p>
      </w:tc>
      <w:tc>
        <w:tcPr>
          <w:tcW w:w="2358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A8265B" w:rsidTr="00A8265B">
      <w:trPr>
        <w:cantSplit/>
      </w:trPr>
      <w:tc>
        <w:tcPr>
          <w:tcW w:w="6228" w:type="dxa"/>
        </w:tcPr>
        <w:p w:rsidR="00A8265B" w:rsidRDefault="00A8265B" w:rsidP="00A8265B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Address: 179 Burncoat St., Worcester, MA</w:t>
          </w:r>
        </w:p>
      </w:tc>
      <w:tc>
        <w:tcPr>
          <w:tcW w:w="3516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2514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A8265B" w:rsidRDefault="00A8265B" w:rsidP="00A8265B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Date:</w:t>
          </w:r>
          <w:r>
            <w:rPr>
              <w:b/>
            </w:rPr>
            <w:t xml:space="preserve"> 4/7/2017</w:t>
          </w:r>
        </w:p>
      </w:tc>
    </w:tr>
  </w:tbl>
  <w:p w:rsidR="00A8265B" w:rsidRDefault="00A826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61451DC"/>
    <w:multiLevelType w:val="singleLevel"/>
    <w:tmpl w:val="F97A47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B4D31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B449E7"/>
    <w:multiLevelType w:val="hybridMultilevel"/>
    <w:tmpl w:val="E73A4052"/>
    <w:lvl w:ilvl="0" w:tplc="775EC6A4">
      <w:start w:val="1"/>
      <w:numFmt w:val="decimal"/>
      <w:pStyle w:val="Recommendation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D40AA"/>
    <w:multiLevelType w:val="singleLevel"/>
    <w:tmpl w:val="762253D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2122521C"/>
    <w:multiLevelType w:val="hybridMultilevel"/>
    <w:tmpl w:val="84D6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241E8"/>
    <w:multiLevelType w:val="singleLevel"/>
    <w:tmpl w:val="DD82591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b w:val="0"/>
        <w:i w:val="0"/>
      </w:rPr>
    </w:lvl>
  </w:abstractNum>
  <w:abstractNum w:abstractNumId="7">
    <w:nsid w:val="22140926"/>
    <w:multiLevelType w:val="multilevel"/>
    <w:tmpl w:val="93A8218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64A12F5"/>
    <w:multiLevelType w:val="multilevel"/>
    <w:tmpl w:val="ED72B396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9347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B24EFB"/>
    <w:multiLevelType w:val="multilevel"/>
    <w:tmpl w:val="28FCADD2"/>
    <w:numStyleLink w:val="StyleBulletedSymbolsymbolLeft025Hanging025"/>
  </w:abstractNum>
  <w:abstractNum w:abstractNumId="11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321A3C3E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36674A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C776809"/>
    <w:multiLevelType w:val="hybridMultilevel"/>
    <w:tmpl w:val="3C70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73B0A"/>
    <w:multiLevelType w:val="hybridMultilevel"/>
    <w:tmpl w:val="FA2613B8"/>
    <w:lvl w:ilvl="0" w:tplc="E49E3E94">
      <w:start w:val="1"/>
      <w:numFmt w:val="decimal"/>
      <w:pStyle w:val="TOC6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904CF9"/>
    <w:multiLevelType w:val="singleLevel"/>
    <w:tmpl w:val="D1F8B11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7">
    <w:nsid w:val="439B414D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43AC527D"/>
    <w:multiLevelType w:val="singleLevel"/>
    <w:tmpl w:val="550C1CB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hint="default"/>
        <w:sz w:val="24"/>
      </w:rPr>
    </w:lvl>
  </w:abstractNum>
  <w:abstractNum w:abstractNumId="19">
    <w:nsid w:val="45D134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F6E36"/>
    <w:multiLevelType w:val="singleLevel"/>
    <w:tmpl w:val="AE684D2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2">
    <w:nsid w:val="4CD714F9"/>
    <w:multiLevelType w:val="hybridMultilevel"/>
    <w:tmpl w:val="4CFE2EBA"/>
    <w:lvl w:ilvl="0" w:tplc="60ECB6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802803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65C6C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184EF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C64F3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D2E0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BE83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DCA3F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12C6A7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0761244"/>
    <w:multiLevelType w:val="hybridMultilevel"/>
    <w:tmpl w:val="FE2CA5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5707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8700ECD"/>
    <w:multiLevelType w:val="singleLevel"/>
    <w:tmpl w:val="ED7404D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6">
    <w:nsid w:val="598478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AAC311A"/>
    <w:multiLevelType w:val="singleLevel"/>
    <w:tmpl w:val="B0B816A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</w:lvl>
  </w:abstractNum>
  <w:abstractNum w:abstractNumId="28">
    <w:nsid w:val="5B3708FC"/>
    <w:multiLevelType w:val="multilevel"/>
    <w:tmpl w:val="B7523A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24F3E8B"/>
    <w:multiLevelType w:val="hybridMultilevel"/>
    <w:tmpl w:val="3E18A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E655C1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>
    <w:nsid w:val="631A3806"/>
    <w:multiLevelType w:val="singleLevel"/>
    <w:tmpl w:val="5C54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2">
    <w:nsid w:val="63EC1D5F"/>
    <w:multiLevelType w:val="multilevel"/>
    <w:tmpl w:val="93A8218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47D4F3E"/>
    <w:multiLevelType w:val="singleLevel"/>
    <w:tmpl w:val="4692D6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>
    <w:nsid w:val="65E4190F"/>
    <w:multiLevelType w:val="singleLevel"/>
    <w:tmpl w:val="1340BF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>
    <w:nsid w:val="70DB5B7E"/>
    <w:multiLevelType w:val="multilevel"/>
    <w:tmpl w:val="BB34732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7F23E03"/>
    <w:multiLevelType w:val="singleLevel"/>
    <w:tmpl w:val="65D2C83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</w:lvl>
  </w:abstractNum>
  <w:abstractNum w:abstractNumId="37">
    <w:nsid w:val="7A8E79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C220224"/>
    <w:multiLevelType w:val="singleLevel"/>
    <w:tmpl w:val="7904ED9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39">
    <w:nsid w:val="7EB65E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30"/>
  </w:num>
  <w:num w:numId="5">
    <w:abstractNumId w:val="12"/>
  </w:num>
  <w:num w:numId="6">
    <w:abstractNumId w:val="27"/>
  </w:num>
  <w:num w:numId="7">
    <w:abstractNumId w:val="34"/>
  </w:num>
  <w:num w:numId="8">
    <w:abstractNumId w:val="18"/>
  </w:num>
  <w:num w:numId="9">
    <w:abstractNumId w:val="39"/>
  </w:num>
  <w:num w:numId="10">
    <w:abstractNumId w:val="13"/>
  </w:num>
  <w:num w:numId="11">
    <w:abstractNumId w:val="38"/>
  </w:num>
  <w:num w:numId="12">
    <w:abstractNumId w:val="1"/>
  </w:num>
  <w:num w:numId="13">
    <w:abstractNumId w:val="9"/>
  </w:num>
  <w:num w:numId="14">
    <w:abstractNumId w:val="3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9"/>
  </w:num>
  <w:num w:numId="16">
    <w:abstractNumId w:val="28"/>
  </w:num>
  <w:num w:numId="17">
    <w:abstractNumId w:val="24"/>
  </w:num>
  <w:num w:numId="18">
    <w:abstractNumId w:val="4"/>
  </w:num>
  <w:num w:numId="19">
    <w:abstractNumId w:val="2"/>
  </w:num>
  <w:num w:numId="20">
    <w:abstractNumId w:val="32"/>
  </w:num>
  <w:num w:numId="21">
    <w:abstractNumId w:val="36"/>
  </w:num>
  <w:num w:numId="22">
    <w:abstractNumId w:val="35"/>
  </w:num>
  <w:num w:numId="23">
    <w:abstractNumId w:val="21"/>
  </w:num>
  <w:num w:numId="24">
    <w:abstractNumId w:val="7"/>
  </w:num>
  <w:num w:numId="25">
    <w:abstractNumId w:val="31"/>
  </w:num>
  <w:num w:numId="26">
    <w:abstractNumId w:val="25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6"/>
  </w:num>
  <w:num w:numId="33">
    <w:abstractNumId w:val="15"/>
  </w:num>
  <w:num w:numId="34">
    <w:abstractNumId w:val="37"/>
  </w:num>
  <w:num w:numId="35">
    <w:abstractNumId w:val="22"/>
  </w:num>
  <w:num w:numId="36">
    <w:abstractNumId w:val="8"/>
  </w:num>
  <w:num w:numId="37">
    <w:abstractNumId w:val="20"/>
  </w:num>
  <w:num w:numId="38">
    <w:abstractNumId w:val="10"/>
  </w:num>
  <w:num w:numId="39">
    <w:abstractNumId w:val="3"/>
  </w:num>
  <w:num w:numId="40">
    <w:abstractNumId w:val="23"/>
  </w:num>
  <w:num w:numId="41">
    <w:abstractNumId w:val="29"/>
  </w:num>
  <w:num w:numId="42">
    <w:abstractNumId w:val="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24"/>
    <w:rsid w:val="0002436D"/>
    <w:rsid w:val="00043AAB"/>
    <w:rsid w:val="00046373"/>
    <w:rsid w:val="00052E18"/>
    <w:rsid w:val="00060B6A"/>
    <w:rsid w:val="000644BD"/>
    <w:rsid w:val="00073DBE"/>
    <w:rsid w:val="00081F6F"/>
    <w:rsid w:val="000A5FC6"/>
    <w:rsid w:val="000B6696"/>
    <w:rsid w:val="000C505A"/>
    <w:rsid w:val="000C7A24"/>
    <w:rsid w:val="000D3896"/>
    <w:rsid w:val="000D45AD"/>
    <w:rsid w:val="000E0199"/>
    <w:rsid w:val="000E1121"/>
    <w:rsid w:val="000F0040"/>
    <w:rsid w:val="000F23D6"/>
    <w:rsid w:val="000F4362"/>
    <w:rsid w:val="00100643"/>
    <w:rsid w:val="00106CE1"/>
    <w:rsid w:val="00111D4D"/>
    <w:rsid w:val="00117C6C"/>
    <w:rsid w:val="00122695"/>
    <w:rsid w:val="00136A61"/>
    <w:rsid w:val="00140770"/>
    <w:rsid w:val="001514FA"/>
    <w:rsid w:val="00151D86"/>
    <w:rsid w:val="00167D1E"/>
    <w:rsid w:val="00182735"/>
    <w:rsid w:val="00182A0A"/>
    <w:rsid w:val="001967B5"/>
    <w:rsid w:val="001B43A2"/>
    <w:rsid w:val="001D6731"/>
    <w:rsid w:val="001E0A00"/>
    <w:rsid w:val="001E471F"/>
    <w:rsid w:val="001E5D62"/>
    <w:rsid w:val="00201BA6"/>
    <w:rsid w:val="00205AED"/>
    <w:rsid w:val="00220376"/>
    <w:rsid w:val="00221DFD"/>
    <w:rsid w:val="002310CC"/>
    <w:rsid w:val="00235310"/>
    <w:rsid w:val="00243F06"/>
    <w:rsid w:val="00243F7C"/>
    <w:rsid w:val="00250355"/>
    <w:rsid w:val="00260D40"/>
    <w:rsid w:val="002643E2"/>
    <w:rsid w:val="00273132"/>
    <w:rsid w:val="00277DA0"/>
    <w:rsid w:val="002918DE"/>
    <w:rsid w:val="00292DE1"/>
    <w:rsid w:val="00296870"/>
    <w:rsid w:val="002A2173"/>
    <w:rsid w:val="002A2F49"/>
    <w:rsid w:val="002A4F24"/>
    <w:rsid w:val="002C1C73"/>
    <w:rsid w:val="002D39C8"/>
    <w:rsid w:val="002D7042"/>
    <w:rsid w:val="002E64D9"/>
    <w:rsid w:val="002F44AA"/>
    <w:rsid w:val="00301A14"/>
    <w:rsid w:val="00302899"/>
    <w:rsid w:val="003122AA"/>
    <w:rsid w:val="00315856"/>
    <w:rsid w:val="00315DCC"/>
    <w:rsid w:val="00320FF2"/>
    <w:rsid w:val="00330A79"/>
    <w:rsid w:val="00342713"/>
    <w:rsid w:val="003554D1"/>
    <w:rsid w:val="003561AE"/>
    <w:rsid w:val="003570BB"/>
    <w:rsid w:val="00364E42"/>
    <w:rsid w:val="003656F7"/>
    <w:rsid w:val="00381EA8"/>
    <w:rsid w:val="0038617F"/>
    <w:rsid w:val="003870A5"/>
    <w:rsid w:val="003933C4"/>
    <w:rsid w:val="003B111A"/>
    <w:rsid w:val="003B6B6C"/>
    <w:rsid w:val="003C1AF9"/>
    <w:rsid w:val="003D095B"/>
    <w:rsid w:val="003D19B1"/>
    <w:rsid w:val="003D3B74"/>
    <w:rsid w:val="003D4322"/>
    <w:rsid w:val="003D6CB0"/>
    <w:rsid w:val="003F243C"/>
    <w:rsid w:val="00424660"/>
    <w:rsid w:val="004257BA"/>
    <w:rsid w:val="00427E38"/>
    <w:rsid w:val="00430339"/>
    <w:rsid w:val="00443366"/>
    <w:rsid w:val="004436F6"/>
    <w:rsid w:val="004719AA"/>
    <w:rsid w:val="0047422D"/>
    <w:rsid w:val="00475B7E"/>
    <w:rsid w:val="00487679"/>
    <w:rsid w:val="004A1053"/>
    <w:rsid w:val="004A62E7"/>
    <w:rsid w:val="004B5219"/>
    <w:rsid w:val="004C3774"/>
    <w:rsid w:val="004C4FE1"/>
    <w:rsid w:val="004C709D"/>
    <w:rsid w:val="004D4B33"/>
    <w:rsid w:val="004E0BD6"/>
    <w:rsid w:val="004E3290"/>
    <w:rsid w:val="004E4E6C"/>
    <w:rsid w:val="004F0511"/>
    <w:rsid w:val="004F581B"/>
    <w:rsid w:val="005318FF"/>
    <w:rsid w:val="00543971"/>
    <w:rsid w:val="005610CB"/>
    <w:rsid w:val="005831CE"/>
    <w:rsid w:val="00583451"/>
    <w:rsid w:val="00583F61"/>
    <w:rsid w:val="00592465"/>
    <w:rsid w:val="00594BC5"/>
    <w:rsid w:val="00596541"/>
    <w:rsid w:val="005971C8"/>
    <w:rsid w:val="005A00D7"/>
    <w:rsid w:val="005A11FD"/>
    <w:rsid w:val="005B4626"/>
    <w:rsid w:val="005C466E"/>
    <w:rsid w:val="005C7F35"/>
    <w:rsid w:val="005D7A8B"/>
    <w:rsid w:val="00602F31"/>
    <w:rsid w:val="00604A55"/>
    <w:rsid w:val="00611580"/>
    <w:rsid w:val="006128E6"/>
    <w:rsid w:val="0061302D"/>
    <w:rsid w:val="006179FB"/>
    <w:rsid w:val="00634E17"/>
    <w:rsid w:val="00635BD1"/>
    <w:rsid w:val="006403A9"/>
    <w:rsid w:val="00642146"/>
    <w:rsid w:val="00670E1D"/>
    <w:rsid w:val="00675EB9"/>
    <w:rsid w:val="00681432"/>
    <w:rsid w:val="00690441"/>
    <w:rsid w:val="00697EA8"/>
    <w:rsid w:val="006A43B1"/>
    <w:rsid w:val="006B5B6A"/>
    <w:rsid w:val="006B7C8A"/>
    <w:rsid w:val="006E0C09"/>
    <w:rsid w:val="006F396D"/>
    <w:rsid w:val="00710499"/>
    <w:rsid w:val="00717775"/>
    <w:rsid w:val="007228E7"/>
    <w:rsid w:val="007262E8"/>
    <w:rsid w:val="0078465E"/>
    <w:rsid w:val="0079112E"/>
    <w:rsid w:val="0079767C"/>
    <w:rsid w:val="007A339A"/>
    <w:rsid w:val="007A58A8"/>
    <w:rsid w:val="007A7D4A"/>
    <w:rsid w:val="007E5787"/>
    <w:rsid w:val="007F49D0"/>
    <w:rsid w:val="007F6AD9"/>
    <w:rsid w:val="00804A39"/>
    <w:rsid w:val="00807A4D"/>
    <w:rsid w:val="008105CE"/>
    <w:rsid w:val="00810628"/>
    <w:rsid w:val="008326A2"/>
    <w:rsid w:val="00837664"/>
    <w:rsid w:val="00842BE7"/>
    <w:rsid w:val="00845490"/>
    <w:rsid w:val="00852259"/>
    <w:rsid w:val="00874CE0"/>
    <w:rsid w:val="00894E35"/>
    <w:rsid w:val="008A25BF"/>
    <w:rsid w:val="008A3FA6"/>
    <w:rsid w:val="008A5717"/>
    <w:rsid w:val="008C01B1"/>
    <w:rsid w:val="008C09BF"/>
    <w:rsid w:val="008F0F5B"/>
    <w:rsid w:val="008F164B"/>
    <w:rsid w:val="008F659C"/>
    <w:rsid w:val="00913058"/>
    <w:rsid w:val="0091754A"/>
    <w:rsid w:val="00920C88"/>
    <w:rsid w:val="0092765C"/>
    <w:rsid w:val="009335D1"/>
    <w:rsid w:val="00944FD3"/>
    <w:rsid w:val="009514E5"/>
    <w:rsid w:val="00956777"/>
    <w:rsid w:val="00967CB2"/>
    <w:rsid w:val="00976B2A"/>
    <w:rsid w:val="009851A3"/>
    <w:rsid w:val="00987F61"/>
    <w:rsid w:val="009912D8"/>
    <w:rsid w:val="009A5D29"/>
    <w:rsid w:val="009A6871"/>
    <w:rsid w:val="009A78CC"/>
    <w:rsid w:val="009C0D57"/>
    <w:rsid w:val="009C1F6D"/>
    <w:rsid w:val="009C67C9"/>
    <w:rsid w:val="009D283B"/>
    <w:rsid w:val="009D2A68"/>
    <w:rsid w:val="009D2EF8"/>
    <w:rsid w:val="009D5C12"/>
    <w:rsid w:val="009E2A19"/>
    <w:rsid w:val="00A072E5"/>
    <w:rsid w:val="00A41298"/>
    <w:rsid w:val="00A417B6"/>
    <w:rsid w:val="00A5284D"/>
    <w:rsid w:val="00A53A5E"/>
    <w:rsid w:val="00A53CF3"/>
    <w:rsid w:val="00A54253"/>
    <w:rsid w:val="00A74C66"/>
    <w:rsid w:val="00A8265B"/>
    <w:rsid w:val="00AA0981"/>
    <w:rsid w:val="00AB028A"/>
    <w:rsid w:val="00AB2797"/>
    <w:rsid w:val="00AD206F"/>
    <w:rsid w:val="00AD40D8"/>
    <w:rsid w:val="00AE64EF"/>
    <w:rsid w:val="00B0371A"/>
    <w:rsid w:val="00B04DE5"/>
    <w:rsid w:val="00B05694"/>
    <w:rsid w:val="00B2471D"/>
    <w:rsid w:val="00B30A3A"/>
    <w:rsid w:val="00B33101"/>
    <w:rsid w:val="00B61A23"/>
    <w:rsid w:val="00B6685E"/>
    <w:rsid w:val="00B67B42"/>
    <w:rsid w:val="00B741C3"/>
    <w:rsid w:val="00B80723"/>
    <w:rsid w:val="00B87294"/>
    <w:rsid w:val="00B87FF2"/>
    <w:rsid w:val="00B94C90"/>
    <w:rsid w:val="00BA03DE"/>
    <w:rsid w:val="00BA5037"/>
    <w:rsid w:val="00BB6F43"/>
    <w:rsid w:val="00BC2698"/>
    <w:rsid w:val="00BD6AAD"/>
    <w:rsid w:val="00BE70CA"/>
    <w:rsid w:val="00C046FC"/>
    <w:rsid w:val="00C13ADF"/>
    <w:rsid w:val="00C2534B"/>
    <w:rsid w:val="00C312BA"/>
    <w:rsid w:val="00C42B72"/>
    <w:rsid w:val="00C51CE1"/>
    <w:rsid w:val="00C5353D"/>
    <w:rsid w:val="00C62F41"/>
    <w:rsid w:val="00C641B5"/>
    <w:rsid w:val="00C6689C"/>
    <w:rsid w:val="00C70DE0"/>
    <w:rsid w:val="00C81ACA"/>
    <w:rsid w:val="00CA4E08"/>
    <w:rsid w:val="00CB1D28"/>
    <w:rsid w:val="00CB2480"/>
    <w:rsid w:val="00CB42E3"/>
    <w:rsid w:val="00CB517C"/>
    <w:rsid w:val="00CB5952"/>
    <w:rsid w:val="00CB5EEB"/>
    <w:rsid w:val="00CD1E80"/>
    <w:rsid w:val="00CE3004"/>
    <w:rsid w:val="00CF3349"/>
    <w:rsid w:val="00CF497A"/>
    <w:rsid w:val="00D1793D"/>
    <w:rsid w:val="00D36F5F"/>
    <w:rsid w:val="00D60680"/>
    <w:rsid w:val="00D63D0C"/>
    <w:rsid w:val="00D6644B"/>
    <w:rsid w:val="00D71BF5"/>
    <w:rsid w:val="00D73341"/>
    <w:rsid w:val="00D77DFC"/>
    <w:rsid w:val="00D84EC7"/>
    <w:rsid w:val="00D87A15"/>
    <w:rsid w:val="00D95B60"/>
    <w:rsid w:val="00D96A3F"/>
    <w:rsid w:val="00D97C00"/>
    <w:rsid w:val="00DA1DA2"/>
    <w:rsid w:val="00DB1CE7"/>
    <w:rsid w:val="00DC6918"/>
    <w:rsid w:val="00DD5C8A"/>
    <w:rsid w:val="00DE0204"/>
    <w:rsid w:val="00DF313A"/>
    <w:rsid w:val="00E02597"/>
    <w:rsid w:val="00E0687B"/>
    <w:rsid w:val="00E11E56"/>
    <w:rsid w:val="00E22962"/>
    <w:rsid w:val="00E26221"/>
    <w:rsid w:val="00E43E13"/>
    <w:rsid w:val="00E51A56"/>
    <w:rsid w:val="00E654B4"/>
    <w:rsid w:val="00E81239"/>
    <w:rsid w:val="00E82920"/>
    <w:rsid w:val="00EA592E"/>
    <w:rsid w:val="00EC126E"/>
    <w:rsid w:val="00EC3DAC"/>
    <w:rsid w:val="00ED4405"/>
    <w:rsid w:val="00EE3872"/>
    <w:rsid w:val="00F1318D"/>
    <w:rsid w:val="00F152EF"/>
    <w:rsid w:val="00F163D6"/>
    <w:rsid w:val="00F2032C"/>
    <w:rsid w:val="00F3216C"/>
    <w:rsid w:val="00F34D27"/>
    <w:rsid w:val="00F43AE2"/>
    <w:rsid w:val="00F50BF6"/>
    <w:rsid w:val="00F50C74"/>
    <w:rsid w:val="00F525FF"/>
    <w:rsid w:val="00F54C7A"/>
    <w:rsid w:val="00F60222"/>
    <w:rsid w:val="00FF3A8A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D7"/>
    <w:rPr>
      <w:sz w:val="24"/>
    </w:rPr>
  </w:style>
  <w:style w:type="paragraph" w:styleId="Heading1">
    <w:name w:val="heading 1"/>
    <w:basedOn w:val="Normal"/>
    <w:next w:val="Normal"/>
    <w:qFormat/>
    <w:rsid w:val="00C2534B"/>
    <w:pPr>
      <w:keepNext/>
      <w:spacing w:before="480" w:after="12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326A2"/>
    <w:pPr>
      <w:keepNext/>
      <w:spacing w:before="480" w:after="120"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C2534B"/>
    <w:pPr>
      <w:spacing w:line="360" w:lineRule="auto"/>
      <w:ind w:firstLine="720"/>
    </w:pPr>
    <w:rPr>
      <w:iCs/>
    </w:rPr>
  </w:style>
  <w:style w:type="paragraph" w:styleId="BodyTextIndent">
    <w:name w:val="Body Text Indent"/>
    <w:basedOn w:val="Normal"/>
    <w:pPr>
      <w:spacing w:line="480" w:lineRule="auto"/>
      <w:ind w:firstLine="720"/>
    </w:pPr>
    <w:rPr>
      <w:i/>
      <w:iCs/>
    </w:r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EndnoteText">
    <w:name w:val="endnote text"/>
    <w:basedOn w:val="Normal"/>
    <w:semiHidden/>
    <w:rPr>
      <w:rFonts w:ascii="Courier" w:hAnsi="Courier"/>
    </w:rPr>
  </w:style>
  <w:style w:type="paragraph" w:styleId="TOC6">
    <w:name w:val="toc 6"/>
    <w:basedOn w:val="Normal"/>
    <w:next w:val="Normal"/>
    <w:autoRedefine/>
    <w:semiHidden/>
    <w:rsid w:val="005A00D7"/>
    <w:pPr>
      <w:numPr>
        <w:numId w:val="33"/>
      </w:numPr>
      <w:tabs>
        <w:tab w:val="left" w:pos="1440"/>
      </w:tabs>
      <w:spacing w:line="480" w:lineRule="auto"/>
      <w:ind w:right="-18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pPr>
      <w:tabs>
        <w:tab w:val="left" w:pos="-144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</w:pPr>
    <w:rPr>
      <w:i/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numbering" w:customStyle="1" w:styleId="StyleBulleted">
    <w:name w:val="Style Bulleted"/>
    <w:basedOn w:val="NoList"/>
    <w:rsid w:val="00C2534B"/>
    <w:pPr>
      <w:numPr>
        <w:numId w:val="36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C2534B"/>
    <w:pPr>
      <w:numPr>
        <w:numId w:val="37"/>
      </w:numPr>
    </w:pPr>
  </w:style>
  <w:style w:type="paragraph" w:customStyle="1" w:styleId="BodyTextBulleted">
    <w:name w:val="Body Text: Bulleted"/>
    <w:basedOn w:val="Normal"/>
    <w:qFormat/>
    <w:rsid w:val="00C2534B"/>
    <w:pPr>
      <w:numPr>
        <w:numId w:val="38"/>
      </w:numPr>
      <w:spacing w:line="360" w:lineRule="auto"/>
    </w:pPr>
  </w:style>
  <w:style w:type="paragraph" w:styleId="FootnoteText">
    <w:name w:val="footnote text"/>
    <w:basedOn w:val="Normal"/>
    <w:link w:val="FootnoteTextChar"/>
    <w:semiHidden/>
    <w:rsid w:val="007262E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62E8"/>
  </w:style>
  <w:style w:type="character" w:styleId="FootnoteReference">
    <w:name w:val="footnote reference"/>
    <w:semiHidden/>
    <w:rsid w:val="007262E8"/>
    <w:rPr>
      <w:vertAlign w:val="superscript"/>
    </w:rPr>
  </w:style>
  <w:style w:type="paragraph" w:customStyle="1" w:styleId="references">
    <w:name w:val="references"/>
    <w:basedOn w:val="Normal"/>
    <w:rsid w:val="005A00D7"/>
    <w:pPr>
      <w:spacing w:after="240"/>
    </w:pPr>
  </w:style>
  <w:style w:type="paragraph" w:customStyle="1" w:styleId="Recommendations">
    <w:name w:val="Recommendations"/>
    <w:basedOn w:val="TOC6"/>
    <w:qFormat/>
    <w:rsid w:val="008A5717"/>
    <w:pPr>
      <w:numPr>
        <w:numId w:val="39"/>
      </w:numPr>
      <w:tabs>
        <w:tab w:val="clear" w:pos="1440"/>
      </w:tabs>
      <w:spacing w:line="360" w:lineRule="auto"/>
      <w:ind w:left="720" w:right="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04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8265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D7"/>
    <w:rPr>
      <w:sz w:val="24"/>
    </w:rPr>
  </w:style>
  <w:style w:type="paragraph" w:styleId="Heading1">
    <w:name w:val="heading 1"/>
    <w:basedOn w:val="Normal"/>
    <w:next w:val="Normal"/>
    <w:qFormat/>
    <w:rsid w:val="00C2534B"/>
    <w:pPr>
      <w:keepNext/>
      <w:spacing w:before="480" w:after="12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326A2"/>
    <w:pPr>
      <w:keepNext/>
      <w:spacing w:before="480" w:after="120"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C2534B"/>
    <w:pPr>
      <w:spacing w:line="360" w:lineRule="auto"/>
      <w:ind w:firstLine="720"/>
    </w:pPr>
    <w:rPr>
      <w:iCs/>
    </w:rPr>
  </w:style>
  <w:style w:type="paragraph" w:styleId="BodyTextIndent">
    <w:name w:val="Body Text Indent"/>
    <w:basedOn w:val="Normal"/>
    <w:pPr>
      <w:spacing w:line="480" w:lineRule="auto"/>
      <w:ind w:firstLine="720"/>
    </w:pPr>
    <w:rPr>
      <w:i/>
      <w:iCs/>
    </w:r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EndnoteText">
    <w:name w:val="endnote text"/>
    <w:basedOn w:val="Normal"/>
    <w:semiHidden/>
    <w:rPr>
      <w:rFonts w:ascii="Courier" w:hAnsi="Courier"/>
    </w:rPr>
  </w:style>
  <w:style w:type="paragraph" w:styleId="TOC6">
    <w:name w:val="toc 6"/>
    <w:basedOn w:val="Normal"/>
    <w:next w:val="Normal"/>
    <w:autoRedefine/>
    <w:semiHidden/>
    <w:rsid w:val="005A00D7"/>
    <w:pPr>
      <w:numPr>
        <w:numId w:val="33"/>
      </w:numPr>
      <w:tabs>
        <w:tab w:val="left" w:pos="1440"/>
      </w:tabs>
      <w:spacing w:line="480" w:lineRule="auto"/>
      <w:ind w:right="-18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pPr>
      <w:tabs>
        <w:tab w:val="left" w:pos="-144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</w:pPr>
    <w:rPr>
      <w:i/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numbering" w:customStyle="1" w:styleId="StyleBulleted">
    <w:name w:val="Style Bulleted"/>
    <w:basedOn w:val="NoList"/>
    <w:rsid w:val="00C2534B"/>
    <w:pPr>
      <w:numPr>
        <w:numId w:val="36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C2534B"/>
    <w:pPr>
      <w:numPr>
        <w:numId w:val="37"/>
      </w:numPr>
    </w:pPr>
  </w:style>
  <w:style w:type="paragraph" w:customStyle="1" w:styleId="BodyTextBulleted">
    <w:name w:val="Body Text: Bulleted"/>
    <w:basedOn w:val="Normal"/>
    <w:qFormat/>
    <w:rsid w:val="00C2534B"/>
    <w:pPr>
      <w:numPr>
        <w:numId w:val="38"/>
      </w:numPr>
      <w:spacing w:line="360" w:lineRule="auto"/>
    </w:pPr>
  </w:style>
  <w:style w:type="paragraph" w:styleId="FootnoteText">
    <w:name w:val="footnote text"/>
    <w:basedOn w:val="Normal"/>
    <w:link w:val="FootnoteTextChar"/>
    <w:semiHidden/>
    <w:rsid w:val="007262E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62E8"/>
  </w:style>
  <w:style w:type="character" w:styleId="FootnoteReference">
    <w:name w:val="footnote reference"/>
    <w:semiHidden/>
    <w:rsid w:val="007262E8"/>
    <w:rPr>
      <w:vertAlign w:val="superscript"/>
    </w:rPr>
  </w:style>
  <w:style w:type="paragraph" w:customStyle="1" w:styleId="references">
    <w:name w:val="references"/>
    <w:basedOn w:val="Normal"/>
    <w:rsid w:val="005A00D7"/>
    <w:pPr>
      <w:spacing w:after="240"/>
    </w:pPr>
  </w:style>
  <w:style w:type="paragraph" w:customStyle="1" w:styleId="Recommendations">
    <w:name w:val="Recommendations"/>
    <w:basedOn w:val="TOC6"/>
    <w:qFormat/>
    <w:rsid w:val="008A5717"/>
    <w:pPr>
      <w:numPr>
        <w:numId w:val="39"/>
      </w:numPr>
      <w:tabs>
        <w:tab w:val="clear" w:pos="1440"/>
      </w:tabs>
      <w:spacing w:line="360" w:lineRule="auto"/>
      <w:ind w:left="720" w:right="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04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826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mass.gov/dph/iaq"/>
  <Relationship Id="rId11" Type="http://schemas.openxmlformats.org/officeDocument/2006/relationships/hyperlink" TargetMode="External" Target="http://www.mass.gov/eohhs/gov/departments/dph/programs/environmental-health/exposure-topics/iaq/iaq-manual/"/>
  <Relationship Id="rId12" Type="http://schemas.openxmlformats.org/officeDocument/2006/relationships/hyperlink" TargetMode="External" Target="http://www.mass.gov/eohhs/gov/departments/dph/programs/environmental-health/exposure-topics/iaq/iaq-rpts/cities-and-towns-w.html"/>
  <Relationship Id="rId13" Type="http://schemas.openxmlformats.org/officeDocument/2006/relationships/hyperlink" TargetMode="External" Target="https://www.epa.gov/iaq-schools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yperlink" TargetMode="External" Target="http://www.epa.gov/mold/mold-remediation-schools-and-commercial-buildings-guide"/>
  <Relationship Id="rId17" Type="http://schemas.openxmlformats.org/officeDocument/2006/relationships/header" Target="header1.xml"/>
  <Relationship Id="rId18" Type="http://schemas.openxmlformats.org/officeDocument/2006/relationships/footer" Target="footer3.xml"/>
  <Relationship Id="rId19" Type="http://schemas.openxmlformats.org/officeDocument/2006/relationships/header" Target="header2.xml"/>
  <Relationship Id="rId2" Type="http://schemas.openxmlformats.org/officeDocument/2006/relationships/styles" Target="styles.xml"/>
  <Relationship Id="rId20" Type="http://schemas.openxmlformats.org/officeDocument/2006/relationships/footer" Target="footer4.xml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yperlink" TargetMode="External" Target="http://www.epa.gov/iaq/schools/index.ht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1750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Reassessment -  Burncoat High School, Worcester, MA - May 2017</vt:lpstr>
    </vt:vector>
  </TitlesOfParts>
  <Company>MDPH</Company>
  <LinksUpToDate>false</LinksUpToDate>
  <CharactersWithSpaces>11118</CharactersWithSpaces>
  <SharedDoc>false</SharedDoc>
  <HLinks>
    <vt:vector size="36" baseType="variant">
      <vt:variant>
        <vt:i4>7012401</vt:i4>
      </vt:variant>
      <vt:variant>
        <vt:i4>15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7995449</vt:i4>
      </vt:variant>
      <vt:variant>
        <vt:i4>12</vt:i4>
      </vt:variant>
      <vt:variant>
        <vt:i4>0</vt:i4>
      </vt:variant>
      <vt:variant>
        <vt:i4>5</vt:i4>
      </vt:variant>
      <vt:variant>
        <vt:lpwstr>https://www.epa.gov/iaq-schools</vt:lpwstr>
      </vt:variant>
      <vt:variant>
        <vt:lpwstr/>
      </vt:variant>
      <vt:variant>
        <vt:i4>5046366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http://www.mass.gov/eohhs/gov/departments/dph/programs/environmental-health/exposure-topics/iaq/iaq-rpts/cities-and-towns-w.html</vt:lpwstr>
      </vt:variant>
      <vt:variant>
        <vt:lpwstr/>
      </vt:variant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http://www.epa.gov/iaq/schools/index.html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2017-06-14T16:36:00Z</dcterms:created>
  <dc:creator>MDPH - Indoor Air Quality Program</dc:creator>
  <keywords>Worcester Burncoat School</keywords>
  <lastModifiedBy>AutoBVT</lastModifiedBy>
  <lastPrinted>2017-05-11T14:46:00Z</lastPrinted>
  <dcterms:modified xsi:type="dcterms:W3CDTF">2017-06-14T16:36:00Z</dcterms:modified>
  <revision>2</revision>
  <dc:subject>On April 7, 2017; the MDPH Indoor Air Quality Program conducted a reassessment of the indoor air ventilation at the Burncoat High School, Worcester, MA.</dc:subject>
  <dc:title>Indoor Air Quality Reassessment - Burncoat High School, Worcester, MA - May 2017</dc:title>
</coreProperties>
</file>