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67" w:rsidRDefault="00635867" w:rsidP="00CC5493">
      <w:pPr>
        <w:tabs>
          <w:tab w:val="center" w:pos="4680"/>
        </w:tabs>
        <w:jc w:val="center"/>
        <w:rPr>
          <w:b/>
          <w:bCs/>
          <w:color w:val="000000"/>
          <w:sz w:val="36"/>
          <w:szCs w:val="36"/>
        </w:rPr>
      </w:pPr>
      <w:bookmarkStart w:id="0" w:name="_GoBack"/>
      <w:bookmarkEnd w:id="0"/>
    </w:p>
    <w:p w:rsidR="0099672C" w:rsidRPr="00161EC6" w:rsidRDefault="0099672C" w:rsidP="00CC5493">
      <w:pPr>
        <w:tabs>
          <w:tab w:val="center" w:pos="4680"/>
        </w:tabs>
        <w:jc w:val="center"/>
        <w:rPr>
          <w:b/>
          <w:bCs/>
          <w:color w:val="000000"/>
          <w:sz w:val="36"/>
          <w:szCs w:val="36"/>
        </w:rPr>
      </w:pPr>
      <w:r w:rsidRPr="00161EC6">
        <w:rPr>
          <w:b/>
          <w:bCs/>
          <w:color w:val="000000"/>
          <w:sz w:val="36"/>
          <w:szCs w:val="36"/>
        </w:rPr>
        <w:t>PUBLIC DISCLOSURE</w:t>
      </w: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tabs>
          <w:tab w:val="center" w:pos="4680"/>
        </w:tabs>
        <w:jc w:val="both"/>
        <w:rPr>
          <w:color w:val="000000"/>
        </w:rPr>
      </w:pPr>
      <w:r w:rsidRPr="00161EC6">
        <w:rPr>
          <w:color w:val="000000"/>
          <w:sz w:val="36"/>
          <w:szCs w:val="36"/>
        </w:rPr>
        <w:tab/>
      </w:r>
      <w:r w:rsidR="003046D1">
        <w:rPr>
          <w:color w:val="000000"/>
        </w:rPr>
        <w:t>February 8, 2021</w:t>
      </w: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jc w:val="both"/>
        <w:rPr>
          <w:color w:val="000000"/>
        </w:rPr>
      </w:pPr>
    </w:p>
    <w:p w:rsidR="0099672C" w:rsidRPr="00161EC6" w:rsidRDefault="0099672C" w:rsidP="00E02903">
      <w:pPr>
        <w:tabs>
          <w:tab w:val="center" w:pos="4680"/>
        </w:tabs>
        <w:jc w:val="both"/>
        <w:rPr>
          <w:b/>
          <w:bCs/>
          <w:color w:val="000000"/>
          <w:sz w:val="36"/>
          <w:szCs w:val="36"/>
        </w:rPr>
      </w:pPr>
      <w:r w:rsidRPr="00161EC6">
        <w:rPr>
          <w:color w:val="000000"/>
        </w:rPr>
        <w:tab/>
      </w:r>
      <w:r w:rsidRPr="00161EC6">
        <w:rPr>
          <w:b/>
          <w:bCs/>
          <w:color w:val="000000"/>
          <w:sz w:val="36"/>
          <w:szCs w:val="36"/>
        </w:rPr>
        <w:t>COMMUNITY REINVESTMENT ACT</w:t>
      </w:r>
    </w:p>
    <w:p w:rsidR="0099672C" w:rsidRPr="00161EC6" w:rsidRDefault="0099672C" w:rsidP="00E02903">
      <w:pPr>
        <w:tabs>
          <w:tab w:val="center" w:pos="4680"/>
        </w:tabs>
        <w:jc w:val="both"/>
        <w:rPr>
          <w:color w:val="000000"/>
          <w:sz w:val="36"/>
          <w:szCs w:val="36"/>
        </w:rPr>
      </w:pPr>
      <w:r w:rsidRPr="00161EC6">
        <w:rPr>
          <w:b/>
          <w:bCs/>
          <w:color w:val="000000"/>
          <w:sz w:val="36"/>
          <w:szCs w:val="36"/>
        </w:rPr>
        <w:tab/>
        <w:t>PERFORMANCE EVALUATION</w:t>
      </w:r>
    </w:p>
    <w:p w:rsidR="0099672C" w:rsidRPr="00161EC6" w:rsidRDefault="0099672C" w:rsidP="00E02903">
      <w:pPr>
        <w:rPr>
          <w:color w:val="000000"/>
        </w:rPr>
      </w:pPr>
    </w:p>
    <w:p w:rsidR="0099672C" w:rsidRPr="00161EC6" w:rsidRDefault="0099672C" w:rsidP="00E02903">
      <w:pPr>
        <w:tabs>
          <w:tab w:val="center" w:pos="4680"/>
        </w:tabs>
        <w:rPr>
          <w:color w:val="000000"/>
        </w:rPr>
      </w:pPr>
    </w:p>
    <w:p w:rsidR="0099672C" w:rsidRPr="00161EC6" w:rsidRDefault="0099672C" w:rsidP="00E02903">
      <w:pPr>
        <w:rPr>
          <w:color w:val="000000"/>
        </w:rPr>
      </w:pPr>
    </w:p>
    <w:p w:rsidR="0099672C" w:rsidRPr="00635867" w:rsidRDefault="0099672C" w:rsidP="00E02903">
      <w:pPr>
        <w:tabs>
          <w:tab w:val="center" w:pos="4680"/>
        </w:tabs>
        <w:jc w:val="both"/>
        <w:rPr>
          <w:b/>
          <w:color w:val="000000"/>
        </w:rPr>
      </w:pPr>
      <w:r w:rsidRPr="00161EC6">
        <w:rPr>
          <w:b/>
          <w:bCs/>
          <w:color w:val="000000"/>
        </w:rPr>
        <w:tab/>
      </w:r>
      <w:r w:rsidR="003046D1" w:rsidRPr="00635867">
        <w:rPr>
          <w:b/>
          <w:color w:val="000000"/>
        </w:rPr>
        <w:t>Canton Co-operative Bank</w:t>
      </w:r>
    </w:p>
    <w:p w:rsidR="0099672C" w:rsidRPr="00161EC6" w:rsidRDefault="0099672C" w:rsidP="00E02903">
      <w:pPr>
        <w:tabs>
          <w:tab w:val="center" w:pos="4680"/>
        </w:tabs>
        <w:jc w:val="both"/>
        <w:rPr>
          <w:color w:val="000000"/>
        </w:rPr>
      </w:pPr>
      <w:r w:rsidRPr="00161EC6">
        <w:rPr>
          <w:color w:val="000000"/>
        </w:rPr>
        <w:tab/>
        <w:t>Ce</w:t>
      </w:r>
      <w:r w:rsidR="00D3797E">
        <w:rPr>
          <w:color w:val="000000"/>
        </w:rPr>
        <w:t>r</w:t>
      </w:r>
      <w:r w:rsidR="00062645">
        <w:rPr>
          <w:color w:val="000000"/>
        </w:rPr>
        <w:t>tificate Number: 26450</w:t>
      </w:r>
    </w:p>
    <w:p w:rsidR="0099672C" w:rsidRPr="00161EC6" w:rsidRDefault="0099672C" w:rsidP="00E02903">
      <w:pPr>
        <w:jc w:val="both"/>
        <w:rPr>
          <w:color w:val="000000"/>
        </w:rPr>
      </w:pPr>
    </w:p>
    <w:p w:rsidR="0099672C" w:rsidRPr="006949CC" w:rsidRDefault="003046D1" w:rsidP="00E02903">
      <w:pPr>
        <w:tabs>
          <w:tab w:val="center" w:pos="4680"/>
        </w:tabs>
        <w:jc w:val="center"/>
      </w:pPr>
      <w:r>
        <w:t>671 Washington Street</w:t>
      </w:r>
    </w:p>
    <w:p w:rsidR="0099672C" w:rsidRPr="00161EC6" w:rsidRDefault="003046D1" w:rsidP="00E02903">
      <w:pPr>
        <w:tabs>
          <w:tab w:val="left" w:pos="5175"/>
        </w:tabs>
        <w:jc w:val="center"/>
      </w:pPr>
      <w:r>
        <w:t>Canton, MA 02021</w:t>
      </w:r>
    </w:p>
    <w:p w:rsidR="0099672C" w:rsidRPr="00161EC6" w:rsidRDefault="0099672C" w:rsidP="00E02903">
      <w:pPr>
        <w:tabs>
          <w:tab w:val="center" w:pos="4680"/>
        </w:tabs>
        <w:rPr>
          <w:color w:val="000000"/>
        </w:rPr>
      </w:pPr>
    </w:p>
    <w:p w:rsidR="0099672C" w:rsidRPr="00161EC6" w:rsidRDefault="0099672C" w:rsidP="00E02903">
      <w:pPr>
        <w:tabs>
          <w:tab w:val="center" w:pos="4680"/>
        </w:tabs>
        <w:rPr>
          <w:color w:val="000000"/>
        </w:rPr>
      </w:pPr>
    </w:p>
    <w:p w:rsidR="0099672C" w:rsidRPr="00161EC6" w:rsidRDefault="0099672C" w:rsidP="00E02903">
      <w:pPr>
        <w:tabs>
          <w:tab w:val="center" w:pos="4680"/>
        </w:tabs>
        <w:rPr>
          <w:color w:val="000000"/>
        </w:rPr>
      </w:pPr>
    </w:p>
    <w:p w:rsidR="0099672C" w:rsidRPr="00161EC6" w:rsidRDefault="0099672C" w:rsidP="00E02903">
      <w:pPr>
        <w:rPr>
          <w:color w:val="000000"/>
        </w:rPr>
      </w:pPr>
    </w:p>
    <w:tbl>
      <w:tblPr>
        <w:tblW w:w="0" w:type="auto"/>
        <w:tblInd w:w="2415" w:type="dxa"/>
        <w:tblLayout w:type="fixed"/>
        <w:tblLook w:val="01E0" w:firstRow="1" w:lastRow="1" w:firstColumn="1" w:lastColumn="1" w:noHBand="0" w:noVBand="0"/>
      </w:tblPr>
      <w:tblGrid>
        <w:gridCol w:w="4552"/>
      </w:tblGrid>
      <w:tr w:rsidR="003046D1" w:rsidRPr="00A4362C" w:rsidTr="003046D1">
        <w:trPr>
          <w:cantSplit/>
        </w:trPr>
        <w:tc>
          <w:tcPr>
            <w:tcW w:w="4552" w:type="dxa"/>
            <w:shd w:val="clear" w:color="auto" w:fill="auto"/>
          </w:tcPr>
          <w:p w:rsidR="003046D1" w:rsidRPr="00A4362C" w:rsidRDefault="003046D1" w:rsidP="003046D1">
            <w:pPr>
              <w:tabs>
                <w:tab w:val="left" w:pos="360"/>
                <w:tab w:val="left" w:pos="840"/>
                <w:tab w:val="left" w:pos="6720"/>
              </w:tabs>
              <w:suppressAutoHyphens/>
              <w:jc w:val="center"/>
              <w:rPr>
                <w:spacing w:val="-3"/>
              </w:rPr>
            </w:pPr>
            <w:r w:rsidRPr="00A4362C">
              <w:rPr>
                <w:spacing w:val="-3"/>
              </w:rPr>
              <w:t>Division of Banks</w:t>
            </w:r>
          </w:p>
        </w:tc>
      </w:tr>
      <w:tr w:rsidR="003046D1" w:rsidRPr="00A4362C" w:rsidTr="003046D1">
        <w:trPr>
          <w:cantSplit/>
        </w:trPr>
        <w:tc>
          <w:tcPr>
            <w:tcW w:w="4552" w:type="dxa"/>
            <w:shd w:val="clear" w:color="auto" w:fill="auto"/>
          </w:tcPr>
          <w:p w:rsidR="003046D1" w:rsidRPr="00A4362C" w:rsidRDefault="003046D1" w:rsidP="003046D1">
            <w:pPr>
              <w:tabs>
                <w:tab w:val="left" w:pos="360"/>
                <w:tab w:val="left" w:pos="840"/>
                <w:tab w:val="left" w:pos="6720"/>
              </w:tabs>
              <w:suppressAutoHyphens/>
              <w:jc w:val="center"/>
              <w:rPr>
                <w:spacing w:val="-3"/>
              </w:rPr>
            </w:pPr>
            <w:r w:rsidRPr="00A4362C">
              <w:rPr>
                <w:spacing w:val="-3"/>
              </w:rPr>
              <w:t>1000 Washington Street, 10</w:t>
            </w:r>
            <w:r w:rsidRPr="00A4362C">
              <w:rPr>
                <w:spacing w:val="-3"/>
                <w:vertAlign w:val="superscript"/>
              </w:rPr>
              <w:t>th</w:t>
            </w:r>
            <w:r w:rsidRPr="00A4362C">
              <w:rPr>
                <w:spacing w:val="-3"/>
              </w:rPr>
              <w:t xml:space="preserve"> Floor</w:t>
            </w:r>
          </w:p>
        </w:tc>
      </w:tr>
      <w:tr w:rsidR="003046D1" w:rsidRPr="00A4362C" w:rsidTr="003046D1">
        <w:trPr>
          <w:cantSplit/>
        </w:trPr>
        <w:tc>
          <w:tcPr>
            <w:tcW w:w="4552" w:type="dxa"/>
            <w:shd w:val="clear" w:color="auto" w:fill="auto"/>
          </w:tcPr>
          <w:p w:rsidR="003046D1" w:rsidRPr="00A4362C" w:rsidRDefault="003046D1" w:rsidP="003046D1">
            <w:pPr>
              <w:tabs>
                <w:tab w:val="left" w:pos="360"/>
                <w:tab w:val="left" w:pos="840"/>
                <w:tab w:val="left" w:pos="6720"/>
              </w:tabs>
              <w:suppressAutoHyphens/>
              <w:jc w:val="center"/>
              <w:rPr>
                <w:spacing w:val="-3"/>
              </w:rPr>
            </w:pPr>
            <w:r w:rsidRPr="00A4362C">
              <w:rPr>
                <w:spacing w:val="-3"/>
              </w:rPr>
              <w:t>Boston, Massachusetts 02118</w:t>
            </w:r>
          </w:p>
        </w:tc>
      </w:tr>
    </w:tbl>
    <w:p w:rsidR="006D24A6" w:rsidRPr="00A4362C" w:rsidRDefault="006D24A6" w:rsidP="003046D1">
      <w:pPr>
        <w:tabs>
          <w:tab w:val="left" w:pos="-1440"/>
        </w:tabs>
        <w:ind w:left="1440" w:hanging="1440"/>
        <w:jc w:val="center"/>
        <w:rPr>
          <w:color w:val="000000"/>
        </w:rPr>
      </w:pPr>
    </w:p>
    <w:p w:rsidR="006D24A6" w:rsidRPr="00A4362C" w:rsidRDefault="006D24A6" w:rsidP="006D24A6">
      <w:pPr>
        <w:tabs>
          <w:tab w:val="left" w:pos="-1440"/>
        </w:tabs>
        <w:ind w:left="1440" w:hanging="1440"/>
        <w:rPr>
          <w:color w:val="000000"/>
        </w:rPr>
      </w:pPr>
    </w:p>
    <w:p w:rsidR="006D24A6" w:rsidRPr="00A4362C" w:rsidRDefault="006D24A6" w:rsidP="006D24A6">
      <w:pPr>
        <w:tabs>
          <w:tab w:val="left" w:pos="-1440"/>
        </w:tabs>
        <w:ind w:left="1440" w:hanging="1440"/>
        <w:rPr>
          <w:color w:val="000000"/>
        </w:rPr>
      </w:pPr>
    </w:p>
    <w:p w:rsidR="006D24A6" w:rsidRPr="00A4362C" w:rsidRDefault="006D24A6" w:rsidP="006D24A6">
      <w:pPr>
        <w:tabs>
          <w:tab w:val="left" w:pos="-1440"/>
        </w:tabs>
        <w:ind w:left="1440" w:hanging="1440"/>
        <w:rPr>
          <w:color w:val="000000"/>
        </w:rPr>
      </w:pPr>
    </w:p>
    <w:p w:rsidR="006D24A6" w:rsidRDefault="006D24A6" w:rsidP="006D24A6">
      <w:pPr>
        <w:rPr>
          <w:bCs/>
          <w:i/>
        </w:rPr>
      </w:pPr>
    </w:p>
    <w:p w:rsidR="00B36326" w:rsidRDefault="00B36326" w:rsidP="006D24A6">
      <w:pPr>
        <w:rPr>
          <w:bCs/>
          <w:i/>
        </w:rPr>
      </w:pPr>
    </w:p>
    <w:p w:rsidR="006D24A6" w:rsidRPr="00161EC6" w:rsidRDefault="006D24A6" w:rsidP="006D24A6">
      <w:pPr>
        <w:jc w:val="both"/>
        <w:rPr>
          <w:color w:val="000000"/>
        </w:rPr>
      </w:pPr>
      <w:r w:rsidRPr="00161EC6">
        <w:rPr>
          <w:color w:val="000000"/>
        </w:rPr>
        <w:t>This document is an evaluation of this institution’s record of meeting the credit needs of its entire community, including low- and moderate-income neighborhoods, consistent with safe and sound operation of the institution.</w:t>
      </w:r>
      <w:r w:rsidRPr="00161EC6">
        <w:rPr>
          <w:i/>
          <w:iCs/>
          <w:color w:val="000000"/>
        </w:rPr>
        <w:t xml:space="preserve">  </w:t>
      </w:r>
      <w:r w:rsidRPr="00161EC6">
        <w:rPr>
          <w:color w:val="000000"/>
        </w:rPr>
        <w:t xml:space="preserve">This evaluation is not, nor should it be construed as, an assessment of the financial condition of this institution.  The rating assigned to this institution does not represent an analysis, conclusion, or opinion of the </w:t>
      </w:r>
      <w:r>
        <w:rPr>
          <w:color w:val="000000"/>
        </w:rPr>
        <w:t xml:space="preserve">Division of Banks </w:t>
      </w:r>
      <w:r w:rsidRPr="00161EC6">
        <w:rPr>
          <w:color w:val="000000"/>
        </w:rPr>
        <w:t>concerning the safety and soundness of this financial institution.</w:t>
      </w:r>
    </w:p>
    <w:p w:rsidR="004727C8" w:rsidRDefault="004727C8">
      <w:pPr>
        <w:rPr>
          <w:color w:val="000000"/>
        </w:rPr>
      </w:pPr>
      <w:r>
        <w:rPr>
          <w:color w:val="000000"/>
        </w:rPr>
        <w:br w:type="page"/>
      </w:r>
    </w:p>
    <w:sdt>
      <w:sdtPr>
        <w:rPr>
          <w:rFonts w:ascii="Times New Roman" w:eastAsia="Times New Roman" w:hAnsi="Times New Roman" w:cs="Times New Roman"/>
          <w:b w:val="0"/>
          <w:bCs w:val="0"/>
          <w:color w:val="auto"/>
          <w:sz w:val="24"/>
          <w:szCs w:val="24"/>
          <w:lang w:eastAsia="en-US"/>
        </w:rPr>
        <w:id w:val="-1115590133"/>
        <w:docPartObj>
          <w:docPartGallery w:val="Table of Contents"/>
          <w:docPartUnique/>
        </w:docPartObj>
      </w:sdtPr>
      <w:sdtEndPr>
        <w:rPr>
          <w:noProof/>
        </w:rPr>
      </w:sdtEndPr>
      <w:sdtContent>
        <w:p w:rsidR="00BE6180" w:rsidRPr="00C11BD4" w:rsidRDefault="00BE6180" w:rsidP="008178B5">
          <w:pPr>
            <w:pStyle w:val="TOCHeading"/>
            <w:jc w:val="center"/>
            <w:rPr>
              <w:rFonts w:ascii="Times New Roman" w:hAnsi="Times New Roman" w:cs="Times New Roman"/>
              <w:color w:val="auto"/>
              <w:sz w:val="24"/>
              <w:szCs w:val="24"/>
            </w:rPr>
          </w:pPr>
          <w:r w:rsidRPr="00362014">
            <w:rPr>
              <w:rFonts w:ascii="Times New Roman" w:hAnsi="Times New Roman" w:cs="Times New Roman"/>
              <w:color w:val="auto"/>
            </w:rPr>
            <w:t>T</w:t>
          </w:r>
          <w:r w:rsidR="008178B5">
            <w:rPr>
              <w:rFonts w:ascii="Times New Roman" w:hAnsi="Times New Roman" w:cs="Times New Roman"/>
              <w:color w:val="auto"/>
            </w:rPr>
            <w:t>ABLE OF CONTENTS</w:t>
          </w:r>
        </w:p>
        <w:p w:rsidR="00BE6180" w:rsidRPr="00C11BD4" w:rsidRDefault="00BE6180" w:rsidP="00BE6180">
          <w:pPr>
            <w:rPr>
              <w:lang w:eastAsia="ja-JP"/>
            </w:rPr>
          </w:pPr>
        </w:p>
        <w:p w:rsidR="00D55D8D" w:rsidRDefault="00A52B59">
          <w:pPr>
            <w:pStyle w:val="TOC1"/>
            <w:tabs>
              <w:tab w:val="right" w:leader="dot" w:pos="9350"/>
            </w:tabs>
            <w:rPr>
              <w:rFonts w:asciiTheme="minorHAnsi" w:hAnsiTheme="minorHAnsi"/>
              <w:noProof/>
              <w:sz w:val="22"/>
              <w:lang w:eastAsia="en-US"/>
            </w:rPr>
          </w:pPr>
          <w:r>
            <w:fldChar w:fldCharType="begin"/>
          </w:r>
          <w:r>
            <w:instrText xml:space="preserve"> TOC \o "1-3" \h \z \u </w:instrText>
          </w:r>
          <w:r>
            <w:fldChar w:fldCharType="separate"/>
          </w:r>
          <w:hyperlink w:anchor="_Toc64381093" w:history="1">
            <w:r w:rsidR="00D55D8D" w:rsidRPr="001525A7">
              <w:rPr>
                <w:rStyle w:val="Hyperlink"/>
                <w:noProof/>
              </w:rPr>
              <w:t>INSTITUTION RATING</w:t>
            </w:r>
            <w:r w:rsidR="00D55D8D">
              <w:rPr>
                <w:noProof/>
                <w:webHidden/>
              </w:rPr>
              <w:tab/>
            </w:r>
            <w:r w:rsidR="00D55D8D">
              <w:rPr>
                <w:noProof/>
                <w:webHidden/>
              </w:rPr>
              <w:fldChar w:fldCharType="begin"/>
            </w:r>
            <w:r w:rsidR="00D55D8D">
              <w:rPr>
                <w:noProof/>
                <w:webHidden/>
              </w:rPr>
              <w:instrText xml:space="preserve"> PAGEREF _Toc64381093 \h </w:instrText>
            </w:r>
            <w:r w:rsidR="00D55D8D">
              <w:rPr>
                <w:noProof/>
                <w:webHidden/>
              </w:rPr>
            </w:r>
            <w:r w:rsidR="00D55D8D">
              <w:rPr>
                <w:noProof/>
                <w:webHidden/>
              </w:rPr>
              <w:fldChar w:fldCharType="separate"/>
            </w:r>
            <w:r w:rsidR="002E749B">
              <w:rPr>
                <w:noProof/>
                <w:webHidden/>
              </w:rPr>
              <w:t>1</w:t>
            </w:r>
            <w:r w:rsidR="00D55D8D">
              <w:rPr>
                <w:noProof/>
                <w:webHidden/>
              </w:rPr>
              <w:fldChar w:fldCharType="end"/>
            </w:r>
          </w:hyperlink>
        </w:p>
        <w:p w:rsidR="0052767F" w:rsidRDefault="002E749B" w:rsidP="0052767F">
          <w:pPr>
            <w:pStyle w:val="TOC1"/>
            <w:tabs>
              <w:tab w:val="right" w:leader="dot" w:pos="9350"/>
            </w:tabs>
            <w:rPr>
              <w:rFonts w:asciiTheme="minorHAnsi" w:hAnsiTheme="minorHAnsi"/>
              <w:noProof/>
              <w:sz w:val="22"/>
              <w:lang w:eastAsia="en-US"/>
            </w:rPr>
          </w:pPr>
          <w:hyperlink w:anchor="_Toc64381096" w:history="1">
            <w:r w:rsidR="0052767F" w:rsidRPr="001525A7">
              <w:rPr>
                <w:rStyle w:val="Hyperlink"/>
                <w:noProof/>
              </w:rPr>
              <w:t>SCOPE OF EVALUATION</w:t>
            </w:r>
            <w:r w:rsidR="0052767F">
              <w:rPr>
                <w:noProof/>
                <w:webHidden/>
              </w:rPr>
              <w:tab/>
            </w:r>
            <w:r w:rsidR="0052767F">
              <w:rPr>
                <w:noProof/>
                <w:webHidden/>
              </w:rPr>
              <w:fldChar w:fldCharType="begin"/>
            </w:r>
            <w:r w:rsidR="0052767F">
              <w:rPr>
                <w:noProof/>
                <w:webHidden/>
              </w:rPr>
              <w:instrText xml:space="preserve"> PAGEREF _Toc64381096 \h </w:instrText>
            </w:r>
            <w:r w:rsidR="0052767F">
              <w:rPr>
                <w:noProof/>
                <w:webHidden/>
              </w:rPr>
            </w:r>
            <w:r w:rsidR="0052767F">
              <w:rPr>
                <w:noProof/>
                <w:webHidden/>
              </w:rPr>
              <w:fldChar w:fldCharType="separate"/>
            </w:r>
            <w:r>
              <w:rPr>
                <w:noProof/>
                <w:webHidden/>
              </w:rPr>
              <w:t>1</w:t>
            </w:r>
            <w:r w:rsidR="0052767F">
              <w:rPr>
                <w:noProof/>
                <w:webHidden/>
              </w:rPr>
              <w:fldChar w:fldCharType="end"/>
            </w:r>
          </w:hyperlink>
        </w:p>
        <w:p w:rsidR="00D55D8D" w:rsidRDefault="002E749B">
          <w:pPr>
            <w:pStyle w:val="TOC1"/>
            <w:tabs>
              <w:tab w:val="right" w:leader="dot" w:pos="9350"/>
            </w:tabs>
            <w:rPr>
              <w:rFonts w:asciiTheme="minorHAnsi" w:hAnsiTheme="minorHAnsi"/>
              <w:noProof/>
              <w:sz w:val="22"/>
              <w:lang w:eastAsia="en-US"/>
            </w:rPr>
          </w:pPr>
          <w:hyperlink w:anchor="_Toc64381094" w:history="1">
            <w:r w:rsidR="00D55D8D" w:rsidRPr="001525A7">
              <w:rPr>
                <w:rStyle w:val="Hyperlink"/>
                <w:noProof/>
              </w:rPr>
              <w:t>DESCRIPTION OF INSTITUTION</w:t>
            </w:r>
            <w:r w:rsidR="00D55D8D">
              <w:rPr>
                <w:noProof/>
                <w:webHidden/>
              </w:rPr>
              <w:tab/>
            </w:r>
            <w:r w:rsidR="00D55D8D">
              <w:rPr>
                <w:noProof/>
                <w:webHidden/>
              </w:rPr>
              <w:fldChar w:fldCharType="begin"/>
            </w:r>
            <w:r w:rsidR="00D55D8D">
              <w:rPr>
                <w:noProof/>
                <w:webHidden/>
              </w:rPr>
              <w:instrText xml:space="preserve"> PAGEREF _Toc64381094 \h </w:instrText>
            </w:r>
            <w:r w:rsidR="00D55D8D">
              <w:rPr>
                <w:noProof/>
                <w:webHidden/>
              </w:rPr>
            </w:r>
            <w:r w:rsidR="00D55D8D">
              <w:rPr>
                <w:noProof/>
                <w:webHidden/>
              </w:rPr>
              <w:fldChar w:fldCharType="separate"/>
            </w:r>
            <w:r>
              <w:rPr>
                <w:noProof/>
                <w:webHidden/>
              </w:rPr>
              <w:t>2</w:t>
            </w:r>
            <w:r w:rsidR="00D55D8D">
              <w:rPr>
                <w:noProof/>
                <w:webHidden/>
              </w:rPr>
              <w:fldChar w:fldCharType="end"/>
            </w:r>
          </w:hyperlink>
        </w:p>
        <w:p w:rsidR="00D55D8D" w:rsidRDefault="002E749B">
          <w:pPr>
            <w:pStyle w:val="TOC1"/>
            <w:tabs>
              <w:tab w:val="right" w:leader="dot" w:pos="9350"/>
            </w:tabs>
            <w:rPr>
              <w:rFonts w:asciiTheme="minorHAnsi" w:hAnsiTheme="minorHAnsi"/>
              <w:noProof/>
              <w:sz w:val="22"/>
              <w:lang w:eastAsia="en-US"/>
            </w:rPr>
          </w:pPr>
          <w:hyperlink w:anchor="_Toc64381095" w:history="1">
            <w:r w:rsidR="00D55D8D" w:rsidRPr="001525A7">
              <w:rPr>
                <w:rStyle w:val="Hyperlink"/>
                <w:noProof/>
              </w:rPr>
              <w:t>DESCRIPTION OF ASSESSMENT AREA</w:t>
            </w:r>
            <w:r w:rsidR="00D55D8D">
              <w:rPr>
                <w:noProof/>
                <w:webHidden/>
              </w:rPr>
              <w:tab/>
            </w:r>
            <w:r w:rsidR="00D55D8D">
              <w:rPr>
                <w:noProof/>
                <w:webHidden/>
              </w:rPr>
              <w:fldChar w:fldCharType="begin"/>
            </w:r>
            <w:r w:rsidR="00D55D8D">
              <w:rPr>
                <w:noProof/>
                <w:webHidden/>
              </w:rPr>
              <w:instrText xml:space="preserve"> PAGEREF _Toc64381095 \h </w:instrText>
            </w:r>
            <w:r w:rsidR="00D55D8D">
              <w:rPr>
                <w:noProof/>
                <w:webHidden/>
              </w:rPr>
            </w:r>
            <w:r w:rsidR="00D55D8D">
              <w:rPr>
                <w:noProof/>
                <w:webHidden/>
              </w:rPr>
              <w:fldChar w:fldCharType="separate"/>
            </w:r>
            <w:r>
              <w:rPr>
                <w:noProof/>
                <w:webHidden/>
              </w:rPr>
              <w:t>3</w:t>
            </w:r>
            <w:r w:rsidR="00D55D8D">
              <w:rPr>
                <w:noProof/>
                <w:webHidden/>
              </w:rPr>
              <w:fldChar w:fldCharType="end"/>
            </w:r>
          </w:hyperlink>
        </w:p>
        <w:p w:rsidR="00D55D8D" w:rsidRDefault="002E749B">
          <w:pPr>
            <w:pStyle w:val="TOC1"/>
            <w:tabs>
              <w:tab w:val="right" w:leader="dot" w:pos="9350"/>
            </w:tabs>
            <w:rPr>
              <w:rFonts w:asciiTheme="minorHAnsi" w:hAnsiTheme="minorHAnsi"/>
              <w:noProof/>
              <w:sz w:val="22"/>
              <w:lang w:eastAsia="en-US"/>
            </w:rPr>
          </w:pPr>
          <w:hyperlink w:anchor="_Toc64381097" w:history="1">
            <w:r w:rsidR="00D55D8D" w:rsidRPr="001525A7">
              <w:rPr>
                <w:rStyle w:val="Hyperlink"/>
                <w:noProof/>
              </w:rPr>
              <w:t>CONCLUSIONS ON PERFORMANCE CRITERIA</w:t>
            </w:r>
            <w:r w:rsidR="00D55D8D">
              <w:rPr>
                <w:noProof/>
                <w:webHidden/>
              </w:rPr>
              <w:tab/>
            </w:r>
            <w:r w:rsidR="00D55D8D">
              <w:rPr>
                <w:noProof/>
                <w:webHidden/>
              </w:rPr>
              <w:fldChar w:fldCharType="begin"/>
            </w:r>
            <w:r w:rsidR="00D55D8D">
              <w:rPr>
                <w:noProof/>
                <w:webHidden/>
              </w:rPr>
              <w:instrText xml:space="preserve"> PAGEREF _Toc64381097 \h </w:instrText>
            </w:r>
            <w:r w:rsidR="00D55D8D">
              <w:rPr>
                <w:noProof/>
                <w:webHidden/>
              </w:rPr>
            </w:r>
            <w:r w:rsidR="00D55D8D">
              <w:rPr>
                <w:noProof/>
                <w:webHidden/>
              </w:rPr>
              <w:fldChar w:fldCharType="separate"/>
            </w:r>
            <w:r>
              <w:rPr>
                <w:noProof/>
                <w:webHidden/>
              </w:rPr>
              <w:t>6</w:t>
            </w:r>
            <w:r w:rsidR="00D55D8D">
              <w:rPr>
                <w:noProof/>
                <w:webHidden/>
              </w:rPr>
              <w:fldChar w:fldCharType="end"/>
            </w:r>
          </w:hyperlink>
        </w:p>
        <w:p w:rsidR="00D55D8D" w:rsidRDefault="002E749B" w:rsidP="00D15FD3">
          <w:pPr>
            <w:pStyle w:val="TOC2"/>
            <w:tabs>
              <w:tab w:val="right" w:leader="dot" w:pos="9350"/>
            </w:tabs>
            <w:ind w:left="0"/>
            <w:rPr>
              <w:rFonts w:asciiTheme="minorHAnsi" w:hAnsiTheme="minorHAnsi"/>
              <w:noProof/>
              <w:sz w:val="22"/>
              <w:lang w:eastAsia="en-US"/>
            </w:rPr>
          </w:pPr>
          <w:hyperlink w:anchor="_Toc64381100" w:history="1">
            <w:r w:rsidR="00D55D8D" w:rsidRPr="001525A7">
              <w:rPr>
                <w:rStyle w:val="Hyperlink"/>
                <w:noProof/>
              </w:rPr>
              <w:t>GLOSSARY</w:t>
            </w:r>
            <w:r w:rsidR="00D55D8D">
              <w:rPr>
                <w:noProof/>
                <w:webHidden/>
              </w:rPr>
              <w:tab/>
            </w:r>
            <w:r w:rsidR="00D55D8D">
              <w:rPr>
                <w:noProof/>
                <w:webHidden/>
              </w:rPr>
              <w:fldChar w:fldCharType="begin"/>
            </w:r>
            <w:r w:rsidR="00D55D8D">
              <w:rPr>
                <w:noProof/>
                <w:webHidden/>
              </w:rPr>
              <w:instrText xml:space="preserve"> PAGEREF _Toc64381100 \h </w:instrText>
            </w:r>
            <w:r w:rsidR="00D55D8D">
              <w:rPr>
                <w:noProof/>
                <w:webHidden/>
              </w:rPr>
            </w:r>
            <w:r w:rsidR="00D55D8D">
              <w:rPr>
                <w:noProof/>
                <w:webHidden/>
              </w:rPr>
              <w:fldChar w:fldCharType="separate"/>
            </w:r>
            <w:r>
              <w:rPr>
                <w:noProof/>
                <w:webHidden/>
              </w:rPr>
              <w:t>12</w:t>
            </w:r>
            <w:r w:rsidR="00D55D8D">
              <w:rPr>
                <w:noProof/>
                <w:webHidden/>
              </w:rPr>
              <w:fldChar w:fldCharType="end"/>
            </w:r>
          </w:hyperlink>
        </w:p>
        <w:p w:rsidR="00BE6180" w:rsidRDefault="00A52B59">
          <w:r>
            <w:rPr>
              <w:rFonts w:eastAsiaTheme="minorEastAsia"/>
              <w:lang w:eastAsia="ja-JP"/>
            </w:rPr>
            <w:fldChar w:fldCharType="end"/>
          </w:r>
        </w:p>
      </w:sdtContent>
    </w:sdt>
    <w:p w:rsidR="004727C8" w:rsidRDefault="004727C8" w:rsidP="004727C8">
      <w:r>
        <w:br w:type="page"/>
      </w:r>
    </w:p>
    <w:p w:rsidR="00795F2F" w:rsidRPr="004727C8" w:rsidRDefault="00795F2F" w:rsidP="004727C8">
      <w:pPr>
        <w:sectPr w:rsidR="00795F2F" w:rsidRPr="004727C8">
          <w:pgSz w:w="12240" w:h="15840"/>
          <w:pgMar w:top="1440" w:right="1440" w:bottom="1440" w:left="1440" w:header="720" w:footer="720" w:gutter="0"/>
          <w:cols w:space="720"/>
          <w:docGrid w:linePitch="360"/>
        </w:sectPr>
      </w:pPr>
    </w:p>
    <w:p w:rsidR="0099672C" w:rsidRPr="008178B5" w:rsidRDefault="0099672C" w:rsidP="008178B5">
      <w:pPr>
        <w:pStyle w:val="Heading1"/>
      </w:pPr>
      <w:bookmarkStart w:id="1" w:name="_Toc64381093"/>
      <w:r w:rsidRPr="008178B5">
        <w:lastRenderedPageBreak/>
        <w:t>INSTITUTION RATING</w:t>
      </w:r>
      <w:bookmarkEnd w:id="1"/>
    </w:p>
    <w:p w:rsidR="0099672C" w:rsidRPr="00286B81" w:rsidRDefault="0099672C" w:rsidP="00820FE2">
      <w:pPr>
        <w:rPr>
          <w:bCs/>
        </w:rPr>
      </w:pPr>
    </w:p>
    <w:p w:rsidR="00635867" w:rsidRDefault="00635867" w:rsidP="00635867">
      <w:pPr>
        <w:pStyle w:val="Default"/>
        <w:jc w:val="both"/>
        <w:rPr>
          <w:color w:val="auto"/>
        </w:rPr>
      </w:pPr>
      <w:r w:rsidRPr="00AB3CB4">
        <w:rPr>
          <w:color w:val="auto"/>
        </w:rPr>
        <w:t xml:space="preserve">This document is an evaluation of the CRA performance of </w:t>
      </w:r>
      <w:r w:rsidRPr="00635867">
        <w:rPr>
          <w:b/>
          <w:color w:val="auto"/>
        </w:rPr>
        <w:t>Canton Co-operative Bank</w:t>
      </w:r>
      <w:r>
        <w:rPr>
          <w:color w:val="auto"/>
        </w:rPr>
        <w:t xml:space="preserve"> </w:t>
      </w:r>
      <w:r w:rsidRPr="00AB3CB4">
        <w:rPr>
          <w:b/>
          <w:bCs/>
          <w:color w:val="auto"/>
        </w:rPr>
        <w:t>(</w:t>
      </w:r>
      <w:r>
        <w:rPr>
          <w:b/>
          <w:bCs/>
          <w:color w:val="auto"/>
        </w:rPr>
        <w:t xml:space="preserve">bank) </w:t>
      </w:r>
      <w:r w:rsidRPr="00AB3CB4">
        <w:rPr>
          <w:color w:val="auto"/>
        </w:rPr>
        <w:t xml:space="preserve">prepared by the Division, the institution’s supervisory agency as of </w:t>
      </w:r>
      <w:r>
        <w:rPr>
          <w:b/>
          <w:bCs/>
          <w:color w:val="auto"/>
        </w:rPr>
        <w:t>February 8</w:t>
      </w:r>
      <w:r w:rsidRPr="00AB3CB4">
        <w:rPr>
          <w:b/>
          <w:bCs/>
          <w:color w:val="auto"/>
        </w:rPr>
        <w:t>, 202</w:t>
      </w:r>
      <w:r>
        <w:rPr>
          <w:b/>
          <w:bCs/>
          <w:color w:val="auto"/>
        </w:rPr>
        <w:t>1</w:t>
      </w:r>
      <w:r w:rsidRPr="00AB3CB4">
        <w:rPr>
          <w:color w:val="auto"/>
        </w:rPr>
        <w:t xml:space="preserve">. The Division rates the CRA performance of an institution consistent with the provisions set forth in Massachusetts Regulation 209 CMR 46.00. </w:t>
      </w:r>
    </w:p>
    <w:p w:rsidR="00635867" w:rsidRPr="00AB3CB4" w:rsidRDefault="00635867" w:rsidP="00635867">
      <w:pPr>
        <w:pStyle w:val="Default"/>
        <w:jc w:val="both"/>
        <w:rPr>
          <w:color w:val="auto"/>
        </w:rPr>
      </w:pPr>
    </w:p>
    <w:p w:rsidR="00B46FDC" w:rsidRDefault="0099672C" w:rsidP="00635867">
      <w:pPr>
        <w:tabs>
          <w:tab w:val="left" w:pos="7581"/>
        </w:tabs>
        <w:jc w:val="both"/>
      </w:pPr>
      <w:r w:rsidRPr="00161EC6">
        <w:rPr>
          <w:b/>
          <w:bCs/>
        </w:rPr>
        <w:t xml:space="preserve">INSTITUTION’S CRA RATING:  </w:t>
      </w:r>
      <w:r w:rsidRPr="00161EC6">
        <w:t>This institution is rated</w:t>
      </w:r>
      <w:r w:rsidRPr="00161EC6">
        <w:rPr>
          <w:b/>
          <w:bCs/>
        </w:rPr>
        <w:t xml:space="preserve"> </w:t>
      </w:r>
      <w:sdt>
        <w:sdtPr>
          <w:rPr>
            <w:rStyle w:val="Style1"/>
          </w:rPr>
          <w:alias w:val="CRA Ratings"/>
          <w:tag w:val="CRA Ratings"/>
          <w:id w:val="2094283347"/>
          <w:dropDownList>
            <w:listItem w:displayText="*Click &amp; Select a Rating*" w:value="*Click &amp; Select a Rating*"/>
            <w:listItem w:displayText="Outstanding" w:value="Outstanding"/>
            <w:listItem w:displayText="Satisfactory" w:value="Satisfactory"/>
            <w:listItem w:displayText="Needs to Improve" w:value="Needs to Improve"/>
            <w:listItem w:displayText="Substantial Noncompliance" w:value="Substantial Noncompliance"/>
          </w:dropDownList>
        </w:sdtPr>
        <w:sdtEndPr>
          <w:rPr>
            <w:rStyle w:val="Style1"/>
          </w:rPr>
        </w:sdtEndPr>
        <w:sdtContent>
          <w:r w:rsidR="00431ECD">
            <w:rPr>
              <w:rStyle w:val="Style1"/>
            </w:rPr>
            <w:t>Satisfactory</w:t>
          </w:r>
        </w:sdtContent>
      </w:sdt>
      <w:r w:rsidR="009450F9" w:rsidRPr="00635867">
        <w:rPr>
          <w:rStyle w:val="Style1"/>
          <w:u w:val="none"/>
        </w:rPr>
        <w:t>.</w:t>
      </w:r>
      <w:r w:rsidR="00635867" w:rsidRPr="00635867">
        <w:rPr>
          <w:rStyle w:val="Style1"/>
          <w:u w:val="none"/>
        </w:rPr>
        <w:t xml:space="preserve"> </w:t>
      </w:r>
      <w:r w:rsidR="008D510B">
        <w:rPr>
          <w:bCs/>
        </w:rPr>
        <w:t xml:space="preserve">An institution in this group </w:t>
      </w:r>
      <w:r w:rsidR="00431ECD">
        <w:rPr>
          <w:rStyle w:val="Style3"/>
        </w:rPr>
        <w:t>has a satisfactory record of helping to meet the credit needs of its assessment area, including low- and moderate-income neighborhoods, in a manner consistent with its resources and capabilities.</w:t>
      </w:r>
    </w:p>
    <w:p w:rsidR="00267922" w:rsidRDefault="00267922" w:rsidP="00635867">
      <w:pPr>
        <w:pStyle w:val="BodyTXT"/>
        <w:jc w:val="both"/>
        <w:rPr>
          <w:rFonts w:ascii="Times New Roman" w:hAnsi="Times New Roman" w:cs="Times New Roman"/>
          <w:sz w:val="24"/>
          <w:szCs w:val="24"/>
        </w:rPr>
      </w:pPr>
    </w:p>
    <w:p w:rsidR="007D7462" w:rsidRDefault="007D7462" w:rsidP="00635867">
      <w:pPr>
        <w:pStyle w:val="BodyTXT"/>
        <w:jc w:val="both"/>
        <w:rPr>
          <w:rFonts w:ascii="Times New Roman" w:hAnsi="Times New Roman" w:cs="Times New Roman"/>
          <w:b/>
          <w:sz w:val="24"/>
          <w:szCs w:val="24"/>
          <w:u w:val="single"/>
        </w:rPr>
      </w:pPr>
      <w:r>
        <w:rPr>
          <w:rFonts w:ascii="Times New Roman" w:hAnsi="Times New Roman" w:cs="Times New Roman"/>
          <w:b/>
          <w:sz w:val="24"/>
          <w:szCs w:val="24"/>
        </w:rPr>
        <w:t xml:space="preserve">The Lending Test is rated </w:t>
      </w:r>
      <w:r>
        <w:rPr>
          <w:rFonts w:ascii="Times New Roman" w:hAnsi="Times New Roman" w:cs="Times New Roman"/>
          <w:b/>
          <w:sz w:val="24"/>
          <w:szCs w:val="24"/>
          <w:u w:val="single"/>
        </w:rPr>
        <w:t>Satisfactory.</w:t>
      </w:r>
    </w:p>
    <w:p w:rsidR="007D7462" w:rsidRDefault="007D7462" w:rsidP="00635867">
      <w:pPr>
        <w:pStyle w:val="BodyTXT"/>
        <w:jc w:val="both"/>
        <w:rPr>
          <w:rFonts w:ascii="Times New Roman" w:hAnsi="Times New Roman" w:cs="Times New Roman"/>
          <w:b/>
          <w:sz w:val="24"/>
          <w:szCs w:val="24"/>
          <w:u w:val="single"/>
        </w:rPr>
      </w:pPr>
    </w:p>
    <w:p w:rsidR="007D7462" w:rsidRDefault="007D7462" w:rsidP="00635867">
      <w:pPr>
        <w:pStyle w:val="BodyTXT"/>
        <w:numPr>
          <w:ilvl w:val="0"/>
          <w:numId w:val="47"/>
        </w:numPr>
        <w:jc w:val="both"/>
        <w:rPr>
          <w:rFonts w:ascii="Times New Roman" w:hAnsi="Times New Roman" w:cs="Times New Roman"/>
          <w:sz w:val="24"/>
          <w:szCs w:val="24"/>
        </w:rPr>
      </w:pPr>
      <w:r w:rsidRPr="007D7462">
        <w:rPr>
          <w:rFonts w:ascii="Times New Roman" w:hAnsi="Times New Roman" w:cs="Times New Roman"/>
          <w:sz w:val="24"/>
          <w:szCs w:val="24"/>
        </w:rPr>
        <w:t>The loan-to-deposit ratio is more than reasonabl</w:t>
      </w:r>
      <w:r>
        <w:rPr>
          <w:rFonts w:ascii="Times New Roman" w:hAnsi="Times New Roman" w:cs="Times New Roman"/>
          <w:sz w:val="24"/>
          <w:szCs w:val="24"/>
        </w:rPr>
        <w:t>e</w:t>
      </w:r>
      <w:r w:rsidRPr="007D7462">
        <w:rPr>
          <w:rFonts w:ascii="Times New Roman" w:hAnsi="Times New Roman" w:cs="Times New Roman"/>
          <w:sz w:val="24"/>
          <w:szCs w:val="24"/>
        </w:rPr>
        <w:t xml:space="preserve"> given the institution’</w:t>
      </w:r>
      <w:r>
        <w:rPr>
          <w:rFonts w:ascii="Times New Roman" w:hAnsi="Times New Roman" w:cs="Times New Roman"/>
          <w:sz w:val="24"/>
          <w:szCs w:val="24"/>
        </w:rPr>
        <w:t>s size, financial condition, and assessment area needs.</w:t>
      </w:r>
    </w:p>
    <w:p w:rsidR="007D7462" w:rsidRDefault="007D7462" w:rsidP="00635867">
      <w:pPr>
        <w:pStyle w:val="BodyTXT"/>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The bank originated a majority of its home mortgage loans by number and dollar volume, within its assessment area. </w:t>
      </w:r>
    </w:p>
    <w:p w:rsidR="007D7462" w:rsidRDefault="007D7462" w:rsidP="00635867">
      <w:pPr>
        <w:pStyle w:val="BodyTXT"/>
        <w:numPr>
          <w:ilvl w:val="0"/>
          <w:numId w:val="47"/>
        </w:numPr>
        <w:jc w:val="both"/>
        <w:rPr>
          <w:rFonts w:ascii="Times New Roman" w:hAnsi="Times New Roman" w:cs="Times New Roman"/>
          <w:sz w:val="24"/>
          <w:szCs w:val="24"/>
        </w:rPr>
      </w:pPr>
      <w:r>
        <w:rPr>
          <w:rFonts w:ascii="Times New Roman" w:hAnsi="Times New Roman" w:cs="Times New Roman"/>
          <w:sz w:val="24"/>
          <w:szCs w:val="24"/>
        </w:rPr>
        <w:t>The distribution of borrowers reflects reasonable penetration among individuals of different income levels.</w:t>
      </w:r>
    </w:p>
    <w:p w:rsidR="007D7462" w:rsidRDefault="007D7462" w:rsidP="00635867">
      <w:pPr>
        <w:pStyle w:val="BodyTXT"/>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The geographic distribution of loans reflects poor dispersion throughout the assessment area. </w:t>
      </w:r>
    </w:p>
    <w:p w:rsidR="007D7462" w:rsidRDefault="007D7462" w:rsidP="00635867">
      <w:pPr>
        <w:pStyle w:val="BodyTXT"/>
        <w:numPr>
          <w:ilvl w:val="0"/>
          <w:numId w:val="47"/>
        </w:numPr>
        <w:jc w:val="both"/>
        <w:rPr>
          <w:rFonts w:ascii="Times New Roman" w:hAnsi="Times New Roman" w:cs="Times New Roman"/>
          <w:sz w:val="24"/>
          <w:szCs w:val="24"/>
        </w:rPr>
      </w:pPr>
      <w:r>
        <w:rPr>
          <w:rFonts w:ascii="Times New Roman" w:hAnsi="Times New Roman" w:cs="Times New Roman"/>
          <w:sz w:val="24"/>
          <w:szCs w:val="24"/>
        </w:rPr>
        <w:t>The bank did not receive any CRA related complaints during the evaluation period.</w:t>
      </w:r>
    </w:p>
    <w:p w:rsidR="00635867" w:rsidRPr="007D7462" w:rsidRDefault="00635867" w:rsidP="00635867">
      <w:pPr>
        <w:pStyle w:val="BodyTXT"/>
        <w:numPr>
          <w:ilvl w:val="0"/>
          <w:numId w:val="47"/>
        </w:numPr>
        <w:jc w:val="both"/>
        <w:rPr>
          <w:rFonts w:ascii="Times New Roman" w:hAnsi="Times New Roman" w:cs="Times New Roman"/>
          <w:sz w:val="24"/>
          <w:szCs w:val="24"/>
        </w:rPr>
      </w:pPr>
      <w:r>
        <w:rPr>
          <w:rFonts w:ascii="Times New Roman" w:hAnsi="Times New Roman" w:cs="Times New Roman"/>
          <w:sz w:val="24"/>
          <w:szCs w:val="24"/>
        </w:rPr>
        <w:t>Fair Lending policies and procedures are adequate.</w:t>
      </w:r>
    </w:p>
    <w:p w:rsidR="003046D1" w:rsidRDefault="003046D1" w:rsidP="00846B10">
      <w:pPr>
        <w:pStyle w:val="BodyTXT"/>
        <w:rPr>
          <w:rFonts w:ascii="Times New Roman" w:hAnsi="Times New Roman" w:cs="Times New Roman"/>
          <w:sz w:val="24"/>
          <w:szCs w:val="24"/>
        </w:rPr>
      </w:pPr>
    </w:p>
    <w:p w:rsidR="00635867" w:rsidRDefault="00635867" w:rsidP="00846B10">
      <w:pPr>
        <w:pStyle w:val="BodyTXT"/>
        <w:rPr>
          <w:rFonts w:ascii="Times New Roman" w:hAnsi="Times New Roman" w:cs="Times New Roman"/>
          <w:sz w:val="24"/>
          <w:szCs w:val="24"/>
        </w:rPr>
      </w:pPr>
    </w:p>
    <w:p w:rsidR="00635867" w:rsidRPr="00B303F5" w:rsidRDefault="00635867" w:rsidP="00635867">
      <w:pPr>
        <w:pStyle w:val="Heading1"/>
      </w:pPr>
      <w:bookmarkStart w:id="2" w:name="_Toc64381096"/>
      <w:r w:rsidRPr="000748A1">
        <w:t>SCOPE OF EVALUATION</w:t>
      </w:r>
      <w:bookmarkEnd w:id="2"/>
    </w:p>
    <w:p w:rsidR="00635867" w:rsidRDefault="00635867" w:rsidP="00635867">
      <w:pPr>
        <w:pStyle w:val="QuickFormat1"/>
        <w:jc w:val="left"/>
        <w:rPr>
          <w:b w:val="0"/>
          <w:sz w:val="24"/>
          <w:szCs w:val="24"/>
          <w:lang w:val="en-US"/>
        </w:rPr>
      </w:pPr>
    </w:p>
    <w:p w:rsidR="00635867" w:rsidRDefault="00635867" w:rsidP="00635867">
      <w:pPr>
        <w:tabs>
          <w:tab w:val="left" w:pos="1260"/>
        </w:tabs>
        <w:rPr>
          <w:b/>
          <w:bCs/>
          <w:iCs/>
          <w:u w:val="single"/>
        </w:rPr>
      </w:pPr>
      <w:r w:rsidRPr="00D75C34">
        <w:rPr>
          <w:b/>
          <w:bCs/>
          <w:iCs/>
          <w:u w:val="single"/>
        </w:rPr>
        <w:t>General Information</w:t>
      </w:r>
    </w:p>
    <w:p w:rsidR="00635867" w:rsidRDefault="00635867" w:rsidP="00635867">
      <w:pPr>
        <w:tabs>
          <w:tab w:val="left" w:pos="1260"/>
        </w:tabs>
        <w:rPr>
          <w:b/>
          <w:bCs/>
          <w:iCs/>
          <w:u w:val="single"/>
        </w:rPr>
      </w:pPr>
    </w:p>
    <w:p w:rsidR="00635867" w:rsidRPr="00635867" w:rsidRDefault="00635867" w:rsidP="00635867">
      <w:pPr>
        <w:tabs>
          <w:tab w:val="left" w:pos="1260"/>
        </w:tabs>
        <w:jc w:val="both"/>
        <w:rPr>
          <w:b/>
          <w:bCs/>
          <w:iCs/>
          <w:u w:val="single"/>
        </w:rPr>
      </w:pPr>
      <w:r w:rsidRPr="001202D8">
        <w:t xml:space="preserve">The Community Reinvestment Act (CRA) requires the Massachusetts Division of Banks (“Division”) to use their authority when examining financial institutions subject to their supervision, to assess the institution's record of meeting the needs of its entire assessment area, including low- and moderate-income neighborhoods, consistent with safe and sound operation of the institution.  Upon conclusion of such examination, the Division must prepare a written evaluation of the institution's record of meeting the credit needs of its membership. </w:t>
      </w:r>
    </w:p>
    <w:p w:rsidR="00635867" w:rsidRDefault="00635867" w:rsidP="00635867">
      <w:pPr>
        <w:tabs>
          <w:tab w:val="left" w:pos="1260"/>
        </w:tabs>
        <w:jc w:val="both"/>
        <w:rPr>
          <w:bCs/>
          <w:iCs/>
        </w:rPr>
      </w:pPr>
    </w:p>
    <w:p w:rsidR="00635867" w:rsidRDefault="00635867" w:rsidP="00635867">
      <w:pPr>
        <w:tabs>
          <w:tab w:val="left" w:pos="1260"/>
        </w:tabs>
        <w:jc w:val="both"/>
        <w:rPr>
          <w:bCs/>
          <w:iCs/>
        </w:rPr>
      </w:pPr>
      <w:r>
        <w:rPr>
          <w:bCs/>
          <w:iCs/>
        </w:rPr>
        <w:t>This evaluation covers the period of January 1, 2018 to the current evaluation period of February 8, 2021.  Small Institution CRA procedures were used for the evaluation.  The following criteria were used in the evaluation: Loan-to-Deposit Ratio, Assessment Area Concentration, Borrower Profile, Geographic Distribution, and Response to CRA-related complaints.</w:t>
      </w:r>
    </w:p>
    <w:p w:rsidR="00635867" w:rsidRDefault="00635867" w:rsidP="00635867">
      <w:pPr>
        <w:tabs>
          <w:tab w:val="left" w:pos="1260"/>
        </w:tabs>
        <w:jc w:val="both"/>
        <w:rPr>
          <w:bCs/>
          <w:iCs/>
        </w:rPr>
      </w:pPr>
    </w:p>
    <w:p w:rsidR="00635867" w:rsidRDefault="00635867" w:rsidP="00635867">
      <w:pPr>
        <w:tabs>
          <w:tab w:val="left" w:pos="1260"/>
        </w:tabs>
        <w:jc w:val="both"/>
        <w:rPr>
          <w:b/>
          <w:bCs/>
          <w:iCs/>
          <w:u w:val="single"/>
        </w:rPr>
      </w:pPr>
      <w:r>
        <w:rPr>
          <w:b/>
          <w:bCs/>
          <w:iCs/>
          <w:u w:val="single"/>
        </w:rPr>
        <w:t xml:space="preserve">Activities </w:t>
      </w:r>
      <w:r w:rsidRPr="00D75C34">
        <w:rPr>
          <w:b/>
          <w:bCs/>
          <w:iCs/>
          <w:u w:val="single"/>
        </w:rPr>
        <w:t>Reviewed</w:t>
      </w:r>
    </w:p>
    <w:p w:rsidR="00635867" w:rsidRDefault="00635867" w:rsidP="00635867">
      <w:pPr>
        <w:pStyle w:val="QuickFormat1"/>
        <w:jc w:val="both"/>
        <w:rPr>
          <w:b w:val="0"/>
          <w:color w:val="auto"/>
          <w:sz w:val="24"/>
          <w:szCs w:val="24"/>
          <w:lang w:val="en-US"/>
        </w:rPr>
      </w:pPr>
    </w:p>
    <w:p w:rsidR="00635867" w:rsidRDefault="00635867" w:rsidP="00635867">
      <w:pPr>
        <w:pStyle w:val="QuickFormat1"/>
        <w:jc w:val="both"/>
        <w:rPr>
          <w:b w:val="0"/>
          <w:color w:val="auto"/>
          <w:sz w:val="24"/>
          <w:szCs w:val="24"/>
          <w:lang w:val="en-US"/>
        </w:rPr>
      </w:pPr>
      <w:r>
        <w:rPr>
          <w:b w:val="0"/>
          <w:color w:val="auto"/>
          <w:sz w:val="24"/>
          <w:szCs w:val="24"/>
          <w:lang w:val="en-US"/>
        </w:rPr>
        <w:t xml:space="preserve">Examiner’s evaluated the bank’s home mortgage lending performance from January 1, 2018 to December 31, 2019.  Loan data for 2018 and 2019 was obtained from the Home Mortgage Disclosure Act (HMDA) Loan Application Registers (LARs) for the respective periods.  The bank reported 36 home mortgage loans totaling $12.9 million in 2018 and 19 loans totaling $6.2 million in 2019.  The </w:t>
      </w:r>
      <w:r>
        <w:rPr>
          <w:b w:val="0"/>
          <w:color w:val="auto"/>
          <w:sz w:val="24"/>
          <w:szCs w:val="24"/>
          <w:lang w:val="en-US"/>
        </w:rPr>
        <w:lastRenderedPageBreak/>
        <w:t xml:space="preserve">bank’s home mortgage lending was compared to the 2018 and 2019 aggregate data and demographic data. </w:t>
      </w:r>
    </w:p>
    <w:p w:rsidR="00635867" w:rsidRDefault="00635867" w:rsidP="00635867">
      <w:pPr>
        <w:pStyle w:val="QuickFormat1"/>
        <w:jc w:val="both"/>
        <w:rPr>
          <w:b w:val="0"/>
          <w:color w:val="auto"/>
          <w:sz w:val="24"/>
          <w:szCs w:val="24"/>
          <w:lang w:val="en-US"/>
        </w:rPr>
      </w:pPr>
    </w:p>
    <w:p w:rsidR="00635867" w:rsidRDefault="00635867" w:rsidP="00635867">
      <w:pPr>
        <w:pStyle w:val="QuickFormat1"/>
        <w:jc w:val="both"/>
        <w:rPr>
          <w:b w:val="0"/>
          <w:color w:val="auto"/>
          <w:sz w:val="24"/>
          <w:szCs w:val="24"/>
          <w:lang w:val="en-US"/>
        </w:rPr>
      </w:pPr>
      <w:r>
        <w:rPr>
          <w:b w:val="0"/>
          <w:color w:val="auto"/>
          <w:sz w:val="24"/>
          <w:szCs w:val="24"/>
          <w:lang w:val="en-US"/>
        </w:rPr>
        <w:t>Demographic information referenced in this evaluation was obtained using the 2015 American Community Survey (ACS) data.  Financial data about the bank came from the bank’s December 31, 2020 Report of Income and Condition (Call Report). Although the total dollar amounts of loans are discussed, the evaluation focuses on the bank’s lending performance by the number of loans originated during the review period.</w:t>
      </w:r>
    </w:p>
    <w:p w:rsidR="00635867" w:rsidRDefault="00635867" w:rsidP="00635867">
      <w:pPr>
        <w:pStyle w:val="QuickFormat1"/>
        <w:jc w:val="both"/>
        <w:rPr>
          <w:b w:val="0"/>
          <w:color w:val="auto"/>
          <w:sz w:val="24"/>
          <w:szCs w:val="24"/>
          <w:lang w:val="en-US"/>
        </w:rPr>
      </w:pPr>
    </w:p>
    <w:p w:rsidR="007D7462" w:rsidRDefault="007D7462" w:rsidP="00846B10">
      <w:pPr>
        <w:pStyle w:val="BodyTXT"/>
        <w:rPr>
          <w:rFonts w:ascii="Times New Roman" w:hAnsi="Times New Roman" w:cs="Times New Roman"/>
          <w:sz w:val="24"/>
          <w:szCs w:val="24"/>
        </w:rPr>
      </w:pPr>
    </w:p>
    <w:p w:rsidR="0099672C" w:rsidRPr="00161EC6" w:rsidRDefault="0099672C" w:rsidP="002A778B">
      <w:pPr>
        <w:pStyle w:val="Heading1"/>
        <w:rPr>
          <w:sz w:val="24"/>
          <w:szCs w:val="24"/>
        </w:rPr>
      </w:pPr>
      <w:bookmarkStart w:id="3" w:name="_Toc64381094"/>
      <w:r w:rsidRPr="00161EC6">
        <w:t>DESCRIPTION OF INSTITUTION</w:t>
      </w:r>
      <w:bookmarkEnd w:id="3"/>
    </w:p>
    <w:p w:rsidR="003046D1" w:rsidRPr="0042521F" w:rsidRDefault="003046D1" w:rsidP="003046D1"/>
    <w:p w:rsidR="003046D1" w:rsidRPr="004C6389" w:rsidRDefault="003046D1" w:rsidP="00635867">
      <w:pPr>
        <w:rPr>
          <w:b/>
          <w:bCs/>
          <w:iCs/>
          <w:u w:val="single"/>
        </w:rPr>
      </w:pPr>
      <w:r w:rsidRPr="0042521F">
        <w:rPr>
          <w:b/>
          <w:bCs/>
          <w:iCs/>
          <w:u w:val="single"/>
        </w:rPr>
        <w:t>Background</w:t>
      </w:r>
    </w:p>
    <w:p w:rsidR="003046D1" w:rsidRPr="004C6389" w:rsidRDefault="003046D1" w:rsidP="00635867">
      <w:pPr>
        <w:rPr>
          <w:b/>
          <w:bCs/>
          <w:iCs/>
          <w:u w:val="single"/>
        </w:rPr>
      </w:pPr>
    </w:p>
    <w:p w:rsidR="003046D1" w:rsidRPr="00C64292" w:rsidRDefault="003046D1" w:rsidP="00635867">
      <w:pPr>
        <w:spacing w:after="160"/>
        <w:jc w:val="both"/>
        <w:rPr>
          <w:rFonts w:eastAsiaTheme="minorHAnsi"/>
        </w:rPr>
      </w:pPr>
      <w:r w:rsidRPr="004C6389">
        <w:rPr>
          <w:rFonts w:eastAsiaTheme="minorHAnsi"/>
        </w:rPr>
        <w:t xml:space="preserve">Canton Co-operative Bank is a mutual cooperative bank originally chartered by the Commonwealth of </w:t>
      </w:r>
      <w:r w:rsidRPr="00A4556A">
        <w:rPr>
          <w:rFonts w:eastAsiaTheme="minorHAnsi"/>
        </w:rPr>
        <w:t xml:space="preserve">Massachusetts in 1891.  </w:t>
      </w:r>
      <w:r w:rsidRPr="00C64292">
        <w:rPr>
          <w:rFonts w:eastAsiaTheme="minorHAnsi"/>
        </w:rPr>
        <w:t xml:space="preserve">The bank has one </w:t>
      </w:r>
      <w:r>
        <w:rPr>
          <w:rFonts w:eastAsiaTheme="minorHAnsi"/>
        </w:rPr>
        <w:t xml:space="preserve">wholly-owned </w:t>
      </w:r>
      <w:r w:rsidRPr="00C64292">
        <w:rPr>
          <w:rFonts w:eastAsiaTheme="minorHAnsi"/>
        </w:rPr>
        <w:t xml:space="preserve">subsidiary, CCB Securities Corporation whose purpose is to acquire, sell and hold investment securities for preferential state tax treatment.  </w:t>
      </w:r>
    </w:p>
    <w:p w:rsidR="003046D1" w:rsidRPr="005B3782" w:rsidRDefault="003046D1" w:rsidP="00635867">
      <w:pPr>
        <w:spacing w:after="160"/>
        <w:jc w:val="both"/>
        <w:rPr>
          <w:rFonts w:eastAsiaTheme="minorHAnsi"/>
        </w:rPr>
      </w:pPr>
      <w:r w:rsidRPr="00A4556A">
        <w:rPr>
          <w:rFonts w:eastAsiaTheme="minorHAnsi"/>
        </w:rPr>
        <w:t xml:space="preserve">Canton Co-operative Bank received </w:t>
      </w:r>
      <w:r w:rsidRPr="0042521F">
        <w:rPr>
          <w:rFonts w:eastAsiaTheme="minorHAnsi"/>
        </w:rPr>
        <w:t xml:space="preserve">a Satisfactory rating from the Massachusetts Division of </w:t>
      </w:r>
      <w:r w:rsidRPr="005B3782">
        <w:rPr>
          <w:rFonts w:eastAsiaTheme="minorHAnsi"/>
        </w:rPr>
        <w:t xml:space="preserve">Banks during its prior evaluation using the FFIEC Small Institution Examination Procedures. </w:t>
      </w:r>
    </w:p>
    <w:p w:rsidR="003046D1" w:rsidRPr="005B3782" w:rsidRDefault="003046D1" w:rsidP="00635867">
      <w:pPr>
        <w:pStyle w:val="QuickFormat1"/>
        <w:jc w:val="both"/>
        <w:rPr>
          <w:iCs/>
          <w:color w:val="auto"/>
          <w:sz w:val="24"/>
          <w:szCs w:val="24"/>
          <w:u w:val="single"/>
        </w:rPr>
      </w:pPr>
      <w:r w:rsidRPr="005B3782">
        <w:rPr>
          <w:iCs/>
          <w:color w:val="auto"/>
          <w:sz w:val="24"/>
          <w:szCs w:val="24"/>
          <w:u w:val="single"/>
        </w:rPr>
        <w:t>Operations</w:t>
      </w:r>
    </w:p>
    <w:p w:rsidR="003046D1" w:rsidRPr="005B3782" w:rsidRDefault="003046D1" w:rsidP="00635867">
      <w:pPr>
        <w:pStyle w:val="QuickFormat1"/>
        <w:jc w:val="both"/>
        <w:rPr>
          <w:iCs/>
          <w:color w:val="auto"/>
          <w:sz w:val="24"/>
          <w:szCs w:val="24"/>
          <w:u w:val="single"/>
        </w:rPr>
      </w:pPr>
    </w:p>
    <w:p w:rsidR="003046D1" w:rsidRPr="000039F9" w:rsidRDefault="003046D1" w:rsidP="00635867">
      <w:pPr>
        <w:tabs>
          <w:tab w:val="left" w:pos="916"/>
        </w:tabs>
        <w:jc w:val="both"/>
      </w:pPr>
      <w:r w:rsidRPr="005B3782">
        <w:t xml:space="preserve">The bank operates from its main location at 671 Washington Street located in a middle-income census tract.  The bank did not open, nor close any </w:t>
      </w:r>
      <w:r w:rsidRPr="000039F9">
        <w:t>branches during the review period.</w:t>
      </w:r>
    </w:p>
    <w:p w:rsidR="003046D1" w:rsidRPr="000039F9" w:rsidRDefault="003046D1" w:rsidP="00635867">
      <w:pPr>
        <w:tabs>
          <w:tab w:val="left" w:pos="916"/>
        </w:tabs>
        <w:jc w:val="both"/>
      </w:pPr>
    </w:p>
    <w:p w:rsidR="003046D1" w:rsidRPr="00C905AD" w:rsidRDefault="003046D1" w:rsidP="00635867">
      <w:pPr>
        <w:tabs>
          <w:tab w:val="left" w:pos="916"/>
        </w:tabs>
        <w:jc w:val="both"/>
      </w:pPr>
      <w:r w:rsidRPr="000039F9">
        <w:t xml:space="preserve">The </w:t>
      </w:r>
      <w:r w:rsidRPr="006426CC">
        <w:t>bank offers both pe</w:t>
      </w:r>
      <w:r>
        <w:t>rsonal and business accounts</w:t>
      </w:r>
      <w:r w:rsidRPr="006426CC">
        <w:t xml:space="preserve">.  </w:t>
      </w:r>
      <w:r>
        <w:t>The bank offers</w:t>
      </w:r>
      <w:r w:rsidRPr="006426CC">
        <w:t xml:space="preserve"> checking accounts, savings accounts, </w:t>
      </w:r>
      <w:r>
        <w:t>M</w:t>
      </w:r>
      <w:r w:rsidRPr="006426CC">
        <w:t xml:space="preserve">oney </w:t>
      </w:r>
      <w:r>
        <w:t>M</w:t>
      </w:r>
      <w:r w:rsidRPr="006426CC">
        <w:t xml:space="preserve">arkets, </w:t>
      </w:r>
      <w:r>
        <w:t>C</w:t>
      </w:r>
      <w:r w:rsidRPr="006426CC">
        <w:t>ertificates o</w:t>
      </w:r>
      <w:r>
        <w:t>f Deposits, I</w:t>
      </w:r>
      <w:r w:rsidRPr="006426CC">
        <w:t xml:space="preserve">ndividual Retirement Accounts, and personal credit </w:t>
      </w:r>
      <w:r w:rsidRPr="00551B75">
        <w:t>cards</w:t>
      </w:r>
      <w:r>
        <w:t>.  Available to</w:t>
      </w:r>
      <w:r w:rsidRPr="00551B75">
        <w:t xml:space="preserve"> business</w:t>
      </w:r>
      <w:r>
        <w:t xml:space="preserve"> customers are</w:t>
      </w:r>
      <w:r w:rsidRPr="00551B75">
        <w:t xml:space="preserve"> checking</w:t>
      </w:r>
      <w:r>
        <w:t xml:space="preserve"> accounts,</w:t>
      </w:r>
      <w:r w:rsidRPr="00551B75">
        <w:t xml:space="preserve"> savings accounts</w:t>
      </w:r>
      <w:r>
        <w:t>,</w:t>
      </w:r>
      <w:r w:rsidRPr="00551B75">
        <w:t xml:space="preserve"> payroll and merchant services</w:t>
      </w:r>
      <w:r>
        <w:t>, and business credit cards</w:t>
      </w:r>
      <w:r w:rsidRPr="00551B75">
        <w:t xml:space="preserve">.  </w:t>
      </w:r>
      <w:r>
        <w:t>Other s</w:t>
      </w:r>
      <w:r w:rsidRPr="000039F9">
        <w:t xml:space="preserve">ervices </w:t>
      </w:r>
      <w:r w:rsidRPr="00551B75">
        <w:t xml:space="preserve">include </w:t>
      </w:r>
      <w:r>
        <w:t>o</w:t>
      </w:r>
      <w:r w:rsidRPr="00551B75">
        <w:t xml:space="preserve">nline </w:t>
      </w:r>
      <w:r>
        <w:t>b</w:t>
      </w:r>
      <w:r w:rsidRPr="00551B75">
        <w:t xml:space="preserve">anking with bill pay, Mobile Wallet, Mobile Deposit, PopMoney and TouchBanking Mobile App.  In addition to deposit accounts, bank customers can apply for home mortgage </w:t>
      </w:r>
      <w:r w:rsidRPr="00EC22BA">
        <w:t xml:space="preserve">loans and </w:t>
      </w:r>
      <w:r>
        <w:t xml:space="preserve">home </w:t>
      </w:r>
      <w:r w:rsidRPr="008A1D38">
        <w:t>construction loans, home equity loans and lines of credit, home improvement loans, installment loans, time or demand loans, overdraft protection,</w:t>
      </w:r>
      <w:r>
        <w:t xml:space="preserve"> automobile, motorcycle and recreational vehicle</w:t>
      </w:r>
      <w:r w:rsidRPr="008A1D38">
        <w:t xml:space="preserve"> loans</w:t>
      </w:r>
      <w:r>
        <w:t>.  B</w:t>
      </w:r>
      <w:r w:rsidRPr="008A1D38">
        <w:t xml:space="preserve">usiness lending </w:t>
      </w:r>
      <w:r>
        <w:t>includes</w:t>
      </w:r>
      <w:r w:rsidRPr="008A1D38">
        <w:t xml:space="preserve"> commercial real estate loans and lines of credit.  </w:t>
      </w:r>
    </w:p>
    <w:p w:rsidR="003046D1" w:rsidRPr="00C24464" w:rsidRDefault="003046D1" w:rsidP="00635867">
      <w:pPr>
        <w:pStyle w:val="QuickFormat1"/>
        <w:jc w:val="both"/>
        <w:rPr>
          <w:iCs/>
          <w:color w:val="FF0000"/>
          <w:sz w:val="24"/>
          <w:szCs w:val="24"/>
          <w:highlight w:val="yellow"/>
          <w:u w:val="single"/>
          <w:lang w:val="en-US"/>
        </w:rPr>
      </w:pPr>
    </w:p>
    <w:p w:rsidR="003046D1" w:rsidRPr="00E24DC9" w:rsidRDefault="003046D1" w:rsidP="00635867">
      <w:pPr>
        <w:pStyle w:val="QuickFormat1"/>
        <w:jc w:val="both"/>
        <w:rPr>
          <w:iCs/>
          <w:color w:val="auto"/>
          <w:sz w:val="24"/>
          <w:szCs w:val="24"/>
          <w:u w:val="single"/>
          <w:lang w:val="en-US"/>
        </w:rPr>
      </w:pPr>
      <w:r w:rsidRPr="00E24DC9">
        <w:rPr>
          <w:iCs/>
          <w:color w:val="auto"/>
          <w:sz w:val="24"/>
          <w:szCs w:val="24"/>
          <w:u w:val="single"/>
        </w:rPr>
        <w:t>Ability and Capacity</w:t>
      </w:r>
    </w:p>
    <w:p w:rsidR="003046D1" w:rsidRPr="00E24DC9" w:rsidRDefault="003046D1" w:rsidP="00635867">
      <w:pPr>
        <w:pStyle w:val="QuickFormat1"/>
        <w:jc w:val="both"/>
        <w:rPr>
          <w:iCs/>
          <w:color w:val="auto"/>
          <w:sz w:val="24"/>
          <w:szCs w:val="24"/>
          <w:u w:val="single"/>
          <w:lang w:val="en-US"/>
        </w:rPr>
      </w:pPr>
    </w:p>
    <w:p w:rsidR="003046D1" w:rsidRDefault="003046D1" w:rsidP="00635867">
      <w:pPr>
        <w:tabs>
          <w:tab w:val="left" w:pos="916"/>
        </w:tabs>
        <w:jc w:val="both"/>
      </w:pPr>
      <w:r w:rsidRPr="00E24DC9">
        <w:t>As of December 31, 2020, the bank</w:t>
      </w:r>
      <w:r>
        <w:t xml:space="preserve">’s </w:t>
      </w:r>
      <w:r w:rsidRPr="00E24DC9">
        <w:t xml:space="preserve">assets </w:t>
      </w:r>
      <w:r>
        <w:t>totaled</w:t>
      </w:r>
      <w:r w:rsidRPr="00E24DC9">
        <w:t xml:space="preserve"> $</w:t>
      </w:r>
      <w:r>
        <w:t xml:space="preserve">139.3 million and </w:t>
      </w:r>
      <w:r w:rsidRPr="00E24DC9">
        <w:t xml:space="preserve">deposits </w:t>
      </w:r>
      <w:r>
        <w:t>totaled</w:t>
      </w:r>
      <w:r w:rsidRPr="00E24DC9">
        <w:t xml:space="preserve"> $116.3 million</w:t>
      </w:r>
      <w:r>
        <w:t xml:space="preserve">. </w:t>
      </w:r>
      <w:r w:rsidRPr="00E24DC9">
        <w:t xml:space="preserve"> </w:t>
      </w:r>
      <w:r>
        <w:t xml:space="preserve">The loan portfolio consisted of </w:t>
      </w:r>
      <w:r w:rsidRPr="00E24DC9">
        <w:t>$80.5 million</w:t>
      </w:r>
      <w:r>
        <w:t xml:space="preserve"> in total loans</w:t>
      </w:r>
      <w:r w:rsidRPr="00E24DC9">
        <w:t>.</w:t>
      </w:r>
      <w:r>
        <w:t xml:space="preserve">  During the evaluation period, total assets increased by 32.7 percent, and total loans increased by 48.0 percent.</w:t>
      </w:r>
      <w:r w:rsidRPr="00E24DC9">
        <w:t xml:space="preserve">  </w:t>
      </w:r>
    </w:p>
    <w:p w:rsidR="003046D1" w:rsidRDefault="003046D1" w:rsidP="00635867">
      <w:pPr>
        <w:tabs>
          <w:tab w:val="left" w:pos="916"/>
        </w:tabs>
        <w:jc w:val="both"/>
      </w:pPr>
    </w:p>
    <w:p w:rsidR="003046D1" w:rsidRDefault="003046D1" w:rsidP="00635867">
      <w:pPr>
        <w:tabs>
          <w:tab w:val="left" w:pos="916"/>
        </w:tabs>
        <w:jc w:val="both"/>
      </w:pPr>
      <w:r w:rsidRPr="00E24DC9">
        <w:t xml:space="preserve">The bank is primarily a residential mortgage lender by dollar volume.  Loans secured by first liens and junior liens on 1-4 family residential properties account for 63.9 percent of total loans.  </w:t>
      </w:r>
    </w:p>
    <w:p w:rsidR="003046D1" w:rsidRDefault="003046D1" w:rsidP="00635867">
      <w:pPr>
        <w:tabs>
          <w:tab w:val="left" w:pos="916"/>
        </w:tabs>
        <w:jc w:val="both"/>
      </w:pPr>
    </w:p>
    <w:p w:rsidR="00635867" w:rsidRDefault="00635867" w:rsidP="00635867">
      <w:pPr>
        <w:tabs>
          <w:tab w:val="left" w:pos="916"/>
        </w:tabs>
        <w:jc w:val="both"/>
      </w:pPr>
    </w:p>
    <w:p w:rsidR="00635867" w:rsidRDefault="00635867" w:rsidP="00635867">
      <w:pPr>
        <w:tabs>
          <w:tab w:val="left" w:pos="916"/>
        </w:tabs>
        <w:jc w:val="both"/>
      </w:pPr>
    </w:p>
    <w:p w:rsidR="003046D1" w:rsidRDefault="003046D1" w:rsidP="00635867">
      <w:pPr>
        <w:tabs>
          <w:tab w:val="left" w:pos="916"/>
        </w:tabs>
        <w:jc w:val="both"/>
        <w:rPr>
          <w:color w:val="FF0000"/>
        </w:rPr>
      </w:pPr>
      <w:r w:rsidRPr="00E24DC9">
        <w:lastRenderedPageBreak/>
        <w:t>The following table illustrates the distribution of the bank’s loan portfolio.</w:t>
      </w:r>
    </w:p>
    <w:p w:rsidR="003046D1" w:rsidRDefault="003046D1" w:rsidP="003046D1">
      <w:pPr>
        <w:tabs>
          <w:tab w:val="left" w:pos="916"/>
        </w:tabs>
        <w:rPr>
          <w:color w:val="FF0000"/>
        </w:rPr>
      </w:pP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2"/>
        <w:gridCol w:w="1896"/>
        <w:gridCol w:w="1744"/>
      </w:tblGrid>
      <w:tr w:rsidR="003046D1" w:rsidRPr="00615133" w:rsidTr="00635867">
        <w:trPr>
          <w:trHeight w:hRule="exact" w:val="364"/>
          <w:tblHeader/>
          <w:jc w:val="center"/>
        </w:trPr>
        <w:tc>
          <w:tcPr>
            <w:tcW w:w="8972" w:type="dxa"/>
            <w:gridSpan w:val="3"/>
            <w:shd w:val="clear" w:color="auto" w:fill="auto"/>
            <w:vAlign w:val="center"/>
          </w:tcPr>
          <w:p w:rsidR="003046D1" w:rsidRPr="005029D3" w:rsidRDefault="003046D1" w:rsidP="00062645">
            <w:pPr>
              <w:keepNext/>
              <w:spacing w:line="276" w:lineRule="auto"/>
              <w:jc w:val="center"/>
              <w:rPr>
                <w:rFonts w:cs="Calibri"/>
                <w:b/>
                <w:sz w:val="20"/>
                <w:szCs w:val="20"/>
              </w:rPr>
            </w:pPr>
            <w:r w:rsidRPr="005029D3">
              <w:rPr>
                <w:rFonts w:cs="Calibri"/>
                <w:sz w:val="20"/>
                <w:szCs w:val="20"/>
              </w:rPr>
              <w:br w:type="page"/>
            </w:r>
            <w:r w:rsidRPr="005029D3">
              <w:rPr>
                <w:rFonts w:cs="Calibri"/>
                <w:sz w:val="20"/>
                <w:szCs w:val="20"/>
              </w:rPr>
              <w:br w:type="page"/>
            </w:r>
            <w:r w:rsidRPr="005029D3">
              <w:rPr>
                <w:rFonts w:cs="Calibri"/>
                <w:sz w:val="20"/>
                <w:szCs w:val="20"/>
              </w:rPr>
              <w:br w:type="page"/>
            </w:r>
            <w:r w:rsidRPr="005029D3">
              <w:rPr>
                <w:rFonts w:cs="Calibri"/>
                <w:b/>
                <w:sz w:val="20"/>
                <w:szCs w:val="20"/>
              </w:rPr>
              <w:br w:type="page"/>
              <w:t>Loa</w:t>
            </w:r>
            <w:r>
              <w:rPr>
                <w:rFonts w:cs="Calibri"/>
                <w:b/>
                <w:sz w:val="20"/>
                <w:szCs w:val="20"/>
              </w:rPr>
              <w:t>n Portfolio Distribution as of 12</w:t>
            </w:r>
            <w:r w:rsidRPr="005029D3">
              <w:rPr>
                <w:rFonts w:cs="Calibri"/>
                <w:b/>
                <w:sz w:val="20"/>
                <w:szCs w:val="20"/>
              </w:rPr>
              <w:t>/30/2020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b/>
                <w:sz w:val="20"/>
                <w:szCs w:val="20"/>
              </w:rPr>
            </w:pPr>
            <w:r w:rsidRPr="005029D3">
              <w:rPr>
                <w:rFonts w:cs="Calibri"/>
                <w:b/>
                <w:sz w:val="20"/>
                <w:szCs w:val="20"/>
              </w:rPr>
              <w:t>Loan Category</w:t>
            </w:r>
          </w:p>
        </w:tc>
        <w:tc>
          <w:tcPr>
            <w:tcW w:w="1896" w:type="dxa"/>
            <w:shd w:val="clear" w:color="auto" w:fill="auto"/>
            <w:vAlign w:val="center"/>
          </w:tcPr>
          <w:p w:rsidR="003046D1" w:rsidRPr="005029D3" w:rsidRDefault="003046D1" w:rsidP="00062645">
            <w:pPr>
              <w:keepNext/>
              <w:jc w:val="center"/>
              <w:rPr>
                <w:rFonts w:cs="Calibri"/>
                <w:b/>
                <w:sz w:val="20"/>
                <w:szCs w:val="20"/>
              </w:rPr>
            </w:pPr>
            <w:r w:rsidRPr="005029D3">
              <w:rPr>
                <w:rFonts w:cs="Calibri"/>
                <w:b/>
                <w:sz w:val="20"/>
                <w:szCs w:val="20"/>
              </w:rPr>
              <w:t>$(000s)</w:t>
            </w:r>
          </w:p>
        </w:tc>
        <w:tc>
          <w:tcPr>
            <w:tcW w:w="1743" w:type="dxa"/>
            <w:shd w:val="clear" w:color="auto" w:fill="auto"/>
            <w:vAlign w:val="center"/>
          </w:tcPr>
          <w:p w:rsidR="003046D1" w:rsidRPr="005029D3" w:rsidRDefault="003046D1" w:rsidP="00062645">
            <w:pPr>
              <w:keepNext/>
              <w:jc w:val="center"/>
              <w:rPr>
                <w:rFonts w:cs="Calibri"/>
                <w:b/>
                <w:sz w:val="20"/>
                <w:szCs w:val="20"/>
              </w:rPr>
            </w:pPr>
            <w:r w:rsidRPr="005029D3">
              <w:rPr>
                <w:rFonts w:cs="Calibri"/>
                <w:b/>
                <w:sz w:val="20"/>
                <w:szCs w:val="20"/>
              </w:rPr>
              <w:t>%</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Construction, Land Development, and Other Land Loans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12,756</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15.9</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Secured by Farmland</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2,523</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3.1</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Secured by 1-4 Family Residential Properties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51,445</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63.9</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Secured by Multifamily (5 or more) Residential Properties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4,038</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5.0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Secured by Nonfarm Nonresidential Properties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6,448</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8.0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b/>
                <w:sz w:val="20"/>
                <w:szCs w:val="20"/>
              </w:rPr>
            </w:pPr>
            <w:r w:rsidRPr="005029D3">
              <w:rPr>
                <w:rFonts w:cs="Calibri"/>
                <w:b/>
                <w:sz w:val="20"/>
                <w:szCs w:val="20"/>
              </w:rPr>
              <w:t>Total Real Estate Loans</w:t>
            </w:r>
          </w:p>
        </w:tc>
        <w:tc>
          <w:tcPr>
            <w:tcW w:w="1896" w:type="dxa"/>
            <w:shd w:val="clear" w:color="auto" w:fill="auto"/>
            <w:vAlign w:val="center"/>
          </w:tcPr>
          <w:p w:rsidR="003046D1" w:rsidRPr="005029D3" w:rsidRDefault="003046D1" w:rsidP="00062645">
            <w:pPr>
              <w:keepNext/>
              <w:jc w:val="center"/>
              <w:rPr>
                <w:rFonts w:cs="Calibri"/>
                <w:b/>
                <w:sz w:val="20"/>
                <w:szCs w:val="20"/>
              </w:rPr>
            </w:pPr>
            <w:r>
              <w:rPr>
                <w:rFonts w:cs="Calibri"/>
                <w:b/>
                <w:sz w:val="20"/>
                <w:szCs w:val="20"/>
              </w:rPr>
              <w:t>77,210</w:t>
            </w:r>
          </w:p>
        </w:tc>
        <w:tc>
          <w:tcPr>
            <w:tcW w:w="1743" w:type="dxa"/>
            <w:shd w:val="clear" w:color="auto" w:fill="auto"/>
            <w:vAlign w:val="center"/>
          </w:tcPr>
          <w:p w:rsidR="003046D1" w:rsidRPr="005029D3" w:rsidRDefault="003046D1" w:rsidP="00062645">
            <w:pPr>
              <w:keepNext/>
              <w:jc w:val="center"/>
              <w:rPr>
                <w:rFonts w:cs="Calibri"/>
                <w:b/>
                <w:sz w:val="20"/>
                <w:szCs w:val="20"/>
              </w:rPr>
            </w:pPr>
            <w:r>
              <w:rPr>
                <w:rFonts w:cs="Calibri"/>
                <w:b/>
                <w:sz w:val="20"/>
                <w:szCs w:val="20"/>
              </w:rPr>
              <w:t>95.9</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Commercial and Industrial Loans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3,272</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4.1</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Agricultural Production and Other Loans to Farmers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Consumer Loans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21</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Obligations of State and Political Subdivisions in the U.S.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Other Loans</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 xml:space="preserve">Lease Financing Receivable (net of unearned income) </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sz w:val="20"/>
                <w:szCs w:val="20"/>
              </w:rPr>
            </w:pPr>
            <w:r w:rsidRPr="005029D3">
              <w:rPr>
                <w:rFonts w:cs="Calibri"/>
                <w:sz w:val="20"/>
                <w:szCs w:val="20"/>
              </w:rPr>
              <w:t>Less: Unearned Income</w:t>
            </w:r>
          </w:p>
        </w:tc>
        <w:tc>
          <w:tcPr>
            <w:tcW w:w="1896"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w:t>
            </w:r>
          </w:p>
        </w:tc>
        <w:tc>
          <w:tcPr>
            <w:tcW w:w="1743" w:type="dxa"/>
            <w:shd w:val="clear" w:color="auto" w:fill="auto"/>
            <w:vAlign w:val="center"/>
          </w:tcPr>
          <w:p w:rsidR="003046D1" w:rsidRPr="005029D3" w:rsidRDefault="003046D1" w:rsidP="00062645">
            <w:pPr>
              <w:keepNext/>
              <w:jc w:val="center"/>
              <w:rPr>
                <w:rFonts w:cs="Calibri"/>
                <w:sz w:val="20"/>
                <w:szCs w:val="20"/>
              </w:rPr>
            </w:pPr>
            <w:r>
              <w:rPr>
                <w:rFonts w:cs="Calibri"/>
                <w:sz w:val="20"/>
                <w:szCs w:val="20"/>
              </w:rPr>
              <w:t>0.0</w:t>
            </w:r>
          </w:p>
        </w:tc>
      </w:tr>
      <w:tr w:rsidR="003046D1" w:rsidRPr="00615133" w:rsidTr="00635867">
        <w:trPr>
          <w:trHeight w:val="291"/>
          <w:jc w:val="center"/>
        </w:trPr>
        <w:tc>
          <w:tcPr>
            <w:tcW w:w="5332" w:type="dxa"/>
            <w:shd w:val="clear" w:color="auto" w:fill="auto"/>
            <w:vAlign w:val="center"/>
          </w:tcPr>
          <w:p w:rsidR="003046D1" w:rsidRPr="005029D3" w:rsidRDefault="003046D1" w:rsidP="00062645">
            <w:pPr>
              <w:keepNext/>
              <w:rPr>
                <w:rFonts w:cs="Calibri"/>
                <w:b/>
                <w:sz w:val="20"/>
                <w:szCs w:val="20"/>
              </w:rPr>
            </w:pPr>
            <w:r w:rsidRPr="005029D3">
              <w:rPr>
                <w:rFonts w:cs="Calibri"/>
                <w:b/>
                <w:sz w:val="20"/>
                <w:szCs w:val="20"/>
              </w:rPr>
              <w:t>Total Loans</w:t>
            </w:r>
          </w:p>
        </w:tc>
        <w:tc>
          <w:tcPr>
            <w:tcW w:w="1896" w:type="dxa"/>
            <w:shd w:val="clear" w:color="auto" w:fill="auto"/>
            <w:vAlign w:val="center"/>
          </w:tcPr>
          <w:p w:rsidR="003046D1" w:rsidRPr="005029D3" w:rsidRDefault="003046D1" w:rsidP="00062645">
            <w:pPr>
              <w:keepNext/>
              <w:jc w:val="center"/>
              <w:rPr>
                <w:rFonts w:cs="Calibri"/>
                <w:b/>
                <w:sz w:val="20"/>
                <w:szCs w:val="20"/>
              </w:rPr>
            </w:pPr>
            <w:r>
              <w:rPr>
                <w:rFonts w:cs="Calibri"/>
                <w:b/>
                <w:sz w:val="20"/>
                <w:szCs w:val="20"/>
              </w:rPr>
              <w:t>80,503</w:t>
            </w:r>
          </w:p>
        </w:tc>
        <w:tc>
          <w:tcPr>
            <w:tcW w:w="1743" w:type="dxa"/>
            <w:shd w:val="clear" w:color="auto" w:fill="auto"/>
            <w:vAlign w:val="center"/>
          </w:tcPr>
          <w:p w:rsidR="003046D1" w:rsidRPr="005029D3" w:rsidRDefault="003046D1" w:rsidP="00062645">
            <w:pPr>
              <w:keepNext/>
              <w:jc w:val="center"/>
              <w:rPr>
                <w:rFonts w:cs="Calibri"/>
                <w:b/>
                <w:sz w:val="20"/>
                <w:szCs w:val="20"/>
              </w:rPr>
            </w:pPr>
            <w:r w:rsidRPr="005029D3">
              <w:rPr>
                <w:rFonts w:cs="Calibri"/>
                <w:b/>
                <w:sz w:val="20"/>
                <w:szCs w:val="20"/>
              </w:rPr>
              <w:t>100.0</w:t>
            </w:r>
          </w:p>
        </w:tc>
      </w:tr>
      <w:tr w:rsidR="003046D1" w:rsidRPr="00615133" w:rsidTr="00635867">
        <w:trPr>
          <w:trHeight w:val="291"/>
          <w:jc w:val="center"/>
        </w:trPr>
        <w:tc>
          <w:tcPr>
            <w:tcW w:w="8972" w:type="dxa"/>
            <w:gridSpan w:val="3"/>
            <w:shd w:val="clear" w:color="auto" w:fill="auto"/>
            <w:vAlign w:val="center"/>
          </w:tcPr>
          <w:p w:rsidR="003046D1" w:rsidRPr="005029D3" w:rsidRDefault="003046D1" w:rsidP="00062645">
            <w:pPr>
              <w:keepNext/>
              <w:rPr>
                <w:rFonts w:cs="Calibri"/>
                <w:sz w:val="16"/>
                <w:szCs w:val="20"/>
              </w:rPr>
            </w:pPr>
            <w:r w:rsidRPr="005029D3">
              <w:rPr>
                <w:rFonts w:cs="Calibri"/>
                <w:i/>
                <w:sz w:val="16"/>
                <w:szCs w:val="20"/>
              </w:rPr>
              <w:t>Source:  Reports of Condition and Income</w:t>
            </w:r>
          </w:p>
        </w:tc>
      </w:tr>
    </w:tbl>
    <w:p w:rsidR="003046D1" w:rsidRPr="001B02D4" w:rsidRDefault="003046D1" w:rsidP="003046D1">
      <w:pPr>
        <w:tabs>
          <w:tab w:val="left" w:pos="916"/>
        </w:tabs>
      </w:pPr>
    </w:p>
    <w:p w:rsidR="003046D1" w:rsidRPr="00E50E03" w:rsidRDefault="003046D1" w:rsidP="003046D1">
      <w:pPr>
        <w:pStyle w:val="QuickFormat1"/>
        <w:jc w:val="left"/>
        <w:rPr>
          <w:b w:val="0"/>
          <w:bCs/>
          <w:color w:val="auto"/>
          <w:spacing w:val="-4"/>
          <w:sz w:val="24"/>
          <w:szCs w:val="24"/>
          <w:lang w:val="en-US"/>
        </w:rPr>
      </w:pPr>
      <w:r w:rsidRPr="001B02D4">
        <w:rPr>
          <w:b w:val="0"/>
          <w:bCs/>
          <w:color w:val="auto"/>
          <w:spacing w:val="-4"/>
          <w:sz w:val="24"/>
          <w:szCs w:val="24"/>
          <w:lang w:val="en-US"/>
        </w:rPr>
        <w:t>Examiner</w:t>
      </w:r>
      <w:r>
        <w:rPr>
          <w:b w:val="0"/>
          <w:bCs/>
          <w:color w:val="auto"/>
          <w:spacing w:val="-4"/>
          <w:sz w:val="24"/>
          <w:szCs w:val="24"/>
          <w:lang w:val="en-US"/>
        </w:rPr>
        <w:t>s</w:t>
      </w:r>
      <w:r w:rsidRPr="001B02D4">
        <w:rPr>
          <w:b w:val="0"/>
          <w:bCs/>
          <w:color w:val="auto"/>
          <w:spacing w:val="-4"/>
          <w:sz w:val="24"/>
          <w:szCs w:val="24"/>
          <w:lang w:val="en-US"/>
        </w:rPr>
        <w:t xml:space="preserve"> did not</w:t>
      </w:r>
      <w:r>
        <w:rPr>
          <w:b w:val="0"/>
          <w:bCs/>
          <w:color w:val="auto"/>
          <w:spacing w:val="-4"/>
          <w:sz w:val="24"/>
          <w:szCs w:val="24"/>
          <w:lang w:val="en-US"/>
        </w:rPr>
        <w:t xml:space="preserve"> identify any financial, legal, or other impediments that affect the bank’s ability to meet assessment area credit needs.</w:t>
      </w:r>
    </w:p>
    <w:p w:rsidR="0099672C" w:rsidRDefault="0099672C" w:rsidP="009A16EB">
      <w:pPr>
        <w:rPr>
          <w:iCs/>
        </w:rPr>
      </w:pPr>
    </w:p>
    <w:p w:rsidR="00B062F0" w:rsidRPr="00231E15" w:rsidRDefault="00B062F0" w:rsidP="009A16EB">
      <w:pPr>
        <w:rPr>
          <w:iCs/>
        </w:rPr>
      </w:pPr>
    </w:p>
    <w:p w:rsidR="0099672C" w:rsidRDefault="0099672C" w:rsidP="002A778B">
      <w:pPr>
        <w:pStyle w:val="Heading1"/>
      </w:pPr>
      <w:bookmarkStart w:id="4" w:name="_Toc64381095"/>
      <w:r w:rsidRPr="00161EC6">
        <w:t>DESCRIPTION OF ASSESSMENT AREA</w:t>
      </w:r>
      <w:bookmarkEnd w:id="4"/>
    </w:p>
    <w:p w:rsidR="00BF2FF6" w:rsidRDefault="00BF2FF6" w:rsidP="00BF2FF6">
      <w:pPr>
        <w:tabs>
          <w:tab w:val="center" w:pos="4680"/>
        </w:tabs>
        <w:rPr>
          <w:bCs/>
          <w:spacing w:val="-4"/>
        </w:rPr>
      </w:pPr>
    </w:p>
    <w:p w:rsidR="003046D1" w:rsidRPr="00E50E03" w:rsidRDefault="003046D1" w:rsidP="00635867">
      <w:pPr>
        <w:tabs>
          <w:tab w:val="center" w:pos="4680"/>
        </w:tabs>
        <w:jc w:val="both"/>
      </w:pPr>
      <w:r w:rsidRPr="00E50E03">
        <w:t xml:space="preserve">The CRA requires each financial institution to define one or more assessment areas within which its CRA performance will be evaluated.  Canton Co-operative Bank has designated its assessment area to include </w:t>
      </w:r>
      <w:r>
        <w:t xml:space="preserve">all of Norfolk County which includes the </w:t>
      </w:r>
      <w:r w:rsidRPr="00E50E03">
        <w:t xml:space="preserve">communities of Avon, Bellingham, Braintree, Brookline, Canton, Cohasset, Dedham, Dover, Foxborough, Franklin, Holbrook, Medfield, Medway, Millis, Milton, Needham, Norfolk, Norwood, Plainville, Quincy, Randolph, Sharon, Stoughton, Walpole, Wellesley, Westwood, Weymouth and Wrentham which are part of the Boston, MA </w:t>
      </w:r>
      <w:r>
        <w:t>MD</w:t>
      </w:r>
      <w:r w:rsidRPr="00E50E03">
        <w:t>.  The following sections discuss demographic and economic information for the assessment area.</w:t>
      </w:r>
    </w:p>
    <w:p w:rsidR="003046D1" w:rsidRPr="00E50E03" w:rsidRDefault="003046D1" w:rsidP="00635867">
      <w:pPr>
        <w:tabs>
          <w:tab w:val="center" w:pos="4680"/>
        </w:tabs>
        <w:jc w:val="both"/>
      </w:pPr>
    </w:p>
    <w:p w:rsidR="003046D1" w:rsidRPr="00E50E03" w:rsidRDefault="003046D1" w:rsidP="00635867">
      <w:pPr>
        <w:widowControl w:val="0"/>
        <w:jc w:val="both"/>
        <w:rPr>
          <w:b/>
          <w:bCs/>
          <w:iCs/>
          <w:u w:val="single"/>
        </w:rPr>
      </w:pPr>
      <w:r w:rsidRPr="00E50E03">
        <w:rPr>
          <w:b/>
          <w:bCs/>
          <w:iCs/>
          <w:u w:val="single"/>
        </w:rPr>
        <w:t>Economic and Demographic Data</w:t>
      </w:r>
    </w:p>
    <w:p w:rsidR="003046D1" w:rsidRPr="004C1B39" w:rsidRDefault="003046D1" w:rsidP="00635867">
      <w:pPr>
        <w:widowControl w:val="0"/>
        <w:jc w:val="both"/>
        <w:rPr>
          <w:b/>
          <w:bCs/>
          <w:iCs/>
          <w:u w:val="single"/>
        </w:rPr>
      </w:pPr>
    </w:p>
    <w:p w:rsidR="003046D1" w:rsidRPr="004C1B39" w:rsidRDefault="003046D1" w:rsidP="00635867">
      <w:pPr>
        <w:widowControl w:val="0"/>
        <w:jc w:val="both"/>
        <w:rPr>
          <w:bCs/>
          <w:iCs/>
        </w:rPr>
      </w:pPr>
      <w:r w:rsidRPr="004C1B39">
        <w:rPr>
          <w:bCs/>
          <w:iCs/>
        </w:rPr>
        <w:t>The assessment area includes 130 census tracts.</w:t>
      </w:r>
      <w:r>
        <w:rPr>
          <w:bCs/>
          <w:iCs/>
        </w:rPr>
        <w:t xml:space="preserve"> </w:t>
      </w:r>
      <w:r w:rsidRPr="004C1B39">
        <w:rPr>
          <w:bCs/>
          <w:iCs/>
        </w:rPr>
        <w:t xml:space="preserve"> These tracts reflect the following income designations according to the 2015 ACS U.S. Census:</w:t>
      </w:r>
    </w:p>
    <w:p w:rsidR="003046D1" w:rsidRPr="004C1B39" w:rsidRDefault="003046D1" w:rsidP="00635867">
      <w:pPr>
        <w:widowControl w:val="0"/>
        <w:jc w:val="both"/>
        <w:rPr>
          <w:bCs/>
          <w:iCs/>
          <w:highlight w:val="yellow"/>
        </w:rPr>
      </w:pPr>
    </w:p>
    <w:p w:rsidR="003046D1" w:rsidRPr="004C1B39" w:rsidRDefault="003046D1" w:rsidP="00635867">
      <w:pPr>
        <w:widowControl w:val="0"/>
        <w:numPr>
          <w:ilvl w:val="0"/>
          <w:numId w:val="13"/>
        </w:numPr>
        <w:tabs>
          <w:tab w:val="clear" w:pos="360"/>
        </w:tabs>
        <w:ind w:left="720"/>
        <w:jc w:val="both"/>
        <w:rPr>
          <w:bCs/>
          <w:iCs/>
        </w:rPr>
      </w:pPr>
      <w:r w:rsidRPr="004C1B39">
        <w:rPr>
          <w:bCs/>
          <w:iCs/>
        </w:rPr>
        <w:t xml:space="preserve">1 low-income tracts, </w:t>
      </w:r>
    </w:p>
    <w:p w:rsidR="003046D1" w:rsidRPr="004C1B39" w:rsidRDefault="003046D1" w:rsidP="00635867">
      <w:pPr>
        <w:widowControl w:val="0"/>
        <w:numPr>
          <w:ilvl w:val="0"/>
          <w:numId w:val="13"/>
        </w:numPr>
        <w:tabs>
          <w:tab w:val="clear" w:pos="360"/>
        </w:tabs>
        <w:ind w:left="720"/>
        <w:jc w:val="both"/>
        <w:rPr>
          <w:bCs/>
          <w:iCs/>
        </w:rPr>
      </w:pPr>
      <w:r w:rsidRPr="004C1B39">
        <w:rPr>
          <w:bCs/>
          <w:iCs/>
        </w:rPr>
        <w:t xml:space="preserve">12 moderate-income tracts, </w:t>
      </w:r>
    </w:p>
    <w:p w:rsidR="003046D1" w:rsidRPr="004C1B39" w:rsidRDefault="003046D1" w:rsidP="00635867">
      <w:pPr>
        <w:widowControl w:val="0"/>
        <w:numPr>
          <w:ilvl w:val="0"/>
          <w:numId w:val="13"/>
        </w:numPr>
        <w:tabs>
          <w:tab w:val="clear" w:pos="360"/>
        </w:tabs>
        <w:ind w:left="720"/>
        <w:jc w:val="both"/>
        <w:rPr>
          <w:bCs/>
          <w:iCs/>
        </w:rPr>
      </w:pPr>
      <w:r w:rsidRPr="004C1B39">
        <w:rPr>
          <w:bCs/>
          <w:iCs/>
        </w:rPr>
        <w:t>49 middle-income tracts, and</w:t>
      </w:r>
    </w:p>
    <w:p w:rsidR="003046D1" w:rsidRDefault="003046D1" w:rsidP="00635867">
      <w:pPr>
        <w:widowControl w:val="0"/>
        <w:numPr>
          <w:ilvl w:val="0"/>
          <w:numId w:val="13"/>
        </w:numPr>
        <w:tabs>
          <w:tab w:val="clear" w:pos="360"/>
        </w:tabs>
        <w:ind w:left="720"/>
        <w:jc w:val="both"/>
        <w:rPr>
          <w:bCs/>
          <w:iCs/>
        </w:rPr>
      </w:pPr>
      <w:r w:rsidRPr="004C1B39">
        <w:rPr>
          <w:bCs/>
          <w:iCs/>
        </w:rPr>
        <w:t>68 upper income tracts.</w:t>
      </w:r>
    </w:p>
    <w:p w:rsidR="003046D1" w:rsidRPr="008D10FC" w:rsidRDefault="003046D1" w:rsidP="00635867">
      <w:pPr>
        <w:widowControl w:val="0"/>
        <w:jc w:val="both"/>
        <w:rPr>
          <w:bCs/>
          <w:iCs/>
        </w:rPr>
      </w:pPr>
    </w:p>
    <w:p w:rsidR="003046D1" w:rsidRPr="004C1B39" w:rsidRDefault="003046D1" w:rsidP="00635867">
      <w:pPr>
        <w:widowControl w:val="0"/>
        <w:jc w:val="both"/>
        <w:rPr>
          <w:bCs/>
          <w:iCs/>
        </w:rPr>
      </w:pPr>
      <w:r w:rsidRPr="004C1B39">
        <w:rPr>
          <w:bCs/>
          <w:iCs/>
        </w:rPr>
        <w:lastRenderedPageBreak/>
        <w:t>The low- and moderate-income census tracts are primarily located in Braintree (1), Holbrook (1), Quincy (7), Randolph (2), Stoughton (1), and Weymouth (1).  There are no underserved or distressed nonmetropolitan middle-income geographies or designated disaster areas within the bank’s assessment area.  However, there are several opportunity zones.  Opportunity Zones are areas of economic need approved by the U.S. Department of Treasury.  Within the bank’s assessment area, there are five census tracts in designated opportunity zones located in Quincy (2), Randolph (2), and Weymouth (1).</w:t>
      </w:r>
    </w:p>
    <w:p w:rsidR="003046D1" w:rsidRPr="004C1B39" w:rsidRDefault="003046D1" w:rsidP="00635867">
      <w:pPr>
        <w:widowControl w:val="0"/>
        <w:jc w:val="both"/>
        <w:rPr>
          <w:bCs/>
          <w:iCs/>
          <w:highlight w:val="yellow"/>
        </w:rPr>
      </w:pPr>
    </w:p>
    <w:p w:rsidR="003046D1" w:rsidRPr="004C1B39" w:rsidRDefault="003046D1" w:rsidP="00635867">
      <w:pPr>
        <w:widowControl w:val="0"/>
        <w:jc w:val="both"/>
        <w:rPr>
          <w:bCs/>
          <w:iCs/>
        </w:rPr>
      </w:pPr>
      <w:r w:rsidRPr="004C1B39">
        <w:rPr>
          <w:bCs/>
          <w:iCs/>
        </w:rPr>
        <w:t>The following table illustrates select demographic characteristics of the assessment area.</w:t>
      </w:r>
    </w:p>
    <w:p w:rsidR="003046D1" w:rsidRDefault="003046D1" w:rsidP="00635867">
      <w:pPr>
        <w:widowControl w:val="0"/>
        <w:ind w:right="-360"/>
        <w:jc w:val="both"/>
        <w:rPr>
          <w:bCs/>
          <w:iCs/>
          <w:color w:val="FF0000"/>
        </w:rPr>
      </w:pPr>
    </w:p>
    <w:tbl>
      <w:tblPr>
        <w:tblW w:w="9620" w:type="dxa"/>
        <w:tblCellMar>
          <w:left w:w="0" w:type="dxa"/>
          <w:right w:w="0" w:type="dxa"/>
        </w:tblCellMar>
        <w:tblLook w:val="0000" w:firstRow="0" w:lastRow="0" w:firstColumn="0" w:lastColumn="0" w:noHBand="0" w:noVBand="0"/>
      </w:tblPr>
      <w:tblGrid>
        <w:gridCol w:w="4118"/>
        <w:gridCol w:w="859"/>
        <w:gridCol w:w="859"/>
        <w:gridCol w:w="1031"/>
        <w:gridCol w:w="1031"/>
        <w:gridCol w:w="861"/>
        <w:gridCol w:w="861"/>
      </w:tblGrid>
      <w:tr w:rsidR="003046D1" w:rsidTr="00420F26">
        <w:trPr>
          <w:trHeight w:val="270"/>
        </w:trPr>
        <w:tc>
          <w:tcPr>
            <w:tcW w:w="9620"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3046D1" w:rsidRDefault="003046D1" w:rsidP="00062645">
            <w:pPr>
              <w:jc w:val="center"/>
            </w:pPr>
            <w:r>
              <w:rPr>
                <w:b/>
                <w:color w:val="000000"/>
                <w:sz w:val="20"/>
              </w:rPr>
              <w:t>Demographic Information of the Assessment Area</w:t>
            </w:r>
          </w:p>
        </w:tc>
      </w:tr>
      <w:tr w:rsidR="003046D1" w:rsidTr="00420F26">
        <w:trPr>
          <w:trHeight w:val="408"/>
        </w:trPr>
        <w:tc>
          <w:tcPr>
            <w:tcW w:w="4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r>
              <w:rPr>
                <w:b/>
                <w:color w:val="000000"/>
                <w:sz w:val="20"/>
              </w:rPr>
              <w:t>Demographic Characteristics</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Low</w:t>
            </w:r>
            <w:r>
              <w:rPr>
                <w:b/>
                <w:color w:val="000000"/>
                <w:sz w:val="20"/>
              </w:rPr>
              <w:br/>
              <w:t xml:space="preserve"> % of #</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Moderate</w:t>
            </w:r>
            <w:r>
              <w:rPr>
                <w:b/>
                <w:color w:val="000000"/>
                <w:sz w:val="20"/>
              </w:rPr>
              <w:br/>
              <w:t xml:space="preserve"> % of #</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Middle</w:t>
            </w:r>
            <w:r>
              <w:rPr>
                <w:b/>
                <w:color w:val="000000"/>
                <w:sz w:val="20"/>
              </w:rPr>
              <w:br/>
              <w:t xml:space="preserve"> % of #</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Upper</w:t>
            </w:r>
            <w:r>
              <w:rPr>
                <w:b/>
                <w:color w:val="000000"/>
                <w:sz w:val="20"/>
              </w:rPr>
              <w:br/>
              <w:t>% of #</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062645">
            <w:pPr>
              <w:jc w:val="center"/>
            </w:pPr>
            <w:r>
              <w:rPr>
                <w:b/>
                <w:color w:val="000000"/>
                <w:sz w:val="20"/>
              </w:rPr>
              <w:t xml:space="preserve">NA* </w:t>
            </w:r>
            <w:r>
              <w:rPr>
                <w:b/>
                <w:color w:val="000000"/>
                <w:sz w:val="20"/>
              </w:rPr>
              <w:br/>
              <w:t>% of #</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Geographies (Census Tracts)</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130</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0.8</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9.2</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37.7</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52.3</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Population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687,721</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0.4</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8.8</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36.5</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54.2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Housing Units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272,397</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0.5</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9.8</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38.5</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51.2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Owner-Occupied Units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178,492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0.2</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7.0</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35.8</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57.0</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Occupied Rental Units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81,053</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1.2</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15.7</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44.0</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39.1</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Vacant Units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12,852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0.1</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11.4</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40.7</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47.7</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Businesses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54,283</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0.1</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7.5</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34.0</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58.3</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Farms by Geography</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1,054</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0.1</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5.5</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30.1</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64.3</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Family Distribution by Income Level</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170,875</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15.2</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13.5</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19.0</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52.2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3046D1" w:rsidRDefault="003046D1" w:rsidP="00062645">
            <w:r>
              <w:rPr>
                <w:color w:val="000000"/>
                <w:sz w:val="20"/>
              </w:rPr>
              <w:t>Household Distribution by Income Level</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259,545</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20.7</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12.2</w:t>
            </w:r>
          </w:p>
        </w:tc>
        <w:tc>
          <w:tcPr>
            <w:tcW w:w="10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15.2</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51.9</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0.0</w:t>
            </w:r>
          </w:p>
        </w:tc>
      </w:tr>
      <w:tr w:rsidR="003046D1" w:rsidTr="00420F26">
        <w:trPr>
          <w:trHeight w:val="180"/>
        </w:trPr>
        <w:tc>
          <w:tcPr>
            <w:tcW w:w="4118" w:type="dxa"/>
            <w:tcBorders>
              <w:top w:val="single" w:sz="7" w:space="0" w:color="000000"/>
              <w:left w:val="single" w:sz="7" w:space="0" w:color="000000"/>
              <w:bottom w:val="single" w:sz="7" w:space="0" w:color="000000"/>
            </w:tcBorders>
            <w:tcMar>
              <w:top w:w="39" w:type="dxa"/>
              <w:left w:w="239" w:type="dxa"/>
              <w:bottom w:w="39" w:type="dxa"/>
              <w:right w:w="39" w:type="dxa"/>
            </w:tcMar>
          </w:tcPr>
          <w:p w:rsidR="003046D1" w:rsidRDefault="003046D1" w:rsidP="00062645">
            <w:r>
              <w:rPr>
                <w:color w:val="000000"/>
                <w:sz w:val="20"/>
              </w:rPr>
              <w:t>Median Family Income MSA-14454 Boston, MA</w:t>
            </w:r>
          </w:p>
        </w:tc>
        <w:tc>
          <w:tcPr>
            <w:tcW w:w="859" w:type="dxa"/>
            <w:tcBorders>
              <w:top w:val="single" w:sz="7" w:space="0" w:color="000000"/>
              <w:bottom w:val="single" w:sz="7" w:space="0" w:color="000000"/>
            </w:tcBorders>
            <w:tcMar>
              <w:top w:w="39" w:type="dxa"/>
              <w:left w:w="239" w:type="dxa"/>
              <w:bottom w:w="39" w:type="dxa"/>
              <w:right w:w="39" w:type="dxa"/>
            </w:tcMar>
          </w:tcPr>
          <w:p w:rsidR="003046D1" w:rsidRDefault="003046D1" w:rsidP="00062645"/>
        </w:tc>
        <w:tc>
          <w:tcPr>
            <w:tcW w:w="859" w:type="dxa"/>
            <w:tcBorders>
              <w:top w:val="single" w:sz="7" w:space="0" w:color="000000"/>
              <w:left w:val="single" w:sz="7" w:space="0" w:color="000000"/>
              <w:bottom w:val="single" w:sz="7" w:space="0" w:color="000000"/>
            </w:tcBorders>
            <w:tcMar>
              <w:top w:w="39" w:type="dxa"/>
              <w:left w:w="39" w:type="dxa"/>
              <w:bottom w:w="39" w:type="dxa"/>
              <w:right w:w="39" w:type="dxa"/>
            </w:tcMar>
          </w:tcPr>
          <w:p w:rsidR="003046D1" w:rsidRDefault="003046D1" w:rsidP="00062645">
            <w:pPr>
              <w:jc w:val="right"/>
            </w:pPr>
            <w:r>
              <w:rPr>
                <w:color w:val="000000"/>
                <w:sz w:val="20"/>
              </w:rPr>
              <w:t>$90,699</w:t>
            </w:r>
          </w:p>
        </w:tc>
        <w:tc>
          <w:tcPr>
            <w:tcW w:w="292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r>
              <w:rPr>
                <w:color w:val="000000"/>
                <w:sz w:val="20"/>
              </w:rPr>
              <w:t>Median Housing Value</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$454,030</w:t>
            </w:r>
          </w:p>
        </w:tc>
      </w:tr>
      <w:tr w:rsidR="003046D1" w:rsidTr="00420F26">
        <w:trPr>
          <w:trHeight w:val="180"/>
        </w:trPr>
        <w:tc>
          <w:tcPr>
            <w:tcW w:w="4118" w:type="dxa"/>
            <w:tcBorders>
              <w:left w:val="single" w:sz="7" w:space="0" w:color="000000"/>
            </w:tcBorders>
            <w:tcMar>
              <w:top w:w="39" w:type="dxa"/>
              <w:left w:w="239" w:type="dxa"/>
              <w:bottom w:w="39" w:type="dxa"/>
              <w:right w:w="39" w:type="dxa"/>
            </w:tcMar>
          </w:tcPr>
          <w:p w:rsidR="003046D1" w:rsidRDefault="003046D1" w:rsidP="00062645"/>
        </w:tc>
        <w:tc>
          <w:tcPr>
            <w:tcW w:w="859" w:type="dxa"/>
            <w:tcMar>
              <w:top w:w="39" w:type="dxa"/>
              <w:left w:w="239" w:type="dxa"/>
              <w:bottom w:w="39" w:type="dxa"/>
              <w:right w:w="39" w:type="dxa"/>
            </w:tcMar>
          </w:tcPr>
          <w:p w:rsidR="003046D1" w:rsidRDefault="003046D1" w:rsidP="00062645"/>
        </w:tc>
        <w:tc>
          <w:tcPr>
            <w:tcW w:w="859" w:type="dxa"/>
            <w:tcMar>
              <w:top w:w="39" w:type="dxa"/>
              <w:left w:w="39" w:type="dxa"/>
              <w:bottom w:w="39" w:type="dxa"/>
              <w:right w:w="39" w:type="dxa"/>
            </w:tcMar>
          </w:tcPr>
          <w:p w:rsidR="003046D1" w:rsidRDefault="003046D1" w:rsidP="00062645"/>
        </w:tc>
        <w:tc>
          <w:tcPr>
            <w:tcW w:w="292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r>
              <w:rPr>
                <w:color w:val="000000"/>
                <w:sz w:val="20"/>
              </w:rPr>
              <w:t>Median Gross Rent</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$1,356</w:t>
            </w:r>
          </w:p>
        </w:tc>
      </w:tr>
      <w:tr w:rsidR="003046D1" w:rsidTr="00420F26">
        <w:trPr>
          <w:trHeight w:val="180"/>
        </w:trPr>
        <w:tc>
          <w:tcPr>
            <w:tcW w:w="4118" w:type="dxa"/>
            <w:tcBorders>
              <w:left w:val="single" w:sz="7" w:space="0" w:color="000000"/>
              <w:bottom w:val="single" w:sz="7" w:space="0" w:color="000000"/>
            </w:tcBorders>
            <w:tcMar>
              <w:top w:w="39" w:type="dxa"/>
              <w:left w:w="239" w:type="dxa"/>
              <w:bottom w:w="39" w:type="dxa"/>
              <w:right w:w="39" w:type="dxa"/>
            </w:tcMar>
          </w:tcPr>
          <w:p w:rsidR="003046D1" w:rsidRDefault="003046D1" w:rsidP="00062645"/>
        </w:tc>
        <w:tc>
          <w:tcPr>
            <w:tcW w:w="859" w:type="dxa"/>
            <w:tcBorders>
              <w:bottom w:val="single" w:sz="7" w:space="0" w:color="000000"/>
            </w:tcBorders>
            <w:tcMar>
              <w:top w:w="39" w:type="dxa"/>
              <w:left w:w="239" w:type="dxa"/>
              <w:bottom w:w="39" w:type="dxa"/>
              <w:right w:w="39" w:type="dxa"/>
            </w:tcMar>
          </w:tcPr>
          <w:p w:rsidR="003046D1" w:rsidRDefault="003046D1" w:rsidP="00062645"/>
        </w:tc>
        <w:tc>
          <w:tcPr>
            <w:tcW w:w="859" w:type="dxa"/>
            <w:tcBorders>
              <w:bottom w:val="single" w:sz="7" w:space="0" w:color="000000"/>
            </w:tcBorders>
            <w:tcMar>
              <w:top w:w="39" w:type="dxa"/>
              <w:left w:w="39" w:type="dxa"/>
              <w:bottom w:w="39" w:type="dxa"/>
              <w:right w:w="39" w:type="dxa"/>
            </w:tcMar>
          </w:tcPr>
          <w:p w:rsidR="003046D1" w:rsidRDefault="003046D1" w:rsidP="00062645"/>
        </w:tc>
        <w:tc>
          <w:tcPr>
            <w:tcW w:w="2923"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r>
              <w:rPr>
                <w:color w:val="000000"/>
                <w:sz w:val="20"/>
              </w:rPr>
              <w:t>Families Below Poverty Level</w:t>
            </w:r>
          </w:p>
        </w:tc>
        <w:tc>
          <w:tcPr>
            <w:tcW w:w="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062645">
            <w:pPr>
              <w:jc w:val="right"/>
            </w:pPr>
            <w:r>
              <w:rPr>
                <w:color w:val="000000"/>
                <w:sz w:val="20"/>
              </w:rPr>
              <w:t>4.3%</w:t>
            </w:r>
          </w:p>
        </w:tc>
      </w:tr>
      <w:tr w:rsidR="003046D1" w:rsidRPr="004458CA" w:rsidTr="00420F26">
        <w:trPr>
          <w:trHeight w:val="21"/>
        </w:trPr>
        <w:tc>
          <w:tcPr>
            <w:tcW w:w="9620"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rsidR="003046D1" w:rsidRPr="004458CA" w:rsidRDefault="003046D1" w:rsidP="00062645">
            <w:r w:rsidRPr="004458CA">
              <w:rPr>
                <w:i/>
                <w:sz w:val="16"/>
              </w:rPr>
              <w:t>Source: 2015 ACS  and 2018 D&amp;B Data</w:t>
            </w:r>
          </w:p>
          <w:p w:rsidR="003046D1" w:rsidRPr="004458CA" w:rsidRDefault="003046D1" w:rsidP="00062645">
            <w:r w:rsidRPr="004458CA">
              <w:rPr>
                <w:i/>
                <w:sz w:val="16"/>
              </w:rPr>
              <w:t>Due to rounding, totals may not equal 100.0%</w:t>
            </w:r>
          </w:p>
          <w:p w:rsidR="003046D1" w:rsidRPr="004458CA" w:rsidRDefault="003046D1" w:rsidP="00062645">
            <w:r w:rsidRPr="004458CA">
              <w:rPr>
                <w:i/>
                <w:sz w:val="16"/>
              </w:rPr>
              <w:t>(*) The NA category consists of geographies that have not been assigned an income classification.</w:t>
            </w:r>
          </w:p>
        </w:tc>
      </w:tr>
    </w:tbl>
    <w:p w:rsidR="003046D1" w:rsidRPr="004458CA" w:rsidRDefault="003046D1" w:rsidP="003046D1">
      <w:pPr>
        <w:widowControl w:val="0"/>
        <w:ind w:right="-360"/>
        <w:rPr>
          <w:bCs/>
          <w:iCs/>
        </w:rPr>
      </w:pPr>
    </w:p>
    <w:p w:rsidR="003046D1" w:rsidRPr="00C976FA" w:rsidRDefault="003046D1" w:rsidP="00420F26">
      <w:pPr>
        <w:widowControl w:val="0"/>
        <w:ind w:right="18"/>
        <w:jc w:val="both"/>
        <w:rPr>
          <w:bCs/>
          <w:iCs/>
          <w:color w:val="00B050"/>
        </w:rPr>
      </w:pPr>
      <w:r w:rsidRPr="00D66CDA">
        <w:rPr>
          <w:bCs/>
          <w:iCs/>
        </w:rPr>
        <w:t xml:space="preserve">Since the prior CRA evaluation, the assessment area’s population increased by 16,871.  The combined percentage of low- and moderate-income population by geography increased by 3.8 percent which represents 9.2 percent of the population.  The Median Family Income decreased by $18,255 while the number of Owner-Occupied Units decreased by 1,272 units, and the percentage of Families Below Poverty Level decreased from 7.1 percent to 4.3 percent.  </w:t>
      </w:r>
    </w:p>
    <w:p w:rsidR="003046D1" w:rsidRPr="00E34F9E" w:rsidRDefault="003046D1" w:rsidP="00420F26">
      <w:pPr>
        <w:widowControl w:val="0"/>
        <w:ind w:right="18"/>
        <w:jc w:val="both"/>
        <w:rPr>
          <w:bCs/>
          <w:iCs/>
        </w:rPr>
      </w:pPr>
    </w:p>
    <w:p w:rsidR="00420F26" w:rsidRDefault="00420F26">
      <w:pPr>
        <w:rPr>
          <w:bCs/>
          <w:iCs/>
        </w:rPr>
      </w:pPr>
      <w:r>
        <w:rPr>
          <w:bCs/>
          <w:iCs/>
        </w:rPr>
        <w:br w:type="page"/>
      </w:r>
    </w:p>
    <w:p w:rsidR="003046D1" w:rsidRPr="00E34F9E" w:rsidRDefault="003046D1" w:rsidP="00420F26">
      <w:pPr>
        <w:widowControl w:val="0"/>
        <w:ind w:right="18"/>
        <w:jc w:val="both"/>
        <w:rPr>
          <w:bCs/>
          <w:iCs/>
        </w:rPr>
      </w:pPr>
      <w:r w:rsidRPr="00E34F9E">
        <w:rPr>
          <w:bCs/>
          <w:iCs/>
        </w:rPr>
        <w:lastRenderedPageBreak/>
        <w:t>The Federal Financial Institutions Examination Council (FFIEC) updated median family income level is used to analyze home mortgage loans under the Borrower Profile criterion.  The low-, moderate-, middle-, and upper-income categories are presented in the following table.</w:t>
      </w:r>
    </w:p>
    <w:p w:rsidR="003046D1" w:rsidRPr="00E34F9E" w:rsidRDefault="003046D1" w:rsidP="00420F26">
      <w:pPr>
        <w:widowControl w:val="0"/>
        <w:ind w:right="18"/>
        <w:jc w:val="both"/>
        <w:rPr>
          <w:bCs/>
          <w:iCs/>
        </w:rPr>
      </w:pPr>
    </w:p>
    <w:tbl>
      <w:tblPr>
        <w:tblW w:w="0" w:type="auto"/>
        <w:tblCellMar>
          <w:left w:w="0" w:type="dxa"/>
          <w:right w:w="0" w:type="dxa"/>
        </w:tblCellMar>
        <w:tblLook w:val="0000" w:firstRow="0" w:lastRow="0" w:firstColumn="0" w:lastColumn="0" w:noHBand="0" w:noVBand="0"/>
      </w:tblPr>
      <w:tblGrid>
        <w:gridCol w:w="2592"/>
        <w:gridCol w:w="1366"/>
        <w:gridCol w:w="2094"/>
        <w:gridCol w:w="2187"/>
        <w:gridCol w:w="1388"/>
      </w:tblGrid>
      <w:tr w:rsidR="003046D1" w:rsidTr="00420F26">
        <w:trPr>
          <w:trHeight w:val="235"/>
        </w:trPr>
        <w:tc>
          <w:tcPr>
            <w:tcW w:w="9627" w:type="dxa"/>
            <w:gridSpan w:val="5"/>
            <w:tcBorders>
              <w:top w:val="single" w:sz="7" w:space="0" w:color="000000"/>
              <w:left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b/>
                <w:color w:val="000000"/>
                <w:sz w:val="20"/>
              </w:rPr>
              <w:t>Median Family Income Ranges</w:t>
            </w:r>
          </w:p>
        </w:tc>
      </w:tr>
      <w:tr w:rsidR="003046D1" w:rsidTr="00420F26">
        <w:trPr>
          <w:trHeight w:val="355"/>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pPr>
            <w:r>
              <w:rPr>
                <w:b/>
                <w:color w:val="000000"/>
                <w:sz w:val="20"/>
              </w:rPr>
              <w:t>Median Family Incomes</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jc w:val="center"/>
            </w:pPr>
            <w:r>
              <w:rPr>
                <w:b/>
                <w:color w:val="000000"/>
                <w:sz w:val="20"/>
              </w:rPr>
              <w:t>Low</w:t>
            </w:r>
            <w:r>
              <w:rPr>
                <w:b/>
                <w:color w:val="000000"/>
                <w:sz w:val="20"/>
              </w:rPr>
              <w:br/>
              <w:t xml:space="preserve"> &lt;50% </w:t>
            </w:r>
          </w:p>
        </w:tc>
        <w:tc>
          <w:tcPr>
            <w:tcW w:w="20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jc w:val="center"/>
            </w:pPr>
            <w:r>
              <w:rPr>
                <w:b/>
                <w:color w:val="000000"/>
                <w:sz w:val="20"/>
              </w:rPr>
              <w:t>Moderate</w:t>
            </w:r>
            <w:r>
              <w:rPr>
                <w:b/>
                <w:color w:val="000000"/>
                <w:sz w:val="20"/>
              </w:rPr>
              <w:br/>
              <w:t>50% to &lt;80%</w:t>
            </w:r>
          </w:p>
        </w:tc>
        <w:tc>
          <w:tcPr>
            <w:tcW w:w="21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jc w:val="center"/>
            </w:pPr>
            <w:r>
              <w:rPr>
                <w:b/>
                <w:color w:val="000000"/>
                <w:sz w:val="20"/>
              </w:rPr>
              <w:t>Middle</w:t>
            </w:r>
            <w:r>
              <w:rPr>
                <w:b/>
                <w:color w:val="000000"/>
                <w:sz w:val="20"/>
              </w:rPr>
              <w:br/>
              <w:t>80% to &lt;120%</w:t>
            </w:r>
          </w:p>
        </w:tc>
        <w:tc>
          <w:tcPr>
            <w:tcW w:w="13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jc w:val="center"/>
            </w:pPr>
            <w:r>
              <w:rPr>
                <w:b/>
                <w:color w:val="000000"/>
                <w:sz w:val="20"/>
              </w:rPr>
              <w:t>Upper</w:t>
            </w:r>
            <w:r>
              <w:rPr>
                <w:b/>
                <w:color w:val="000000"/>
                <w:sz w:val="20"/>
              </w:rPr>
              <w:br/>
              <w:t>≥120%</w:t>
            </w:r>
          </w:p>
        </w:tc>
      </w:tr>
      <w:tr w:rsidR="003046D1" w:rsidTr="00420F26">
        <w:trPr>
          <w:trHeight w:val="151"/>
        </w:trPr>
        <w:tc>
          <w:tcPr>
            <w:tcW w:w="962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jc w:val="center"/>
            </w:pPr>
            <w:r>
              <w:rPr>
                <w:b/>
                <w:color w:val="000000"/>
                <w:sz w:val="20"/>
              </w:rPr>
              <w:t>Boston, MA MD Median Family Income (14454)</w:t>
            </w:r>
          </w:p>
        </w:tc>
      </w:tr>
      <w:tr w:rsidR="003046D1" w:rsidTr="00420F26">
        <w:trPr>
          <w:trHeight w:val="157"/>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pPr>
            <w:r>
              <w:rPr>
                <w:color w:val="000000"/>
                <w:sz w:val="20"/>
              </w:rPr>
              <w:t>2018 ($99,300)</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&lt;$49,650</w:t>
            </w:r>
          </w:p>
        </w:tc>
        <w:tc>
          <w:tcPr>
            <w:tcW w:w="20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$49,650 to &lt;$79,440</w:t>
            </w:r>
          </w:p>
        </w:tc>
        <w:tc>
          <w:tcPr>
            <w:tcW w:w="21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$79,440 to &lt;$119,160</w:t>
            </w:r>
          </w:p>
        </w:tc>
        <w:tc>
          <w:tcPr>
            <w:tcW w:w="13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≥$119,160</w:t>
            </w:r>
          </w:p>
        </w:tc>
      </w:tr>
      <w:tr w:rsidR="003046D1" w:rsidTr="00420F26">
        <w:trPr>
          <w:trHeight w:val="157"/>
        </w:trPr>
        <w:tc>
          <w:tcPr>
            <w:tcW w:w="25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A07724">
            <w:pPr>
              <w:keepNext/>
            </w:pPr>
            <w:r>
              <w:rPr>
                <w:color w:val="000000"/>
                <w:sz w:val="20"/>
              </w:rPr>
              <w:t>2019 ($105,500)</w:t>
            </w:r>
          </w:p>
        </w:tc>
        <w:tc>
          <w:tcPr>
            <w:tcW w:w="13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&lt;$52,750</w:t>
            </w:r>
          </w:p>
        </w:tc>
        <w:tc>
          <w:tcPr>
            <w:tcW w:w="20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$52,750 to &lt;$84,400</w:t>
            </w:r>
          </w:p>
        </w:tc>
        <w:tc>
          <w:tcPr>
            <w:tcW w:w="21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$84,400 to &lt;$126,600</w:t>
            </w:r>
          </w:p>
        </w:tc>
        <w:tc>
          <w:tcPr>
            <w:tcW w:w="13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jc w:val="center"/>
            </w:pPr>
            <w:r>
              <w:rPr>
                <w:color w:val="000000"/>
                <w:sz w:val="20"/>
              </w:rPr>
              <w:t>≥$126,600</w:t>
            </w:r>
          </w:p>
        </w:tc>
      </w:tr>
      <w:tr w:rsidR="003046D1" w:rsidTr="00420F26">
        <w:trPr>
          <w:trHeight w:val="235"/>
        </w:trPr>
        <w:tc>
          <w:tcPr>
            <w:tcW w:w="962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A07724">
            <w:pPr>
              <w:keepNext/>
            </w:pPr>
            <w:r>
              <w:rPr>
                <w:i/>
                <w:color w:val="000000"/>
                <w:sz w:val="16"/>
              </w:rPr>
              <w:t>Source: FFIEC</w:t>
            </w:r>
          </w:p>
        </w:tc>
      </w:tr>
    </w:tbl>
    <w:p w:rsidR="003046D1" w:rsidRPr="00E55792" w:rsidRDefault="003046D1" w:rsidP="003046D1">
      <w:pPr>
        <w:widowControl w:val="0"/>
        <w:ind w:right="-360"/>
        <w:rPr>
          <w:bCs/>
          <w:iCs/>
        </w:rPr>
      </w:pPr>
    </w:p>
    <w:p w:rsidR="003046D1" w:rsidRDefault="003046D1" w:rsidP="00420F26">
      <w:pPr>
        <w:widowControl w:val="0"/>
        <w:ind w:right="18"/>
        <w:jc w:val="both"/>
        <w:rPr>
          <w:bCs/>
          <w:iCs/>
        </w:rPr>
      </w:pPr>
      <w:r w:rsidRPr="00E55792">
        <w:rPr>
          <w:bCs/>
          <w:iCs/>
        </w:rPr>
        <w:t xml:space="preserve">The Geographic Distribution criterion compares home mortgage lending performance to the distribution of owner-occupied housing units.  Within the bank’s assessment area, </w:t>
      </w:r>
      <w:r>
        <w:rPr>
          <w:bCs/>
          <w:iCs/>
        </w:rPr>
        <w:t>64.1</w:t>
      </w:r>
      <w:r w:rsidRPr="00E55792">
        <w:rPr>
          <w:bCs/>
          <w:iCs/>
        </w:rPr>
        <w:t xml:space="preserve"> percent of the 272,397 housing units are owner-occupied.</w:t>
      </w:r>
      <w:r>
        <w:rPr>
          <w:bCs/>
          <w:iCs/>
          <w:color w:val="FF0000"/>
        </w:rPr>
        <w:t xml:space="preserve">  </w:t>
      </w:r>
      <w:r>
        <w:rPr>
          <w:bCs/>
          <w:iCs/>
        </w:rPr>
        <w:t xml:space="preserve">Of these, 92.8 percent of owner-occupied units are located in </w:t>
      </w:r>
      <w:r w:rsidRPr="00E55792">
        <w:rPr>
          <w:bCs/>
          <w:iCs/>
        </w:rPr>
        <w:t>middle- and upper</w:t>
      </w:r>
      <w:r>
        <w:rPr>
          <w:bCs/>
          <w:iCs/>
        </w:rPr>
        <w:t>-</w:t>
      </w:r>
      <w:r w:rsidRPr="00E55792">
        <w:rPr>
          <w:bCs/>
          <w:iCs/>
        </w:rPr>
        <w:t>income census tract</w:t>
      </w:r>
      <w:r>
        <w:rPr>
          <w:bCs/>
          <w:iCs/>
        </w:rPr>
        <w:t>s</w:t>
      </w:r>
      <w:r w:rsidRPr="00E55792">
        <w:rPr>
          <w:bCs/>
          <w:iCs/>
        </w:rPr>
        <w:t>, while only 7.2</w:t>
      </w:r>
      <w:r>
        <w:rPr>
          <w:bCs/>
          <w:iCs/>
        </w:rPr>
        <w:t xml:space="preserve"> percent</w:t>
      </w:r>
      <w:r w:rsidRPr="00E55792">
        <w:rPr>
          <w:bCs/>
          <w:iCs/>
        </w:rPr>
        <w:t xml:space="preserve"> are</w:t>
      </w:r>
      <w:r>
        <w:rPr>
          <w:bCs/>
          <w:iCs/>
        </w:rPr>
        <w:t xml:space="preserve"> located in</w:t>
      </w:r>
      <w:r w:rsidRPr="00E55792">
        <w:rPr>
          <w:bCs/>
          <w:iCs/>
        </w:rPr>
        <w:t xml:space="preserve"> low- or moderate-income census tract</w:t>
      </w:r>
      <w:r>
        <w:rPr>
          <w:bCs/>
          <w:iCs/>
        </w:rPr>
        <w:t>s</w:t>
      </w:r>
      <w:r w:rsidRPr="00E55792">
        <w:rPr>
          <w:bCs/>
          <w:iCs/>
        </w:rPr>
        <w:t xml:space="preserve">.  </w:t>
      </w:r>
    </w:p>
    <w:p w:rsidR="003046D1" w:rsidRPr="00E55792" w:rsidRDefault="003046D1" w:rsidP="00420F26">
      <w:pPr>
        <w:widowControl w:val="0"/>
        <w:ind w:right="18"/>
        <w:jc w:val="both"/>
        <w:rPr>
          <w:bCs/>
          <w:iCs/>
          <w:highlight w:val="yellow"/>
        </w:rPr>
      </w:pPr>
    </w:p>
    <w:p w:rsidR="003046D1" w:rsidRPr="00C952D3" w:rsidRDefault="003046D1" w:rsidP="00420F26">
      <w:pPr>
        <w:widowControl w:val="0"/>
        <w:ind w:right="18"/>
        <w:jc w:val="both"/>
        <w:rPr>
          <w:bCs/>
          <w:iCs/>
        </w:rPr>
      </w:pPr>
      <w:r w:rsidRPr="00E55792">
        <w:rPr>
          <w:bCs/>
          <w:iCs/>
        </w:rPr>
        <w:t>Additionally, housing costs</w:t>
      </w:r>
      <w:r>
        <w:rPr>
          <w:bCs/>
          <w:iCs/>
        </w:rPr>
        <w:t xml:space="preserve"> nominally increased during the evaluation period</w:t>
      </w:r>
      <w:r w:rsidRPr="00E55792">
        <w:rPr>
          <w:bCs/>
          <w:iCs/>
        </w:rPr>
        <w:t>, with a median housing value of $454,030.</w:t>
      </w:r>
      <w:r>
        <w:rPr>
          <w:bCs/>
          <w:iCs/>
        </w:rPr>
        <w:t xml:space="preserve">  </w:t>
      </w:r>
      <w:r w:rsidRPr="00C952D3">
        <w:rPr>
          <w:bCs/>
          <w:iCs/>
        </w:rPr>
        <w:t xml:space="preserve">Considering the increase in low- and moderate-income population, </w:t>
      </w:r>
      <w:r>
        <w:rPr>
          <w:bCs/>
          <w:iCs/>
        </w:rPr>
        <w:t xml:space="preserve">the </w:t>
      </w:r>
      <w:r w:rsidRPr="00C952D3">
        <w:rPr>
          <w:bCs/>
          <w:iCs/>
        </w:rPr>
        <w:t xml:space="preserve">decrease </w:t>
      </w:r>
      <w:r>
        <w:rPr>
          <w:bCs/>
          <w:iCs/>
        </w:rPr>
        <w:t xml:space="preserve">in owner-occupied </w:t>
      </w:r>
      <w:r w:rsidRPr="00C952D3">
        <w:rPr>
          <w:bCs/>
          <w:iCs/>
        </w:rPr>
        <w:t xml:space="preserve">housing units and </w:t>
      </w:r>
      <w:r>
        <w:rPr>
          <w:bCs/>
          <w:iCs/>
        </w:rPr>
        <w:t xml:space="preserve">the rising </w:t>
      </w:r>
      <w:r w:rsidRPr="00C952D3">
        <w:rPr>
          <w:bCs/>
          <w:iCs/>
        </w:rPr>
        <w:t>median housing value</w:t>
      </w:r>
      <w:r>
        <w:rPr>
          <w:bCs/>
          <w:iCs/>
        </w:rPr>
        <w:t>s</w:t>
      </w:r>
      <w:r w:rsidRPr="00C952D3">
        <w:rPr>
          <w:bCs/>
          <w:iCs/>
        </w:rPr>
        <w:t>, there is reasonable indication of an increased need for more affordable housing units</w:t>
      </w:r>
      <w:r>
        <w:rPr>
          <w:bCs/>
          <w:iCs/>
        </w:rPr>
        <w:t xml:space="preserve"> within the assessment area</w:t>
      </w:r>
      <w:r w:rsidRPr="00C952D3">
        <w:rPr>
          <w:bCs/>
          <w:iCs/>
        </w:rPr>
        <w:t>.</w:t>
      </w:r>
    </w:p>
    <w:p w:rsidR="003046D1" w:rsidRPr="00E55792" w:rsidRDefault="003046D1" w:rsidP="00420F26">
      <w:pPr>
        <w:widowControl w:val="0"/>
        <w:ind w:right="18"/>
        <w:jc w:val="both"/>
        <w:rPr>
          <w:bCs/>
          <w:iCs/>
        </w:rPr>
      </w:pPr>
    </w:p>
    <w:p w:rsidR="003046D1" w:rsidRPr="00A91998" w:rsidRDefault="003046D1" w:rsidP="00420F26">
      <w:pPr>
        <w:ind w:right="18"/>
        <w:jc w:val="both"/>
        <w:rPr>
          <w:b/>
          <w:bCs/>
          <w:iCs/>
          <w:u w:val="single"/>
        </w:rPr>
      </w:pPr>
      <w:r w:rsidRPr="00A91998">
        <w:rPr>
          <w:b/>
          <w:bCs/>
          <w:iCs/>
          <w:u w:val="single"/>
        </w:rPr>
        <w:t>Competition</w:t>
      </w:r>
    </w:p>
    <w:p w:rsidR="003046D1" w:rsidRPr="00A91998" w:rsidRDefault="003046D1" w:rsidP="00420F26">
      <w:pPr>
        <w:ind w:right="18"/>
        <w:jc w:val="both"/>
        <w:rPr>
          <w:iCs/>
          <w:u w:val="single"/>
        </w:rPr>
      </w:pPr>
    </w:p>
    <w:p w:rsidR="003046D1" w:rsidRPr="000D6E07" w:rsidRDefault="003046D1" w:rsidP="00420F26">
      <w:pPr>
        <w:ind w:right="18"/>
        <w:jc w:val="both"/>
        <w:rPr>
          <w:iCs/>
        </w:rPr>
      </w:pPr>
      <w:r w:rsidRPr="000D6E07">
        <w:rPr>
          <w:iCs/>
        </w:rPr>
        <w:t>The assessment area is located in a competitive market for financial services.</w:t>
      </w:r>
      <w:r w:rsidR="00842255">
        <w:rPr>
          <w:iCs/>
        </w:rPr>
        <w:t xml:space="preserve">  </w:t>
      </w:r>
      <w:r>
        <w:rPr>
          <w:iCs/>
        </w:rPr>
        <w:t>Canton Co-operative</w:t>
      </w:r>
      <w:r w:rsidRPr="000D6E07">
        <w:rPr>
          <w:iCs/>
        </w:rPr>
        <w:t xml:space="preserve"> Bank ranked 31</w:t>
      </w:r>
      <w:r w:rsidRPr="000D6E07">
        <w:rPr>
          <w:iCs/>
          <w:vertAlign w:val="superscript"/>
        </w:rPr>
        <w:t>st</w:t>
      </w:r>
      <w:r w:rsidR="00842255">
        <w:rPr>
          <w:iCs/>
        </w:rPr>
        <w:t xml:space="preserve"> by total deposit a</w:t>
      </w:r>
      <w:r w:rsidRPr="000D6E07">
        <w:rPr>
          <w:iCs/>
        </w:rPr>
        <w:t xml:space="preserve">mount, with </w:t>
      </w:r>
      <w:r>
        <w:rPr>
          <w:iCs/>
        </w:rPr>
        <w:t>0.3</w:t>
      </w:r>
      <w:r w:rsidRPr="000D6E07">
        <w:rPr>
          <w:iCs/>
        </w:rPr>
        <w:t xml:space="preserve"> percent market share.  The top </w:t>
      </w:r>
      <w:r>
        <w:rPr>
          <w:iCs/>
        </w:rPr>
        <w:t xml:space="preserve">five </w:t>
      </w:r>
      <w:r w:rsidRPr="000D6E07">
        <w:rPr>
          <w:iCs/>
        </w:rPr>
        <w:t xml:space="preserve">ranking institutions were comprised of national and community </w:t>
      </w:r>
      <w:r>
        <w:rPr>
          <w:iCs/>
        </w:rPr>
        <w:t>banks</w:t>
      </w:r>
      <w:r w:rsidRPr="000D6E07">
        <w:rPr>
          <w:iCs/>
        </w:rPr>
        <w:t xml:space="preserve"> that include</w:t>
      </w:r>
      <w:r>
        <w:rPr>
          <w:iCs/>
        </w:rPr>
        <w:t xml:space="preserve"> </w:t>
      </w:r>
      <w:r w:rsidRPr="000D6E07">
        <w:rPr>
          <w:iCs/>
        </w:rPr>
        <w:t xml:space="preserve">Bank of America, N.A., Citizens Bank, N.A., Rockland Trust Company, Needham Bank, and Santander Bank, N. A. </w:t>
      </w:r>
      <w:r>
        <w:rPr>
          <w:iCs/>
        </w:rPr>
        <w:t>representing</w:t>
      </w:r>
      <w:r w:rsidRPr="000D6E07">
        <w:rPr>
          <w:iCs/>
        </w:rPr>
        <w:t xml:space="preserve"> 54.8 percent market share.</w:t>
      </w:r>
    </w:p>
    <w:p w:rsidR="003046D1" w:rsidRPr="000D6E07" w:rsidRDefault="003046D1" w:rsidP="00420F26">
      <w:pPr>
        <w:ind w:right="18"/>
        <w:jc w:val="both"/>
        <w:rPr>
          <w:iCs/>
        </w:rPr>
      </w:pPr>
    </w:p>
    <w:p w:rsidR="003046D1" w:rsidRPr="0041189C" w:rsidRDefault="003046D1" w:rsidP="00420F26">
      <w:pPr>
        <w:ind w:right="18"/>
        <w:jc w:val="both"/>
        <w:rPr>
          <w:iCs/>
        </w:rPr>
      </w:pPr>
      <w:r>
        <w:rPr>
          <w:iCs/>
        </w:rPr>
        <w:t>According to 2019 peer mortgage data, t</w:t>
      </w:r>
      <w:r w:rsidRPr="000D6E07">
        <w:rPr>
          <w:iCs/>
        </w:rPr>
        <w:t>he assessment area</w:t>
      </w:r>
      <w:r w:rsidR="00842255">
        <w:rPr>
          <w:iCs/>
        </w:rPr>
        <w:t xml:space="preserve"> overall </w:t>
      </w:r>
      <w:r w:rsidRPr="000D6E07">
        <w:rPr>
          <w:iCs/>
        </w:rPr>
        <w:t xml:space="preserve">home mortgage loans </w:t>
      </w:r>
      <w:r w:rsidR="00842255">
        <w:rPr>
          <w:iCs/>
        </w:rPr>
        <w:t>are</w:t>
      </w:r>
      <w:r>
        <w:rPr>
          <w:iCs/>
        </w:rPr>
        <w:t xml:space="preserve"> also very competitive with </w:t>
      </w:r>
      <w:r w:rsidRPr="0041189C">
        <w:rPr>
          <w:iCs/>
        </w:rPr>
        <w:t>4</w:t>
      </w:r>
      <w:r>
        <w:rPr>
          <w:iCs/>
        </w:rPr>
        <w:t>95</w:t>
      </w:r>
      <w:r w:rsidRPr="0041189C">
        <w:rPr>
          <w:iCs/>
        </w:rPr>
        <w:t xml:space="preserve"> home mortgage lenders </w:t>
      </w:r>
      <w:r>
        <w:rPr>
          <w:iCs/>
        </w:rPr>
        <w:t>originating 43,648 home mortgage loans. L</w:t>
      </w:r>
      <w:r w:rsidRPr="0041189C">
        <w:rPr>
          <w:iCs/>
        </w:rPr>
        <w:t xml:space="preserve">arge national banks, non-depository lenders and </w:t>
      </w:r>
      <w:r>
        <w:rPr>
          <w:iCs/>
        </w:rPr>
        <w:t xml:space="preserve">a </w:t>
      </w:r>
      <w:r w:rsidRPr="0041189C">
        <w:rPr>
          <w:iCs/>
        </w:rPr>
        <w:t xml:space="preserve">state-chartered community bank </w:t>
      </w:r>
      <w:r>
        <w:rPr>
          <w:iCs/>
        </w:rPr>
        <w:t>comprised t</w:t>
      </w:r>
      <w:r w:rsidRPr="0041189C">
        <w:rPr>
          <w:iCs/>
        </w:rPr>
        <w:t>he top ten lenders represent</w:t>
      </w:r>
      <w:r>
        <w:rPr>
          <w:iCs/>
        </w:rPr>
        <w:t>ing</w:t>
      </w:r>
      <w:r w:rsidRPr="0041189C">
        <w:rPr>
          <w:iCs/>
        </w:rPr>
        <w:t xml:space="preserve"> </w:t>
      </w:r>
      <w:r>
        <w:rPr>
          <w:iCs/>
        </w:rPr>
        <w:t xml:space="preserve">36.2 </w:t>
      </w:r>
      <w:r w:rsidRPr="0041189C">
        <w:rPr>
          <w:iCs/>
        </w:rPr>
        <w:t>percent market share</w:t>
      </w:r>
      <w:r>
        <w:rPr>
          <w:iCs/>
        </w:rPr>
        <w:t>.  Some of the top lenders in the assessment area are</w:t>
      </w:r>
      <w:r w:rsidRPr="0041189C">
        <w:rPr>
          <w:iCs/>
        </w:rPr>
        <w:t xml:space="preserve"> Citizens Bank, N.A., Bank of America, N.A.,</w:t>
      </w:r>
      <w:r w:rsidRPr="00A55653">
        <w:rPr>
          <w:iCs/>
        </w:rPr>
        <w:t xml:space="preserve"> </w:t>
      </w:r>
      <w:r w:rsidRPr="0041189C">
        <w:rPr>
          <w:iCs/>
        </w:rPr>
        <w:t>Wells Fargo Bank, N.A</w:t>
      </w:r>
      <w:r>
        <w:rPr>
          <w:iCs/>
        </w:rPr>
        <w:t>.,</w:t>
      </w:r>
      <w:r w:rsidRPr="0041189C">
        <w:rPr>
          <w:iCs/>
        </w:rPr>
        <w:t xml:space="preserve"> JP Morgan Chase Bank, N.A., </w:t>
      </w:r>
      <w:r>
        <w:rPr>
          <w:iCs/>
        </w:rPr>
        <w:t xml:space="preserve">and </w:t>
      </w:r>
      <w:r w:rsidRPr="0041189C">
        <w:rPr>
          <w:iCs/>
        </w:rPr>
        <w:t>Quicken Loans, LLC</w:t>
      </w:r>
      <w:r>
        <w:rPr>
          <w:iCs/>
        </w:rPr>
        <w:t>.</w:t>
      </w:r>
      <w:r w:rsidRPr="0041189C">
        <w:rPr>
          <w:iCs/>
        </w:rPr>
        <w:t xml:space="preserve">  </w:t>
      </w:r>
    </w:p>
    <w:p w:rsidR="003046D1" w:rsidRPr="00C24464" w:rsidRDefault="003046D1" w:rsidP="00420F26">
      <w:pPr>
        <w:ind w:right="18"/>
        <w:jc w:val="both"/>
        <w:rPr>
          <w:iCs/>
          <w:color w:val="FF0000"/>
          <w:highlight w:val="yellow"/>
          <w:u w:val="single"/>
        </w:rPr>
      </w:pPr>
    </w:p>
    <w:p w:rsidR="003046D1" w:rsidRPr="00821147" w:rsidRDefault="003046D1" w:rsidP="00420F26">
      <w:pPr>
        <w:ind w:right="18"/>
        <w:jc w:val="both"/>
        <w:rPr>
          <w:b/>
          <w:bCs/>
          <w:iCs/>
          <w:u w:val="single"/>
        </w:rPr>
      </w:pPr>
      <w:r w:rsidRPr="00821147">
        <w:rPr>
          <w:b/>
          <w:bCs/>
          <w:iCs/>
          <w:u w:val="single"/>
        </w:rPr>
        <w:t>Community Contact</w:t>
      </w:r>
    </w:p>
    <w:p w:rsidR="003046D1" w:rsidRPr="00821147" w:rsidRDefault="003046D1" w:rsidP="00420F26">
      <w:pPr>
        <w:ind w:right="18"/>
        <w:jc w:val="both"/>
        <w:rPr>
          <w:b/>
          <w:bCs/>
          <w:iCs/>
          <w:u w:val="single"/>
        </w:rPr>
      </w:pPr>
    </w:p>
    <w:p w:rsidR="003046D1" w:rsidRDefault="003046D1" w:rsidP="00420F26">
      <w:pPr>
        <w:ind w:right="18"/>
        <w:jc w:val="both"/>
        <w:rPr>
          <w:bCs/>
          <w:iCs/>
        </w:rPr>
      </w:pPr>
      <w:r w:rsidRPr="00821147">
        <w:rPr>
          <w:bCs/>
          <w:iCs/>
        </w:rPr>
        <w:t xml:space="preserve">As part of the evaluation process, examiners contact third parties active in the assessment area to help assess the credit and community development needs.  The information obtained helps examiners determine whether local financial institutions are responsive to these needs and what credit and community development opportunities, if any, are available. </w:t>
      </w:r>
    </w:p>
    <w:p w:rsidR="003046D1" w:rsidRDefault="003046D1" w:rsidP="00420F26">
      <w:pPr>
        <w:ind w:right="18"/>
        <w:jc w:val="both"/>
        <w:rPr>
          <w:bCs/>
          <w:iCs/>
        </w:rPr>
      </w:pPr>
    </w:p>
    <w:p w:rsidR="00C02B83" w:rsidRDefault="003046D1" w:rsidP="00420F26">
      <w:pPr>
        <w:ind w:right="18"/>
        <w:jc w:val="both"/>
        <w:rPr>
          <w:bCs/>
          <w:iCs/>
        </w:rPr>
      </w:pPr>
      <w:r w:rsidRPr="001B2663">
        <w:rPr>
          <w:bCs/>
          <w:iCs/>
        </w:rPr>
        <w:lastRenderedPageBreak/>
        <w:t>Examiners contacted a representative from a community development corporation which serves the assessment area.</w:t>
      </w:r>
      <w:r w:rsidR="001B2663">
        <w:rPr>
          <w:bCs/>
          <w:iCs/>
        </w:rPr>
        <w:t xml:space="preserve">  The contact identified the lack of affordable housing as </w:t>
      </w:r>
      <w:r w:rsidR="009807E0">
        <w:rPr>
          <w:bCs/>
          <w:iCs/>
        </w:rPr>
        <w:t xml:space="preserve">the area </w:t>
      </w:r>
      <w:r w:rsidR="00352AE6">
        <w:rPr>
          <w:bCs/>
          <w:iCs/>
        </w:rPr>
        <w:t>with most concern.  The high cost of housing in Norfolk County is forcing lo</w:t>
      </w:r>
      <w:r w:rsidR="00DA5AEA">
        <w:rPr>
          <w:bCs/>
          <w:iCs/>
        </w:rPr>
        <w:t>w</w:t>
      </w:r>
      <w:r w:rsidR="00352AE6">
        <w:rPr>
          <w:bCs/>
          <w:iCs/>
        </w:rPr>
        <w:t>- and moderate-income individuals and families to le</w:t>
      </w:r>
      <w:r w:rsidR="00DA5AEA">
        <w:rPr>
          <w:bCs/>
          <w:iCs/>
        </w:rPr>
        <w:t>ave the assessment area.</w:t>
      </w:r>
    </w:p>
    <w:p w:rsidR="00DA5AEA" w:rsidRDefault="00DA5AEA" w:rsidP="00420F26">
      <w:pPr>
        <w:ind w:right="18"/>
        <w:jc w:val="both"/>
        <w:rPr>
          <w:bCs/>
          <w:iCs/>
        </w:rPr>
      </w:pPr>
    </w:p>
    <w:p w:rsidR="00DA5AEA" w:rsidRPr="00352AE6" w:rsidRDefault="00DA5AEA" w:rsidP="00420F26">
      <w:pPr>
        <w:ind w:right="18"/>
        <w:jc w:val="both"/>
        <w:rPr>
          <w:bCs/>
          <w:iCs/>
          <w:color w:val="FF0000"/>
        </w:rPr>
      </w:pPr>
      <w:r>
        <w:rPr>
          <w:bCs/>
          <w:iCs/>
        </w:rPr>
        <w:t>Examiners conducted a second community contact interview with a community services organization</w:t>
      </w:r>
      <w:r w:rsidR="00D035D0">
        <w:rPr>
          <w:bCs/>
          <w:iCs/>
        </w:rPr>
        <w:t xml:space="preserve"> which serves the area and provides support services to low- and moderate-income individuals.   The contact identified food relief and homelessness prevention as two areas of concern</w:t>
      </w:r>
      <w:r w:rsidR="00172008">
        <w:rPr>
          <w:bCs/>
          <w:iCs/>
        </w:rPr>
        <w:t>.  The contact stated that since the begi</w:t>
      </w:r>
      <w:r w:rsidR="00121075">
        <w:rPr>
          <w:bCs/>
          <w:iCs/>
        </w:rPr>
        <w:t xml:space="preserve">nning of the COVID-19 pandemic the individuals seeking homelessness prevention services has doubled and the organization is looking to local financial institutions to assist in innovative ways. </w:t>
      </w:r>
    </w:p>
    <w:p w:rsidR="00B062F0" w:rsidRPr="00682927" w:rsidRDefault="00B062F0" w:rsidP="00420F26">
      <w:pPr>
        <w:ind w:right="18"/>
        <w:jc w:val="both"/>
      </w:pPr>
    </w:p>
    <w:p w:rsidR="00C02B83" w:rsidRPr="00682927" w:rsidRDefault="00C02B83" w:rsidP="00420F26">
      <w:pPr>
        <w:ind w:right="18"/>
        <w:jc w:val="both"/>
        <w:rPr>
          <w:b/>
          <w:u w:val="single"/>
        </w:rPr>
      </w:pPr>
      <w:r w:rsidRPr="00682927">
        <w:rPr>
          <w:b/>
          <w:u w:val="single"/>
        </w:rPr>
        <w:t xml:space="preserve">Credit Needs </w:t>
      </w:r>
    </w:p>
    <w:p w:rsidR="00C02B83" w:rsidRDefault="00C02B83" w:rsidP="00420F26">
      <w:pPr>
        <w:ind w:right="18"/>
        <w:jc w:val="both"/>
        <w:rPr>
          <w:color w:val="000000"/>
        </w:rPr>
      </w:pPr>
    </w:p>
    <w:p w:rsidR="00121075" w:rsidRDefault="007D7462" w:rsidP="00420F26">
      <w:pPr>
        <w:ind w:right="18"/>
        <w:jc w:val="both"/>
        <w:rPr>
          <w:color w:val="000000"/>
        </w:rPr>
      </w:pPr>
      <w:r>
        <w:rPr>
          <w:color w:val="000000"/>
        </w:rPr>
        <w:t>Examiners identified the primary credit needs of the assessment area based on demographic and economic information, discussions with management, and the conversation with the community contacts.  Examiners determined the primary credit need of the community to be affordable housing.</w:t>
      </w:r>
    </w:p>
    <w:p w:rsidR="00B062F0" w:rsidRDefault="00B062F0" w:rsidP="00420F26">
      <w:pPr>
        <w:ind w:right="18"/>
        <w:jc w:val="both"/>
        <w:rPr>
          <w:color w:val="000000"/>
        </w:rPr>
      </w:pPr>
    </w:p>
    <w:p w:rsidR="00842255" w:rsidRDefault="00842255" w:rsidP="00420F26">
      <w:pPr>
        <w:pStyle w:val="QuickFormat1"/>
        <w:ind w:right="18"/>
        <w:jc w:val="both"/>
        <w:rPr>
          <w:b w:val="0"/>
          <w:color w:val="auto"/>
          <w:sz w:val="24"/>
          <w:szCs w:val="24"/>
          <w:lang w:val="en-US"/>
        </w:rPr>
      </w:pPr>
    </w:p>
    <w:p w:rsidR="000B5E7B" w:rsidRPr="000B5E7B" w:rsidRDefault="0099672C" w:rsidP="002A778B">
      <w:pPr>
        <w:pStyle w:val="Heading1"/>
      </w:pPr>
      <w:bookmarkStart w:id="5" w:name="_Toc64381097"/>
      <w:r w:rsidRPr="00161EC6">
        <w:t>CONCLUSIONS ON PERFORMANCE CRITERIA</w:t>
      </w:r>
      <w:bookmarkEnd w:id="5"/>
    </w:p>
    <w:p w:rsidR="00B36326" w:rsidRDefault="00B36326" w:rsidP="00E02903">
      <w:pPr>
        <w:rPr>
          <w:b/>
          <w:bCs/>
          <w:color w:val="000000"/>
        </w:rPr>
      </w:pPr>
    </w:p>
    <w:p w:rsidR="003046D1" w:rsidRPr="00B974A5" w:rsidRDefault="003046D1" w:rsidP="00420F26">
      <w:pPr>
        <w:jc w:val="both"/>
        <w:rPr>
          <w:b/>
          <w:bCs/>
          <w:u w:val="single"/>
        </w:rPr>
      </w:pPr>
      <w:r w:rsidRPr="00B974A5">
        <w:rPr>
          <w:b/>
          <w:bCs/>
          <w:u w:val="single"/>
        </w:rPr>
        <w:t>LENDING TEST</w:t>
      </w:r>
    </w:p>
    <w:p w:rsidR="003046D1" w:rsidRPr="00431ECD" w:rsidRDefault="003046D1" w:rsidP="00420F26">
      <w:pPr>
        <w:jc w:val="both"/>
        <w:rPr>
          <w:iCs/>
        </w:rPr>
      </w:pPr>
    </w:p>
    <w:p w:rsidR="003046D1" w:rsidRDefault="00BA792D" w:rsidP="00420F26">
      <w:pPr>
        <w:jc w:val="both"/>
        <w:rPr>
          <w:iCs/>
        </w:rPr>
      </w:pPr>
      <w:r>
        <w:rPr>
          <w:iCs/>
        </w:rPr>
        <w:t>Canton Co-operative Bank</w:t>
      </w:r>
      <w:r w:rsidR="00D55D8D">
        <w:rPr>
          <w:iCs/>
        </w:rPr>
        <w:t>’s overall Lending Test performance is rated Satisfactory.  The sections below discuss the bank’s performance under each criterion.</w:t>
      </w:r>
    </w:p>
    <w:p w:rsidR="00431ECD" w:rsidRPr="00170C92" w:rsidRDefault="00431ECD" w:rsidP="00420F26">
      <w:pPr>
        <w:jc w:val="both"/>
        <w:rPr>
          <w:iCs/>
        </w:rPr>
      </w:pPr>
    </w:p>
    <w:p w:rsidR="003046D1" w:rsidRPr="00B974A5" w:rsidRDefault="003046D1" w:rsidP="00420F26">
      <w:pPr>
        <w:jc w:val="both"/>
        <w:rPr>
          <w:b/>
          <w:bCs/>
          <w:spacing w:val="-3"/>
          <w:u w:val="single"/>
        </w:rPr>
      </w:pPr>
      <w:r w:rsidRPr="00B974A5">
        <w:rPr>
          <w:b/>
          <w:bCs/>
          <w:spacing w:val="-3"/>
          <w:u w:val="single"/>
        </w:rPr>
        <w:t>Loan-to-Deposit Ratio</w:t>
      </w:r>
    </w:p>
    <w:p w:rsidR="003046D1" w:rsidRPr="00B974A5" w:rsidRDefault="003046D1" w:rsidP="00420F26">
      <w:pPr>
        <w:jc w:val="both"/>
        <w:rPr>
          <w:b/>
          <w:bCs/>
          <w:spacing w:val="-3"/>
          <w:u w:val="single"/>
        </w:rPr>
      </w:pPr>
    </w:p>
    <w:p w:rsidR="003046D1" w:rsidRPr="009C5ABC" w:rsidRDefault="003046D1" w:rsidP="00420F26">
      <w:pPr>
        <w:pStyle w:val="Default"/>
        <w:jc w:val="both"/>
        <w:rPr>
          <w:bCs/>
          <w:u w:val="single"/>
        </w:rPr>
      </w:pPr>
      <w:r w:rsidRPr="00B974A5">
        <w:rPr>
          <w:color w:val="auto"/>
        </w:rPr>
        <w:t>The average net loan-to-deposit</w:t>
      </w:r>
      <w:r>
        <w:rPr>
          <w:color w:val="auto"/>
        </w:rPr>
        <w:t xml:space="preserve"> (LTD)</w:t>
      </w:r>
      <w:r w:rsidRPr="00B974A5">
        <w:rPr>
          <w:color w:val="auto"/>
        </w:rPr>
        <w:t xml:space="preserve"> ratio is </w:t>
      </w:r>
      <w:r w:rsidRPr="00A1724D">
        <w:rPr>
          <w:color w:val="auto"/>
        </w:rPr>
        <w:t xml:space="preserve">reasonable given </w:t>
      </w:r>
      <w:r w:rsidRPr="00B974A5">
        <w:rPr>
          <w:color w:val="auto"/>
        </w:rPr>
        <w:t xml:space="preserve">the institution’s size, financial condition, </w:t>
      </w:r>
      <w:r w:rsidRPr="009C5ABC">
        <w:rPr>
          <w:color w:val="auto"/>
        </w:rPr>
        <w:t>an</w:t>
      </w:r>
      <w:r>
        <w:rPr>
          <w:color w:val="auto"/>
        </w:rPr>
        <w:t xml:space="preserve">d assessment area credit needs.  </w:t>
      </w:r>
      <w:r w:rsidRPr="009C5ABC">
        <w:rPr>
          <w:color w:val="auto"/>
        </w:rPr>
        <w:t xml:space="preserve">The bank’s LTD ratio, calculated from the Quarterly Call Report data, averaged 70.3 percent over the past twenty calendar quarters from March 31, 2016 through December 31, 2020. The ratio ranged from a high of 79.9 percent as of September 30, 2018, to a low of 61.6 percent as of March 31, </w:t>
      </w:r>
      <w:r w:rsidRPr="00FB2B82">
        <w:rPr>
          <w:color w:val="auto"/>
        </w:rPr>
        <w:t xml:space="preserve">2016.  </w:t>
      </w:r>
      <w:r w:rsidRPr="00FB2B82">
        <w:rPr>
          <w:noProof/>
        </w:rPr>
        <w:t xml:space="preserve">The bank’s average LTD ratio </w:t>
      </w:r>
      <w:r w:rsidRPr="009C5ABC">
        <w:rPr>
          <w:noProof/>
        </w:rPr>
        <w:t xml:space="preserve">was compared to that of similarly situated institutions based on </w:t>
      </w:r>
      <w:r>
        <w:rPr>
          <w:noProof/>
        </w:rPr>
        <w:t xml:space="preserve">asset size, </w:t>
      </w:r>
      <w:r w:rsidRPr="009C5ABC">
        <w:rPr>
          <w:noProof/>
        </w:rPr>
        <w:t xml:space="preserve">geographic location, lending focus and branching structure.  Canton Co-operative Bank’s average LTD ratio is </w:t>
      </w:r>
      <w:r w:rsidR="00842255">
        <w:rPr>
          <w:noProof/>
        </w:rPr>
        <w:t xml:space="preserve">slightly </w:t>
      </w:r>
      <w:r w:rsidRPr="009C5ABC">
        <w:rPr>
          <w:noProof/>
        </w:rPr>
        <w:t xml:space="preserve">below the three institutions used in this comparison. </w:t>
      </w:r>
    </w:p>
    <w:p w:rsidR="003046D1" w:rsidRPr="009C5ABC" w:rsidRDefault="003046D1" w:rsidP="00420F26">
      <w:pPr>
        <w:outlineLvl w:val="2"/>
        <w:rPr>
          <w:b/>
          <w:bCs/>
          <w:highlight w:val="yellow"/>
          <w:u w:val="single"/>
        </w:rPr>
      </w:pPr>
    </w:p>
    <w:tbl>
      <w:tblPr>
        <w:tblW w:w="9679" w:type="dxa"/>
        <w:tblInd w:w="-10" w:type="dxa"/>
        <w:tblLook w:val="04A0" w:firstRow="1" w:lastRow="0" w:firstColumn="1" w:lastColumn="0" w:noHBand="0" w:noVBand="1"/>
      </w:tblPr>
      <w:tblGrid>
        <w:gridCol w:w="5562"/>
        <w:gridCol w:w="1921"/>
        <w:gridCol w:w="2196"/>
      </w:tblGrid>
      <w:tr w:rsidR="003046D1" w:rsidRPr="00C24464" w:rsidTr="00420F26">
        <w:trPr>
          <w:trHeight w:val="227"/>
        </w:trPr>
        <w:tc>
          <w:tcPr>
            <w:tcW w:w="9679"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6D1" w:rsidRPr="009031E2" w:rsidRDefault="003046D1" w:rsidP="00420F26">
            <w:pPr>
              <w:jc w:val="center"/>
              <w:rPr>
                <w:b/>
                <w:bCs/>
                <w:sz w:val="22"/>
                <w:szCs w:val="22"/>
              </w:rPr>
            </w:pPr>
            <w:r>
              <w:rPr>
                <w:b/>
                <w:bCs/>
                <w:sz w:val="22"/>
                <w:szCs w:val="22"/>
              </w:rPr>
              <w:t>Loan-to-Deposit</w:t>
            </w:r>
            <w:r w:rsidRPr="009031E2">
              <w:rPr>
                <w:b/>
                <w:bCs/>
                <w:sz w:val="22"/>
                <w:szCs w:val="22"/>
              </w:rPr>
              <w:t xml:space="preserve"> Ratio Comparison</w:t>
            </w:r>
          </w:p>
        </w:tc>
      </w:tr>
      <w:tr w:rsidR="003046D1" w:rsidRPr="00C24464" w:rsidTr="00420F26">
        <w:trPr>
          <w:trHeight w:val="386"/>
        </w:trPr>
        <w:tc>
          <w:tcPr>
            <w:tcW w:w="5562" w:type="dxa"/>
            <w:tcBorders>
              <w:top w:val="nil"/>
              <w:left w:val="single" w:sz="8" w:space="0" w:color="auto"/>
              <w:bottom w:val="single" w:sz="4" w:space="0" w:color="auto"/>
              <w:right w:val="single" w:sz="4" w:space="0" w:color="auto"/>
            </w:tcBorders>
            <w:shd w:val="clear" w:color="auto" w:fill="auto"/>
            <w:noWrap/>
            <w:vAlign w:val="center"/>
            <w:hideMark/>
          </w:tcPr>
          <w:p w:rsidR="003046D1" w:rsidRPr="009031E2" w:rsidRDefault="003046D1" w:rsidP="00420F26">
            <w:pPr>
              <w:jc w:val="center"/>
              <w:rPr>
                <w:b/>
                <w:sz w:val="20"/>
                <w:szCs w:val="20"/>
              </w:rPr>
            </w:pPr>
            <w:r w:rsidRPr="009031E2">
              <w:rPr>
                <w:b/>
                <w:sz w:val="20"/>
                <w:szCs w:val="20"/>
              </w:rPr>
              <w:t>Institution</w:t>
            </w:r>
          </w:p>
        </w:tc>
        <w:tc>
          <w:tcPr>
            <w:tcW w:w="1921" w:type="dxa"/>
            <w:tcBorders>
              <w:top w:val="nil"/>
              <w:left w:val="nil"/>
              <w:bottom w:val="single" w:sz="4" w:space="0" w:color="auto"/>
              <w:right w:val="single" w:sz="4" w:space="0" w:color="auto"/>
            </w:tcBorders>
            <w:shd w:val="clear" w:color="auto" w:fill="auto"/>
            <w:vAlign w:val="center"/>
            <w:hideMark/>
          </w:tcPr>
          <w:p w:rsidR="003046D1" w:rsidRPr="009031E2" w:rsidRDefault="003046D1" w:rsidP="00420F26">
            <w:pPr>
              <w:jc w:val="center"/>
              <w:rPr>
                <w:b/>
                <w:sz w:val="20"/>
                <w:szCs w:val="20"/>
              </w:rPr>
            </w:pPr>
            <w:r w:rsidRPr="009031E2">
              <w:rPr>
                <w:b/>
                <w:sz w:val="20"/>
                <w:szCs w:val="20"/>
              </w:rPr>
              <w:t>Total Assets $(000’s)</w:t>
            </w:r>
          </w:p>
        </w:tc>
        <w:tc>
          <w:tcPr>
            <w:tcW w:w="2195" w:type="dxa"/>
            <w:tcBorders>
              <w:top w:val="nil"/>
              <w:left w:val="nil"/>
              <w:bottom w:val="single" w:sz="4" w:space="0" w:color="auto"/>
              <w:right w:val="single" w:sz="8" w:space="0" w:color="auto"/>
            </w:tcBorders>
            <w:shd w:val="clear" w:color="auto" w:fill="auto"/>
            <w:vAlign w:val="center"/>
            <w:hideMark/>
          </w:tcPr>
          <w:p w:rsidR="003046D1" w:rsidRPr="009031E2" w:rsidRDefault="003046D1" w:rsidP="00420F26">
            <w:pPr>
              <w:jc w:val="center"/>
              <w:rPr>
                <w:b/>
                <w:sz w:val="20"/>
                <w:szCs w:val="20"/>
              </w:rPr>
            </w:pPr>
            <w:r w:rsidRPr="009031E2">
              <w:rPr>
                <w:b/>
                <w:sz w:val="20"/>
                <w:szCs w:val="20"/>
              </w:rPr>
              <w:t>Average LTD Ratio (%)</w:t>
            </w:r>
          </w:p>
        </w:tc>
      </w:tr>
      <w:tr w:rsidR="003046D1" w:rsidRPr="00C24464" w:rsidTr="00420F26">
        <w:trPr>
          <w:trHeight w:val="227"/>
        </w:trPr>
        <w:tc>
          <w:tcPr>
            <w:tcW w:w="5562" w:type="dxa"/>
            <w:tcBorders>
              <w:top w:val="nil"/>
              <w:left w:val="single" w:sz="8" w:space="0" w:color="auto"/>
              <w:bottom w:val="single" w:sz="4" w:space="0" w:color="auto"/>
              <w:right w:val="single" w:sz="4" w:space="0" w:color="auto"/>
            </w:tcBorders>
            <w:shd w:val="clear" w:color="auto" w:fill="auto"/>
            <w:noWrap/>
            <w:vAlign w:val="bottom"/>
          </w:tcPr>
          <w:p w:rsidR="003046D1" w:rsidRPr="00CE13F1" w:rsidRDefault="003046D1" w:rsidP="00420F26">
            <w:pPr>
              <w:rPr>
                <w:b/>
                <w:sz w:val="20"/>
                <w:szCs w:val="20"/>
              </w:rPr>
            </w:pPr>
            <w:r w:rsidRPr="00CE13F1">
              <w:rPr>
                <w:b/>
                <w:sz w:val="20"/>
                <w:szCs w:val="20"/>
              </w:rPr>
              <w:t>Canton Co-operative Bank</w:t>
            </w:r>
          </w:p>
        </w:tc>
        <w:tc>
          <w:tcPr>
            <w:tcW w:w="1921" w:type="dxa"/>
            <w:tcBorders>
              <w:top w:val="nil"/>
              <w:left w:val="nil"/>
              <w:bottom w:val="single" w:sz="4" w:space="0" w:color="auto"/>
              <w:right w:val="single" w:sz="4" w:space="0" w:color="auto"/>
            </w:tcBorders>
            <w:shd w:val="clear" w:color="auto" w:fill="auto"/>
            <w:noWrap/>
            <w:vAlign w:val="bottom"/>
          </w:tcPr>
          <w:p w:rsidR="003046D1" w:rsidRPr="00CE13F1" w:rsidRDefault="003046D1" w:rsidP="00420F26">
            <w:pPr>
              <w:jc w:val="center"/>
              <w:rPr>
                <w:b/>
                <w:sz w:val="20"/>
                <w:szCs w:val="20"/>
              </w:rPr>
            </w:pPr>
            <w:r w:rsidRPr="00CE13F1">
              <w:rPr>
                <w:b/>
                <w:sz w:val="20"/>
                <w:szCs w:val="20"/>
              </w:rPr>
              <w:t>138,853</w:t>
            </w:r>
          </w:p>
        </w:tc>
        <w:tc>
          <w:tcPr>
            <w:tcW w:w="2195" w:type="dxa"/>
            <w:tcBorders>
              <w:top w:val="nil"/>
              <w:left w:val="nil"/>
              <w:bottom w:val="single" w:sz="4" w:space="0" w:color="auto"/>
              <w:right w:val="single" w:sz="8" w:space="0" w:color="auto"/>
            </w:tcBorders>
            <w:shd w:val="clear" w:color="auto" w:fill="auto"/>
            <w:noWrap/>
            <w:vAlign w:val="bottom"/>
          </w:tcPr>
          <w:p w:rsidR="003046D1" w:rsidRPr="00CE13F1" w:rsidRDefault="003046D1" w:rsidP="00420F26">
            <w:pPr>
              <w:jc w:val="center"/>
              <w:rPr>
                <w:b/>
                <w:sz w:val="20"/>
                <w:szCs w:val="20"/>
              </w:rPr>
            </w:pPr>
            <w:r w:rsidRPr="00CE13F1">
              <w:rPr>
                <w:b/>
                <w:sz w:val="20"/>
                <w:szCs w:val="20"/>
              </w:rPr>
              <w:t>70.3</w:t>
            </w:r>
          </w:p>
        </w:tc>
      </w:tr>
      <w:tr w:rsidR="003046D1" w:rsidRPr="00C24464" w:rsidTr="00420F26">
        <w:trPr>
          <w:trHeight w:val="227"/>
        </w:trPr>
        <w:tc>
          <w:tcPr>
            <w:tcW w:w="5562" w:type="dxa"/>
            <w:tcBorders>
              <w:top w:val="nil"/>
              <w:left w:val="single" w:sz="8" w:space="0" w:color="auto"/>
              <w:bottom w:val="single" w:sz="4" w:space="0" w:color="auto"/>
              <w:right w:val="single" w:sz="4" w:space="0" w:color="auto"/>
            </w:tcBorders>
            <w:shd w:val="clear" w:color="auto" w:fill="auto"/>
            <w:noWrap/>
            <w:vAlign w:val="bottom"/>
          </w:tcPr>
          <w:p w:rsidR="003046D1" w:rsidRPr="009031E2" w:rsidRDefault="003046D1" w:rsidP="00420F26">
            <w:pPr>
              <w:rPr>
                <w:sz w:val="20"/>
                <w:szCs w:val="20"/>
              </w:rPr>
            </w:pPr>
            <w:r>
              <w:rPr>
                <w:sz w:val="20"/>
                <w:szCs w:val="20"/>
              </w:rPr>
              <w:t>Wrentham Co-operative Bank</w:t>
            </w:r>
          </w:p>
        </w:tc>
        <w:tc>
          <w:tcPr>
            <w:tcW w:w="1921" w:type="dxa"/>
            <w:tcBorders>
              <w:top w:val="nil"/>
              <w:left w:val="nil"/>
              <w:bottom w:val="single" w:sz="4" w:space="0" w:color="auto"/>
              <w:right w:val="single" w:sz="4" w:space="0" w:color="auto"/>
            </w:tcBorders>
            <w:shd w:val="clear" w:color="auto" w:fill="auto"/>
            <w:noWrap/>
            <w:vAlign w:val="bottom"/>
          </w:tcPr>
          <w:p w:rsidR="003046D1" w:rsidRPr="009031E2" w:rsidRDefault="003046D1" w:rsidP="00420F26">
            <w:pPr>
              <w:jc w:val="center"/>
              <w:rPr>
                <w:sz w:val="20"/>
                <w:szCs w:val="20"/>
              </w:rPr>
            </w:pPr>
            <w:r w:rsidRPr="009031E2">
              <w:rPr>
                <w:sz w:val="20"/>
                <w:szCs w:val="20"/>
              </w:rPr>
              <w:t>135,924</w:t>
            </w:r>
          </w:p>
        </w:tc>
        <w:tc>
          <w:tcPr>
            <w:tcW w:w="2195" w:type="dxa"/>
            <w:tcBorders>
              <w:top w:val="nil"/>
              <w:left w:val="nil"/>
              <w:bottom w:val="single" w:sz="4" w:space="0" w:color="auto"/>
              <w:right w:val="single" w:sz="8" w:space="0" w:color="auto"/>
            </w:tcBorders>
            <w:shd w:val="clear" w:color="auto" w:fill="auto"/>
            <w:noWrap/>
            <w:vAlign w:val="bottom"/>
          </w:tcPr>
          <w:p w:rsidR="003046D1" w:rsidRPr="009031E2" w:rsidRDefault="003046D1" w:rsidP="00420F26">
            <w:pPr>
              <w:jc w:val="center"/>
              <w:rPr>
                <w:sz w:val="20"/>
                <w:szCs w:val="20"/>
              </w:rPr>
            </w:pPr>
            <w:r w:rsidRPr="009031E2">
              <w:rPr>
                <w:sz w:val="20"/>
                <w:szCs w:val="20"/>
              </w:rPr>
              <w:t>73.4</w:t>
            </w:r>
          </w:p>
        </w:tc>
      </w:tr>
      <w:tr w:rsidR="003046D1" w:rsidRPr="00C24464" w:rsidTr="00420F26">
        <w:trPr>
          <w:trHeight w:val="227"/>
        </w:trPr>
        <w:tc>
          <w:tcPr>
            <w:tcW w:w="5562" w:type="dxa"/>
            <w:tcBorders>
              <w:top w:val="nil"/>
              <w:left w:val="single" w:sz="8" w:space="0" w:color="auto"/>
              <w:bottom w:val="single" w:sz="4" w:space="0" w:color="auto"/>
              <w:right w:val="single" w:sz="4" w:space="0" w:color="auto"/>
            </w:tcBorders>
            <w:shd w:val="clear" w:color="auto" w:fill="auto"/>
            <w:noWrap/>
            <w:vAlign w:val="bottom"/>
          </w:tcPr>
          <w:p w:rsidR="003046D1" w:rsidRPr="009031E2" w:rsidRDefault="003046D1" w:rsidP="00420F26">
            <w:pPr>
              <w:rPr>
                <w:sz w:val="20"/>
                <w:szCs w:val="20"/>
              </w:rPr>
            </w:pPr>
            <w:r>
              <w:rPr>
                <w:sz w:val="20"/>
                <w:szCs w:val="20"/>
              </w:rPr>
              <w:t>Stoughton Co-operative Bank</w:t>
            </w:r>
          </w:p>
        </w:tc>
        <w:tc>
          <w:tcPr>
            <w:tcW w:w="1921" w:type="dxa"/>
            <w:tcBorders>
              <w:top w:val="nil"/>
              <w:left w:val="nil"/>
              <w:bottom w:val="single" w:sz="4" w:space="0" w:color="auto"/>
              <w:right w:val="single" w:sz="4" w:space="0" w:color="auto"/>
            </w:tcBorders>
            <w:shd w:val="clear" w:color="auto" w:fill="auto"/>
            <w:noWrap/>
            <w:vAlign w:val="bottom"/>
          </w:tcPr>
          <w:p w:rsidR="003046D1" w:rsidRPr="009031E2" w:rsidRDefault="003046D1" w:rsidP="00420F26">
            <w:pPr>
              <w:jc w:val="center"/>
              <w:rPr>
                <w:sz w:val="20"/>
                <w:szCs w:val="20"/>
              </w:rPr>
            </w:pPr>
            <w:r w:rsidRPr="009031E2">
              <w:rPr>
                <w:sz w:val="20"/>
                <w:szCs w:val="20"/>
              </w:rPr>
              <w:t>121,866</w:t>
            </w:r>
          </w:p>
        </w:tc>
        <w:tc>
          <w:tcPr>
            <w:tcW w:w="2195" w:type="dxa"/>
            <w:tcBorders>
              <w:top w:val="nil"/>
              <w:left w:val="nil"/>
              <w:bottom w:val="single" w:sz="4" w:space="0" w:color="auto"/>
              <w:right w:val="single" w:sz="8" w:space="0" w:color="auto"/>
            </w:tcBorders>
            <w:shd w:val="clear" w:color="auto" w:fill="auto"/>
            <w:noWrap/>
            <w:vAlign w:val="bottom"/>
          </w:tcPr>
          <w:p w:rsidR="003046D1" w:rsidRPr="009031E2" w:rsidRDefault="003046D1" w:rsidP="00420F26">
            <w:pPr>
              <w:jc w:val="center"/>
              <w:rPr>
                <w:sz w:val="20"/>
                <w:szCs w:val="20"/>
              </w:rPr>
            </w:pPr>
            <w:r w:rsidRPr="009031E2">
              <w:rPr>
                <w:sz w:val="20"/>
                <w:szCs w:val="20"/>
              </w:rPr>
              <w:t>80.7</w:t>
            </w:r>
          </w:p>
        </w:tc>
      </w:tr>
      <w:tr w:rsidR="003046D1" w:rsidRPr="00C24464" w:rsidTr="00420F26">
        <w:trPr>
          <w:trHeight w:val="238"/>
        </w:trPr>
        <w:tc>
          <w:tcPr>
            <w:tcW w:w="5562" w:type="dxa"/>
            <w:tcBorders>
              <w:top w:val="nil"/>
              <w:left w:val="single" w:sz="8" w:space="0" w:color="auto"/>
              <w:bottom w:val="single" w:sz="4" w:space="0" w:color="auto"/>
              <w:right w:val="single" w:sz="4" w:space="0" w:color="auto"/>
            </w:tcBorders>
            <w:shd w:val="clear" w:color="auto" w:fill="auto"/>
            <w:noWrap/>
            <w:vAlign w:val="bottom"/>
          </w:tcPr>
          <w:p w:rsidR="003046D1" w:rsidRPr="009031E2" w:rsidRDefault="003046D1" w:rsidP="00420F26">
            <w:pPr>
              <w:rPr>
                <w:sz w:val="20"/>
                <w:szCs w:val="20"/>
              </w:rPr>
            </w:pPr>
            <w:r>
              <w:rPr>
                <w:sz w:val="20"/>
                <w:szCs w:val="20"/>
              </w:rPr>
              <w:t>Charles River Bank</w:t>
            </w:r>
          </w:p>
        </w:tc>
        <w:tc>
          <w:tcPr>
            <w:tcW w:w="1921" w:type="dxa"/>
            <w:tcBorders>
              <w:top w:val="nil"/>
              <w:left w:val="nil"/>
              <w:bottom w:val="single" w:sz="4" w:space="0" w:color="auto"/>
              <w:right w:val="single" w:sz="4" w:space="0" w:color="auto"/>
            </w:tcBorders>
            <w:shd w:val="clear" w:color="auto" w:fill="auto"/>
            <w:noWrap/>
            <w:vAlign w:val="bottom"/>
          </w:tcPr>
          <w:p w:rsidR="003046D1" w:rsidRPr="009031E2" w:rsidRDefault="003046D1" w:rsidP="00420F26">
            <w:pPr>
              <w:jc w:val="center"/>
              <w:rPr>
                <w:sz w:val="20"/>
                <w:szCs w:val="20"/>
              </w:rPr>
            </w:pPr>
            <w:r w:rsidRPr="009031E2">
              <w:rPr>
                <w:sz w:val="20"/>
                <w:szCs w:val="20"/>
              </w:rPr>
              <w:t>289,492</w:t>
            </w:r>
          </w:p>
        </w:tc>
        <w:tc>
          <w:tcPr>
            <w:tcW w:w="2195" w:type="dxa"/>
            <w:tcBorders>
              <w:top w:val="nil"/>
              <w:left w:val="nil"/>
              <w:bottom w:val="single" w:sz="4" w:space="0" w:color="auto"/>
              <w:right w:val="single" w:sz="8" w:space="0" w:color="auto"/>
            </w:tcBorders>
            <w:shd w:val="clear" w:color="auto" w:fill="auto"/>
            <w:noWrap/>
            <w:vAlign w:val="bottom"/>
          </w:tcPr>
          <w:p w:rsidR="003046D1" w:rsidRPr="009031E2" w:rsidRDefault="003046D1" w:rsidP="00420F26">
            <w:pPr>
              <w:jc w:val="center"/>
              <w:rPr>
                <w:sz w:val="20"/>
                <w:szCs w:val="20"/>
              </w:rPr>
            </w:pPr>
            <w:r>
              <w:rPr>
                <w:sz w:val="20"/>
                <w:szCs w:val="20"/>
              </w:rPr>
              <w:t>85.6</w:t>
            </w:r>
          </w:p>
        </w:tc>
      </w:tr>
      <w:tr w:rsidR="003046D1" w:rsidRPr="00C24464" w:rsidTr="00420F26">
        <w:trPr>
          <w:trHeight w:val="238"/>
        </w:trPr>
        <w:tc>
          <w:tcPr>
            <w:tcW w:w="5562" w:type="dxa"/>
            <w:tcBorders>
              <w:top w:val="single" w:sz="8" w:space="0" w:color="auto"/>
              <w:left w:val="single" w:sz="8" w:space="0" w:color="auto"/>
              <w:bottom w:val="single" w:sz="8" w:space="0" w:color="auto"/>
              <w:right w:val="nil"/>
            </w:tcBorders>
            <w:shd w:val="clear" w:color="auto" w:fill="auto"/>
            <w:noWrap/>
            <w:vAlign w:val="bottom"/>
            <w:hideMark/>
          </w:tcPr>
          <w:p w:rsidR="003046D1" w:rsidRPr="009031E2" w:rsidRDefault="003046D1" w:rsidP="00420F26">
            <w:pPr>
              <w:rPr>
                <w:bCs/>
                <w:i/>
                <w:iCs/>
                <w:sz w:val="16"/>
                <w:szCs w:val="16"/>
              </w:rPr>
            </w:pPr>
            <w:r w:rsidRPr="009031E2">
              <w:rPr>
                <w:bCs/>
                <w:i/>
                <w:iCs/>
                <w:sz w:val="16"/>
                <w:szCs w:val="16"/>
              </w:rPr>
              <w:t>Source: Reports of Income and Condition 3/31/2016 through 12/31/2020</w:t>
            </w:r>
          </w:p>
        </w:tc>
        <w:tc>
          <w:tcPr>
            <w:tcW w:w="192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3046D1" w:rsidRPr="009031E2" w:rsidRDefault="003046D1" w:rsidP="00420F26">
            <w:pPr>
              <w:jc w:val="center"/>
              <w:rPr>
                <w:sz w:val="22"/>
                <w:szCs w:val="22"/>
              </w:rPr>
            </w:pPr>
          </w:p>
        </w:tc>
        <w:tc>
          <w:tcPr>
            <w:tcW w:w="2195" w:type="dxa"/>
            <w:tcBorders>
              <w:top w:val="single" w:sz="8" w:space="0" w:color="auto"/>
              <w:left w:val="nil"/>
              <w:bottom w:val="single" w:sz="8" w:space="0" w:color="auto"/>
              <w:right w:val="single" w:sz="8" w:space="0" w:color="auto"/>
            </w:tcBorders>
            <w:shd w:val="clear" w:color="auto" w:fill="auto"/>
            <w:noWrap/>
            <w:vAlign w:val="bottom"/>
            <w:hideMark/>
          </w:tcPr>
          <w:p w:rsidR="003046D1" w:rsidRPr="009031E2" w:rsidRDefault="003046D1" w:rsidP="00420F26">
            <w:pPr>
              <w:jc w:val="center"/>
              <w:rPr>
                <w:sz w:val="22"/>
                <w:szCs w:val="22"/>
              </w:rPr>
            </w:pPr>
          </w:p>
        </w:tc>
      </w:tr>
    </w:tbl>
    <w:p w:rsidR="003046D1" w:rsidRPr="00BB11C5" w:rsidRDefault="003046D1" w:rsidP="00420F26">
      <w:pPr>
        <w:outlineLvl w:val="2"/>
        <w:rPr>
          <w:b/>
          <w:bCs/>
          <w:highlight w:val="yellow"/>
          <w:u w:val="single"/>
        </w:rPr>
      </w:pPr>
    </w:p>
    <w:p w:rsidR="003046D1" w:rsidRDefault="003046D1" w:rsidP="00420F26">
      <w:pPr>
        <w:outlineLvl w:val="2"/>
        <w:rPr>
          <w:b/>
          <w:bCs/>
          <w:highlight w:val="yellow"/>
          <w:u w:val="single"/>
        </w:rPr>
      </w:pPr>
    </w:p>
    <w:tbl>
      <w:tblPr>
        <w:tblW w:w="0" w:type="auto"/>
        <w:tblCellMar>
          <w:left w:w="0" w:type="dxa"/>
          <w:right w:w="0" w:type="dxa"/>
        </w:tblCellMar>
        <w:tblLook w:val="0000" w:firstRow="0" w:lastRow="0" w:firstColumn="0" w:lastColumn="0" w:noHBand="0" w:noVBand="0"/>
      </w:tblPr>
      <w:tblGrid>
        <w:gridCol w:w="9360"/>
      </w:tblGrid>
      <w:tr w:rsidR="003046D1" w:rsidRPr="00BB11C5" w:rsidTr="00062645">
        <w:tc>
          <w:tcPr>
            <w:tcW w:w="9360" w:type="dxa"/>
          </w:tcPr>
          <w:p w:rsidR="00431ECD" w:rsidRPr="00431ECD" w:rsidRDefault="00431ECD" w:rsidP="00420F26">
            <w:pPr>
              <w:jc w:val="both"/>
              <w:rPr>
                <w:b/>
                <w:u w:val="single"/>
              </w:rPr>
            </w:pPr>
            <w:r>
              <w:rPr>
                <w:b/>
                <w:u w:val="single"/>
              </w:rPr>
              <w:lastRenderedPageBreak/>
              <w:t>Assessment Area Concentration</w:t>
            </w:r>
          </w:p>
        </w:tc>
      </w:tr>
    </w:tbl>
    <w:p w:rsidR="00842255" w:rsidRDefault="00842255" w:rsidP="00420F26">
      <w:pPr>
        <w:jc w:val="both"/>
      </w:pPr>
    </w:p>
    <w:p w:rsidR="003046D1" w:rsidRPr="00BB11C5" w:rsidRDefault="003046D1" w:rsidP="00420F26">
      <w:pPr>
        <w:jc w:val="both"/>
      </w:pPr>
      <w:r w:rsidRPr="00BB11C5">
        <w:t>The bank made a majority of home mortgage loans, by number and dollar volume, within its assessment area.  Please see the following table for more detail.</w:t>
      </w:r>
    </w:p>
    <w:p w:rsidR="003046D1" w:rsidRDefault="003046D1" w:rsidP="00420F26">
      <w:pPr>
        <w:rPr>
          <w:color w:val="FF0000"/>
        </w:rPr>
      </w:pPr>
    </w:p>
    <w:tbl>
      <w:tblPr>
        <w:tblW w:w="9687" w:type="dxa"/>
        <w:tblCellMar>
          <w:left w:w="0" w:type="dxa"/>
          <w:right w:w="0" w:type="dxa"/>
        </w:tblCellMar>
        <w:tblLook w:val="0000" w:firstRow="0" w:lastRow="0" w:firstColumn="0" w:lastColumn="0" w:noHBand="0" w:noVBand="0"/>
      </w:tblPr>
      <w:tblGrid>
        <w:gridCol w:w="1815"/>
        <w:gridCol w:w="847"/>
        <w:gridCol w:w="609"/>
        <w:gridCol w:w="855"/>
        <w:gridCol w:w="615"/>
        <w:gridCol w:w="890"/>
        <w:gridCol w:w="961"/>
        <w:gridCol w:w="610"/>
        <w:gridCol w:w="929"/>
        <w:gridCol w:w="609"/>
        <w:gridCol w:w="941"/>
        <w:gridCol w:w="6"/>
      </w:tblGrid>
      <w:tr w:rsidR="003046D1" w:rsidTr="00420F26">
        <w:trPr>
          <w:trHeight w:val="259"/>
        </w:trPr>
        <w:tc>
          <w:tcPr>
            <w:tcW w:w="9687" w:type="dxa"/>
            <w:gridSpan w:val="12"/>
            <w:tcBorders>
              <w:top w:val="single" w:sz="7" w:space="0" w:color="000000"/>
              <w:left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Lending Inside and Outside of the Assessment Area</w:t>
            </w:r>
          </w:p>
        </w:tc>
      </w:tr>
      <w:tr w:rsidR="003046D1" w:rsidTr="00420F26">
        <w:trPr>
          <w:gridAfter w:val="1"/>
          <w:wAfter w:w="3" w:type="dxa"/>
          <w:trHeight w:val="193"/>
        </w:trPr>
        <w:tc>
          <w:tcPr>
            <w:tcW w:w="1817"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3046D1" w:rsidRDefault="003046D1" w:rsidP="00420F26"/>
        </w:tc>
        <w:tc>
          <w:tcPr>
            <w:tcW w:w="2927"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Number of Loans</w:t>
            </w:r>
          </w:p>
        </w:tc>
        <w:tc>
          <w:tcPr>
            <w:tcW w:w="890"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3046D1" w:rsidRDefault="003046D1" w:rsidP="00420F26"/>
        </w:tc>
        <w:tc>
          <w:tcPr>
            <w:tcW w:w="3109"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Dollar Amount of Loans $(000s)</w:t>
            </w:r>
          </w:p>
        </w:tc>
        <w:tc>
          <w:tcPr>
            <w:tcW w:w="941"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3046D1" w:rsidRDefault="003046D1" w:rsidP="00420F26"/>
        </w:tc>
      </w:tr>
      <w:tr w:rsidR="003046D1" w:rsidTr="00420F26">
        <w:trPr>
          <w:gridAfter w:val="1"/>
          <w:wAfter w:w="4" w:type="dxa"/>
          <w:trHeight w:val="193"/>
        </w:trPr>
        <w:tc>
          <w:tcPr>
            <w:tcW w:w="1817" w:type="dxa"/>
            <w:tcBorders>
              <w:left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Loan Category</w:t>
            </w:r>
          </w:p>
        </w:tc>
        <w:tc>
          <w:tcPr>
            <w:tcW w:w="145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Inside</w:t>
            </w:r>
          </w:p>
        </w:tc>
        <w:tc>
          <w:tcPr>
            <w:tcW w:w="14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Outside</w:t>
            </w:r>
          </w:p>
        </w:tc>
        <w:tc>
          <w:tcPr>
            <w:tcW w:w="890" w:type="dxa"/>
            <w:tcBorders>
              <w:left w:val="single" w:sz="7" w:space="0" w:color="000000"/>
              <w:right w:val="single" w:sz="7" w:space="0" w:color="000000"/>
            </w:tcBorders>
            <w:tcMar>
              <w:top w:w="0" w:type="dxa"/>
              <w:left w:w="39" w:type="dxa"/>
              <w:bottom w:w="39" w:type="dxa"/>
              <w:right w:w="39" w:type="dxa"/>
            </w:tcMar>
          </w:tcPr>
          <w:p w:rsidR="003046D1" w:rsidRDefault="003046D1" w:rsidP="00420F26">
            <w:pPr>
              <w:jc w:val="center"/>
            </w:pPr>
            <w:r>
              <w:rPr>
                <w:b/>
                <w:color w:val="000000"/>
                <w:sz w:val="20"/>
              </w:rPr>
              <w:t>Total</w:t>
            </w:r>
          </w:p>
        </w:tc>
        <w:tc>
          <w:tcPr>
            <w:tcW w:w="1571"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Inside</w:t>
            </w:r>
          </w:p>
        </w:tc>
        <w:tc>
          <w:tcPr>
            <w:tcW w:w="1538"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Outside</w:t>
            </w:r>
          </w:p>
        </w:tc>
        <w:tc>
          <w:tcPr>
            <w:tcW w:w="941" w:type="dxa"/>
            <w:tcBorders>
              <w:left w:val="single" w:sz="7" w:space="0" w:color="000000"/>
              <w:right w:val="single" w:sz="7" w:space="0" w:color="000000"/>
            </w:tcBorders>
            <w:tcMar>
              <w:top w:w="0" w:type="dxa"/>
              <w:left w:w="39" w:type="dxa"/>
              <w:bottom w:w="39" w:type="dxa"/>
              <w:right w:w="39" w:type="dxa"/>
            </w:tcMar>
          </w:tcPr>
          <w:p w:rsidR="003046D1" w:rsidRDefault="003046D1" w:rsidP="00420F26">
            <w:pPr>
              <w:jc w:val="center"/>
            </w:pPr>
            <w:r>
              <w:rPr>
                <w:b/>
                <w:color w:val="000000"/>
                <w:sz w:val="20"/>
              </w:rPr>
              <w:t>Total</w:t>
            </w:r>
          </w:p>
        </w:tc>
      </w:tr>
      <w:tr w:rsidR="003046D1" w:rsidTr="00420F26">
        <w:trPr>
          <w:gridAfter w:val="1"/>
          <w:wAfter w:w="6" w:type="dxa"/>
          <w:trHeight w:val="193"/>
        </w:trPr>
        <w:tc>
          <w:tcPr>
            <w:tcW w:w="1817"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8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6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890" w:type="dxa"/>
            <w:tcBorders>
              <w:left w:val="single" w:sz="7" w:space="0" w:color="000000"/>
              <w:bottom w:val="single" w:sz="7" w:space="0" w:color="000000"/>
              <w:right w:val="single" w:sz="7" w:space="0" w:color="000000"/>
            </w:tcBorders>
            <w:tcMar>
              <w:top w:w="0" w:type="dxa"/>
              <w:left w:w="39" w:type="dxa"/>
              <w:bottom w:w="39" w:type="dxa"/>
              <w:right w:w="39" w:type="dxa"/>
            </w:tcMar>
          </w:tcPr>
          <w:p w:rsidR="003046D1" w:rsidRDefault="003046D1" w:rsidP="00420F26">
            <w:pPr>
              <w:jc w:val="center"/>
            </w:pPr>
            <w:r>
              <w:rPr>
                <w:b/>
                <w:color w:val="000000"/>
                <w:sz w:val="20"/>
              </w:rPr>
              <w:t>#</w:t>
            </w:r>
          </w:p>
        </w:tc>
        <w:tc>
          <w:tcPr>
            <w:tcW w:w="9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9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941" w:type="dxa"/>
            <w:tcBorders>
              <w:left w:val="single" w:sz="7" w:space="0" w:color="000000"/>
              <w:bottom w:val="single" w:sz="7" w:space="0" w:color="000000"/>
              <w:right w:val="single" w:sz="7" w:space="0" w:color="000000"/>
            </w:tcBorders>
            <w:tcMar>
              <w:top w:w="0" w:type="dxa"/>
              <w:left w:w="39" w:type="dxa"/>
              <w:bottom w:w="39" w:type="dxa"/>
              <w:right w:w="39" w:type="dxa"/>
            </w:tcMar>
          </w:tcPr>
          <w:p w:rsidR="003046D1" w:rsidRDefault="003046D1" w:rsidP="00420F26">
            <w:pPr>
              <w:jc w:val="center"/>
            </w:pPr>
            <w:r>
              <w:rPr>
                <w:b/>
                <w:color w:val="000000"/>
                <w:sz w:val="20"/>
              </w:rPr>
              <w:t>$(000s)</w:t>
            </w:r>
          </w:p>
        </w:tc>
      </w:tr>
      <w:tr w:rsidR="003046D1" w:rsidTr="00420F26">
        <w:trPr>
          <w:trHeight w:val="193"/>
        </w:trPr>
        <w:tc>
          <w:tcPr>
            <w:tcW w:w="18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Home Mortgage</w:t>
            </w:r>
          </w:p>
        </w:tc>
        <w:tc>
          <w:tcPr>
            <w:tcW w:w="7869"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gridAfter w:val="1"/>
          <w:wAfter w:w="6" w:type="dxa"/>
          <w:trHeight w:val="166"/>
        </w:trPr>
        <w:tc>
          <w:tcPr>
            <w:tcW w:w="181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22</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61.1</w:t>
            </w:r>
          </w:p>
        </w:tc>
        <w:tc>
          <w:tcPr>
            <w:tcW w:w="8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14</w:t>
            </w:r>
          </w:p>
        </w:tc>
        <w:tc>
          <w:tcPr>
            <w:tcW w:w="6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38.9</w:t>
            </w: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36</w:t>
            </w:r>
          </w:p>
        </w:tc>
        <w:tc>
          <w:tcPr>
            <w:tcW w:w="9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8,366</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64.4</w:t>
            </w:r>
          </w:p>
        </w:tc>
        <w:tc>
          <w:tcPr>
            <w:tcW w:w="9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4,625</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35.6</w:t>
            </w:r>
          </w:p>
        </w:tc>
        <w:tc>
          <w:tcPr>
            <w:tcW w:w="9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12,991</w:t>
            </w:r>
          </w:p>
        </w:tc>
      </w:tr>
      <w:tr w:rsidR="003046D1" w:rsidTr="00420F26">
        <w:trPr>
          <w:gridAfter w:val="1"/>
          <w:wAfter w:w="6" w:type="dxa"/>
          <w:trHeight w:val="166"/>
        </w:trPr>
        <w:tc>
          <w:tcPr>
            <w:tcW w:w="181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68.4</w:t>
            </w:r>
          </w:p>
        </w:tc>
        <w:tc>
          <w:tcPr>
            <w:tcW w:w="8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w:t>
            </w:r>
          </w:p>
        </w:tc>
        <w:tc>
          <w:tcPr>
            <w:tcW w:w="6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31.6</w:t>
            </w: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19</w:t>
            </w:r>
          </w:p>
        </w:tc>
        <w:tc>
          <w:tcPr>
            <w:tcW w:w="9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4,613</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74.4</w:t>
            </w:r>
          </w:p>
        </w:tc>
        <w:tc>
          <w:tcPr>
            <w:tcW w:w="9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1,589</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25.6</w:t>
            </w:r>
          </w:p>
        </w:tc>
        <w:tc>
          <w:tcPr>
            <w:tcW w:w="9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6,202</w:t>
            </w:r>
          </w:p>
        </w:tc>
      </w:tr>
      <w:tr w:rsidR="003046D1" w:rsidTr="00420F26">
        <w:trPr>
          <w:gridAfter w:val="1"/>
          <w:wAfter w:w="6" w:type="dxa"/>
          <w:trHeight w:val="193"/>
        </w:trPr>
        <w:tc>
          <w:tcPr>
            <w:tcW w:w="18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Total</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35</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63.6</w:t>
            </w:r>
          </w:p>
        </w:tc>
        <w:tc>
          <w:tcPr>
            <w:tcW w:w="8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20</w:t>
            </w:r>
          </w:p>
        </w:tc>
        <w:tc>
          <w:tcPr>
            <w:tcW w:w="6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36.4</w:t>
            </w: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55</w:t>
            </w:r>
          </w:p>
        </w:tc>
        <w:tc>
          <w:tcPr>
            <w:tcW w:w="9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12,979</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67.6</w:t>
            </w:r>
          </w:p>
        </w:tc>
        <w:tc>
          <w:tcPr>
            <w:tcW w:w="9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6,214</w:t>
            </w:r>
          </w:p>
        </w:tc>
        <w:tc>
          <w:tcPr>
            <w:tcW w:w="6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32.4</w:t>
            </w:r>
          </w:p>
        </w:tc>
        <w:tc>
          <w:tcPr>
            <w:tcW w:w="9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19,193</w:t>
            </w:r>
          </w:p>
        </w:tc>
      </w:tr>
      <w:tr w:rsidR="003046D1" w:rsidTr="00420F26">
        <w:trPr>
          <w:trHeight w:val="19"/>
        </w:trPr>
        <w:tc>
          <w:tcPr>
            <w:tcW w:w="9687" w:type="dxa"/>
            <w:gridSpan w:val="12"/>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3046D1" w:rsidRDefault="003046D1" w:rsidP="00420F26">
            <w:r>
              <w:rPr>
                <w:i/>
                <w:color w:val="000000"/>
                <w:sz w:val="16"/>
              </w:rPr>
              <w:t>Source: Bank Data</w:t>
            </w:r>
          </w:p>
        </w:tc>
      </w:tr>
    </w:tbl>
    <w:p w:rsidR="00B062F0" w:rsidRDefault="00B062F0" w:rsidP="00420F26">
      <w:pPr>
        <w:rPr>
          <w:iCs/>
          <w:color w:val="000000"/>
        </w:rPr>
      </w:pPr>
    </w:p>
    <w:p w:rsidR="003046D1" w:rsidRPr="00444A74" w:rsidRDefault="003046D1" w:rsidP="00420F26">
      <w:pPr>
        <w:jc w:val="both"/>
        <w:rPr>
          <w:b/>
          <w:bCs/>
          <w:u w:val="single"/>
        </w:rPr>
      </w:pPr>
      <w:r w:rsidRPr="00444A74">
        <w:rPr>
          <w:b/>
          <w:bCs/>
          <w:u w:val="single"/>
        </w:rPr>
        <w:t>Borrower Profile</w:t>
      </w:r>
    </w:p>
    <w:p w:rsidR="003046D1" w:rsidRPr="00444A74" w:rsidRDefault="003046D1" w:rsidP="00420F26">
      <w:pPr>
        <w:jc w:val="both"/>
        <w:rPr>
          <w:b/>
          <w:bCs/>
          <w:u w:val="single"/>
        </w:rPr>
      </w:pPr>
    </w:p>
    <w:p w:rsidR="003046D1" w:rsidRDefault="003046D1" w:rsidP="00420F26">
      <w:pPr>
        <w:jc w:val="both"/>
        <w:rPr>
          <w:bCs/>
        </w:rPr>
      </w:pPr>
      <w:r w:rsidRPr="00444A74">
        <w:rPr>
          <w:bCs/>
        </w:rPr>
        <w:t xml:space="preserve">The distribution of borrowers </w:t>
      </w:r>
      <w:r w:rsidRPr="007F5528">
        <w:rPr>
          <w:bCs/>
        </w:rPr>
        <w:t xml:space="preserve">reflects reasonable penetration </w:t>
      </w:r>
      <w:r w:rsidRPr="00444A74">
        <w:rPr>
          <w:bCs/>
        </w:rPr>
        <w:t xml:space="preserve">among individuals of different income levels, including low- and moderate-income borrowers.  Examiners focused on percentage, by number, of home mortgage loans to low- and moderate-income borrowers.  </w:t>
      </w:r>
    </w:p>
    <w:p w:rsidR="003046D1" w:rsidRDefault="003046D1" w:rsidP="00420F26">
      <w:pPr>
        <w:jc w:val="both"/>
        <w:rPr>
          <w:bCs/>
        </w:rPr>
      </w:pPr>
    </w:p>
    <w:p w:rsidR="003046D1" w:rsidRPr="007F5528" w:rsidRDefault="003046D1" w:rsidP="00420F26">
      <w:pPr>
        <w:jc w:val="both"/>
        <w:rPr>
          <w:bCs/>
          <w:highlight w:val="yellow"/>
        </w:rPr>
      </w:pPr>
      <w:r>
        <w:rPr>
          <w:bCs/>
        </w:rPr>
        <w:t xml:space="preserve">As shown in the table below, </w:t>
      </w:r>
      <w:r w:rsidRPr="00444A74">
        <w:rPr>
          <w:bCs/>
        </w:rPr>
        <w:t>the bank</w:t>
      </w:r>
      <w:r w:rsidR="00842255">
        <w:rPr>
          <w:bCs/>
        </w:rPr>
        <w:t xml:space="preserve"> made</w:t>
      </w:r>
      <w:r>
        <w:rPr>
          <w:bCs/>
        </w:rPr>
        <w:t xml:space="preserve"> no l</w:t>
      </w:r>
      <w:r w:rsidR="00842255">
        <w:rPr>
          <w:bCs/>
        </w:rPr>
        <w:t>oans</w:t>
      </w:r>
      <w:r>
        <w:rPr>
          <w:bCs/>
        </w:rPr>
        <w:t xml:space="preserve"> to low-income borrowers in 2018 and 2019.  L</w:t>
      </w:r>
      <w:r w:rsidRPr="00D0650C">
        <w:rPr>
          <w:bCs/>
        </w:rPr>
        <w:t xml:space="preserve">ending to moderate-income borrowers was slightly below aggregate </w:t>
      </w:r>
      <w:r w:rsidR="00842255">
        <w:rPr>
          <w:bCs/>
        </w:rPr>
        <w:t>but was</w:t>
      </w:r>
      <w:r w:rsidRPr="00D0650C">
        <w:rPr>
          <w:bCs/>
        </w:rPr>
        <w:t xml:space="preserve"> in line with demographic data for 2018 and above both aggregate and demographic data for 2019.</w:t>
      </w:r>
      <w:r w:rsidRPr="00930F57">
        <w:rPr>
          <w:bCs/>
        </w:rPr>
        <w:t xml:space="preserve">  </w:t>
      </w:r>
      <w:r w:rsidR="00842255">
        <w:rPr>
          <w:bCs/>
        </w:rPr>
        <w:t xml:space="preserve">The </w:t>
      </w:r>
      <w:r w:rsidRPr="00495AB6">
        <w:rPr>
          <w:bCs/>
        </w:rPr>
        <w:t xml:space="preserve">2015 ACS data shows that 4.3 percent of families have incomes below the poverty level.  The percentage of low-income families is typically higher than lending to these families, as a low-income family in the assessment area may have difficulty qualifying for a mortgage under conventional underwriting standards, considering the median housing value of $454,030.  </w:t>
      </w:r>
    </w:p>
    <w:p w:rsidR="003046D1" w:rsidRPr="007F5528" w:rsidRDefault="003046D1" w:rsidP="00420F26">
      <w:pPr>
        <w:rPr>
          <w:bCs/>
          <w:highlight w:val="yellow"/>
        </w:rPr>
      </w:pPr>
    </w:p>
    <w:p w:rsidR="00420F26" w:rsidRDefault="00420F26">
      <w:r>
        <w:br w:type="page"/>
      </w:r>
    </w:p>
    <w:tbl>
      <w:tblPr>
        <w:tblW w:w="9657" w:type="dxa"/>
        <w:tblCellMar>
          <w:left w:w="0" w:type="dxa"/>
          <w:right w:w="0" w:type="dxa"/>
        </w:tblCellMar>
        <w:tblLook w:val="0000" w:firstRow="0" w:lastRow="0" w:firstColumn="0" w:lastColumn="0" w:noHBand="0" w:noVBand="0"/>
      </w:tblPr>
      <w:tblGrid>
        <w:gridCol w:w="2330"/>
        <w:gridCol w:w="1464"/>
        <w:gridCol w:w="1478"/>
        <w:gridCol w:w="1158"/>
        <w:gridCol w:w="1023"/>
        <w:gridCol w:w="1173"/>
        <w:gridCol w:w="1031"/>
      </w:tblGrid>
      <w:tr w:rsidR="003046D1" w:rsidRPr="00706515" w:rsidTr="00420F26">
        <w:trPr>
          <w:trHeight w:val="228"/>
        </w:trPr>
        <w:tc>
          <w:tcPr>
            <w:tcW w:w="9657"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3046D1" w:rsidRPr="00706515" w:rsidRDefault="003046D1" w:rsidP="00420F26">
            <w:pPr>
              <w:jc w:val="center"/>
            </w:pPr>
            <w:r w:rsidRPr="00706515">
              <w:rPr>
                <w:b/>
                <w:sz w:val="20"/>
              </w:rPr>
              <w:lastRenderedPageBreak/>
              <w:t>Distribution of Home Mortgage Loans by Borrower Income Level</w:t>
            </w:r>
          </w:p>
        </w:tc>
      </w:tr>
      <w:tr w:rsidR="003046D1" w:rsidTr="00420F26">
        <w:trPr>
          <w:trHeight w:val="26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Borrower Income Level</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 of  Families</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Aggregate Performance</w:t>
            </w:r>
            <w:r>
              <w:rPr>
                <w:b/>
                <w:color w:val="000000"/>
                <w:sz w:val="20"/>
              </w:rPr>
              <w:br/>
              <w:t>% of #</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$(000s)</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Low</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15.3</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4.4</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15.3</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3.8</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Moderate</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13.5</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14.7</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13.6</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535</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6.4</w:t>
            </w:r>
          </w:p>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13.5</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14.6</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15.4</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445</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9.6</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Middle</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19.0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21.9</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18.2</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1,003</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12.0</w:t>
            </w:r>
          </w:p>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19.0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21.4</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38.5</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1,278</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27.7</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Upper</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52.2</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47.6</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15</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68.2</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6,828</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81.6</w:t>
            </w:r>
          </w:p>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52.2</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47.9</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46.2</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2,890</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62.6</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Not Available</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11.4</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88"/>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12.3</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Totals</w:t>
            </w:r>
          </w:p>
        </w:tc>
        <w:tc>
          <w:tcPr>
            <w:tcW w:w="7326"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97"/>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b/>
                <w:color w:val="000000"/>
                <w:sz w:val="20"/>
              </w:rPr>
              <w:t>2018</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22</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8,366</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r>
      <w:tr w:rsidR="003046D1" w:rsidTr="00420F26">
        <w:trPr>
          <w:trHeight w:val="114"/>
        </w:trPr>
        <w:tc>
          <w:tcPr>
            <w:tcW w:w="2330"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b/>
                <w:color w:val="000000"/>
                <w:sz w:val="20"/>
              </w:rPr>
              <w:t>2019</w:t>
            </w:r>
          </w:p>
        </w:tc>
        <w:tc>
          <w:tcPr>
            <w:tcW w:w="14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4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13</w:t>
            </w:r>
          </w:p>
        </w:tc>
        <w:tc>
          <w:tcPr>
            <w:tcW w:w="10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4,613</w:t>
            </w:r>
          </w:p>
        </w:tc>
        <w:tc>
          <w:tcPr>
            <w:tcW w:w="10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r>
      <w:tr w:rsidR="003046D1" w:rsidTr="00420F26">
        <w:trPr>
          <w:trHeight w:val="10"/>
        </w:trPr>
        <w:tc>
          <w:tcPr>
            <w:tcW w:w="9657"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3046D1" w:rsidRDefault="003046D1" w:rsidP="00420F26">
            <w:r>
              <w:rPr>
                <w:i/>
                <w:color w:val="000000"/>
                <w:sz w:val="16"/>
              </w:rPr>
              <w:t>Source: 2015 ACS; Bank Data, 2018 &amp; 2019 HMDA Aggregate Data</w:t>
            </w:r>
          </w:p>
        </w:tc>
      </w:tr>
    </w:tbl>
    <w:p w:rsidR="00B062F0" w:rsidRPr="00AD3B1A" w:rsidRDefault="00B062F0" w:rsidP="00420F26">
      <w:pPr>
        <w:rPr>
          <w:iCs/>
          <w:color w:val="000000"/>
        </w:rPr>
      </w:pPr>
    </w:p>
    <w:p w:rsidR="003046D1" w:rsidRPr="000C2952" w:rsidRDefault="003046D1" w:rsidP="00420F26">
      <w:pPr>
        <w:jc w:val="both"/>
        <w:rPr>
          <w:b/>
          <w:bCs/>
          <w:u w:val="single"/>
        </w:rPr>
      </w:pPr>
      <w:r w:rsidRPr="000C2952">
        <w:rPr>
          <w:b/>
          <w:bCs/>
          <w:u w:val="single"/>
        </w:rPr>
        <w:t>Geographic Distribution</w:t>
      </w:r>
    </w:p>
    <w:p w:rsidR="003046D1" w:rsidRPr="000C2952" w:rsidRDefault="003046D1" w:rsidP="00420F26">
      <w:pPr>
        <w:jc w:val="both"/>
        <w:rPr>
          <w:b/>
          <w:bCs/>
          <w:u w:val="single"/>
        </w:rPr>
      </w:pPr>
    </w:p>
    <w:p w:rsidR="003046D1" w:rsidRDefault="003046D1" w:rsidP="00420F26">
      <w:pPr>
        <w:jc w:val="both"/>
        <w:rPr>
          <w:bCs/>
        </w:rPr>
      </w:pPr>
      <w:r w:rsidRPr="000C2952">
        <w:rPr>
          <w:bCs/>
        </w:rPr>
        <w:t xml:space="preserve">The geographic distribution of home mortgage loans reflects </w:t>
      </w:r>
      <w:r w:rsidRPr="002056E5">
        <w:rPr>
          <w:bCs/>
        </w:rPr>
        <w:t xml:space="preserve">poor dispersion </w:t>
      </w:r>
      <w:r w:rsidRPr="000C2952">
        <w:rPr>
          <w:bCs/>
        </w:rPr>
        <w:t xml:space="preserve">throughout the assessment area.  </w:t>
      </w:r>
      <w:r>
        <w:rPr>
          <w:bCs/>
        </w:rPr>
        <w:t xml:space="preserve">The bank made </w:t>
      </w:r>
      <w:r w:rsidR="00842255">
        <w:rPr>
          <w:bCs/>
        </w:rPr>
        <w:t>no</w:t>
      </w:r>
      <w:r>
        <w:rPr>
          <w:bCs/>
        </w:rPr>
        <w:t xml:space="preserve"> loans</w:t>
      </w:r>
      <w:r w:rsidRPr="000C2952">
        <w:t xml:space="preserve"> within </w:t>
      </w:r>
      <w:r w:rsidR="00842255">
        <w:t xml:space="preserve">the </w:t>
      </w:r>
      <w:r w:rsidRPr="000C2952">
        <w:t xml:space="preserve">low- and moderate-income census tracts in 2018 and </w:t>
      </w:r>
      <w:r w:rsidRPr="009F2A76">
        <w:t xml:space="preserve">2019.   </w:t>
      </w:r>
      <w:r w:rsidR="008F04F6">
        <w:t>However, t</w:t>
      </w:r>
      <w:r>
        <w:rPr>
          <w:bCs/>
        </w:rPr>
        <w:t xml:space="preserve">he majority of </w:t>
      </w:r>
      <w:r w:rsidR="008F04F6">
        <w:rPr>
          <w:bCs/>
        </w:rPr>
        <w:t xml:space="preserve">the bank’s </w:t>
      </w:r>
      <w:r>
        <w:rPr>
          <w:bCs/>
        </w:rPr>
        <w:t>low</w:t>
      </w:r>
      <w:r w:rsidR="008F04F6">
        <w:rPr>
          <w:bCs/>
        </w:rPr>
        <w:t xml:space="preserve"> (1)</w:t>
      </w:r>
      <w:r>
        <w:rPr>
          <w:bCs/>
        </w:rPr>
        <w:t xml:space="preserve"> and moderate</w:t>
      </w:r>
      <w:r w:rsidR="008F04F6">
        <w:rPr>
          <w:bCs/>
        </w:rPr>
        <w:t xml:space="preserve"> (12) </w:t>
      </w:r>
      <w:r>
        <w:rPr>
          <w:bCs/>
        </w:rPr>
        <w:t xml:space="preserve">income tracts </w:t>
      </w:r>
      <w:r w:rsidRPr="009F2A76">
        <w:rPr>
          <w:bCs/>
        </w:rPr>
        <w:t xml:space="preserve">are </w:t>
      </w:r>
      <w:r>
        <w:rPr>
          <w:bCs/>
        </w:rPr>
        <w:t xml:space="preserve">not conveniently </w:t>
      </w:r>
      <w:r w:rsidRPr="009F2A76">
        <w:rPr>
          <w:bCs/>
        </w:rPr>
        <w:t>located to the</w:t>
      </w:r>
      <w:r>
        <w:rPr>
          <w:bCs/>
        </w:rPr>
        <w:t xml:space="preserve"> bank’s</w:t>
      </w:r>
      <w:r w:rsidRPr="009F2A76">
        <w:rPr>
          <w:bCs/>
        </w:rPr>
        <w:t xml:space="preserve"> single </w:t>
      </w:r>
      <w:r>
        <w:rPr>
          <w:bCs/>
        </w:rPr>
        <w:t xml:space="preserve">Canton </w:t>
      </w:r>
      <w:r w:rsidRPr="009F2A76">
        <w:rPr>
          <w:bCs/>
        </w:rPr>
        <w:t>branch.</w:t>
      </w:r>
      <w:r w:rsidRPr="009F2A76">
        <w:rPr>
          <w:bCs/>
          <w:i/>
        </w:rPr>
        <w:t xml:space="preserve">  </w:t>
      </w:r>
      <w:r w:rsidRPr="009F2A76">
        <w:rPr>
          <w:bCs/>
        </w:rPr>
        <w:t xml:space="preserve">  </w:t>
      </w:r>
    </w:p>
    <w:p w:rsidR="003046D1" w:rsidRDefault="003046D1" w:rsidP="00420F26">
      <w:pPr>
        <w:jc w:val="both"/>
        <w:rPr>
          <w:bCs/>
        </w:rPr>
      </w:pPr>
    </w:p>
    <w:p w:rsidR="003046D1" w:rsidRDefault="003046D1" w:rsidP="00420F26">
      <w:pPr>
        <w:jc w:val="both"/>
        <w:rPr>
          <w:bCs/>
        </w:rPr>
      </w:pPr>
      <w:r>
        <w:rPr>
          <w:bCs/>
        </w:rPr>
        <w:t xml:space="preserve">Market data demonstrates there is significant competition for loans in the assessment area.  Market share for 2019 shows that the top 10 lenders captured 37 percent of the market to the low- and moderate-income census tracts and were primarily large national institutions and non-depository mortgage companies.  In addition to the significant competition, </w:t>
      </w:r>
      <w:r w:rsidR="008F04F6">
        <w:rPr>
          <w:bCs/>
        </w:rPr>
        <w:t xml:space="preserve">the </w:t>
      </w:r>
      <w:r>
        <w:rPr>
          <w:bCs/>
        </w:rPr>
        <w:t xml:space="preserve">2015 ACS Census data shows the percentage of owner-occupied housing units for both low- and moderate-income census tracts is below 50 percent and 72 percent of low-income housing units are rental units further indicating reduced lending opportunities.  </w:t>
      </w:r>
    </w:p>
    <w:p w:rsidR="00420F26" w:rsidRDefault="00420F26" w:rsidP="00420F26">
      <w:pPr>
        <w:jc w:val="both"/>
        <w:rPr>
          <w:bCs/>
        </w:rPr>
      </w:pPr>
    </w:p>
    <w:p w:rsidR="00420F26" w:rsidRDefault="00420F26" w:rsidP="00420F26">
      <w:pPr>
        <w:jc w:val="both"/>
        <w:rPr>
          <w:bCs/>
        </w:rPr>
      </w:pPr>
    </w:p>
    <w:p w:rsidR="00420F26" w:rsidRPr="00C24464" w:rsidRDefault="00420F26" w:rsidP="00420F26">
      <w:pPr>
        <w:jc w:val="both"/>
        <w:rPr>
          <w:color w:val="FF0000"/>
        </w:rPr>
      </w:pPr>
    </w:p>
    <w:p w:rsidR="003046D1" w:rsidRPr="00C24464" w:rsidRDefault="003046D1" w:rsidP="00420F26">
      <w:pPr>
        <w:jc w:val="both"/>
        <w:rPr>
          <w:color w:val="FF0000"/>
        </w:rPr>
      </w:pPr>
    </w:p>
    <w:tbl>
      <w:tblPr>
        <w:tblW w:w="0" w:type="auto"/>
        <w:tblCellMar>
          <w:left w:w="0" w:type="dxa"/>
          <w:right w:w="0" w:type="dxa"/>
        </w:tblCellMar>
        <w:tblLook w:val="0000" w:firstRow="0" w:lastRow="0" w:firstColumn="0" w:lastColumn="0" w:noHBand="0" w:noVBand="0"/>
      </w:tblPr>
      <w:tblGrid>
        <w:gridCol w:w="9489"/>
        <w:gridCol w:w="68"/>
      </w:tblGrid>
      <w:tr w:rsidR="003046D1" w:rsidTr="00062645">
        <w:tc>
          <w:tcPr>
            <w:tcW w:w="9292" w:type="dxa"/>
          </w:tcPr>
          <w:tbl>
            <w:tblPr>
              <w:tblW w:w="9471" w:type="dxa"/>
              <w:tblCellMar>
                <w:left w:w="0" w:type="dxa"/>
                <w:right w:w="0" w:type="dxa"/>
              </w:tblCellMar>
              <w:tblLook w:val="0000" w:firstRow="0" w:lastRow="0" w:firstColumn="0" w:lastColumn="0" w:noHBand="0" w:noVBand="0"/>
            </w:tblPr>
            <w:tblGrid>
              <w:gridCol w:w="2568"/>
              <w:gridCol w:w="1564"/>
              <w:gridCol w:w="1472"/>
              <w:gridCol w:w="1012"/>
              <w:gridCol w:w="920"/>
              <w:gridCol w:w="1104"/>
              <w:gridCol w:w="831"/>
            </w:tblGrid>
            <w:tr w:rsidR="003046D1" w:rsidTr="00420F26">
              <w:trPr>
                <w:trHeight w:val="210"/>
              </w:trPr>
              <w:tc>
                <w:tcPr>
                  <w:tcW w:w="9471"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lastRenderedPageBreak/>
                    <w:t>Geographic Distribution of Home Mortgage Loans</w:t>
                  </w:r>
                </w:p>
              </w:tc>
            </w:tr>
            <w:tr w:rsidR="003046D1" w:rsidTr="00420F26">
              <w:trPr>
                <w:trHeight w:val="371"/>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Tract Income Level</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 of  Owner-Occupied Housing Units</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Aggregate Performance</w:t>
                  </w:r>
                  <w:r>
                    <w:rPr>
                      <w:b/>
                      <w:color w:val="000000"/>
                      <w:sz w:val="20"/>
                    </w:rPr>
                    <w:br/>
                    <w:t>% of #</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$(000s)</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pPr>
                    <w:jc w:val="center"/>
                  </w:pPr>
                  <w:r>
                    <w:rPr>
                      <w:b/>
                      <w:color w:val="000000"/>
                      <w:sz w:val="20"/>
                    </w:rPr>
                    <w:t>%</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Low</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0.2</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0.2</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Moderate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7.0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7.4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7.0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Middle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35.8</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35.8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9</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40.9</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2,799</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33.5</w:t>
                  </w:r>
                </w:p>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35.8</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46.2</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1,397</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30.3</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Upper</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57.0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56.6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13</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59.1</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5,567</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66.5</w:t>
                  </w:r>
                </w:p>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57.0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58.2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7</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53.8</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3,216</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69.7</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color w:val="000000"/>
                      <w:sz w:val="20"/>
                    </w:rPr>
                    <w:t>Not Available</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3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color w:val="000000"/>
                      <w:sz w:val="20"/>
                    </w:rPr>
                    <w:t>0.0</w:t>
                  </w:r>
                </w:p>
              </w:tc>
            </w:tr>
            <w:tr w:rsidR="003046D1" w:rsidTr="00420F26">
              <w:trPr>
                <w:trHeight w:val="156"/>
              </w:trPr>
              <w:tc>
                <w:tcPr>
                  <w:tcW w:w="25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046D1" w:rsidRDefault="003046D1" w:rsidP="00420F26">
                  <w:r>
                    <w:rPr>
                      <w:b/>
                      <w:color w:val="000000"/>
                      <w:sz w:val="20"/>
                    </w:rPr>
                    <w:t>Totals</w:t>
                  </w:r>
                </w:p>
              </w:tc>
              <w:tc>
                <w:tcPr>
                  <w:tcW w:w="6903"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b/>
                      <w:color w:val="000000"/>
                      <w:sz w:val="20"/>
                    </w:rPr>
                    <w:t>2018</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22</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8,366</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r>
            <w:tr w:rsidR="003046D1" w:rsidTr="00420F26">
              <w:trPr>
                <w:trHeight w:val="145"/>
              </w:trPr>
              <w:tc>
                <w:tcPr>
                  <w:tcW w:w="2568"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3046D1" w:rsidRDefault="003046D1" w:rsidP="00420F26">
                  <w:pPr>
                    <w:jc w:val="right"/>
                  </w:pPr>
                  <w:r>
                    <w:rPr>
                      <w:b/>
                      <w:color w:val="000000"/>
                      <w:sz w:val="20"/>
                    </w:rPr>
                    <w:t>2019</w:t>
                  </w:r>
                </w:p>
              </w:tc>
              <w:tc>
                <w:tcPr>
                  <w:tcW w:w="15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4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13</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c>
                <w:tcPr>
                  <w:tcW w:w="11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4,613</w:t>
                  </w:r>
                </w:p>
              </w:tc>
              <w:tc>
                <w:tcPr>
                  <w:tcW w:w="8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046D1" w:rsidRDefault="003046D1" w:rsidP="00420F26">
                  <w:pPr>
                    <w:jc w:val="center"/>
                  </w:pPr>
                  <w:r>
                    <w:rPr>
                      <w:b/>
                      <w:color w:val="000000"/>
                      <w:sz w:val="20"/>
                    </w:rPr>
                    <w:t>100.0</w:t>
                  </w:r>
                </w:p>
              </w:tc>
            </w:tr>
            <w:tr w:rsidR="003046D1" w:rsidTr="00420F26">
              <w:trPr>
                <w:trHeight w:val="14"/>
              </w:trPr>
              <w:tc>
                <w:tcPr>
                  <w:tcW w:w="9471"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3046D1" w:rsidRDefault="003046D1" w:rsidP="00420F26">
                  <w:r>
                    <w:rPr>
                      <w:i/>
                      <w:color w:val="000000"/>
                      <w:sz w:val="16"/>
                    </w:rPr>
                    <w:t>Source: 2015 ACS; Bank Data, 2018 &amp; 2019 HMDA Aggregate Data, "--" data not available.</w:t>
                  </w:r>
                </w:p>
              </w:tc>
            </w:tr>
          </w:tbl>
          <w:p w:rsidR="003046D1" w:rsidRDefault="003046D1" w:rsidP="00420F26"/>
        </w:tc>
        <w:tc>
          <w:tcPr>
            <w:tcW w:w="68" w:type="dxa"/>
          </w:tcPr>
          <w:p w:rsidR="003046D1" w:rsidRDefault="003046D1" w:rsidP="00420F26">
            <w:pPr>
              <w:pStyle w:val="EmptyLayoutCell"/>
            </w:pPr>
          </w:p>
        </w:tc>
      </w:tr>
    </w:tbl>
    <w:p w:rsidR="008F04F6" w:rsidRDefault="008F04F6" w:rsidP="00420F26">
      <w:pPr>
        <w:jc w:val="both"/>
        <w:rPr>
          <w:iCs/>
          <w:color w:val="000000"/>
        </w:rPr>
      </w:pPr>
    </w:p>
    <w:p w:rsidR="0099672C" w:rsidRPr="00161EC6" w:rsidRDefault="0099672C" w:rsidP="00420F26">
      <w:pPr>
        <w:pStyle w:val="QuickFormat1"/>
        <w:jc w:val="both"/>
        <w:rPr>
          <w:sz w:val="24"/>
          <w:szCs w:val="24"/>
          <w:u w:val="single"/>
        </w:rPr>
      </w:pPr>
      <w:r w:rsidRPr="00161EC6">
        <w:rPr>
          <w:sz w:val="24"/>
          <w:szCs w:val="24"/>
          <w:u w:val="single"/>
        </w:rPr>
        <w:t>Response to Complaints</w:t>
      </w:r>
    </w:p>
    <w:p w:rsidR="0099672C" w:rsidRDefault="0099672C" w:rsidP="00420F26">
      <w:pPr>
        <w:pStyle w:val="QuickFormat1"/>
        <w:jc w:val="both"/>
        <w:rPr>
          <w:b w:val="0"/>
          <w:sz w:val="24"/>
          <w:szCs w:val="24"/>
          <w:lang w:val="en-US"/>
        </w:rPr>
      </w:pPr>
    </w:p>
    <w:p w:rsidR="003046D1" w:rsidRPr="00C24464" w:rsidRDefault="003046D1" w:rsidP="00420F26">
      <w:pPr>
        <w:pStyle w:val="Default"/>
        <w:jc w:val="both"/>
        <w:rPr>
          <w:color w:val="FF0000"/>
        </w:rPr>
      </w:pPr>
      <w:r w:rsidRPr="00444A74">
        <w:rPr>
          <w:bCs/>
        </w:rPr>
        <w:t xml:space="preserve">The </w:t>
      </w:r>
      <w:r>
        <w:rPr>
          <w:bCs/>
        </w:rPr>
        <w:t xml:space="preserve">bank did not receive any CRA-related complaints since the previous evaluation; therefore, this criterion did not affect the rating.  </w:t>
      </w:r>
    </w:p>
    <w:p w:rsidR="003046D1" w:rsidRPr="003046D1" w:rsidRDefault="003046D1" w:rsidP="00420F26">
      <w:pPr>
        <w:tabs>
          <w:tab w:val="center" w:pos="4680"/>
        </w:tabs>
        <w:jc w:val="both"/>
        <w:rPr>
          <w:b/>
          <w:spacing w:val="-4"/>
        </w:rPr>
      </w:pPr>
    </w:p>
    <w:p w:rsidR="003046D1" w:rsidRDefault="003046D1" w:rsidP="00420F26">
      <w:pPr>
        <w:tabs>
          <w:tab w:val="center" w:pos="4680"/>
        </w:tabs>
        <w:jc w:val="both"/>
        <w:rPr>
          <w:b/>
          <w:spacing w:val="-4"/>
          <w:u w:val="single"/>
        </w:rPr>
      </w:pPr>
      <w:r w:rsidRPr="003046D1">
        <w:rPr>
          <w:b/>
          <w:spacing w:val="-4"/>
          <w:u w:val="single"/>
        </w:rPr>
        <w:t>Fair Lending Policies and Procedures</w:t>
      </w:r>
    </w:p>
    <w:p w:rsidR="003046D1" w:rsidRPr="003046D1" w:rsidRDefault="003046D1" w:rsidP="00420F26">
      <w:pPr>
        <w:tabs>
          <w:tab w:val="center" w:pos="4680"/>
        </w:tabs>
        <w:jc w:val="both"/>
        <w:rPr>
          <w:b/>
          <w:spacing w:val="-4"/>
          <w:u w:val="single"/>
        </w:rPr>
      </w:pPr>
    </w:p>
    <w:p w:rsidR="003046D1" w:rsidRPr="00B42BF9" w:rsidRDefault="003046D1" w:rsidP="00420F26">
      <w:pPr>
        <w:jc w:val="both"/>
      </w:pPr>
      <w:r w:rsidRPr="00B42BF9">
        <w:t>The Division of Banks provides comments regarding the institution’s fair lending policies and procedures pursuant to Regulatory Bulletin 1.3-106.  A review of the bank’s public comment file indicated the bank received no complaints pertaining to the institution’s CRA performance since the previous examination.  The fair lending review was conducted in accordance with the Federal Financial Institutions Examination Council (FFIEC) Interagency Fair Lending Examination Procedures.  Based on these procedures, no evidence of disparate treatment was noted.</w:t>
      </w:r>
    </w:p>
    <w:p w:rsidR="003046D1" w:rsidRPr="00B42BF9" w:rsidRDefault="003046D1" w:rsidP="00420F26">
      <w:pPr>
        <w:tabs>
          <w:tab w:val="center" w:pos="4680"/>
        </w:tabs>
        <w:jc w:val="both"/>
        <w:rPr>
          <w:spacing w:val="-4"/>
        </w:rPr>
      </w:pPr>
    </w:p>
    <w:p w:rsidR="00420F26" w:rsidRDefault="00420F26" w:rsidP="00420F26">
      <w:pPr>
        <w:tabs>
          <w:tab w:val="center" w:pos="4680"/>
        </w:tabs>
        <w:jc w:val="both"/>
        <w:rPr>
          <w:b/>
          <w:i/>
          <w:spacing w:val="-4"/>
        </w:rPr>
      </w:pPr>
    </w:p>
    <w:p w:rsidR="00420F26" w:rsidRDefault="00420F26" w:rsidP="00420F26">
      <w:pPr>
        <w:tabs>
          <w:tab w:val="center" w:pos="4680"/>
        </w:tabs>
        <w:jc w:val="both"/>
        <w:rPr>
          <w:b/>
          <w:i/>
          <w:spacing w:val="-4"/>
        </w:rPr>
      </w:pPr>
    </w:p>
    <w:p w:rsidR="00420F26" w:rsidRDefault="00420F26" w:rsidP="00420F26">
      <w:pPr>
        <w:tabs>
          <w:tab w:val="center" w:pos="4680"/>
        </w:tabs>
        <w:jc w:val="both"/>
        <w:rPr>
          <w:b/>
          <w:i/>
          <w:spacing w:val="-4"/>
        </w:rPr>
      </w:pPr>
    </w:p>
    <w:p w:rsidR="00420F26" w:rsidRDefault="00420F26" w:rsidP="00420F26">
      <w:pPr>
        <w:tabs>
          <w:tab w:val="center" w:pos="4680"/>
        </w:tabs>
        <w:jc w:val="both"/>
        <w:rPr>
          <w:b/>
          <w:i/>
          <w:spacing w:val="-4"/>
        </w:rPr>
      </w:pPr>
    </w:p>
    <w:p w:rsidR="003046D1" w:rsidRPr="00420F26" w:rsidRDefault="003046D1" w:rsidP="00420F26">
      <w:pPr>
        <w:tabs>
          <w:tab w:val="center" w:pos="4680"/>
        </w:tabs>
        <w:jc w:val="both"/>
        <w:rPr>
          <w:b/>
          <w:i/>
          <w:spacing w:val="-4"/>
        </w:rPr>
      </w:pPr>
      <w:r w:rsidRPr="00420F26">
        <w:rPr>
          <w:b/>
          <w:i/>
          <w:spacing w:val="-4"/>
        </w:rPr>
        <w:lastRenderedPageBreak/>
        <w:t>Minority Application Flow</w:t>
      </w:r>
    </w:p>
    <w:p w:rsidR="00420F26" w:rsidRDefault="00420F26" w:rsidP="00420F26">
      <w:pPr>
        <w:autoSpaceDE w:val="0"/>
        <w:autoSpaceDN w:val="0"/>
        <w:adjustRightInd w:val="0"/>
        <w:jc w:val="both"/>
        <w:rPr>
          <w:color w:val="000000"/>
        </w:rPr>
      </w:pPr>
    </w:p>
    <w:p w:rsidR="003046D1" w:rsidRPr="00FF4936" w:rsidRDefault="003046D1" w:rsidP="00420F26">
      <w:pPr>
        <w:autoSpaceDE w:val="0"/>
        <w:autoSpaceDN w:val="0"/>
        <w:adjustRightInd w:val="0"/>
        <w:jc w:val="both"/>
        <w:rPr>
          <w:color w:val="000000"/>
          <w:highlight w:val="yellow"/>
        </w:rPr>
      </w:pPr>
      <w:r w:rsidRPr="00B42BF9">
        <w:rPr>
          <w:color w:val="000000"/>
        </w:rPr>
        <w:t>The bank’s HMDA LARs for 2018 and 2019 were reviewed to determine if the application flow from the different racial groups within the bank’s assessment area was reflective of the assessment area’s demographics.</w:t>
      </w:r>
    </w:p>
    <w:p w:rsidR="003046D1" w:rsidRPr="00FF4936" w:rsidRDefault="003046D1" w:rsidP="00420F26">
      <w:pPr>
        <w:autoSpaceDE w:val="0"/>
        <w:autoSpaceDN w:val="0"/>
        <w:adjustRightInd w:val="0"/>
        <w:jc w:val="both"/>
        <w:rPr>
          <w:color w:val="000000"/>
          <w:highlight w:val="yellow"/>
        </w:rPr>
      </w:pPr>
    </w:p>
    <w:p w:rsidR="003046D1" w:rsidRPr="00B42BF9" w:rsidRDefault="003046D1" w:rsidP="00420F26">
      <w:pPr>
        <w:autoSpaceDE w:val="0"/>
        <w:autoSpaceDN w:val="0"/>
        <w:adjustRightInd w:val="0"/>
        <w:jc w:val="both"/>
        <w:rPr>
          <w:color w:val="000000"/>
        </w:rPr>
      </w:pPr>
      <w:r w:rsidRPr="00B42BF9">
        <w:rPr>
          <w:color w:val="000000"/>
        </w:rPr>
        <w:t>According to the 2015 ACS Census Dat</w:t>
      </w:r>
      <w:r w:rsidR="008F04F6">
        <w:rPr>
          <w:color w:val="000000"/>
        </w:rPr>
        <w:t>a, the b</w:t>
      </w:r>
      <w:r w:rsidRPr="00B42BF9">
        <w:rPr>
          <w:color w:val="000000"/>
        </w:rPr>
        <w:t xml:space="preserve">ank’s assessment area contained a total population of 670,850 individuals of which 19.7 percent are minorities.  The minority population represented is 5.4 percent Black/African American, 8.6 percent Asian, 0.1 percent American Indian, 3.3 percent Hispanic or Latino, and 2.3 percent other.  </w:t>
      </w:r>
    </w:p>
    <w:p w:rsidR="003046D1" w:rsidRPr="00FF4936" w:rsidRDefault="003046D1" w:rsidP="00420F26">
      <w:pPr>
        <w:autoSpaceDE w:val="0"/>
        <w:autoSpaceDN w:val="0"/>
        <w:adjustRightInd w:val="0"/>
        <w:jc w:val="both"/>
        <w:rPr>
          <w:color w:val="000000"/>
          <w:highlight w:val="yellow"/>
        </w:rPr>
      </w:pPr>
    </w:p>
    <w:p w:rsidR="003046D1" w:rsidRDefault="003046D1" w:rsidP="00420F26">
      <w:pPr>
        <w:autoSpaceDE w:val="0"/>
        <w:autoSpaceDN w:val="0"/>
        <w:adjustRightInd w:val="0"/>
        <w:jc w:val="both"/>
        <w:rPr>
          <w:color w:val="000000"/>
        </w:rPr>
      </w:pPr>
      <w:r w:rsidRPr="000F40FA">
        <w:rPr>
          <w:color w:val="000000"/>
        </w:rPr>
        <w:t>The bank’s level of lending in 2019 was compared with that of the 2019 aggregate’s lending performance.  The comparison of this data assists in deriving reasonable expectations for the rate of applications the bank received from minority home mortgage loan applicants.  Refer to the table below for information on the bank’s minority application flow as well as the aggregate lenders in the bank’s assessment area.</w:t>
      </w:r>
    </w:p>
    <w:p w:rsidR="003046D1" w:rsidRPr="00151B98" w:rsidRDefault="003046D1" w:rsidP="00420F26">
      <w:pPr>
        <w:autoSpaceDE w:val="0"/>
        <w:autoSpaceDN w:val="0"/>
        <w:adjustRightInd w:val="0"/>
        <w:jc w:val="both"/>
      </w:pPr>
      <w:r w:rsidRPr="00151B98">
        <w:rPr>
          <w:rFonts w:asciiTheme="minorHAnsi" w:eastAsiaTheme="minorHAnsi" w:hAnsiTheme="minorHAnsi" w:cstheme="minorBidi"/>
          <w:sz w:val="22"/>
          <w:szCs w:val="22"/>
        </w:rPr>
        <w:fldChar w:fldCharType="begin"/>
      </w:r>
      <w:r w:rsidRPr="00151B98">
        <w:instrText xml:space="preserve"> LINK Excel.Sheet.12 "Book1" "Sheet1!R5C5:R25C11" \a \f 4 \h  \* MERGEFORMAT </w:instrText>
      </w:r>
      <w:r w:rsidRPr="00151B98">
        <w:rPr>
          <w:rFonts w:asciiTheme="minorHAnsi" w:eastAsiaTheme="minorHAnsi" w:hAnsiTheme="minorHAnsi" w:cstheme="minorBidi"/>
          <w:sz w:val="22"/>
          <w:szCs w:val="22"/>
        </w:rPr>
        <w:fldChar w:fldCharType="separate"/>
      </w:r>
    </w:p>
    <w:tbl>
      <w:tblPr>
        <w:tblW w:w="9441" w:type="dxa"/>
        <w:jc w:val="center"/>
        <w:tblLook w:val="04A0" w:firstRow="1" w:lastRow="0" w:firstColumn="1" w:lastColumn="0" w:noHBand="0" w:noVBand="1"/>
      </w:tblPr>
      <w:tblGrid>
        <w:gridCol w:w="2369"/>
        <w:gridCol w:w="1147"/>
        <w:gridCol w:w="1160"/>
        <w:gridCol w:w="1364"/>
        <w:gridCol w:w="1003"/>
        <w:gridCol w:w="293"/>
        <w:gridCol w:w="739"/>
        <w:gridCol w:w="1366"/>
      </w:tblGrid>
      <w:tr w:rsidR="003046D1" w:rsidRPr="00151B98" w:rsidTr="00420F26">
        <w:trPr>
          <w:trHeight w:val="172"/>
          <w:jc w:val="center"/>
        </w:trPr>
        <w:tc>
          <w:tcPr>
            <w:tcW w:w="9441"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3046D1" w:rsidRPr="00151B98" w:rsidRDefault="003046D1" w:rsidP="00420F26">
            <w:pPr>
              <w:keepNext/>
              <w:jc w:val="center"/>
              <w:rPr>
                <w:b/>
                <w:bCs/>
                <w:color w:val="000000"/>
                <w:sz w:val="20"/>
                <w:szCs w:val="20"/>
              </w:rPr>
            </w:pPr>
            <w:r w:rsidRPr="00151B98">
              <w:rPr>
                <w:b/>
                <w:bCs/>
                <w:color w:val="000000"/>
                <w:sz w:val="20"/>
                <w:szCs w:val="20"/>
              </w:rPr>
              <w:t>MINORITY APPLICATION FLOW</w:t>
            </w:r>
          </w:p>
        </w:tc>
      </w:tr>
      <w:tr w:rsidR="003046D1" w:rsidRPr="00151B98" w:rsidTr="00420F26">
        <w:trPr>
          <w:trHeight w:val="230"/>
          <w:jc w:val="center"/>
        </w:trPr>
        <w:tc>
          <w:tcPr>
            <w:tcW w:w="2369"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RACE</w:t>
            </w:r>
          </w:p>
        </w:tc>
        <w:tc>
          <w:tcPr>
            <w:tcW w:w="2307" w:type="dxa"/>
            <w:gridSpan w:val="2"/>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3046D1" w:rsidRPr="00151B98" w:rsidRDefault="003046D1" w:rsidP="00420F26">
            <w:pPr>
              <w:keepNext/>
              <w:jc w:val="center"/>
              <w:rPr>
                <w:b/>
                <w:bCs/>
                <w:color w:val="000000"/>
                <w:sz w:val="20"/>
                <w:szCs w:val="20"/>
              </w:rPr>
            </w:pPr>
            <w:r w:rsidRPr="00151B98">
              <w:rPr>
                <w:b/>
                <w:bCs/>
                <w:color w:val="000000"/>
                <w:sz w:val="20"/>
                <w:szCs w:val="20"/>
              </w:rPr>
              <w:t>Bank 2018 HMDA</w:t>
            </w:r>
          </w:p>
        </w:tc>
        <w:tc>
          <w:tcPr>
            <w:tcW w:w="1364" w:type="dxa"/>
            <w:vMerge w:val="restart"/>
            <w:tcBorders>
              <w:top w:val="nil"/>
              <w:left w:val="single" w:sz="8" w:space="0" w:color="000000"/>
              <w:bottom w:val="single" w:sz="8" w:space="0" w:color="000000"/>
              <w:right w:val="single" w:sz="8" w:space="0" w:color="auto"/>
            </w:tcBorders>
            <w:shd w:val="clear" w:color="000000" w:fill="D9D9D9"/>
            <w:vAlign w:val="center"/>
            <w:hideMark/>
          </w:tcPr>
          <w:p w:rsidR="003046D1" w:rsidRPr="00151B98" w:rsidRDefault="003046D1" w:rsidP="00420F26">
            <w:pPr>
              <w:keepNext/>
              <w:jc w:val="center"/>
              <w:rPr>
                <w:b/>
                <w:bCs/>
                <w:color w:val="000000"/>
                <w:sz w:val="20"/>
                <w:szCs w:val="20"/>
              </w:rPr>
            </w:pPr>
            <w:r w:rsidRPr="00151B98">
              <w:rPr>
                <w:b/>
                <w:bCs/>
                <w:color w:val="000000"/>
                <w:sz w:val="20"/>
                <w:szCs w:val="20"/>
              </w:rPr>
              <w:t>2018 Aggregate Data</w:t>
            </w:r>
          </w:p>
        </w:tc>
        <w:tc>
          <w:tcPr>
            <w:tcW w:w="2035"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046D1" w:rsidRPr="00151B98" w:rsidRDefault="003046D1" w:rsidP="00420F26">
            <w:pPr>
              <w:keepNext/>
              <w:jc w:val="center"/>
              <w:rPr>
                <w:b/>
                <w:bCs/>
                <w:color w:val="000000"/>
                <w:sz w:val="20"/>
                <w:szCs w:val="20"/>
              </w:rPr>
            </w:pPr>
            <w:r w:rsidRPr="00151B98">
              <w:rPr>
                <w:b/>
                <w:bCs/>
                <w:color w:val="000000"/>
                <w:sz w:val="20"/>
                <w:szCs w:val="20"/>
              </w:rPr>
              <w:t>Bank 2019 HMDA</w:t>
            </w:r>
          </w:p>
        </w:tc>
        <w:tc>
          <w:tcPr>
            <w:tcW w:w="1366" w:type="dxa"/>
            <w:vMerge w:val="restart"/>
            <w:tcBorders>
              <w:top w:val="nil"/>
              <w:left w:val="single" w:sz="8" w:space="0" w:color="000000"/>
              <w:bottom w:val="single" w:sz="8" w:space="0" w:color="000000"/>
              <w:right w:val="single" w:sz="8" w:space="0" w:color="auto"/>
            </w:tcBorders>
            <w:shd w:val="clear" w:color="000000" w:fill="D9D9D9"/>
            <w:vAlign w:val="center"/>
            <w:hideMark/>
          </w:tcPr>
          <w:p w:rsidR="003046D1" w:rsidRPr="00151B98" w:rsidRDefault="003046D1" w:rsidP="00420F26">
            <w:pPr>
              <w:keepNext/>
              <w:jc w:val="center"/>
              <w:rPr>
                <w:b/>
                <w:bCs/>
                <w:color w:val="000000"/>
                <w:sz w:val="20"/>
                <w:szCs w:val="20"/>
              </w:rPr>
            </w:pPr>
            <w:r w:rsidRPr="00151B98">
              <w:rPr>
                <w:b/>
                <w:bCs/>
                <w:color w:val="000000"/>
                <w:sz w:val="20"/>
                <w:szCs w:val="20"/>
              </w:rPr>
              <w:t>2019 Aggregate Data</w:t>
            </w:r>
          </w:p>
        </w:tc>
      </w:tr>
      <w:tr w:rsidR="003046D1" w:rsidRPr="00151B98" w:rsidTr="00420F26">
        <w:trPr>
          <w:trHeight w:val="276"/>
          <w:jc w:val="center"/>
        </w:trPr>
        <w:tc>
          <w:tcPr>
            <w:tcW w:w="2369"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p>
        </w:tc>
        <w:tc>
          <w:tcPr>
            <w:tcW w:w="2307" w:type="dxa"/>
            <w:gridSpan w:val="2"/>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3046D1" w:rsidRPr="00151B98" w:rsidRDefault="003046D1" w:rsidP="00420F26">
            <w:pPr>
              <w:keepNext/>
              <w:jc w:val="center"/>
              <w:rPr>
                <w:b/>
                <w:bCs/>
                <w:color w:val="000000"/>
                <w:sz w:val="20"/>
                <w:szCs w:val="20"/>
              </w:rPr>
            </w:pPr>
          </w:p>
        </w:tc>
        <w:tc>
          <w:tcPr>
            <w:tcW w:w="1364" w:type="dxa"/>
            <w:vMerge/>
            <w:tcBorders>
              <w:top w:val="nil"/>
              <w:left w:val="single" w:sz="8" w:space="0" w:color="000000"/>
              <w:bottom w:val="single" w:sz="8" w:space="0" w:color="000000"/>
              <w:right w:val="single" w:sz="8" w:space="0" w:color="auto"/>
            </w:tcBorders>
            <w:vAlign w:val="center"/>
            <w:hideMark/>
          </w:tcPr>
          <w:p w:rsidR="003046D1" w:rsidRPr="00151B98" w:rsidRDefault="003046D1" w:rsidP="00420F26">
            <w:pPr>
              <w:keepNext/>
              <w:jc w:val="center"/>
              <w:rPr>
                <w:b/>
                <w:bCs/>
                <w:color w:val="000000"/>
                <w:sz w:val="20"/>
                <w:szCs w:val="20"/>
              </w:rPr>
            </w:pPr>
          </w:p>
        </w:tc>
        <w:tc>
          <w:tcPr>
            <w:tcW w:w="2035" w:type="dxa"/>
            <w:gridSpan w:val="3"/>
            <w:vMerge/>
            <w:tcBorders>
              <w:top w:val="single" w:sz="8" w:space="0" w:color="auto"/>
              <w:left w:val="single" w:sz="8" w:space="0" w:color="auto"/>
              <w:bottom w:val="single" w:sz="8" w:space="0" w:color="000000"/>
              <w:right w:val="single" w:sz="8" w:space="0" w:color="000000"/>
            </w:tcBorders>
            <w:vAlign w:val="center"/>
            <w:hideMark/>
          </w:tcPr>
          <w:p w:rsidR="003046D1" w:rsidRPr="00151B98" w:rsidRDefault="003046D1" w:rsidP="00420F26">
            <w:pPr>
              <w:keepNext/>
              <w:jc w:val="center"/>
              <w:rPr>
                <w:b/>
                <w:bCs/>
                <w:color w:val="000000"/>
                <w:sz w:val="20"/>
                <w:szCs w:val="20"/>
              </w:rPr>
            </w:pPr>
          </w:p>
        </w:tc>
        <w:tc>
          <w:tcPr>
            <w:tcW w:w="1366" w:type="dxa"/>
            <w:vMerge/>
            <w:tcBorders>
              <w:top w:val="nil"/>
              <w:left w:val="single" w:sz="8" w:space="0" w:color="000000"/>
              <w:bottom w:val="single" w:sz="8" w:space="0" w:color="000000"/>
              <w:right w:val="single" w:sz="8" w:space="0" w:color="auto"/>
            </w:tcBorders>
            <w:vAlign w:val="center"/>
            <w:hideMark/>
          </w:tcPr>
          <w:p w:rsidR="003046D1" w:rsidRPr="00151B98" w:rsidRDefault="003046D1" w:rsidP="00420F26">
            <w:pPr>
              <w:keepNext/>
              <w:jc w:val="center"/>
              <w:rPr>
                <w:b/>
                <w:bCs/>
                <w:color w:val="000000"/>
                <w:sz w:val="20"/>
                <w:szCs w:val="20"/>
              </w:rPr>
            </w:pPr>
          </w:p>
        </w:tc>
      </w:tr>
      <w:tr w:rsidR="003046D1" w:rsidRPr="00151B98" w:rsidTr="00420F26">
        <w:trPr>
          <w:trHeight w:val="172"/>
          <w:jc w:val="center"/>
        </w:trPr>
        <w:tc>
          <w:tcPr>
            <w:tcW w:w="2369"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p>
        </w:tc>
        <w:tc>
          <w:tcPr>
            <w:tcW w:w="1147" w:type="dxa"/>
            <w:tcBorders>
              <w:top w:val="nil"/>
              <w:left w:val="nil"/>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c>
          <w:tcPr>
            <w:tcW w:w="1160" w:type="dxa"/>
            <w:tcBorders>
              <w:top w:val="nil"/>
              <w:left w:val="nil"/>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c>
          <w:tcPr>
            <w:tcW w:w="1364" w:type="dxa"/>
            <w:tcBorders>
              <w:top w:val="nil"/>
              <w:left w:val="nil"/>
              <w:bottom w:val="single" w:sz="8" w:space="0" w:color="auto"/>
              <w:right w:val="single" w:sz="8" w:space="0" w:color="auto"/>
            </w:tcBorders>
            <w:shd w:val="clear" w:color="000000" w:fill="D9D9D9"/>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c>
          <w:tcPr>
            <w:tcW w:w="1003" w:type="dxa"/>
            <w:tcBorders>
              <w:top w:val="nil"/>
              <w:left w:val="nil"/>
              <w:bottom w:val="single" w:sz="8" w:space="0" w:color="auto"/>
              <w:right w:val="single" w:sz="8" w:space="0" w:color="auto"/>
            </w:tcBorders>
            <w:shd w:val="clear" w:color="auto" w:fill="auto"/>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c>
          <w:tcPr>
            <w:tcW w:w="1032" w:type="dxa"/>
            <w:gridSpan w:val="2"/>
            <w:tcBorders>
              <w:top w:val="nil"/>
              <w:left w:val="nil"/>
              <w:bottom w:val="single" w:sz="8" w:space="0" w:color="auto"/>
              <w:right w:val="single" w:sz="8" w:space="0" w:color="auto"/>
            </w:tcBorders>
            <w:shd w:val="clear" w:color="auto" w:fill="auto"/>
            <w:noWrap/>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c>
          <w:tcPr>
            <w:tcW w:w="1366" w:type="dxa"/>
            <w:tcBorders>
              <w:top w:val="nil"/>
              <w:left w:val="nil"/>
              <w:bottom w:val="single" w:sz="8" w:space="0" w:color="auto"/>
              <w:right w:val="single" w:sz="8" w:space="0" w:color="auto"/>
            </w:tcBorders>
            <w:shd w:val="clear" w:color="000000" w:fill="D9D9D9"/>
            <w:vAlign w:val="center"/>
            <w:hideMark/>
          </w:tcPr>
          <w:p w:rsidR="003046D1" w:rsidRPr="00151B98" w:rsidRDefault="003046D1" w:rsidP="00420F26">
            <w:pPr>
              <w:keepNext/>
              <w:jc w:val="center"/>
              <w:rPr>
                <w:color w:val="000000"/>
                <w:sz w:val="20"/>
                <w:szCs w:val="20"/>
              </w:rPr>
            </w:pPr>
            <w:r w:rsidRPr="00151B98">
              <w:rPr>
                <w:color w:val="000000"/>
                <w:sz w:val="20"/>
                <w:szCs w:val="20"/>
              </w:rPr>
              <w:t>%</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American Indian/ Alaska Native</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0.3</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1</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5.0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0.2</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Asian</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1</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3.6</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10.9</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10.0</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Black/ African American</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2</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7.2</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4.9</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1</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5.0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4.9</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Hawaiian/Pacific Islander</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0.2</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0.1</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2 or more Minority</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0.1</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0.1</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Joint Race (White/Minority)</w:t>
            </w:r>
          </w:p>
        </w:tc>
        <w:tc>
          <w:tcPr>
            <w:tcW w:w="1147"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160"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4"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1.7</w:t>
            </w:r>
          </w:p>
        </w:tc>
        <w:tc>
          <w:tcPr>
            <w:tcW w:w="1003" w:type="dxa"/>
            <w:tcBorders>
              <w:top w:val="nil"/>
              <w:left w:val="nil"/>
              <w:bottom w:val="nil"/>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nil"/>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1.4</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Total Racial Minority</w:t>
            </w:r>
          </w:p>
        </w:tc>
        <w:tc>
          <w:tcPr>
            <w:tcW w:w="1147"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3</w:t>
            </w:r>
          </w:p>
        </w:tc>
        <w:tc>
          <w:tcPr>
            <w:tcW w:w="1160"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10.8</w:t>
            </w:r>
          </w:p>
        </w:tc>
        <w:tc>
          <w:tcPr>
            <w:tcW w:w="1364"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18.1</w:t>
            </w:r>
          </w:p>
        </w:tc>
        <w:tc>
          <w:tcPr>
            <w:tcW w:w="1003" w:type="dxa"/>
            <w:tcBorders>
              <w:top w:val="single" w:sz="8" w:space="0" w:color="auto"/>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b/>
                <w:bCs/>
                <w:color w:val="000000"/>
                <w:sz w:val="20"/>
                <w:szCs w:val="20"/>
              </w:rPr>
            </w:pPr>
            <w:r w:rsidRPr="00151B98">
              <w:rPr>
                <w:b/>
                <w:bCs/>
                <w:color w:val="000000"/>
                <w:sz w:val="20"/>
                <w:szCs w:val="20"/>
              </w:rPr>
              <w:t>2</w:t>
            </w:r>
          </w:p>
        </w:tc>
        <w:tc>
          <w:tcPr>
            <w:tcW w:w="1032" w:type="dxa"/>
            <w:gridSpan w:val="2"/>
            <w:tcBorders>
              <w:top w:val="single" w:sz="8" w:space="0" w:color="auto"/>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b/>
                <w:bCs/>
                <w:color w:val="000000"/>
                <w:sz w:val="20"/>
                <w:szCs w:val="20"/>
              </w:rPr>
            </w:pPr>
            <w:r w:rsidRPr="00151B98">
              <w:rPr>
                <w:b/>
                <w:bCs/>
                <w:color w:val="000000"/>
                <w:sz w:val="20"/>
                <w:szCs w:val="20"/>
              </w:rPr>
              <w:t>10.0</w:t>
            </w:r>
          </w:p>
        </w:tc>
        <w:tc>
          <w:tcPr>
            <w:tcW w:w="1366"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16.7</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White</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23</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82.1</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61.0</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16</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80.0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60.6</w:t>
            </w:r>
          </w:p>
        </w:tc>
      </w:tr>
      <w:tr w:rsidR="003046D1" w:rsidRPr="00151B98" w:rsidTr="00420F26">
        <w:trPr>
          <w:trHeight w:val="275"/>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Race Not Available</w:t>
            </w:r>
          </w:p>
        </w:tc>
        <w:tc>
          <w:tcPr>
            <w:tcW w:w="1147"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2</w:t>
            </w:r>
          </w:p>
        </w:tc>
        <w:tc>
          <w:tcPr>
            <w:tcW w:w="1160"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7.1</w:t>
            </w:r>
          </w:p>
        </w:tc>
        <w:tc>
          <w:tcPr>
            <w:tcW w:w="1364"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20.9</w:t>
            </w:r>
          </w:p>
        </w:tc>
        <w:tc>
          <w:tcPr>
            <w:tcW w:w="1003" w:type="dxa"/>
            <w:tcBorders>
              <w:top w:val="nil"/>
              <w:left w:val="nil"/>
              <w:bottom w:val="nil"/>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2</w:t>
            </w:r>
          </w:p>
        </w:tc>
        <w:tc>
          <w:tcPr>
            <w:tcW w:w="1032" w:type="dxa"/>
            <w:gridSpan w:val="2"/>
            <w:tcBorders>
              <w:top w:val="nil"/>
              <w:left w:val="nil"/>
              <w:bottom w:val="nil"/>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10.0</w:t>
            </w:r>
          </w:p>
        </w:tc>
        <w:tc>
          <w:tcPr>
            <w:tcW w:w="1366"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22.7</w:t>
            </w:r>
          </w:p>
        </w:tc>
      </w:tr>
      <w:tr w:rsidR="003046D1" w:rsidRPr="00151B98" w:rsidTr="00420F26">
        <w:trPr>
          <w:trHeight w:val="172"/>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Total</w:t>
            </w:r>
          </w:p>
        </w:tc>
        <w:tc>
          <w:tcPr>
            <w:tcW w:w="1147"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28</w:t>
            </w:r>
          </w:p>
        </w:tc>
        <w:tc>
          <w:tcPr>
            <w:tcW w:w="1160"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364"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003" w:type="dxa"/>
            <w:tcBorders>
              <w:top w:val="single" w:sz="8" w:space="0" w:color="auto"/>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b/>
                <w:bCs/>
                <w:color w:val="000000"/>
                <w:sz w:val="20"/>
                <w:szCs w:val="20"/>
              </w:rPr>
            </w:pPr>
            <w:r w:rsidRPr="00151B98">
              <w:rPr>
                <w:b/>
                <w:bCs/>
                <w:color w:val="000000"/>
                <w:sz w:val="20"/>
                <w:szCs w:val="20"/>
              </w:rPr>
              <w:t>20</w:t>
            </w:r>
          </w:p>
        </w:tc>
        <w:tc>
          <w:tcPr>
            <w:tcW w:w="1032" w:type="dxa"/>
            <w:gridSpan w:val="2"/>
            <w:tcBorders>
              <w:top w:val="single" w:sz="8" w:space="0" w:color="auto"/>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366"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r>
      <w:tr w:rsidR="003046D1" w:rsidRPr="00151B98" w:rsidTr="00420F26">
        <w:trPr>
          <w:trHeight w:val="172"/>
          <w:jc w:val="center"/>
        </w:trPr>
        <w:tc>
          <w:tcPr>
            <w:tcW w:w="2369" w:type="dxa"/>
            <w:tcBorders>
              <w:top w:val="nil"/>
              <w:left w:val="single" w:sz="8" w:space="0" w:color="auto"/>
              <w:bottom w:val="single" w:sz="8" w:space="0" w:color="auto"/>
              <w:right w:val="nil"/>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ETHNICITY</w:t>
            </w:r>
          </w:p>
        </w:tc>
        <w:tc>
          <w:tcPr>
            <w:tcW w:w="1147" w:type="dxa"/>
            <w:tcBorders>
              <w:top w:val="nil"/>
              <w:left w:val="single" w:sz="8" w:space="0" w:color="auto"/>
              <w:bottom w:val="single" w:sz="8" w:space="0" w:color="auto"/>
              <w:right w:val="nil"/>
            </w:tcBorders>
            <w:shd w:val="clear" w:color="auto" w:fill="FFFFFF" w:themeFill="background1"/>
            <w:vAlign w:val="center"/>
            <w:hideMark/>
          </w:tcPr>
          <w:p w:rsidR="003046D1" w:rsidRPr="00151B98" w:rsidRDefault="003046D1" w:rsidP="00420F26">
            <w:pPr>
              <w:keepNext/>
              <w:jc w:val="center"/>
              <w:rPr>
                <w:b/>
                <w:bCs/>
                <w:color w:val="000000"/>
                <w:sz w:val="20"/>
                <w:szCs w:val="20"/>
              </w:rPr>
            </w:pPr>
          </w:p>
        </w:tc>
        <w:tc>
          <w:tcPr>
            <w:tcW w:w="1160" w:type="dxa"/>
            <w:tcBorders>
              <w:top w:val="nil"/>
              <w:left w:val="nil"/>
              <w:bottom w:val="single" w:sz="8" w:space="0" w:color="auto"/>
              <w:right w:val="nil"/>
            </w:tcBorders>
            <w:shd w:val="clear" w:color="auto" w:fill="FFFFFF" w:themeFill="background1"/>
            <w:vAlign w:val="center"/>
            <w:hideMark/>
          </w:tcPr>
          <w:p w:rsidR="003046D1" w:rsidRPr="00151B98" w:rsidRDefault="003046D1" w:rsidP="00420F26">
            <w:pPr>
              <w:keepNext/>
              <w:jc w:val="center"/>
              <w:rPr>
                <w:b/>
                <w:bCs/>
                <w:color w:val="000000"/>
                <w:sz w:val="20"/>
                <w:szCs w:val="20"/>
              </w:rPr>
            </w:pPr>
          </w:p>
        </w:tc>
        <w:tc>
          <w:tcPr>
            <w:tcW w:w="1364" w:type="dxa"/>
            <w:tcBorders>
              <w:top w:val="nil"/>
              <w:left w:val="nil"/>
              <w:bottom w:val="single" w:sz="8" w:space="0" w:color="auto"/>
              <w:right w:val="nil"/>
            </w:tcBorders>
            <w:shd w:val="clear" w:color="auto" w:fill="auto"/>
            <w:noWrap/>
            <w:vAlign w:val="center"/>
            <w:hideMark/>
          </w:tcPr>
          <w:p w:rsidR="003046D1" w:rsidRPr="00151B98" w:rsidRDefault="003046D1" w:rsidP="00420F26">
            <w:pPr>
              <w:keepNext/>
              <w:jc w:val="center"/>
              <w:rPr>
                <w:color w:val="000000"/>
                <w:sz w:val="20"/>
                <w:szCs w:val="20"/>
              </w:rPr>
            </w:pPr>
          </w:p>
        </w:tc>
        <w:tc>
          <w:tcPr>
            <w:tcW w:w="1296" w:type="dxa"/>
            <w:gridSpan w:val="2"/>
            <w:tcBorders>
              <w:top w:val="nil"/>
              <w:left w:val="nil"/>
              <w:bottom w:val="single" w:sz="8" w:space="0" w:color="auto"/>
              <w:right w:val="nil"/>
            </w:tcBorders>
            <w:shd w:val="clear" w:color="auto" w:fill="auto"/>
            <w:vAlign w:val="center"/>
            <w:hideMark/>
          </w:tcPr>
          <w:p w:rsidR="003046D1" w:rsidRPr="00151B98" w:rsidRDefault="003046D1" w:rsidP="00420F26">
            <w:pPr>
              <w:keepNext/>
              <w:jc w:val="center"/>
              <w:rPr>
                <w:b/>
                <w:bCs/>
                <w:color w:val="000000"/>
                <w:sz w:val="20"/>
                <w:szCs w:val="20"/>
              </w:rPr>
            </w:pPr>
          </w:p>
        </w:tc>
        <w:tc>
          <w:tcPr>
            <w:tcW w:w="739" w:type="dxa"/>
            <w:tcBorders>
              <w:top w:val="nil"/>
              <w:left w:val="nil"/>
              <w:bottom w:val="single" w:sz="8" w:space="0" w:color="auto"/>
              <w:right w:val="nil"/>
            </w:tcBorders>
            <w:shd w:val="clear" w:color="auto" w:fill="auto"/>
            <w:noWrap/>
            <w:vAlign w:val="center"/>
            <w:hideMark/>
          </w:tcPr>
          <w:p w:rsidR="003046D1" w:rsidRPr="00151B98" w:rsidRDefault="003046D1" w:rsidP="00420F26">
            <w:pPr>
              <w:keepNext/>
              <w:jc w:val="center"/>
              <w:rPr>
                <w:color w:val="000000"/>
                <w:sz w:val="20"/>
                <w:szCs w:val="20"/>
              </w:rPr>
            </w:pPr>
          </w:p>
        </w:tc>
        <w:tc>
          <w:tcPr>
            <w:tcW w:w="1366" w:type="dxa"/>
            <w:tcBorders>
              <w:top w:val="nil"/>
              <w:left w:val="nil"/>
              <w:bottom w:val="single" w:sz="8" w:space="0" w:color="auto"/>
              <w:right w:val="single" w:sz="8" w:space="0" w:color="auto"/>
            </w:tcBorders>
            <w:shd w:val="clear" w:color="auto" w:fill="auto"/>
            <w:vAlign w:val="center"/>
            <w:hideMark/>
          </w:tcPr>
          <w:p w:rsidR="003046D1" w:rsidRPr="00151B98" w:rsidRDefault="003046D1" w:rsidP="00420F26">
            <w:pPr>
              <w:keepNext/>
              <w:jc w:val="center"/>
              <w:rPr>
                <w:rFonts w:ascii="Calibri" w:hAnsi="Calibri" w:cs="Calibri"/>
                <w:color w:val="000000"/>
              </w:rPr>
            </w:pPr>
          </w:p>
        </w:tc>
      </w:tr>
      <w:tr w:rsidR="003046D1" w:rsidRPr="00151B98" w:rsidTr="00420F26">
        <w:trPr>
          <w:trHeight w:val="330"/>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Hispanic or Latino</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1</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3.6</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2.9</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3.0</w:t>
            </w:r>
          </w:p>
        </w:tc>
      </w:tr>
      <w:tr w:rsidR="003046D1" w:rsidRPr="00151B98" w:rsidTr="00420F26">
        <w:trPr>
          <w:trHeight w:val="330"/>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Joint (Hisp/Lat /Not Hisp/Lat)</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1</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3.6</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1.1</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1.0</w:t>
            </w:r>
          </w:p>
        </w:tc>
      </w:tr>
      <w:tr w:rsidR="003046D1" w:rsidRPr="00151B98" w:rsidTr="00420F26">
        <w:trPr>
          <w:trHeight w:val="330"/>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Total Ethnic Minority</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2</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7.2</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4.0</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b/>
                <w:bCs/>
                <w:color w:val="000000"/>
                <w:sz w:val="20"/>
                <w:szCs w:val="20"/>
              </w:rPr>
            </w:pPr>
            <w:r w:rsidRPr="00151B98">
              <w:rPr>
                <w:b/>
                <w:bCs/>
                <w:color w:val="000000"/>
                <w:sz w:val="20"/>
                <w:szCs w:val="20"/>
              </w:rPr>
              <w:t>0</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b/>
                <w:bCs/>
                <w:color w:val="000000"/>
                <w:sz w:val="20"/>
                <w:szCs w:val="20"/>
              </w:rPr>
            </w:pPr>
            <w:r w:rsidRPr="00151B98">
              <w:rPr>
                <w:b/>
                <w:bCs/>
                <w:color w:val="000000"/>
                <w:sz w:val="20"/>
                <w:szCs w:val="20"/>
              </w:rPr>
              <w:t>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4.0</w:t>
            </w:r>
          </w:p>
        </w:tc>
      </w:tr>
      <w:tr w:rsidR="003046D1" w:rsidRPr="00151B98" w:rsidTr="00420F26">
        <w:trPr>
          <w:trHeight w:val="330"/>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Not Hispanic or Latino</w:t>
            </w:r>
          </w:p>
        </w:tc>
        <w:tc>
          <w:tcPr>
            <w:tcW w:w="1147"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23</w:t>
            </w:r>
          </w:p>
        </w:tc>
        <w:tc>
          <w:tcPr>
            <w:tcW w:w="1160" w:type="dxa"/>
            <w:tcBorders>
              <w:top w:val="nil"/>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82.1</w:t>
            </w:r>
          </w:p>
        </w:tc>
        <w:tc>
          <w:tcPr>
            <w:tcW w:w="1364"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74.2</w:t>
            </w:r>
          </w:p>
        </w:tc>
        <w:tc>
          <w:tcPr>
            <w:tcW w:w="1003" w:type="dxa"/>
            <w:tcBorders>
              <w:top w:val="nil"/>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18</w:t>
            </w:r>
          </w:p>
        </w:tc>
        <w:tc>
          <w:tcPr>
            <w:tcW w:w="1032" w:type="dxa"/>
            <w:gridSpan w:val="2"/>
            <w:tcBorders>
              <w:top w:val="nil"/>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90.0</w:t>
            </w:r>
          </w:p>
        </w:tc>
        <w:tc>
          <w:tcPr>
            <w:tcW w:w="1366" w:type="dxa"/>
            <w:tcBorders>
              <w:top w:val="nil"/>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72.6</w:t>
            </w:r>
          </w:p>
        </w:tc>
      </w:tr>
      <w:tr w:rsidR="003046D1" w:rsidRPr="00151B98" w:rsidTr="00420F26">
        <w:trPr>
          <w:trHeight w:val="330"/>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color w:val="000000"/>
                <w:sz w:val="20"/>
                <w:szCs w:val="20"/>
              </w:rPr>
            </w:pPr>
            <w:r w:rsidRPr="00151B98">
              <w:rPr>
                <w:color w:val="000000"/>
                <w:sz w:val="20"/>
                <w:szCs w:val="20"/>
              </w:rPr>
              <w:t>Ethnicity Not Available</w:t>
            </w:r>
          </w:p>
        </w:tc>
        <w:tc>
          <w:tcPr>
            <w:tcW w:w="1147"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3</w:t>
            </w:r>
          </w:p>
        </w:tc>
        <w:tc>
          <w:tcPr>
            <w:tcW w:w="1160" w:type="dxa"/>
            <w:tcBorders>
              <w:top w:val="nil"/>
              <w:left w:val="nil"/>
              <w:bottom w:val="nil"/>
              <w:right w:val="single" w:sz="8" w:space="0" w:color="auto"/>
            </w:tcBorders>
            <w:shd w:val="clear" w:color="auto" w:fill="FFFFFF" w:themeFill="background1"/>
            <w:vAlign w:val="center"/>
          </w:tcPr>
          <w:p w:rsidR="003046D1" w:rsidRPr="00151B98" w:rsidRDefault="003046D1" w:rsidP="00420F26">
            <w:pPr>
              <w:keepNext/>
              <w:jc w:val="center"/>
              <w:rPr>
                <w:color w:val="000000"/>
                <w:sz w:val="20"/>
                <w:szCs w:val="20"/>
              </w:rPr>
            </w:pPr>
            <w:r w:rsidRPr="00151B98">
              <w:rPr>
                <w:color w:val="000000"/>
                <w:sz w:val="20"/>
                <w:szCs w:val="20"/>
              </w:rPr>
              <w:t>10.7</w:t>
            </w:r>
          </w:p>
        </w:tc>
        <w:tc>
          <w:tcPr>
            <w:tcW w:w="1364"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21.8</w:t>
            </w:r>
          </w:p>
        </w:tc>
        <w:tc>
          <w:tcPr>
            <w:tcW w:w="1003" w:type="dxa"/>
            <w:tcBorders>
              <w:top w:val="nil"/>
              <w:left w:val="nil"/>
              <w:bottom w:val="nil"/>
              <w:right w:val="single" w:sz="8" w:space="0" w:color="auto"/>
            </w:tcBorders>
            <w:shd w:val="clear" w:color="auto" w:fill="auto"/>
            <w:vAlign w:val="center"/>
          </w:tcPr>
          <w:p w:rsidR="003046D1" w:rsidRPr="00151B98" w:rsidRDefault="003046D1" w:rsidP="00420F26">
            <w:pPr>
              <w:keepNext/>
              <w:jc w:val="center"/>
              <w:rPr>
                <w:color w:val="000000"/>
                <w:sz w:val="20"/>
                <w:szCs w:val="20"/>
              </w:rPr>
            </w:pPr>
            <w:r w:rsidRPr="00151B98">
              <w:rPr>
                <w:color w:val="000000"/>
                <w:sz w:val="20"/>
                <w:szCs w:val="20"/>
              </w:rPr>
              <w:t>2</w:t>
            </w:r>
          </w:p>
        </w:tc>
        <w:tc>
          <w:tcPr>
            <w:tcW w:w="1032" w:type="dxa"/>
            <w:gridSpan w:val="2"/>
            <w:tcBorders>
              <w:top w:val="nil"/>
              <w:left w:val="nil"/>
              <w:bottom w:val="nil"/>
              <w:right w:val="single" w:sz="8" w:space="0" w:color="auto"/>
            </w:tcBorders>
            <w:shd w:val="clear" w:color="auto" w:fill="auto"/>
            <w:noWrap/>
            <w:vAlign w:val="center"/>
          </w:tcPr>
          <w:p w:rsidR="003046D1" w:rsidRPr="00151B98" w:rsidRDefault="003046D1" w:rsidP="00420F26">
            <w:pPr>
              <w:keepNext/>
              <w:jc w:val="center"/>
              <w:rPr>
                <w:color w:val="000000"/>
                <w:sz w:val="20"/>
                <w:szCs w:val="20"/>
              </w:rPr>
            </w:pPr>
            <w:r w:rsidRPr="00151B98">
              <w:rPr>
                <w:color w:val="000000"/>
                <w:sz w:val="20"/>
                <w:szCs w:val="20"/>
              </w:rPr>
              <w:t>10.0</w:t>
            </w:r>
          </w:p>
        </w:tc>
        <w:tc>
          <w:tcPr>
            <w:tcW w:w="1366" w:type="dxa"/>
            <w:tcBorders>
              <w:top w:val="nil"/>
              <w:left w:val="nil"/>
              <w:bottom w:val="nil"/>
              <w:right w:val="single" w:sz="8" w:space="0" w:color="auto"/>
            </w:tcBorders>
            <w:shd w:val="clear" w:color="000000" w:fill="D9D9D9"/>
            <w:vAlign w:val="center"/>
          </w:tcPr>
          <w:p w:rsidR="003046D1" w:rsidRPr="00151B98" w:rsidRDefault="003046D1" w:rsidP="00420F26">
            <w:pPr>
              <w:keepNext/>
              <w:jc w:val="center"/>
              <w:rPr>
                <w:color w:val="000000"/>
                <w:sz w:val="20"/>
                <w:szCs w:val="20"/>
              </w:rPr>
            </w:pPr>
            <w:r w:rsidRPr="00151B98">
              <w:rPr>
                <w:color w:val="000000"/>
                <w:sz w:val="20"/>
                <w:szCs w:val="20"/>
              </w:rPr>
              <w:t>23.4</w:t>
            </w:r>
          </w:p>
        </w:tc>
      </w:tr>
      <w:tr w:rsidR="003046D1" w:rsidRPr="00151B98" w:rsidTr="00420F26">
        <w:trPr>
          <w:trHeight w:val="172"/>
          <w:jc w:val="center"/>
        </w:trPr>
        <w:tc>
          <w:tcPr>
            <w:tcW w:w="2369" w:type="dxa"/>
            <w:tcBorders>
              <w:top w:val="nil"/>
              <w:left w:val="single" w:sz="8" w:space="0" w:color="auto"/>
              <w:bottom w:val="single" w:sz="8" w:space="0" w:color="auto"/>
              <w:right w:val="single" w:sz="8" w:space="0" w:color="auto"/>
            </w:tcBorders>
            <w:shd w:val="clear" w:color="auto" w:fill="FFFFFF" w:themeFill="background1"/>
            <w:vAlign w:val="center"/>
            <w:hideMark/>
          </w:tcPr>
          <w:p w:rsidR="003046D1" w:rsidRPr="00151B98" w:rsidRDefault="003046D1" w:rsidP="00420F26">
            <w:pPr>
              <w:keepNext/>
              <w:rPr>
                <w:b/>
                <w:bCs/>
                <w:color w:val="000000"/>
                <w:sz w:val="20"/>
                <w:szCs w:val="20"/>
              </w:rPr>
            </w:pPr>
            <w:r w:rsidRPr="00151B98">
              <w:rPr>
                <w:b/>
                <w:bCs/>
                <w:color w:val="000000"/>
                <w:sz w:val="20"/>
                <w:szCs w:val="20"/>
              </w:rPr>
              <w:t>Total</w:t>
            </w:r>
          </w:p>
        </w:tc>
        <w:tc>
          <w:tcPr>
            <w:tcW w:w="1147"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28</w:t>
            </w:r>
          </w:p>
        </w:tc>
        <w:tc>
          <w:tcPr>
            <w:tcW w:w="1160" w:type="dxa"/>
            <w:tcBorders>
              <w:top w:val="single" w:sz="8" w:space="0" w:color="auto"/>
              <w:left w:val="nil"/>
              <w:bottom w:val="single" w:sz="8" w:space="0" w:color="auto"/>
              <w:right w:val="single" w:sz="8" w:space="0" w:color="auto"/>
            </w:tcBorders>
            <w:shd w:val="clear" w:color="auto" w:fill="FFFFFF" w:themeFill="background1"/>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364"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003" w:type="dxa"/>
            <w:tcBorders>
              <w:top w:val="single" w:sz="8" w:space="0" w:color="auto"/>
              <w:left w:val="nil"/>
              <w:bottom w:val="single" w:sz="8" w:space="0" w:color="auto"/>
              <w:right w:val="single" w:sz="8" w:space="0" w:color="auto"/>
            </w:tcBorders>
            <w:shd w:val="clear" w:color="auto" w:fill="auto"/>
            <w:vAlign w:val="center"/>
          </w:tcPr>
          <w:p w:rsidR="003046D1" w:rsidRPr="00151B98" w:rsidRDefault="003046D1" w:rsidP="00420F26">
            <w:pPr>
              <w:keepNext/>
              <w:jc w:val="center"/>
              <w:rPr>
                <w:b/>
                <w:bCs/>
                <w:color w:val="000000"/>
                <w:sz w:val="20"/>
                <w:szCs w:val="20"/>
              </w:rPr>
            </w:pPr>
            <w:r w:rsidRPr="00151B98">
              <w:rPr>
                <w:b/>
                <w:bCs/>
                <w:color w:val="000000"/>
                <w:sz w:val="20"/>
                <w:szCs w:val="20"/>
              </w:rPr>
              <w:t>20</w:t>
            </w:r>
          </w:p>
        </w:tc>
        <w:tc>
          <w:tcPr>
            <w:tcW w:w="1032" w:type="dxa"/>
            <w:gridSpan w:val="2"/>
            <w:tcBorders>
              <w:top w:val="single" w:sz="8" w:space="0" w:color="auto"/>
              <w:left w:val="nil"/>
              <w:bottom w:val="single" w:sz="8" w:space="0" w:color="auto"/>
              <w:right w:val="single" w:sz="8" w:space="0" w:color="auto"/>
            </w:tcBorders>
            <w:shd w:val="clear" w:color="auto" w:fill="auto"/>
            <w:noWrap/>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c>
          <w:tcPr>
            <w:tcW w:w="1366" w:type="dxa"/>
            <w:tcBorders>
              <w:top w:val="single" w:sz="8" w:space="0" w:color="auto"/>
              <w:left w:val="nil"/>
              <w:bottom w:val="single" w:sz="8" w:space="0" w:color="auto"/>
              <w:right w:val="single" w:sz="8" w:space="0" w:color="auto"/>
            </w:tcBorders>
            <w:shd w:val="clear" w:color="000000" w:fill="D9D9D9"/>
            <w:vAlign w:val="center"/>
          </w:tcPr>
          <w:p w:rsidR="003046D1" w:rsidRPr="00151B98" w:rsidRDefault="003046D1" w:rsidP="00420F26">
            <w:pPr>
              <w:keepNext/>
              <w:jc w:val="center"/>
              <w:rPr>
                <w:b/>
                <w:bCs/>
                <w:color w:val="000000"/>
                <w:sz w:val="20"/>
                <w:szCs w:val="20"/>
              </w:rPr>
            </w:pPr>
            <w:r w:rsidRPr="00151B98">
              <w:rPr>
                <w:b/>
                <w:bCs/>
                <w:color w:val="000000"/>
                <w:sz w:val="20"/>
                <w:szCs w:val="20"/>
              </w:rPr>
              <w:t>100.0</w:t>
            </w:r>
          </w:p>
        </w:tc>
      </w:tr>
    </w:tbl>
    <w:p w:rsidR="003046D1" w:rsidRPr="00151B98" w:rsidRDefault="003046D1" w:rsidP="00420F26">
      <w:pPr>
        <w:autoSpaceDE w:val="0"/>
        <w:autoSpaceDN w:val="0"/>
        <w:adjustRightInd w:val="0"/>
        <w:jc w:val="both"/>
        <w:rPr>
          <w:color w:val="000000"/>
        </w:rPr>
      </w:pPr>
      <w:r w:rsidRPr="00151B98">
        <w:rPr>
          <w:color w:val="000000"/>
        </w:rPr>
        <w:fldChar w:fldCharType="end"/>
      </w:r>
      <w:r w:rsidRPr="00151B98">
        <w:rPr>
          <w:i/>
          <w:spacing w:val="-4"/>
          <w:sz w:val="16"/>
          <w:szCs w:val="16"/>
        </w:rPr>
        <w:t xml:space="preserve">Source: ACS Census 2015, HMDA Aggregate Data 2018 and 2019, HMDA LAR Data 2018 and 2019   </w:t>
      </w:r>
    </w:p>
    <w:p w:rsidR="003046D1" w:rsidRPr="00FF4936" w:rsidRDefault="003046D1" w:rsidP="00420F26">
      <w:pPr>
        <w:autoSpaceDE w:val="0"/>
        <w:autoSpaceDN w:val="0"/>
        <w:adjustRightInd w:val="0"/>
        <w:rPr>
          <w:color w:val="000000"/>
          <w:highlight w:val="yellow"/>
        </w:rPr>
      </w:pPr>
    </w:p>
    <w:p w:rsidR="003046D1" w:rsidRPr="00466401" w:rsidRDefault="003046D1" w:rsidP="00420F26">
      <w:pPr>
        <w:autoSpaceDE w:val="0"/>
        <w:autoSpaceDN w:val="0"/>
        <w:adjustRightInd w:val="0"/>
        <w:jc w:val="both"/>
        <w:rPr>
          <w:color w:val="000000"/>
        </w:rPr>
      </w:pPr>
      <w:r w:rsidRPr="006037D7">
        <w:rPr>
          <w:color w:val="000000"/>
        </w:rPr>
        <w:t xml:space="preserve">In 2018, the bank received 28 HMDA reportable loan applications within its assessment </w:t>
      </w:r>
      <w:r>
        <w:rPr>
          <w:color w:val="000000"/>
        </w:rPr>
        <w:t>area.  Of these applications, three</w:t>
      </w:r>
      <w:r w:rsidRPr="006037D7">
        <w:rPr>
          <w:color w:val="000000"/>
        </w:rPr>
        <w:t xml:space="preserve"> or 10.8 percent were received from </w:t>
      </w:r>
      <w:r>
        <w:rPr>
          <w:color w:val="000000"/>
        </w:rPr>
        <w:t xml:space="preserve">racial </w:t>
      </w:r>
      <w:r w:rsidRPr="006037D7">
        <w:rPr>
          <w:color w:val="000000"/>
        </w:rPr>
        <w:t xml:space="preserve">minority applicants, 66.7 percent of which resulted in </w:t>
      </w:r>
      <w:r w:rsidRPr="00466401">
        <w:rPr>
          <w:color w:val="000000"/>
        </w:rPr>
        <w:t xml:space="preserve">originations.  The aggregate received 4.0 percent of its applications from minority </w:t>
      </w:r>
      <w:r w:rsidRPr="00466401">
        <w:rPr>
          <w:color w:val="000000"/>
        </w:rPr>
        <w:lastRenderedPageBreak/>
        <w:t xml:space="preserve">consumers, of which 50.6 percent of which were originated.  For the same time period, the bank received </w:t>
      </w:r>
      <w:r>
        <w:rPr>
          <w:color w:val="000000"/>
        </w:rPr>
        <w:t>two</w:t>
      </w:r>
      <w:r w:rsidRPr="00466401">
        <w:rPr>
          <w:color w:val="000000"/>
        </w:rPr>
        <w:t xml:space="preserve"> or 7.2 percent of all applications from ethnic groups of Hispanic origin within its assessment area of which 100.0 percent were originated, compared to an aggregate ethnic minority application rate of 4.0 percent with a 54.8 percent origination rate.</w:t>
      </w:r>
    </w:p>
    <w:p w:rsidR="003046D1" w:rsidRPr="00FF4936" w:rsidRDefault="003046D1" w:rsidP="00420F26">
      <w:pPr>
        <w:autoSpaceDE w:val="0"/>
        <w:autoSpaceDN w:val="0"/>
        <w:adjustRightInd w:val="0"/>
        <w:jc w:val="both"/>
        <w:rPr>
          <w:color w:val="000000"/>
          <w:highlight w:val="yellow"/>
        </w:rPr>
      </w:pPr>
    </w:p>
    <w:p w:rsidR="003046D1" w:rsidRPr="00151B98" w:rsidRDefault="003046D1" w:rsidP="00420F26">
      <w:pPr>
        <w:autoSpaceDE w:val="0"/>
        <w:autoSpaceDN w:val="0"/>
        <w:adjustRightInd w:val="0"/>
        <w:jc w:val="both"/>
        <w:rPr>
          <w:color w:val="000000"/>
        </w:rPr>
      </w:pPr>
      <w:r w:rsidRPr="00151B98">
        <w:rPr>
          <w:color w:val="000000"/>
        </w:rPr>
        <w:t xml:space="preserve">In 2019, the bank received 20 HMDA reportable loan applications within its assessment area.  Of these applications, 2 or 10.0 percent were received from minority applicants, 100.0 percent of which resulted in originations.  The aggregate received 16.7 percent of its applications from racial minority consumers, of which 57.8 percent of which were originated.  For the same time period, the bank received </w:t>
      </w:r>
      <w:r w:rsidR="008F04F6">
        <w:rPr>
          <w:color w:val="000000"/>
        </w:rPr>
        <w:t>no</w:t>
      </w:r>
      <w:r w:rsidRPr="00151B98">
        <w:rPr>
          <w:color w:val="000000"/>
        </w:rPr>
        <w:t xml:space="preserve"> applications from ethnic groups of Hispanic origin within its assessment area. The aggregate’s ethnic minority rate was 4.0 percent with a 73.1 percent origination rate.</w:t>
      </w:r>
    </w:p>
    <w:p w:rsidR="003046D1" w:rsidRPr="00FF4936" w:rsidRDefault="003046D1" w:rsidP="00420F26">
      <w:pPr>
        <w:tabs>
          <w:tab w:val="center" w:pos="4680"/>
        </w:tabs>
        <w:jc w:val="both"/>
        <w:rPr>
          <w:color w:val="000000"/>
          <w:highlight w:val="yellow"/>
        </w:rPr>
      </w:pPr>
    </w:p>
    <w:p w:rsidR="003046D1" w:rsidRPr="0049244C" w:rsidRDefault="003046D1" w:rsidP="00420F26">
      <w:pPr>
        <w:tabs>
          <w:tab w:val="center" w:pos="4680"/>
        </w:tabs>
        <w:jc w:val="both"/>
        <w:rPr>
          <w:color w:val="000000"/>
        </w:rPr>
      </w:pPr>
      <w:r w:rsidRPr="0049244C">
        <w:rPr>
          <w:color w:val="000000"/>
        </w:rPr>
        <w:t>Considering the demographic com</w:t>
      </w:r>
      <w:r>
        <w:rPr>
          <w:color w:val="000000"/>
        </w:rPr>
        <w:t xml:space="preserve">position of the assessment area, </w:t>
      </w:r>
      <w:r w:rsidRPr="0049244C">
        <w:rPr>
          <w:color w:val="000000"/>
        </w:rPr>
        <w:t xml:space="preserve">comparisons to aggregate data in 2019, </w:t>
      </w:r>
      <w:r>
        <w:rPr>
          <w:color w:val="000000"/>
        </w:rPr>
        <w:t xml:space="preserve">and the number of applications received, </w:t>
      </w:r>
      <w:r w:rsidRPr="0049244C">
        <w:rPr>
          <w:color w:val="000000"/>
        </w:rPr>
        <w:t>the bank’s minority application flow is reasonable.</w:t>
      </w:r>
    </w:p>
    <w:p w:rsidR="003046D1" w:rsidRDefault="003046D1" w:rsidP="00420F26">
      <w:pPr>
        <w:jc w:val="both"/>
      </w:pPr>
    </w:p>
    <w:p w:rsidR="00B062F0" w:rsidRPr="00B062F0" w:rsidRDefault="00B062F0" w:rsidP="00420F26">
      <w:pPr>
        <w:pStyle w:val="QuickFormat1"/>
        <w:jc w:val="both"/>
        <w:rPr>
          <w:b w:val="0"/>
          <w:sz w:val="24"/>
          <w:szCs w:val="24"/>
          <w:lang w:val="en-US"/>
        </w:rPr>
      </w:pPr>
    </w:p>
    <w:p w:rsidR="002F0569" w:rsidRPr="00B062F0" w:rsidRDefault="002F0569" w:rsidP="00420F26">
      <w:pPr>
        <w:jc w:val="both"/>
        <w:rPr>
          <w:bCs/>
        </w:rPr>
      </w:pPr>
    </w:p>
    <w:p w:rsidR="00B062F0" w:rsidRPr="00B062F0" w:rsidRDefault="00B062F0" w:rsidP="00420F26">
      <w:pPr>
        <w:jc w:val="both"/>
        <w:rPr>
          <w:bCs/>
        </w:rPr>
      </w:pPr>
    </w:p>
    <w:p w:rsidR="0005466C" w:rsidRPr="00286B81" w:rsidRDefault="0005466C" w:rsidP="00420F26">
      <w:pPr>
        <w:rPr>
          <w:bCs/>
          <w:color w:val="000000"/>
          <w:sz w:val="28"/>
          <w:szCs w:val="28"/>
        </w:rPr>
      </w:pPr>
      <w:r w:rsidRPr="00286B81">
        <w:rPr>
          <w:bCs/>
          <w:color w:val="000000"/>
          <w:sz w:val="28"/>
          <w:szCs w:val="28"/>
        </w:rPr>
        <w:br w:type="page"/>
      </w:r>
    </w:p>
    <w:p w:rsidR="0099672C" w:rsidRPr="00AE1F9E" w:rsidRDefault="0099672C" w:rsidP="00420F26">
      <w:pPr>
        <w:pStyle w:val="Heading2"/>
      </w:pPr>
      <w:bookmarkStart w:id="6" w:name="_Toc64381100"/>
      <w:r w:rsidRPr="00AE1F9E">
        <w:lastRenderedPageBreak/>
        <w:t>GLOSSARY</w:t>
      </w:r>
      <w:bookmarkEnd w:id="6"/>
    </w:p>
    <w:p w:rsidR="0099672C" w:rsidRPr="00286B81" w:rsidRDefault="0099672C" w:rsidP="00420F26">
      <w:pPr>
        <w:rPr>
          <w:bCs/>
        </w:rPr>
      </w:pPr>
    </w:p>
    <w:p w:rsidR="0099672C" w:rsidRPr="00D50F8D" w:rsidRDefault="00874E0E" w:rsidP="0052767F">
      <w:pPr>
        <w:jc w:val="both"/>
      </w:pPr>
      <w:r>
        <w:rPr>
          <w:b/>
          <w:bCs/>
        </w:rPr>
        <w:t>Aggregate L</w:t>
      </w:r>
      <w:r w:rsidR="0099672C" w:rsidRPr="00D50F8D">
        <w:rPr>
          <w:b/>
          <w:bCs/>
        </w:rPr>
        <w:t>ending:</w:t>
      </w:r>
      <w:r w:rsidR="0099672C" w:rsidRPr="00D50F8D">
        <w:t xml:space="preserve"> </w:t>
      </w:r>
      <w:r w:rsidR="0099672C">
        <w:t xml:space="preserve"> </w:t>
      </w:r>
      <w:r w:rsidR="0099672C" w:rsidRPr="00D50F8D">
        <w:t>The number of loans originated and purchased by all reporting lenders in specified income categories as a percentage of the aggregate number of loans originated and purchased by all reporting lenders in the metropolitan area/assessment area.</w:t>
      </w:r>
    </w:p>
    <w:p w:rsidR="0099672C" w:rsidRPr="00286B81" w:rsidRDefault="0099672C" w:rsidP="0052767F">
      <w:pPr>
        <w:jc w:val="both"/>
        <w:rPr>
          <w:bCs/>
        </w:rPr>
      </w:pPr>
    </w:p>
    <w:p w:rsidR="004F54F4" w:rsidRDefault="004F54F4" w:rsidP="0052767F">
      <w:pPr>
        <w:jc w:val="both"/>
        <w:rPr>
          <w:bCs/>
        </w:rPr>
      </w:pPr>
      <w:r>
        <w:rPr>
          <w:b/>
          <w:bCs/>
        </w:rPr>
        <w:t>American Community Survey (ACS):</w:t>
      </w:r>
      <w:r>
        <w:rPr>
          <w:bCs/>
        </w:rPr>
        <w:t xml:space="preserve">  A nationwide United States Census survey that produces demographic, social, housing, and economic estimates in the form of five year estimates based on population thresholds.</w:t>
      </w:r>
    </w:p>
    <w:p w:rsidR="004F54F4" w:rsidRDefault="004F54F4" w:rsidP="0052767F">
      <w:pPr>
        <w:jc w:val="both"/>
        <w:rPr>
          <w:bCs/>
        </w:rPr>
      </w:pPr>
    </w:p>
    <w:p w:rsidR="0099672C" w:rsidRDefault="0099672C" w:rsidP="0052767F">
      <w:pPr>
        <w:jc w:val="both"/>
        <w:rPr>
          <w:i/>
          <w:iCs/>
        </w:rPr>
      </w:pPr>
      <w:r>
        <w:rPr>
          <w:b/>
          <w:bCs/>
        </w:rPr>
        <w:t xml:space="preserve">Area Median Income: </w:t>
      </w:r>
      <w:r w:rsidRPr="00014F79">
        <w:rPr>
          <w:b/>
          <w:bCs/>
        </w:rPr>
        <w:t xml:space="preserve"> </w:t>
      </w:r>
      <w:r>
        <w:t xml:space="preserve">The median family income for the MSA, if a person or geography is located </w:t>
      </w:r>
      <w:r w:rsidR="001F42E4">
        <w:t>in an MSA; or the statewide non</w:t>
      </w:r>
      <w:r>
        <w:t>metropolitan median family income, if a person or geography is located outside an MSA</w:t>
      </w:r>
      <w:r>
        <w:rPr>
          <w:i/>
          <w:iCs/>
        </w:rPr>
        <w:t>.</w:t>
      </w:r>
    </w:p>
    <w:p w:rsidR="0099672C" w:rsidRPr="00286B81" w:rsidRDefault="0099672C" w:rsidP="0052767F">
      <w:pPr>
        <w:jc w:val="both"/>
        <w:rPr>
          <w:bCs/>
        </w:rPr>
      </w:pPr>
    </w:p>
    <w:p w:rsidR="0099672C" w:rsidRDefault="0099672C" w:rsidP="0052767F">
      <w:pPr>
        <w:jc w:val="both"/>
      </w:pPr>
      <w:r>
        <w:rPr>
          <w:b/>
          <w:bCs/>
        </w:rPr>
        <w:t>Assessment Area:</w:t>
      </w:r>
      <w:r>
        <w:t xml:space="preserve">  A geographic area delineated by the </w:t>
      </w:r>
      <w:r w:rsidR="00F3389D">
        <w:t>bank</w:t>
      </w:r>
      <w:r>
        <w:t xml:space="preserve"> under the requirements of the Community Reinvestment Act.</w:t>
      </w:r>
    </w:p>
    <w:p w:rsidR="0099672C" w:rsidRPr="00286B81" w:rsidRDefault="0099672C" w:rsidP="0052767F">
      <w:pPr>
        <w:jc w:val="both"/>
        <w:rPr>
          <w:bCs/>
        </w:rPr>
      </w:pPr>
    </w:p>
    <w:p w:rsidR="00640527" w:rsidRPr="00E05BD4" w:rsidRDefault="00640527" w:rsidP="0052767F">
      <w:pPr>
        <w:jc w:val="both"/>
      </w:pPr>
      <w:r>
        <w:rPr>
          <w:b/>
          <w:bCs/>
        </w:rPr>
        <w:t xml:space="preserve">Census Tract:  </w:t>
      </w:r>
      <w:r w:rsidRPr="00E05BD4">
        <w:t xml:space="preserve">A small, relatively permanent statistical subdivision of a county or equivalent entity.  The primary purpose of census tracts is to provide a stable set of geographic units for the presentation of statistical data.  Census tracts generally have a population size between 1,200 and 8,000 people, with an optimum size of 4,000 people.  Census tract boundaries generally follow visible and identifiable features, but they may follow nonvisible legal boundaries in some instances.  State and county boundaries always are census tract boundaries.  </w:t>
      </w:r>
    </w:p>
    <w:p w:rsidR="0099672C" w:rsidRPr="00286B81" w:rsidRDefault="0099672C" w:rsidP="0052767F">
      <w:pPr>
        <w:jc w:val="both"/>
        <w:rPr>
          <w:bCs/>
        </w:rPr>
      </w:pPr>
    </w:p>
    <w:p w:rsidR="0099672C" w:rsidRPr="007A6E51" w:rsidRDefault="0099672C" w:rsidP="0052767F">
      <w:pPr>
        <w:widowControl w:val="0"/>
        <w:jc w:val="both"/>
      </w:pPr>
      <w:r w:rsidRPr="00D3354F">
        <w:rPr>
          <w:b/>
          <w:bCs/>
        </w:rPr>
        <w:t>C</w:t>
      </w:r>
      <w:r>
        <w:rPr>
          <w:b/>
          <w:bCs/>
        </w:rPr>
        <w:t xml:space="preserve">ombined Statistical Area (CSA):  </w:t>
      </w:r>
      <w:r w:rsidRPr="007A6E51">
        <w:t xml:space="preserve">A combination of several adjacent metropolitan statistical areas or micropolitan statistical areas or a mix of the two, which are linked by economic ties.  </w:t>
      </w:r>
    </w:p>
    <w:p w:rsidR="0099672C" w:rsidRPr="00D3354F" w:rsidRDefault="0099672C" w:rsidP="0052767F">
      <w:pPr>
        <w:jc w:val="both"/>
      </w:pPr>
    </w:p>
    <w:p w:rsidR="0099672C" w:rsidRPr="00D3354F" w:rsidRDefault="00874E0E" w:rsidP="0052767F">
      <w:pPr>
        <w:jc w:val="both"/>
        <w:rPr>
          <w:b/>
          <w:bCs/>
        </w:rPr>
      </w:pPr>
      <w:r>
        <w:rPr>
          <w:b/>
          <w:bCs/>
        </w:rPr>
        <w:t>Consumer L</w:t>
      </w:r>
      <w:r w:rsidR="0099672C" w:rsidRPr="00D3354F">
        <w:rPr>
          <w:b/>
          <w:bCs/>
        </w:rPr>
        <w:t xml:space="preserve">oan(s):  </w:t>
      </w:r>
      <w:r w:rsidR="0099672C" w:rsidRPr="00D3354F">
        <w:t>A loan(s) to one or more individuals for household, family, or other personal expenditures.  A consumer loan does not include a home mortgage, small business, or small farm loan.  This definition includes the following categories: motor vehicle loans, credit card loans, home equity loans, other secured consumer loans, and other unsecured consumer loans.</w:t>
      </w:r>
    </w:p>
    <w:p w:rsidR="0099672C" w:rsidRDefault="0099672C" w:rsidP="0052767F">
      <w:pPr>
        <w:pStyle w:val="HTMLPreformatted"/>
        <w:jc w:val="both"/>
        <w:rPr>
          <w:rFonts w:ascii="Times New Roman" w:hAnsi="Times New Roman"/>
          <w:sz w:val="24"/>
          <w:szCs w:val="24"/>
        </w:rPr>
      </w:pPr>
    </w:p>
    <w:p w:rsidR="001F42E4" w:rsidRDefault="001F42E4" w:rsidP="0052767F">
      <w:pPr>
        <w:jc w:val="both"/>
      </w:pPr>
      <w:r>
        <w:rPr>
          <w:b/>
          <w:bCs/>
        </w:rPr>
        <w:t xml:space="preserve">Core Based Statistical Area (CBSA):  </w:t>
      </w:r>
      <w:r>
        <w:t xml:space="preserve">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  Metropolitan and Micropolitan Statistical Areas are the two categories of CBSAs. </w:t>
      </w:r>
    </w:p>
    <w:p w:rsidR="001F42E4" w:rsidRPr="00D3354F" w:rsidRDefault="001F42E4" w:rsidP="0052767F">
      <w:pPr>
        <w:pStyle w:val="HTMLPreformatted"/>
        <w:jc w:val="both"/>
        <w:rPr>
          <w:rFonts w:ascii="Times New Roman" w:hAnsi="Times New Roman"/>
          <w:sz w:val="24"/>
          <w:szCs w:val="24"/>
        </w:rPr>
      </w:pPr>
    </w:p>
    <w:p w:rsidR="0099672C" w:rsidRPr="00D3354F" w:rsidRDefault="0099672C" w:rsidP="0052767F">
      <w:pPr>
        <w:jc w:val="both"/>
      </w:pPr>
      <w:r w:rsidRPr="00D3354F">
        <w:rPr>
          <w:b/>
          <w:bCs/>
        </w:rPr>
        <w:t>Family:</w:t>
      </w:r>
      <w:r w:rsidRPr="00D3354F">
        <w:t xml:space="preserve">  Includes a householder and one or more other persons living in the same household who are related to the householder by birth, marriage, or adoption.  The number of family households always equals the number of families; however, a family household may also include non-relatives living with the family.  Families are classified by type as either a married-couple family or other family</w:t>
      </w:r>
      <w:r>
        <w:t>.  Other family</w:t>
      </w:r>
      <w:r w:rsidRPr="00D3354F">
        <w:t xml:space="preserve"> is further classified into “male householder” (a family with a male householder and no wife present) or “female householder” (a family with a female householder and no husband present).</w:t>
      </w:r>
    </w:p>
    <w:p w:rsidR="0099672C" w:rsidRPr="00286B81" w:rsidRDefault="0099672C" w:rsidP="0052767F">
      <w:pPr>
        <w:jc w:val="both"/>
        <w:rPr>
          <w:bCs/>
        </w:rPr>
      </w:pPr>
    </w:p>
    <w:p w:rsidR="0099672C" w:rsidRPr="00D3354F" w:rsidRDefault="0099672C" w:rsidP="0052767F">
      <w:pPr>
        <w:jc w:val="both"/>
      </w:pPr>
      <w:r w:rsidRPr="00D3354F">
        <w:rPr>
          <w:b/>
          <w:bCs/>
        </w:rPr>
        <w:lastRenderedPageBreak/>
        <w:t>FFIEC-</w:t>
      </w:r>
      <w:r w:rsidR="00674560">
        <w:rPr>
          <w:b/>
          <w:bCs/>
        </w:rPr>
        <w:t>Estimated</w:t>
      </w:r>
      <w:r w:rsidR="00674560" w:rsidRPr="00D3354F">
        <w:rPr>
          <w:b/>
          <w:bCs/>
        </w:rPr>
        <w:t xml:space="preserve"> </w:t>
      </w:r>
      <w:r w:rsidRPr="00D3354F">
        <w:rPr>
          <w:b/>
          <w:bCs/>
        </w:rPr>
        <w:t xml:space="preserve">Income Data:  </w:t>
      </w:r>
      <w:r w:rsidRPr="00D3354F">
        <w:t>The Federal Financial Institutions Examination Council (FFIEC) issues annual estimates which update median family income from the metropolitan and nonmetropolitan areas.  The FFIEC uses American Community Survey data and factors in information from other sources to arrive at an annual estimate that more closely reflects current economic conditions.</w:t>
      </w:r>
    </w:p>
    <w:p w:rsidR="0099672C" w:rsidRPr="00D3354F" w:rsidRDefault="0099672C" w:rsidP="0052767F">
      <w:pPr>
        <w:jc w:val="both"/>
      </w:pPr>
    </w:p>
    <w:p w:rsidR="00111D32" w:rsidRPr="00C74E19" w:rsidRDefault="00111D32" w:rsidP="0052767F">
      <w:pPr>
        <w:jc w:val="both"/>
      </w:pPr>
      <w:r w:rsidRPr="00C74E19">
        <w:rPr>
          <w:b/>
          <w:bCs/>
        </w:rPr>
        <w:t xml:space="preserve">Full-Scope Review:  </w:t>
      </w:r>
      <w:r w:rsidRPr="00C74E19">
        <w:t xml:space="preserve">A full-scope review is accomplished when examiners complete all applicable interagency examination procedures for an assessment area.  Performance </w:t>
      </w:r>
      <w:r>
        <w:t>under</w:t>
      </w:r>
      <w:r w:rsidRPr="00C74E19">
        <w:t xml:space="preserve"> applicable tests is analyzed considering performance context, quantitative factors (</w:t>
      </w:r>
      <w:r w:rsidR="00EE300D">
        <w:t>e.g.</w:t>
      </w:r>
      <w:r w:rsidRPr="00C74E19">
        <w:t>, geographic distribution, borrower profile</w:t>
      </w:r>
      <w:r>
        <w:t xml:space="preserve">, and </w:t>
      </w:r>
      <w:r w:rsidRPr="00C74E19">
        <w:t>total number and dollar amount of investments), and qualitative factors (</w:t>
      </w:r>
      <w:r w:rsidR="00EE300D">
        <w:t>e.g.</w:t>
      </w:r>
      <w:r>
        <w:t xml:space="preserve">, </w:t>
      </w:r>
      <w:r w:rsidRPr="00C74E19">
        <w:t>innovativeness, complexity, and responsiveness).</w:t>
      </w:r>
    </w:p>
    <w:p w:rsidR="0099672C" w:rsidRPr="00D3354F" w:rsidRDefault="0099672C" w:rsidP="0052767F">
      <w:pPr>
        <w:jc w:val="both"/>
      </w:pPr>
    </w:p>
    <w:p w:rsidR="0099672C" w:rsidRPr="00D3354F" w:rsidRDefault="0099672C" w:rsidP="0052767F">
      <w:pPr>
        <w:jc w:val="both"/>
        <w:rPr>
          <w:b/>
          <w:bCs/>
        </w:rPr>
      </w:pPr>
      <w:r w:rsidRPr="00D3354F">
        <w:rPr>
          <w:b/>
          <w:bCs/>
        </w:rPr>
        <w:t xml:space="preserve">Geography:  </w:t>
      </w:r>
      <w:r w:rsidRPr="00D3354F">
        <w:t xml:space="preserve">A census tract delineated by the United States Bureau of the Census in the most recent decennial census.  </w:t>
      </w:r>
      <w:r w:rsidRPr="00D3354F">
        <w:br/>
      </w:r>
    </w:p>
    <w:p w:rsidR="0099672C" w:rsidRPr="008919EF" w:rsidRDefault="0099672C" w:rsidP="0052767F">
      <w:pPr>
        <w:jc w:val="both"/>
      </w:pPr>
      <w:r w:rsidRPr="008919EF">
        <w:rPr>
          <w:b/>
          <w:bCs/>
        </w:rPr>
        <w:t xml:space="preserve">Home Mortgage Disclosure Act (HMDA):  </w:t>
      </w:r>
      <w:r w:rsidRPr="008919EF">
        <w:t>The statute that requires certain mortgage lenders that do business or have banking offices in a metropolitan statistical area to file annual summary reports of their mortgage lending activity.  The reports include such data as the race, gender</w:t>
      </w:r>
      <w:r w:rsidR="00874E0E" w:rsidRPr="008919EF">
        <w:t>, and the income of applicants</w:t>
      </w:r>
      <w:r w:rsidR="00751988" w:rsidRPr="008919EF">
        <w:t>;</w:t>
      </w:r>
      <w:r w:rsidRPr="008919EF">
        <w:t xml:space="preserve"> the amount of loan requested</w:t>
      </w:r>
      <w:r w:rsidR="00751988" w:rsidRPr="008919EF">
        <w:t>;</w:t>
      </w:r>
      <w:r w:rsidRPr="008919EF">
        <w:t xml:space="preserve"> </w:t>
      </w:r>
      <w:r w:rsidR="00874E0E" w:rsidRPr="008919EF">
        <w:t xml:space="preserve">and </w:t>
      </w:r>
      <w:r w:rsidRPr="008919EF">
        <w:t>the disposition of the application (approved, denied, and withdrawn).</w:t>
      </w:r>
    </w:p>
    <w:p w:rsidR="0099672C" w:rsidRPr="00BD0C62" w:rsidRDefault="0099672C" w:rsidP="0052767F">
      <w:pPr>
        <w:jc w:val="both"/>
        <w:rPr>
          <w:b/>
          <w:bCs/>
          <w:highlight w:val="yellow"/>
        </w:rPr>
      </w:pPr>
    </w:p>
    <w:p w:rsidR="00572E13" w:rsidRPr="00A90584" w:rsidRDefault="00572E13" w:rsidP="0052767F">
      <w:pPr>
        <w:spacing w:line="276" w:lineRule="auto"/>
        <w:jc w:val="both"/>
        <w:rPr>
          <w:rFonts w:eastAsiaTheme="minorHAnsi"/>
        </w:rPr>
      </w:pPr>
      <w:r w:rsidRPr="00A90584">
        <w:rPr>
          <w:b/>
        </w:rPr>
        <w:t>Home Mortgage Loans:</w:t>
      </w:r>
      <w:r w:rsidRPr="00A90584">
        <w:t xml:space="preserve">  </w:t>
      </w:r>
      <w:r w:rsidRPr="00A90584">
        <w:rPr>
          <w:rFonts w:eastAsiaTheme="minorHAnsi"/>
        </w:rPr>
        <w:t>Includes closed-end mortgage loans or open-end line of credits as defined in the HMDA regulation that are not an excluded transaction per the HMDA regulation.</w:t>
      </w:r>
    </w:p>
    <w:p w:rsidR="0099672C" w:rsidRPr="00D3354F" w:rsidRDefault="0099672C" w:rsidP="0052767F">
      <w:pPr>
        <w:pStyle w:val="BodyText"/>
        <w:spacing w:after="0"/>
        <w:jc w:val="both"/>
        <w:rPr>
          <w:rFonts w:ascii="Times New Roman" w:hAnsi="Times New Roman"/>
        </w:rPr>
      </w:pPr>
    </w:p>
    <w:p w:rsidR="0099672C" w:rsidRPr="00D3354F" w:rsidRDefault="0099672C" w:rsidP="0052767F">
      <w:pPr>
        <w:jc w:val="both"/>
      </w:pPr>
      <w:r w:rsidRPr="00D3354F">
        <w:rPr>
          <w:b/>
          <w:bCs/>
        </w:rPr>
        <w:t xml:space="preserve">Housing Unit:  </w:t>
      </w:r>
      <w:r w:rsidRPr="00D3354F">
        <w:t>Includes a house, an apartment, a mobile home, a group of rooms, or a single room that is occupied as separate living quarters.</w:t>
      </w:r>
    </w:p>
    <w:p w:rsidR="0099672C" w:rsidRPr="00D3354F" w:rsidRDefault="0099672C" w:rsidP="0052767F">
      <w:pPr>
        <w:jc w:val="both"/>
        <w:rPr>
          <w:b/>
          <w:bCs/>
        </w:rPr>
      </w:pPr>
    </w:p>
    <w:p w:rsidR="00C12094" w:rsidRPr="00C74E19" w:rsidRDefault="00C12094" w:rsidP="0052767F">
      <w:pPr>
        <w:jc w:val="both"/>
      </w:pPr>
      <w:r w:rsidRPr="00C74E19">
        <w:rPr>
          <w:b/>
          <w:bCs/>
        </w:rPr>
        <w:t xml:space="preserve">Limited-Scope Review:  </w:t>
      </w:r>
      <w:r w:rsidRPr="00C74E19">
        <w:t xml:space="preserve">A limited scope review is accomplished when examiners do not complete all applicable interagency examination procedures for an assessment area.  </w:t>
      </w:r>
    </w:p>
    <w:p w:rsidR="00C12094" w:rsidRPr="00C74E19" w:rsidRDefault="00C12094" w:rsidP="0052767F">
      <w:pPr>
        <w:jc w:val="both"/>
      </w:pPr>
      <w:r w:rsidRPr="00C74E19">
        <w:t>Performance under applicable tests is often analyzed using only quantitative factors (</w:t>
      </w:r>
      <w:r w:rsidR="00EE300D">
        <w:t>e.g.</w:t>
      </w:r>
      <w:r w:rsidRPr="00C74E19">
        <w:t>, geographic distribution, borrower profile, total number and dollar amount of investments, and branch distribution).</w:t>
      </w:r>
    </w:p>
    <w:p w:rsidR="00BD0C62" w:rsidRDefault="00BD0C62" w:rsidP="0052767F">
      <w:pPr>
        <w:jc w:val="both"/>
        <w:rPr>
          <w:b/>
          <w:bCs/>
        </w:rPr>
      </w:pPr>
    </w:p>
    <w:p w:rsidR="0099672C" w:rsidRPr="00D3354F" w:rsidRDefault="0099672C" w:rsidP="0052767F">
      <w:pPr>
        <w:jc w:val="both"/>
      </w:pPr>
      <w:r w:rsidRPr="00D3354F">
        <w:rPr>
          <w:b/>
          <w:bCs/>
        </w:rPr>
        <w:t xml:space="preserve">Low-Income:  </w:t>
      </w:r>
      <w:r w:rsidRPr="00D3354F">
        <w:t xml:space="preserve">Individual income that is less than 50 percent of the area median income, or a median family income that is less than 50 percent in the case of a geography. </w:t>
      </w:r>
    </w:p>
    <w:p w:rsidR="0099672C" w:rsidRPr="00D3354F" w:rsidRDefault="0099672C" w:rsidP="0052767F">
      <w:pPr>
        <w:jc w:val="both"/>
        <w:rPr>
          <w:b/>
          <w:bCs/>
        </w:rPr>
      </w:pPr>
    </w:p>
    <w:p w:rsidR="0099672C" w:rsidRPr="00D3354F" w:rsidRDefault="0099672C" w:rsidP="0052767F">
      <w:pPr>
        <w:jc w:val="both"/>
      </w:pPr>
      <w:r w:rsidRPr="00D3354F">
        <w:rPr>
          <w:b/>
          <w:bCs/>
        </w:rPr>
        <w:t xml:space="preserve">Market Share:  </w:t>
      </w:r>
      <w:r w:rsidRPr="00D3354F">
        <w:t>The number of loans originated and purchased by the institution as a percentage of the aggregate number of loans originated and purchased by all reporting lenders in the metropolitan area/assessment area.</w:t>
      </w:r>
    </w:p>
    <w:p w:rsidR="0099672C" w:rsidRPr="00D3354F" w:rsidRDefault="0099672C" w:rsidP="0052767F">
      <w:pPr>
        <w:jc w:val="both"/>
        <w:rPr>
          <w:b/>
          <w:bCs/>
        </w:rPr>
      </w:pPr>
    </w:p>
    <w:p w:rsidR="0099672C" w:rsidRPr="00D3354F" w:rsidRDefault="0099672C" w:rsidP="0052767F">
      <w:pPr>
        <w:jc w:val="both"/>
      </w:pPr>
      <w:r w:rsidRPr="00D3354F">
        <w:rPr>
          <w:b/>
          <w:bCs/>
        </w:rPr>
        <w:t xml:space="preserve">Median Income:  </w:t>
      </w:r>
      <w:r w:rsidRPr="00D3354F">
        <w:t>The median income divides the income distribution into two equal parts, one having incomes above the median and other having incomes below the median.</w:t>
      </w:r>
    </w:p>
    <w:p w:rsidR="0099672C" w:rsidRPr="00D3354F" w:rsidRDefault="0099672C" w:rsidP="0052767F">
      <w:pPr>
        <w:jc w:val="both"/>
      </w:pPr>
    </w:p>
    <w:p w:rsidR="001F42E4" w:rsidRDefault="001F42E4" w:rsidP="0052767F">
      <w:pPr>
        <w:jc w:val="both"/>
      </w:pPr>
      <w:r w:rsidRPr="00D3354F">
        <w:rPr>
          <w:b/>
          <w:bCs/>
        </w:rPr>
        <w:t xml:space="preserve">Metropolitan Division (MD):  </w:t>
      </w:r>
      <w:r w:rsidRPr="00D3354F">
        <w:t xml:space="preserve">A county or group of counties within a CBSA that contain(s) an urbanized area with a population of at least 2.5 million.  A MD </w:t>
      </w:r>
      <w:r>
        <w:t>is</w:t>
      </w:r>
      <w:r w:rsidRPr="00D3354F">
        <w:t xml:space="preserve"> one or more main/secondary </w:t>
      </w:r>
      <w:r w:rsidRPr="00D3354F">
        <w:lastRenderedPageBreak/>
        <w:t>counties represent</w:t>
      </w:r>
      <w:r>
        <w:t>ing</w:t>
      </w:r>
      <w:r w:rsidRPr="00D3354F">
        <w:t xml:space="preserve"> an employment center or centers, plus adjacent counties associated with the main/secondary county or counties through commuting ties.  </w:t>
      </w:r>
    </w:p>
    <w:p w:rsidR="00572E13" w:rsidRPr="00D3354F" w:rsidRDefault="00572E13" w:rsidP="0052767F">
      <w:pPr>
        <w:jc w:val="both"/>
        <w:rPr>
          <w:b/>
          <w:bCs/>
        </w:rPr>
      </w:pPr>
    </w:p>
    <w:p w:rsidR="001F42E4" w:rsidRDefault="001F42E4" w:rsidP="0052767F">
      <w:pPr>
        <w:jc w:val="both"/>
      </w:pPr>
      <w:r w:rsidRPr="00D3354F">
        <w:rPr>
          <w:b/>
          <w:bCs/>
        </w:rPr>
        <w:t xml:space="preserve">Metropolitan Statistical Area (MSA):  </w:t>
      </w:r>
      <w:r w:rsidRPr="00D3354F">
        <w:t>CBSA</w:t>
      </w:r>
      <w:r>
        <w:t xml:space="preserve"> </w:t>
      </w:r>
      <w:r w:rsidRPr="00D3354F">
        <w:t xml:space="preserve">associated with at least one urbanized area </w:t>
      </w:r>
      <w:r>
        <w:t>having</w:t>
      </w:r>
      <w:r w:rsidRPr="00D3354F">
        <w:t xml:space="preserve"> a population of at least 50,000.  The MSA comprises the central county or counties or equivalent entities containing the core, plus adjacent outlying counties having a high degree of social and economic integration with the central county or counties as measured through commuting. </w:t>
      </w:r>
    </w:p>
    <w:p w:rsidR="001F42E4" w:rsidRDefault="001F42E4" w:rsidP="0052767F">
      <w:pPr>
        <w:jc w:val="both"/>
      </w:pPr>
    </w:p>
    <w:p w:rsidR="0099672C" w:rsidRPr="00D3354F" w:rsidRDefault="0099672C" w:rsidP="0052767F">
      <w:pPr>
        <w:jc w:val="both"/>
      </w:pPr>
      <w:r w:rsidRPr="00D3354F">
        <w:rPr>
          <w:b/>
          <w:bCs/>
        </w:rPr>
        <w:t xml:space="preserve">Middle-Income:  </w:t>
      </w:r>
      <w:r w:rsidRPr="00D3354F">
        <w:t>Individual income that is at least 80 percent and less than 120 percent of the area median income, or a median family income that is at least 80 and less than 120 percent in the case of a geography.</w:t>
      </w:r>
    </w:p>
    <w:p w:rsidR="0099672C" w:rsidRPr="00D3354F" w:rsidRDefault="0099672C" w:rsidP="0052767F">
      <w:pPr>
        <w:jc w:val="both"/>
      </w:pPr>
    </w:p>
    <w:p w:rsidR="0099672C" w:rsidRPr="00D3354F" w:rsidRDefault="0099672C" w:rsidP="0052767F">
      <w:pPr>
        <w:jc w:val="both"/>
        <w:rPr>
          <w:b/>
          <w:bCs/>
        </w:rPr>
      </w:pPr>
      <w:r w:rsidRPr="00D3354F">
        <w:rPr>
          <w:b/>
          <w:bCs/>
        </w:rPr>
        <w:t>Moderate-Income:</w:t>
      </w:r>
      <w:r w:rsidRPr="00D3354F">
        <w:t xml:space="preserve">  Individual income that is at least 50 percent and less than 80 percent of the area median income, or a median family income that is at least 50 and less than 80 percent in the case of a geography.</w:t>
      </w:r>
    </w:p>
    <w:p w:rsidR="0099672C" w:rsidRPr="00286B81" w:rsidRDefault="0099672C" w:rsidP="0052767F">
      <w:pPr>
        <w:jc w:val="both"/>
        <w:rPr>
          <w:bCs/>
        </w:rPr>
      </w:pPr>
    </w:p>
    <w:p w:rsidR="0099672C" w:rsidRPr="00D3354F" w:rsidRDefault="0099672C" w:rsidP="0052767F">
      <w:pPr>
        <w:jc w:val="both"/>
      </w:pPr>
      <w:r w:rsidRPr="00D3354F">
        <w:rPr>
          <w:b/>
          <w:bCs/>
        </w:rPr>
        <w:t xml:space="preserve">Multi-family:  </w:t>
      </w:r>
      <w:r w:rsidRPr="00D3354F">
        <w:t>Refers to</w:t>
      </w:r>
      <w:r w:rsidRPr="00D3354F">
        <w:rPr>
          <w:b/>
          <w:bCs/>
        </w:rPr>
        <w:t xml:space="preserve"> </w:t>
      </w:r>
      <w:r w:rsidRPr="00D3354F">
        <w:t>a residential structure that contains five or more units.</w:t>
      </w:r>
    </w:p>
    <w:p w:rsidR="0099672C" w:rsidRPr="00286B81" w:rsidRDefault="0099672C" w:rsidP="0052767F">
      <w:pPr>
        <w:jc w:val="both"/>
        <w:rPr>
          <w:bCs/>
        </w:rPr>
      </w:pPr>
    </w:p>
    <w:p w:rsidR="0099672C" w:rsidRPr="00D3354F" w:rsidRDefault="001F42E4" w:rsidP="0052767F">
      <w:pPr>
        <w:jc w:val="both"/>
      </w:pPr>
      <w:r>
        <w:rPr>
          <w:b/>
          <w:bCs/>
        </w:rPr>
        <w:t>Non</w:t>
      </w:r>
      <w:r w:rsidR="0099672C" w:rsidRPr="00D3354F">
        <w:rPr>
          <w:b/>
          <w:bCs/>
        </w:rPr>
        <w:t>metropolitan Area</w:t>
      </w:r>
      <w:r w:rsidR="006C2830">
        <w:rPr>
          <w:b/>
          <w:bCs/>
        </w:rPr>
        <w:t xml:space="preserve"> (</w:t>
      </w:r>
      <w:r w:rsidR="006C2830" w:rsidRPr="00D272F1">
        <w:rPr>
          <w:bCs/>
        </w:rPr>
        <w:t>also known as</w:t>
      </w:r>
      <w:r w:rsidR="006C2830">
        <w:rPr>
          <w:b/>
          <w:bCs/>
        </w:rPr>
        <w:t xml:space="preserve"> non-MSA)</w:t>
      </w:r>
      <w:r w:rsidR="0099672C" w:rsidRPr="00D3354F">
        <w:rPr>
          <w:b/>
          <w:bCs/>
        </w:rPr>
        <w:t>:</w:t>
      </w:r>
      <w:r w:rsidR="0099672C" w:rsidRPr="00D3354F">
        <w:t xml:space="preserve">  All areas outside of metropolita</w:t>
      </w:r>
      <w:r>
        <w:t>n areas.  The definition of non</w:t>
      </w:r>
      <w:r w:rsidR="0099672C" w:rsidRPr="00D3354F">
        <w:t>metropolitan area is not consistent with the definition of rural areas.  Urban and rural classifications cut across the other hierarchies</w:t>
      </w:r>
      <w:r w:rsidR="0099672C">
        <w:t xml:space="preserve">. </w:t>
      </w:r>
      <w:r w:rsidR="0099672C" w:rsidRPr="00D3354F">
        <w:t xml:space="preserve"> </w:t>
      </w:r>
      <w:r w:rsidR="0099672C">
        <w:t>F</w:t>
      </w:r>
      <w:r w:rsidR="0099672C" w:rsidRPr="00D3354F">
        <w:t>or example, there is generally urban and rural territ</w:t>
      </w:r>
      <w:r>
        <w:t>ory within metropolitan and non</w:t>
      </w:r>
      <w:r w:rsidR="0099672C" w:rsidRPr="00D3354F">
        <w:t>metropolitan areas.</w:t>
      </w:r>
    </w:p>
    <w:p w:rsidR="0099672C" w:rsidRPr="00286B81" w:rsidRDefault="0099672C" w:rsidP="0052767F">
      <w:pPr>
        <w:jc w:val="both"/>
        <w:rPr>
          <w:bCs/>
        </w:rPr>
      </w:pPr>
    </w:p>
    <w:p w:rsidR="0099672C" w:rsidRPr="00D3354F" w:rsidRDefault="0099672C" w:rsidP="0052767F">
      <w:pPr>
        <w:jc w:val="both"/>
      </w:pPr>
      <w:r w:rsidRPr="00D3354F">
        <w:rPr>
          <w:b/>
          <w:bCs/>
        </w:rPr>
        <w:t>Owner-Occupied Units:</w:t>
      </w:r>
      <w:r w:rsidRPr="00D3354F">
        <w:t xml:space="preserve">  Includes units occupied by the owner or co-owner, even if the unit has not been fully paid for or is mortgaged.</w:t>
      </w:r>
    </w:p>
    <w:p w:rsidR="0099672C" w:rsidRPr="00286B81" w:rsidRDefault="0099672C" w:rsidP="0052767F">
      <w:pPr>
        <w:jc w:val="both"/>
        <w:rPr>
          <w:bCs/>
        </w:rPr>
      </w:pPr>
    </w:p>
    <w:p w:rsidR="0099672C" w:rsidRDefault="0099672C" w:rsidP="0052767F">
      <w:pPr>
        <w:jc w:val="both"/>
        <w:rPr>
          <w:snapToGrid w:val="0"/>
        </w:rPr>
      </w:pPr>
      <w:r w:rsidRPr="00D3354F">
        <w:rPr>
          <w:b/>
          <w:bCs/>
        </w:rPr>
        <w:t xml:space="preserve">Rated </w:t>
      </w:r>
      <w:r w:rsidR="005B0DEA">
        <w:rPr>
          <w:b/>
          <w:bCs/>
        </w:rPr>
        <w:t>A</w:t>
      </w:r>
      <w:r w:rsidRPr="00D3354F">
        <w:rPr>
          <w:b/>
          <w:bCs/>
        </w:rPr>
        <w:t>rea:</w:t>
      </w:r>
      <w:r w:rsidRPr="00D3354F">
        <w:t xml:space="preserve">  </w:t>
      </w:r>
      <w:r w:rsidRPr="00D3354F">
        <w:rPr>
          <w:snapToGrid w:val="0"/>
        </w:rPr>
        <w:t xml:space="preserve">A rated area is a state or multistate metropolitan area.  For an institution with domestic branches in only one state, the institution’s CRA rating would be the state rating.  If an institution maintains domestic branches in more than one state, the institution will receive a rating for each state in which those branches are located.  If an institution maintains domestic branches in two or more states within a multistate metropolitan area, the institution will receive a rating for the multistate metropolitan area.  </w:t>
      </w:r>
    </w:p>
    <w:p w:rsidR="0099672C" w:rsidRPr="006D6766" w:rsidRDefault="0099672C" w:rsidP="0052767F">
      <w:pPr>
        <w:jc w:val="both"/>
        <w:rPr>
          <w:color w:val="000000"/>
        </w:rPr>
      </w:pPr>
    </w:p>
    <w:p w:rsidR="0099672C" w:rsidRDefault="0099672C" w:rsidP="0052767F">
      <w:pPr>
        <w:jc w:val="both"/>
      </w:pPr>
      <w:r w:rsidRPr="00D3354F">
        <w:rPr>
          <w:b/>
          <w:bCs/>
        </w:rPr>
        <w:t>Rural Area:</w:t>
      </w:r>
      <w:r w:rsidRPr="00D3354F">
        <w:t xml:space="preserve">  Territories, populations</w:t>
      </w:r>
      <w:r>
        <w:t>,</w:t>
      </w:r>
      <w:r w:rsidRPr="00D3354F">
        <w:t xml:space="preserve"> and housing units that are not classified as urban.</w:t>
      </w:r>
    </w:p>
    <w:p w:rsidR="00D006E3" w:rsidRPr="00D3354F" w:rsidRDefault="00D006E3" w:rsidP="0052767F">
      <w:pPr>
        <w:jc w:val="both"/>
      </w:pPr>
    </w:p>
    <w:p w:rsidR="0099672C" w:rsidRPr="00D3354F" w:rsidRDefault="0099672C" w:rsidP="0052767F">
      <w:pPr>
        <w:jc w:val="both"/>
      </w:pPr>
      <w:r w:rsidRPr="00D3354F">
        <w:rPr>
          <w:b/>
          <w:bCs/>
        </w:rPr>
        <w:t>Small Business Loan:</w:t>
      </w:r>
      <w:r w:rsidRPr="00D3354F">
        <w:t xml:space="preserve">  A loan included in “loans to small businesses” as defined in the Consolidated Report of Condition and Income (Call Report).  These loans have original amounts of $1 million or less and are either secured by nonfarm nonresidential properties or are classified as commercial and industrial loans.</w:t>
      </w:r>
    </w:p>
    <w:p w:rsidR="0099672C" w:rsidRPr="00286B81" w:rsidRDefault="0099672C" w:rsidP="0052767F">
      <w:pPr>
        <w:jc w:val="both"/>
        <w:rPr>
          <w:bCs/>
        </w:rPr>
      </w:pPr>
    </w:p>
    <w:p w:rsidR="0099672C" w:rsidRDefault="0099672C" w:rsidP="0052767F">
      <w:pPr>
        <w:jc w:val="both"/>
      </w:pPr>
      <w:r w:rsidRPr="00D3354F">
        <w:rPr>
          <w:b/>
          <w:bCs/>
        </w:rPr>
        <w:t xml:space="preserve">Small Farm Loan:  </w:t>
      </w:r>
      <w:r w:rsidRPr="00D3354F">
        <w:t>A loan included in “loans to small farms” as defined in the instructions for preparation of the Consolidated Report of Condition and Income (Call Report).  These loans have original amounts of $500,000 or less and are either secured by farmland, including farm residential and other improvements, or are classified as loans to finance agricultural production and other loans to farmers.</w:t>
      </w:r>
    </w:p>
    <w:p w:rsidR="00DF271B" w:rsidRDefault="00DF271B" w:rsidP="0052767F">
      <w:pPr>
        <w:jc w:val="both"/>
      </w:pPr>
    </w:p>
    <w:p w:rsidR="00572E13" w:rsidRDefault="005B0DEA" w:rsidP="0052767F">
      <w:pPr>
        <w:jc w:val="both"/>
      </w:pPr>
      <w:r w:rsidRPr="00D3354F">
        <w:rPr>
          <w:b/>
          <w:bCs/>
        </w:rPr>
        <w:lastRenderedPageBreak/>
        <w:t>Upper-Income:</w:t>
      </w:r>
      <w:r w:rsidRPr="00D3354F">
        <w:t xml:space="preserve"> Individual income that is 120 percent</w:t>
      </w:r>
      <w:r>
        <w:t xml:space="preserve"> or more</w:t>
      </w:r>
      <w:r w:rsidRPr="00D3354F">
        <w:t xml:space="preserve"> of the area median income, or a median family income that is 120 percent</w:t>
      </w:r>
      <w:r>
        <w:t xml:space="preserve"> or more</w:t>
      </w:r>
      <w:r w:rsidRPr="00D3354F">
        <w:t xml:space="preserve"> in the case of a geography. </w:t>
      </w:r>
    </w:p>
    <w:p w:rsidR="00572E13" w:rsidRDefault="00572E13" w:rsidP="0052767F">
      <w:pPr>
        <w:jc w:val="both"/>
      </w:pPr>
    </w:p>
    <w:p w:rsidR="00DA2F86" w:rsidRDefault="0099672C" w:rsidP="0052767F">
      <w:pPr>
        <w:jc w:val="both"/>
      </w:pPr>
      <w:r w:rsidRPr="00D3354F">
        <w:rPr>
          <w:b/>
          <w:bCs/>
        </w:rPr>
        <w:t>Urban</w:t>
      </w:r>
      <w:r w:rsidRPr="00D3354F">
        <w:t xml:space="preserve"> </w:t>
      </w:r>
      <w:r w:rsidRPr="00D3354F">
        <w:rPr>
          <w:b/>
          <w:bCs/>
        </w:rPr>
        <w:t xml:space="preserve">Area:  </w:t>
      </w:r>
      <w:r w:rsidRPr="00D3354F">
        <w:t>All territories, populations, and housing units in urbanized areas and in places of 2,500 or more persons outside urbanized areas.  More specifically, “urban” consists of territory, persons, and housing units in</w:t>
      </w:r>
      <w:r>
        <w:t xml:space="preserve"> p</w:t>
      </w:r>
      <w:r w:rsidRPr="00D3354F">
        <w:t>laces of 2,500 or more persons incorporated as cities, villages, boroughs (except in Alaska and New York), and towns (except in the New England states, New York, and Wisconsin)</w:t>
      </w:r>
      <w:r>
        <w:t xml:space="preserve">.  </w:t>
      </w:r>
    </w:p>
    <w:p w:rsidR="00DA2F86" w:rsidRDefault="00DA2F86" w:rsidP="0052767F">
      <w:pPr>
        <w:jc w:val="both"/>
      </w:pPr>
    </w:p>
    <w:p w:rsidR="0099672C" w:rsidRDefault="0099672C" w:rsidP="0052767F">
      <w:pPr>
        <w:jc w:val="both"/>
      </w:pPr>
      <w:r>
        <w:t xml:space="preserve">“Urban” </w:t>
      </w:r>
      <w:r w:rsidRPr="00D3354F">
        <w:t>exclud</w:t>
      </w:r>
      <w:r>
        <w:t>es</w:t>
      </w:r>
      <w:r w:rsidRPr="00D3354F">
        <w:t xml:space="preserve"> the rural portions of “extended cities”; census designated place of 2,500 or more persons; and other territory, incorporated or unincorporated, including in urbanized areas.</w:t>
      </w:r>
    </w:p>
    <w:p w:rsidR="0052767F" w:rsidRDefault="0052767F" w:rsidP="0052767F">
      <w:pPr>
        <w:jc w:val="both"/>
        <w:rPr>
          <w:color w:val="000000"/>
        </w:rPr>
      </w:pPr>
      <w:r>
        <w:rPr>
          <w:color w:val="000000"/>
        </w:rPr>
        <w:br w:type="page"/>
      </w:r>
    </w:p>
    <w:p w:rsidR="0052767F" w:rsidRPr="000961FE" w:rsidRDefault="0052767F" w:rsidP="0052767F">
      <w:pPr>
        <w:tabs>
          <w:tab w:val="center" w:pos="4680"/>
        </w:tabs>
        <w:jc w:val="center"/>
        <w:rPr>
          <w:b/>
          <w:spacing w:val="-3"/>
          <w:sz w:val="28"/>
          <w:szCs w:val="28"/>
        </w:rPr>
      </w:pPr>
      <w:r w:rsidRPr="000961FE">
        <w:rPr>
          <w:b/>
          <w:spacing w:val="-4"/>
          <w:sz w:val="28"/>
          <w:szCs w:val="28"/>
        </w:rPr>
        <w:lastRenderedPageBreak/>
        <w:t>PERFORMANCE EVALUATION DISCLOSURE GUIDE</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720" w:hanging="720"/>
        <w:jc w:val="both"/>
        <w:rPr>
          <w:spacing w:val="-3"/>
        </w:rPr>
      </w:pPr>
      <w:r w:rsidRPr="000961FE">
        <w:rPr>
          <w:spacing w:val="-3"/>
        </w:rPr>
        <w:tab/>
        <w:t>Massachusetts General Laws Chapter 167, Section 14, as amended, require all financial institution to take the following actions within 30 business days of receipt of the CRA evaluation of their institution:</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1320" w:hanging="1320"/>
        <w:jc w:val="both"/>
        <w:rPr>
          <w:spacing w:val="-3"/>
        </w:rPr>
      </w:pPr>
      <w:r w:rsidRPr="000961FE">
        <w:rPr>
          <w:spacing w:val="-3"/>
        </w:rPr>
        <w:tab/>
        <w:t xml:space="preserve">1) </w:t>
      </w:r>
      <w:r w:rsidRPr="000961FE">
        <w:rPr>
          <w:spacing w:val="-3"/>
        </w:rPr>
        <w:tab/>
        <w:t>Make its most current CRA performance evaluation available to the public;</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1320" w:hanging="1320"/>
        <w:jc w:val="both"/>
        <w:rPr>
          <w:spacing w:val="-3"/>
        </w:rPr>
      </w:pPr>
      <w:r w:rsidRPr="000961FE">
        <w:rPr>
          <w:spacing w:val="-3"/>
        </w:rPr>
        <w:tab/>
        <w:t>2)</w:t>
      </w:r>
      <w:r w:rsidRPr="000961FE">
        <w:rPr>
          <w:spacing w:val="-3"/>
        </w:rPr>
        <w:tab/>
        <w:t>At a minimum, place the evaluation in the institution's CRA public file located at the head office and at a designated office in each assessment area;</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1320" w:hanging="1320"/>
        <w:jc w:val="both"/>
        <w:rPr>
          <w:spacing w:val="-3"/>
        </w:rPr>
      </w:pPr>
      <w:r w:rsidRPr="000961FE">
        <w:rPr>
          <w:spacing w:val="-3"/>
        </w:rPr>
        <w:tab/>
        <w:t>3)</w:t>
      </w:r>
      <w:r w:rsidRPr="000961FE">
        <w:rPr>
          <w:spacing w:val="-3"/>
        </w:rPr>
        <w:tab/>
        <w:t>Add the following language to the institution's required CRA public notice that is posted in each depository facility:</w:t>
      </w:r>
    </w:p>
    <w:p w:rsidR="0052767F" w:rsidRPr="000961FE" w:rsidRDefault="0052767F" w:rsidP="0052767F">
      <w:pPr>
        <w:tabs>
          <w:tab w:val="left" w:pos="720"/>
          <w:tab w:val="left" w:pos="1320"/>
          <w:tab w:val="left" w:pos="1680"/>
        </w:tabs>
        <w:jc w:val="both"/>
        <w:rPr>
          <w:spacing w:val="-3"/>
        </w:rPr>
      </w:pPr>
    </w:p>
    <w:p w:rsidR="0052767F" w:rsidRPr="0052767F" w:rsidRDefault="0052767F" w:rsidP="0052767F">
      <w:pPr>
        <w:tabs>
          <w:tab w:val="left" w:pos="720"/>
          <w:tab w:val="left" w:pos="1320"/>
          <w:tab w:val="left" w:pos="1680"/>
        </w:tabs>
        <w:ind w:left="1320" w:hanging="1320"/>
        <w:jc w:val="both"/>
        <w:rPr>
          <w:spacing w:val="-3"/>
        </w:rPr>
      </w:pPr>
      <w:r w:rsidRPr="000961FE">
        <w:rPr>
          <w:spacing w:val="-3"/>
        </w:rPr>
        <w:tab/>
      </w:r>
      <w:r w:rsidRPr="000961FE">
        <w:rPr>
          <w:spacing w:val="-3"/>
        </w:rPr>
        <w:tab/>
        <w:t>"You may obtain the public section of our most recent CRA Performance Evaluation, which was prepared by the Massachusetts Division o</w:t>
      </w:r>
      <w:r>
        <w:rPr>
          <w:spacing w:val="-3"/>
        </w:rPr>
        <w:t>f Banks, at (</w:t>
      </w:r>
      <w:r w:rsidRPr="0052767F">
        <w:rPr>
          <w:spacing w:val="-3"/>
        </w:rPr>
        <w:t>671 Washington Street</w:t>
      </w:r>
    </w:p>
    <w:p w:rsidR="0052767F" w:rsidRPr="000961FE" w:rsidRDefault="0052767F" w:rsidP="0052767F">
      <w:pPr>
        <w:tabs>
          <w:tab w:val="left" w:pos="720"/>
          <w:tab w:val="left" w:pos="1320"/>
          <w:tab w:val="left" w:pos="1680"/>
        </w:tabs>
        <w:jc w:val="both"/>
        <w:rPr>
          <w:spacing w:val="-3"/>
        </w:rPr>
      </w:pPr>
      <w:r>
        <w:rPr>
          <w:spacing w:val="-3"/>
        </w:rPr>
        <w:tab/>
      </w:r>
      <w:r>
        <w:rPr>
          <w:spacing w:val="-3"/>
        </w:rPr>
        <w:tab/>
        <w:t>Canton, MA 02021)</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1320" w:hanging="1320"/>
        <w:jc w:val="both"/>
        <w:rPr>
          <w:spacing w:val="-3"/>
        </w:rPr>
      </w:pPr>
      <w:r w:rsidRPr="000961FE">
        <w:rPr>
          <w:spacing w:val="-3"/>
        </w:rPr>
        <w:tab/>
      </w:r>
      <w:r w:rsidRPr="000961FE">
        <w:rPr>
          <w:spacing w:val="-3"/>
        </w:rPr>
        <w:tab/>
        <w:t>[Please Note:  If the institution has more than one assessment area, each office (other than off</w:t>
      </w:r>
      <w:r w:rsidRPr="000961FE">
        <w:rPr>
          <w:spacing w:val="-3"/>
        </w:rPr>
        <w:noBreakHyphen/>
        <w:t>premises electronic deposit facilities) in that community shall also include the address of the designated office for that assessment area.]</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ind w:left="1320" w:hanging="1320"/>
        <w:jc w:val="both"/>
        <w:rPr>
          <w:spacing w:val="-3"/>
        </w:rPr>
      </w:pPr>
      <w:r w:rsidRPr="000961FE">
        <w:rPr>
          <w:spacing w:val="-3"/>
        </w:rPr>
        <w:tab/>
        <w:t>4)</w:t>
      </w:r>
      <w:r w:rsidRPr="000961FE">
        <w:rPr>
          <w:spacing w:val="-3"/>
        </w:rPr>
        <w:tab/>
        <w:t>Provide a copy of its current evaluation to the public, upon request.  In connection with this, the institution is authorized to charge a fee which does not exceed the cost of reproduction and mailing (if applicable).</w:t>
      </w:r>
    </w:p>
    <w:p w:rsidR="0052767F" w:rsidRPr="000961FE" w:rsidRDefault="0052767F" w:rsidP="0052767F">
      <w:pPr>
        <w:tabs>
          <w:tab w:val="left" w:pos="720"/>
          <w:tab w:val="left" w:pos="1320"/>
          <w:tab w:val="left" w:pos="1680"/>
        </w:tabs>
        <w:jc w:val="both"/>
        <w:rPr>
          <w:spacing w:val="-3"/>
        </w:rPr>
      </w:pPr>
    </w:p>
    <w:p w:rsidR="0052767F" w:rsidRPr="000961FE" w:rsidRDefault="0052767F" w:rsidP="0052767F">
      <w:pPr>
        <w:tabs>
          <w:tab w:val="left" w:pos="720"/>
          <w:tab w:val="left" w:pos="1320"/>
          <w:tab w:val="left" w:pos="1680"/>
        </w:tabs>
        <w:jc w:val="both"/>
        <w:rPr>
          <w:spacing w:val="-3"/>
        </w:rPr>
      </w:pPr>
    </w:p>
    <w:p w:rsidR="0052767F" w:rsidRDefault="0052767F" w:rsidP="0052767F">
      <w:pPr>
        <w:tabs>
          <w:tab w:val="left" w:pos="720"/>
          <w:tab w:val="left" w:pos="1320"/>
          <w:tab w:val="left" w:pos="1680"/>
        </w:tabs>
        <w:ind w:left="720" w:hanging="720"/>
        <w:jc w:val="both"/>
        <w:rPr>
          <w:spacing w:val="-3"/>
        </w:rPr>
      </w:pPr>
      <w:r w:rsidRPr="000961FE">
        <w:rPr>
          <w:spacing w:val="-3"/>
        </w:rPr>
        <w:tab/>
        <w:t>The format and content of the institution's evaluation, as prepared by its supervisory agencies, may not be altered or abridged in any manner.  The institution is encouraged to include its response to the evaluation in its CRA public file.</w:t>
      </w:r>
    </w:p>
    <w:p w:rsidR="0052767F" w:rsidRDefault="0052767F" w:rsidP="0052767F"/>
    <w:p w:rsidR="0099672C" w:rsidRPr="0041509F" w:rsidRDefault="0099672C" w:rsidP="00420F26">
      <w:pPr>
        <w:rPr>
          <w:color w:val="000000"/>
        </w:rPr>
      </w:pPr>
    </w:p>
    <w:sectPr w:rsidR="0099672C" w:rsidRPr="0041509F" w:rsidSect="00DA1EA6">
      <w:headerReference w:type="default" r:id="rId11"/>
      <w:footerReference w:type="default" r:id="rId12"/>
      <w:pgSz w:w="12240" w:h="15840"/>
      <w:pgMar w:top="1440" w:right="1296" w:bottom="144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FD3" w:rsidRDefault="00D15FD3" w:rsidP="00A03CC1">
      <w:r>
        <w:separator/>
      </w:r>
    </w:p>
  </w:endnote>
  <w:endnote w:type="continuationSeparator" w:id="0">
    <w:p w:rsidR="00D15FD3" w:rsidRDefault="00D15FD3" w:rsidP="00A03CC1">
      <w:r>
        <w:continuationSeparator/>
      </w:r>
    </w:p>
  </w:endnote>
  <w:endnote w:type="continuationNotice" w:id="1">
    <w:p w:rsidR="00D15FD3" w:rsidRDefault="00D15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D3" w:rsidRPr="001F42E4" w:rsidRDefault="00D15FD3">
    <w:pPr>
      <w:pStyle w:val="Footer"/>
      <w:jc w:val="center"/>
      <w:rPr>
        <w:sz w:val="24"/>
        <w:szCs w:val="24"/>
      </w:rPr>
    </w:pPr>
    <w:r w:rsidRPr="001F42E4">
      <w:rPr>
        <w:sz w:val="24"/>
        <w:szCs w:val="24"/>
      </w:rPr>
      <w:fldChar w:fldCharType="begin"/>
    </w:r>
    <w:r w:rsidRPr="001F42E4">
      <w:rPr>
        <w:sz w:val="24"/>
        <w:szCs w:val="24"/>
      </w:rPr>
      <w:instrText xml:space="preserve"> PAGE   \* MERGEFORMAT </w:instrText>
    </w:r>
    <w:r w:rsidRPr="001F42E4">
      <w:rPr>
        <w:sz w:val="24"/>
        <w:szCs w:val="24"/>
      </w:rPr>
      <w:fldChar w:fldCharType="separate"/>
    </w:r>
    <w:r w:rsidR="002E749B">
      <w:rPr>
        <w:noProof/>
        <w:sz w:val="24"/>
        <w:szCs w:val="24"/>
      </w:rPr>
      <w:t>16</w:t>
    </w:r>
    <w:r w:rsidRPr="001F42E4">
      <w:rPr>
        <w:sz w:val="24"/>
        <w:szCs w:val="24"/>
      </w:rPr>
      <w:fldChar w:fldCharType="end"/>
    </w:r>
  </w:p>
  <w:p w:rsidR="00D15FD3" w:rsidRDefault="00D1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FD3" w:rsidRDefault="00D15FD3" w:rsidP="00A03CC1">
      <w:r>
        <w:separator/>
      </w:r>
    </w:p>
  </w:footnote>
  <w:footnote w:type="continuationSeparator" w:id="0">
    <w:p w:rsidR="00D15FD3" w:rsidRDefault="00D15FD3" w:rsidP="00A03CC1">
      <w:r>
        <w:continuationSeparator/>
      </w:r>
    </w:p>
  </w:footnote>
  <w:footnote w:type="continuationNotice" w:id="1">
    <w:p w:rsidR="00D15FD3" w:rsidRDefault="00D15F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FD3" w:rsidRDefault="00D15FD3" w:rsidP="00BA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BD"/>
    <w:multiLevelType w:val="hybridMultilevel"/>
    <w:tmpl w:val="6E7A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A84972"/>
    <w:multiLevelType w:val="hybridMultilevel"/>
    <w:tmpl w:val="C9020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CE5485"/>
    <w:multiLevelType w:val="hybridMultilevel"/>
    <w:tmpl w:val="6928B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3427"/>
    <w:multiLevelType w:val="hybridMultilevel"/>
    <w:tmpl w:val="D9FA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529DF"/>
    <w:multiLevelType w:val="hybridMultilevel"/>
    <w:tmpl w:val="0D52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1D2B"/>
    <w:multiLevelType w:val="hybridMultilevel"/>
    <w:tmpl w:val="7AC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1728B"/>
    <w:multiLevelType w:val="hybridMultilevel"/>
    <w:tmpl w:val="30081308"/>
    <w:lvl w:ilvl="0" w:tplc="71D2EC18">
      <w:start w:val="1"/>
      <w:numFmt w:val="bullet"/>
      <w:lvlText w:val="•"/>
      <w:lvlJc w:val="left"/>
      <w:pPr>
        <w:tabs>
          <w:tab w:val="num" w:pos="720"/>
        </w:tabs>
        <w:ind w:left="720" w:hanging="360"/>
      </w:pPr>
      <w:rPr>
        <w:rFonts w:ascii="Arial" w:hAnsi="Arial" w:hint="default"/>
      </w:rPr>
    </w:lvl>
    <w:lvl w:ilvl="1" w:tplc="13B8BDA2">
      <w:start w:val="2161"/>
      <w:numFmt w:val="bullet"/>
      <w:lvlText w:val="–"/>
      <w:lvlJc w:val="left"/>
      <w:pPr>
        <w:tabs>
          <w:tab w:val="num" w:pos="1440"/>
        </w:tabs>
        <w:ind w:left="1440" w:hanging="360"/>
      </w:pPr>
      <w:rPr>
        <w:rFonts w:ascii="Arial" w:hAnsi="Arial" w:hint="default"/>
      </w:rPr>
    </w:lvl>
    <w:lvl w:ilvl="2" w:tplc="6466FA9A" w:tentative="1">
      <w:start w:val="1"/>
      <w:numFmt w:val="bullet"/>
      <w:lvlText w:val="•"/>
      <w:lvlJc w:val="left"/>
      <w:pPr>
        <w:tabs>
          <w:tab w:val="num" w:pos="2160"/>
        </w:tabs>
        <w:ind w:left="2160" w:hanging="360"/>
      </w:pPr>
      <w:rPr>
        <w:rFonts w:ascii="Arial" w:hAnsi="Arial" w:hint="default"/>
      </w:rPr>
    </w:lvl>
    <w:lvl w:ilvl="3" w:tplc="9FFC109C" w:tentative="1">
      <w:start w:val="1"/>
      <w:numFmt w:val="bullet"/>
      <w:lvlText w:val="•"/>
      <w:lvlJc w:val="left"/>
      <w:pPr>
        <w:tabs>
          <w:tab w:val="num" w:pos="2880"/>
        </w:tabs>
        <w:ind w:left="2880" w:hanging="360"/>
      </w:pPr>
      <w:rPr>
        <w:rFonts w:ascii="Arial" w:hAnsi="Arial" w:hint="default"/>
      </w:rPr>
    </w:lvl>
    <w:lvl w:ilvl="4" w:tplc="9F8E7F1E" w:tentative="1">
      <w:start w:val="1"/>
      <w:numFmt w:val="bullet"/>
      <w:lvlText w:val="•"/>
      <w:lvlJc w:val="left"/>
      <w:pPr>
        <w:tabs>
          <w:tab w:val="num" w:pos="3600"/>
        </w:tabs>
        <w:ind w:left="3600" w:hanging="360"/>
      </w:pPr>
      <w:rPr>
        <w:rFonts w:ascii="Arial" w:hAnsi="Arial" w:hint="default"/>
      </w:rPr>
    </w:lvl>
    <w:lvl w:ilvl="5" w:tplc="28827C50" w:tentative="1">
      <w:start w:val="1"/>
      <w:numFmt w:val="bullet"/>
      <w:lvlText w:val="•"/>
      <w:lvlJc w:val="left"/>
      <w:pPr>
        <w:tabs>
          <w:tab w:val="num" w:pos="4320"/>
        </w:tabs>
        <w:ind w:left="4320" w:hanging="360"/>
      </w:pPr>
      <w:rPr>
        <w:rFonts w:ascii="Arial" w:hAnsi="Arial" w:hint="default"/>
      </w:rPr>
    </w:lvl>
    <w:lvl w:ilvl="6" w:tplc="8050E9E4" w:tentative="1">
      <w:start w:val="1"/>
      <w:numFmt w:val="bullet"/>
      <w:lvlText w:val="•"/>
      <w:lvlJc w:val="left"/>
      <w:pPr>
        <w:tabs>
          <w:tab w:val="num" w:pos="5040"/>
        </w:tabs>
        <w:ind w:left="5040" w:hanging="360"/>
      </w:pPr>
      <w:rPr>
        <w:rFonts w:ascii="Arial" w:hAnsi="Arial" w:hint="default"/>
      </w:rPr>
    </w:lvl>
    <w:lvl w:ilvl="7" w:tplc="6096DB7C" w:tentative="1">
      <w:start w:val="1"/>
      <w:numFmt w:val="bullet"/>
      <w:lvlText w:val="•"/>
      <w:lvlJc w:val="left"/>
      <w:pPr>
        <w:tabs>
          <w:tab w:val="num" w:pos="5760"/>
        </w:tabs>
        <w:ind w:left="5760" w:hanging="360"/>
      </w:pPr>
      <w:rPr>
        <w:rFonts w:ascii="Arial" w:hAnsi="Arial" w:hint="default"/>
      </w:rPr>
    </w:lvl>
    <w:lvl w:ilvl="8" w:tplc="AECC50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D65860"/>
    <w:multiLevelType w:val="multilevel"/>
    <w:tmpl w:val="676E4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46457"/>
    <w:multiLevelType w:val="hybridMultilevel"/>
    <w:tmpl w:val="36E2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0C21A6"/>
    <w:multiLevelType w:val="hybridMultilevel"/>
    <w:tmpl w:val="0896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347037"/>
    <w:multiLevelType w:val="hybridMultilevel"/>
    <w:tmpl w:val="564C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C34E9"/>
    <w:multiLevelType w:val="hybridMultilevel"/>
    <w:tmpl w:val="3C6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9141C"/>
    <w:multiLevelType w:val="hybridMultilevel"/>
    <w:tmpl w:val="BBF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9471F"/>
    <w:multiLevelType w:val="hybridMultilevel"/>
    <w:tmpl w:val="5CE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EF1AF6"/>
    <w:multiLevelType w:val="hybridMultilevel"/>
    <w:tmpl w:val="22C2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A0168"/>
    <w:multiLevelType w:val="hybridMultilevel"/>
    <w:tmpl w:val="33A82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441BE"/>
    <w:multiLevelType w:val="hybridMultilevel"/>
    <w:tmpl w:val="C3F2C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3AD24002"/>
    <w:multiLevelType w:val="hybridMultilevel"/>
    <w:tmpl w:val="871C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766F9"/>
    <w:multiLevelType w:val="hybridMultilevel"/>
    <w:tmpl w:val="483E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96E50"/>
    <w:multiLevelType w:val="hybridMultilevel"/>
    <w:tmpl w:val="A48A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20F7E"/>
    <w:multiLevelType w:val="hybridMultilevel"/>
    <w:tmpl w:val="11D222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A782C42"/>
    <w:multiLevelType w:val="hybridMultilevel"/>
    <w:tmpl w:val="1F8473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F90F62"/>
    <w:multiLevelType w:val="hybridMultilevel"/>
    <w:tmpl w:val="CC7AF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B2A73"/>
    <w:multiLevelType w:val="hybridMultilevel"/>
    <w:tmpl w:val="8878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0F384C"/>
    <w:multiLevelType w:val="hybridMultilevel"/>
    <w:tmpl w:val="04FA5CDE"/>
    <w:lvl w:ilvl="0" w:tplc="2364F9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A6823C4"/>
    <w:multiLevelType w:val="hybridMultilevel"/>
    <w:tmpl w:val="86A29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25579"/>
    <w:multiLevelType w:val="hybridMultilevel"/>
    <w:tmpl w:val="73D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A5577"/>
    <w:multiLevelType w:val="hybridMultilevel"/>
    <w:tmpl w:val="21B2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8F5793"/>
    <w:multiLevelType w:val="hybridMultilevel"/>
    <w:tmpl w:val="796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2E268C"/>
    <w:multiLevelType w:val="hybridMultilevel"/>
    <w:tmpl w:val="0A9A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F060F"/>
    <w:multiLevelType w:val="hybridMultilevel"/>
    <w:tmpl w:val="51A2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412B4"/>
    <w:multiLevelType w:val="hybridMultilevel"/>
    <w:tmpl w:val="6618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3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2166B0"/>
    <w:multiLevelType w:val="hybridMultilevel"/>
    <w:tmpl w:val="09403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806B0"/>
    <w:multiLevelType w:val="hybridMultilevel"/>
    <w:tmpl w:val="912CE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B3397"/>
    <w:multiLevelType w:val="hybridMultilevel"/>
    <w:tmpl w:val="E104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F6814"/>
    <w:multiLevelType w:val="hybridMultilevel"/>
    <w:tmpl w:val="4C64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8D24BC"/>
    <w:multiLevelType w:val="hybridMultilevel"/>
    <w:tmpl w:val="140C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15957"/>
    <w:multiLevelType w:val="hybridMultilevel"/>
    <w:tmpl w:val="6FF2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3639E"/>
    <w:multiLevelType w:val="hybridMultilevel"/>
    <w:tmpl w:val="C5944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8C0387"/>
    <w:multiLevelType w:val="hybridMultilevel"/>
    <w:tmpl w:val="70F02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80100"/>
    <w:multiLevelType w:val="hybridMultilevel"/>
    <w:tmpl w:val="8902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5"/>
  </w:num>
  <w:num w:numId="4">
    <w:abstractNumId w:val="17"/>
  </w:num>
  <w:num w:numId="5">
    <w:abstractNumId w:val="3"/>
  </w:num>
  <w:num w:numId="6">
    <w:abstractNumId w:val="22"/>
  </w:num>
  <w:num w:numId="7">
    <w:abstractNumId w:val="26"/>
  </w:num>
  <w:num w:numId="8">
    <w:abstractNumId w:val="27"/>
  </w:num>
  <w:num w:numId="9">
    <w:abstractNumId w:val="24"/>
  </w:num>
  <w:num w:numId="10">
    <w:abstractNumId w:val="31"/>
  </w:num>
  <w:num w:numId="11">
    <w:abstractNumId w:val="0"/>
  </w:num>
  <w:num w:numId="12">
    <w:abstractNumId w:val="11"/>
  </w:num>
  <w:num w:numId="13">
    <w:abstractNumId w:val="36"/>
  </w:num>
  <w:num w:numId="14">
    <w:abstractNumId w:val="28"/>
  </w:num>
  <w:num w:numId="15">
    <w:abstractNumId w:val="40"/>
  </w:num>
  <w:num w:numId="16">
    <w:abstractNumId w:val="13"/>
  </w:num>
  <w:num w:numId="17">
    <w:abstractNumId w:val="22"/>
  </w:num>
  <w:num w:numId="18">
    <w:abstractNumId w:val="29"/>
  </w:num>
  <w:num w:numId="19">
    <w:abstractNumId w:val="43"/>
  </w:num>
  <w:num w:numId="20">
    <w:abstractNumId w:val="38"/>
  </w:num>
  <w:num w:numId="21">
    <w:abstractNumId w:val="2"/>
  </w:num>
  <w:num w:numId="22">
    <w:abstractNumId w:val="30"/>
  </w:num>
  <w:num w:numId="23">
    <w:abstractNumId w:val="20"/>
  </w:num>
  <w:num w:numId="24">
    <w:abstractNumId w:val="42"/>
  </w:num>
  <w:num w:numId="25">
    <w:abstractNumId w:val="41"/>
  </w:num>
  <w:num w:numId="26">
    <w:abstractNumId w:val="33"/>
  </w:num>
  <w:num w:numId="27">
    <w:abstractNumId w:val="7"/>
  </w:num>
  <w:num w:numId="28">
    <w:abstractNumId w:val="34"/>
  </w:num>
  <w:num w:numId="29">
    <w:abstractNumId w:val="14"/>
  </w:num>
  <w:num w:numId="30">
    <w:abstractNumId w:val="12"/>
  </w:num>
  <w:num w:numId="31">
    <w:abstractNumId w:val="19"/>
  </w:num>
  <w:num w:numId="32">
    <w:abstractNumId w:val="21"/>
  </w:num>
  <w:num w:numId="33">
    <w:abstractNumId w:val="15"/>
  </w:num>
  <w:num w:numId="34">
    <w:abstractNumId w:val="23"/>
  </w:num>
  <w:num w:numId="35">
    <w:abstractNumId w:val="39"/>
  </w:num>
  <w:num w:numId="36">
    <w:abstractNumId w:val="9"/>
  </w:num>
  <w:num w:numId="37">
    <w:abstractNumId w:val="45"/>
  </w:num>
  <w:num w:numId="38">
    <w:abstractNumId w:val="44"/>
  </w:num>
  <w:num w:numId="39">
    <w:abstractNumId w:val="4"/>
  </w:num>
  <w:num w:numId="40">
    <w:abstractNumId w:val="35"/>
  </w:num>
  <w:num w:numId="41">
    <w:abstractNumId w:val="16"/>
  </w:num>
  <w:num w:numId="42">
    <w:abstractNumId w:val="25"/>
  </w:num>
  <w:num w:numId="43">
    <w:abstractNumId w:val="37"/>
  </w:num>
  <w:num w:numId="44">
    <w:abstractNumId w:val="1"/>
  </w:num>
  <w:num w:numId="45">
    <w:abstractNumId w:val="6"/>
  </w:num>
  <w:num w:numId="46">
    <w:abstractNumId w:val="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3D"/>
    <w:rsid w:val="0000160E"/>
    <w:rsid w:val="00005840"/>
    <w:rsid w:val="00011238"/>
    <w:rsid w:val="0001149D"/>
    <w:rsid w:val="0001384C"/>
    <w:rsid w:val="00014F79"/>
    <w:rsid w:val="00017711"/>
    <w:rsid w:val="000217F5"/>
    <w:rsid w:val="00023B7F"/>
    <w:rsid w:val="00024828"/>
    <w:rsid w:val="00024D1E"/>
    <w:rsid w:val="000258D5"/>
    <w:rsid w:val="00027AD6"/>
    <w:rsid w:val="000315AA"/>
    <w:rsid w:val="00032B52"/>
    <w:rsid w:val="00034221"/>
    <w:rsid w:val="000404FA"/>
    <w:rsid w:val="000442AE"/>
    <w:rsid w:val="00045B39"/>
    <w:rsid w:val="00046820"/>
    <w:rsid w:val="00046E4C"/>
    <w:rsid w:val="0005066A"/>
    <w:rsid w:val="00050975"/>
    <w:rsid w:val="000510CD"/>
    <w:rsid w:val="0005130E"/>
    <w:rsid w:val="00052F76"/>
    <w:rsid w:val="0005466C"/>
    <w:rsid w:val="00057F21"/>
    <w:rsid w:val="000604A3"/>
    <w:rsid w:val="00061B1B"/>
    <w:rsid w:val="0006202C"/>
    <w:rsid w:val="00062645"/>
    <w:rsid w:val="00062D9D"/>
    <w:rsid w:val="000644A7"/>
    <w:rsid w:val="00064F13"/>
    <w:rsid w:val="00065B03"/>
    <w:rsid w:val="000744B3"/>
    <w:rsid w:val="000748A1"/>
    <w:rsid w:val="000758A6"/>
    <w:rsid w:val="0008528C"/>
    <w:rsid w:val="00091344"/>
    <w:rsid w:val="00092315"/>
    <w:rsid w:val="0009473C"/>
    <w:rsid w:val="000A2BB2"/>
    <w:rsid w:val="000A4391"/>
    <w:rsid w:val="000A5640"/>
    <w:rsid w:val="000B0A22"/>
    <w:rsid w:val="000B1C9E"/>
    <w:rsid w:val="000B5241"/>
    <w:rsid w:val="000B59F0"/>
    <w:rsid w:val="000B5E7B"/>
    <w:rsid w:val="000C0906"/>
    <w:rsid w:val="000C7CF8"/>
    <w:rsid w:val="000D026F"/>
    <w:rsid w:val="000D1684"/>
    <w:rsid w:val="000D1DE9"/>
    <w:rsid w:val="000D3447"/>
    <w:rsid w:val="000D3647"/>
    <w:rsid w:val="000D5344"/>
    <w:rsid w:val="000D5EC6"/>
    <w:rsid w:val="000E187C"/>
    <w:rsid w:val="000E5CF2"/>
    <w:rsid w:val="000E6F14"/>
    <w:rsid w:val="000F2F25"/>
    <w:rsid w:val="000F5763"/>
    <w:rsid w:val="000F655D"/>
    <w:rsid w:val="00102015"/>
    <w:rsid w:val="0010490B"/>
    <w:rsid w:val="0010690F"/>
    <w:rsid w:val="001078BD"/>
    <w:rsid w:val="00110736"/>
    <w:rsid w:val="001118B1"/>
    <w:rsid w:val="00111D32"/>
    <w:rsid w:val="00112ABF"/>
    <w:rsid w:val="00116387"/>
    <w:rsid w:val="001200C5"/>
    <w:rsid w:val="00121075"/>
    <w:rsid w:val="001250F2"/>
    <w:rsid w:val="0012554C"/>
    <w:rsid w:val="001257FE"/>
    <w:rsid w:val="00125FCE"/>
    <w:rsid w:val="00127104"/>
    <w:rsid w:val="00132A3A"/>
    <w:rsid w:val="00133B12"/>
    <w:rsid w:val="00133F1E"/>
    <w:rsid w:val="00134713"/>
    <w:rsid w:val="001367A2"/>
    <w:rsid w:val="00137C20"/>
    <w:rsid w:val="00143364"/>
    <w:rsid w:val="00144D01"/>
    <w:rsid w:val="00145307"/>
    <w:rsid w:val="00145CB9"/>
    <w:rsid w:val="00151A21"/>
    <w:rsid w:val="0015437F"/>
    <w:rsid w:val="00160204"/>
    <w:rsid w:val="0016080D"/>
    <w:rsid w:val="00160973"/>
    <w:rsid w:val="0016168A"/>
    <w:rsid w:val="00161EC6"/>
    <w:rsid w:val="00166FE2"/>
    <w:rsid w:val="00172008"/>
    <w:rsid w:val="001723B4"/>
    <w:rsid w:val="00172C12"/>
    <w:rsid w:val="00177443"/>
    <w:rsid w:val="00177986"/>
    <w:rsid w:val="0018164B"/>
    <w:rsid w:val="001870B1"/>
    <w:rsid w:val="0019238F"/>
    <w:rsid w:val="001969A4"/>
    <w:rsid w:val="001A4F07"/>
    <w:rsid w:val="001A726F"/>
    <w:rsid w:val="001B2663"/>
    <w:rsid w:val="001B3772"/>
    <w:rsid w:val="001B6AEB"/>
    <w:rsid w:val="001B7374"/>
    <w:rsid w:val="001B7703"/>
    <w:rsid w:val="001C1631"/>
    <w:rsid w:val="001C1753"/>
    <w:rsid w:val="001C2B70"/>
    <w:rsid w:val="001C3CB1"/>
    <w:rsid w:val="001D03A3"/>
    <w:rsid w:val="001D65A7"/>
    <w:rsid w:val="001D6C71"/>
    <w:rsid w:val="001D7995"/>
    <w:rsid w:val="001E78EA"/>
    <w:rsid w:val="001F42E4"/>
    <w:rsid w:val="001F4C9E"/>
    <w:rsid w:val="001F4CF1"/>
    <w:rsid w:val="001F5C73"/>
    <w:rsid w:val="00201439"/>
    <w:rsid w:val="002016BF"/>
    <w:rsid w:val="00201D37"/>
    <w:rsid w:val="00202332"/>
    <w:rsid w:val="002124A2"/>
    <w:rsid w:val="002139C2"/>
    <w:rsid w:val="002140F4"/>
    <w:rsid w:val="00215586"/>
    <w:rsid w:val="00215BEF"/>
    <w:rsid w:val="00216747"/>
    <w:rsid w:val="00217072"/>
    <w:rsid w:val="00217CAA"/>
    <w:rsid w:val="00227AE1"/>
    <w:rsid w:val="00231E15"/>
    <w:rsid w:val="00232193"/>
    <w:rsid w:val="00232624"/>
    <w:rsid w:val="002343F3"/>
    <w:rsid w:val="002357AF"/>
    <w:rsid w:val="00240B18"/>
    <w:rsid w:val="00242261"/>
    <w:rsid w:val="002452C5"/>
    <w:rsid w:val="00245905"/>
    <w:rsid w:val="0024656E"/>
    <w:rsid w:val="002527FB"/>
    <w:rsid w:val="002528B8"/>
    <w:rsid w:val="00263B46"/>
    <w:rsid w:val="00267922"/>
    <w:rsid w:val="00271982"/>
    <w:rsid w:val="00273A01"/>
    <w:rsid w:val="002812B3"/>
    <w:rsid w:val="00282619"/>
    <w:rsid w:val="002860A1"/>
    <w:rsid w:val="00286894"/>
    <w:rsid w:val="00286B81"/>
    <w:rsid w:val="00287E94"/>
    <w:rsid w:val="002973CD"/>
    <w:rsid w:val="002A4ABE"/>
    <w:rsid w:val="002A778B"/>
    <w:rsid w:val="002A7A8B"/>
    <w:rsid w:val="002B221C"/>
    <w:rsid w:val="002B4256"/>
    <w:rsid w:val="002C6B54"/>
    <w:rsid w:val="002D0E31"/>
    <w:rsid w:val="002D3842"/>
    <w:rsid w:val="002D7298"/>
    <w:rsid w:val="002D738C"/>
    <w:rsid w:val="002D75ED"/>
    <w:rsid w:val="002E0448"/>
    <w:rsid w:val="002E0B17"/>
    <w:rsid w:val="002E0D93"/>
    <w:rsid w:val="002E1E13"/>
    <w:rsid w:val="002E325D"/>
    <w:rsid w:val="002E41FE"/>
    <w:rsid w:val="002E4974"/>
    <w:rsid w:val="002E749B"/>
    <w:rsid w:val="002E7EEB"/>
    <w:rsid w:val="002E7F38"/>
    <w:rsid w:val="002F0569"/>
    <w:rsid w:val="002F1018"/>
    <w:rsid w:val="002F4F9E"/>
    <w:rsid w:val="002F5122"/>
    <w:rsid w:val="002F64D6"/>
    <w:rsid w:val="00302A2A"/>
    <w:rsid w:val="0030430E"/>
    <w:rsid w:val="00304356"/>
    <w:rsid w:val="003046D1"/>
    <w:rsid w:val="00310415"/>
    <w:rsid w:val="0031161E"/>
    <w:rsid w:val="00313C73"/>
    <w:rsid w:val="003144AE"/>
    <w:rsid w:val="003237EE"/>
    <w:rsid w:val="00326698"/>
    <w:rsid w:val="00330317"/>
    <w:rsid w:val="00330AE8"/>
    <w:rsid w:val="003356B6"/>
    <w:rsid w:val="0033574B"/>
    <w:rsid w:val="00337611"/>
    <w:rsid w:val="00337D08"/>
    <w:rsid w:val="00346960"/>
    <w:rsid w:val="003515CF"/>
    <w:rsid w:val="00352AE6"/>
    <w:rsid w:val="00353022"/>
    <w:rsid w:val="00353D11"/>
    <w:rsid w:val="00354552"/>
    <w:rsid w:val="003608D0"/>
    <w:rsid w:val="00360D22"/>
    <w:rsid w:val="003613AC"/>
    <w:rsid w:val="00361422"/>
    <w:rsid w:val="00362014"/>
    <w:rsid w:val="00363B4E"/>
    <w:rsid w:val="003750FB"/>
    <w:rsid w:val="00380D5D"/>
    <w:rsid w:val="0038403D"/>
    <w:rsid w:val="00390ECB"/>
    <w:rsid w:val="003940EA"/>
    <w:rsid w:val="00394EF3"/>
    <w:rsid w:val="00395FDF"/>
    <w:rsid w:val="003A0DDA"/>
    <w:rsid w:val="003A5866"/>
    <w:rsid w:val="003A5F6F"/>
    <w:rsid w:val="003B015F"/>
    <w:rsid w:val="003B3E91"/>
    <w:rsid w:val="003C054E"/>
    <w:rsid w:val="003C0E7B"/>
    <w:rsid w:val="003C410B"/>
    <w:rsid w:val="003C5B80"/>
    <w:rsid w:val="003C6EA7"/>
    <w:rsid w:val="003C7323"/>
    <w:rsid w:val="003C7D36"/>
    <w:rsid w:val="003D241C"/>
    <w:rsid w:val="003D3013"/>
    <w:rsid w:val="003E1677"/>
    <w:rsid w:val="003E22D1"/>
    <w:rsid w:val="003E28DC"/>
    <w:rsid w:val="003E29FD"/>
    <w:rsid w:val="003F05DE"/>
    <w:rsid w:val="003F0B95"/>
    <w:rsid w:val="003F10C0"/>
    <w:rsid w:val="00404CFB"/>
    <w:rsid w:val="00410ABD"/>
    <w:rsid w:val="004111C6"/>
    <w:rsid w:val="00411570"/>
    <w:rsid w:val="00412048"/>
    <w:rsid w:val="00412267"/>
    <w:rsid w:val="00414BC1"/>
    <w:rsid w:val="0041509F"/>
    <w:rsid w:val="00420F26"/>
    <w:rsid w:val="00423C99"/>
    <w:rsid w:val="00427224"/>
    <w:rsid w:val="004276FD"/>
    <w:rsid w:val="004311C3"/>
    <w:rsid w:val="00431ECD"/>
    <w:rsid w:val="004332F9"/>
    <w:rsid w:val="00441977"/>
    <w:rsid w:val="00442271"/>
    <w:rsid w:val="00442D77"/>
    <w:rsid w:val="00450576"/>
    <w:rsid w:val="00455F98"/>
    <w:rsid w:val="00457B11"/>
    <w:rsid w:val="00457C2B"/>
    <w:rsid w:val="00457C52"/>
    <w:rsid w:val="004600F7"/>
    <w:rsid w:val="0046074D"/>
    <w:rsid w:val="004727C8"/>
    <w:rsid w:val="00475691"/>
    <w:rsid w:val="00476D0A"/>
    <w:rsid w:val="00480215"/>
    <w:rsid w:val="0048129C"/>
    <w:rsid w:val="00484BDA"/>
    <w:rsid w:val="0048745F"/>
    <w:rsid w:val="004934D3"/>
    <w:rsid w:val="004A14E6"/>
    <w:rsid w:val="004A3D54"/>
    <w:rsid w:val="004B1BC7"/>
    <w:rsid w:val="004B7C0A"/>
    <w:rsid w:val="004C4C26"/>
    <w:rsid w:val="004D1A94"/>
    <w:rsid w:val="004D23BD"/>
    <w:rsid w:val="004D3E22"/>
    <w:rsid w:val="004D411A"/>
    <w:rsid w:val="004D5EEA"/>
    <w:rsid w:val="004D7CD8"/>
    <w:rsid w:val="004E59B2"/>
    <w:rsid w:val="004E7FE9"/>
    <w:rsid w:val="004F0587"/>
    <w:rsid w:val="004F2665"/>
    <w:rsid w:val="004F428C"/>
    <w:rsid w:val="004F54F4"/>
    <w:rsid w:val="00502664"/>
    <w:rsid w:val="005031C9"/>
    <w:rsid w:val="00503738"/>
    <w:rsid w:val="005053FF"/>
    <w:rsid w:val="00513161"/>
    <w:rsid w:val="005147B4"/>
    <w:rsid w:val="00521809"/>
    <w:rsid w:val="00523AFB"/>
    <w:rsid w:val="00523EF2"/>
    <w:rsid w:val="005245EB"/>
    <w:rsid w:val="005249B0"/>
    <w:rsid w:val="0052767F"/>
    <w:rsid w:val="00530CE6"/>
    <w:rsid w:val="00540FBB"/>
    <w:rsid w:val="00544212"/>
    <w:rsid w:val="00544DC4"/>
    <w:rsid w:val="0054512B"/>
    <w:rsid w:val="00545BE7"/>
    <w:rsid w:val="00553828"/>
    <w:rsid w:val="005562C7"/>
    <w:rsid w:val="00556C36"/>
    <w:rsid w:val="00556EB1"/>
    <w:rsid w:val="0056125F"/>
    <w:rsid w:val="00563537"/>
    <w:rsid w:val="00563548"/>
    <w:rsid w:val="0056585E"/>
    <w:rsid w:val="00565EF2"/>
    <w:rsid w:val="00566C1C"/>
    <w:rsid w:val="00567D59"/>
    <w:rsid w:val="00572E13"/>
    <w:rsid w:val="00585302"/>
    <w:rsid w:val="00591118"/>
    <w:rsid w:val="00596CA7"/>
    <w:rsid w:val="005A1AD5"/>
    <w:rsid w:val="005A41C7"/>
    <w:rsid w:val="005A61BB"/>
    <w:rsid w:val="005A7F7A"/>
    <w:rsid w:val="005B0DEA"/>
    <w:rsid w:val="005B2C1A"/>
    <w:rsid w:val="005B3CCA"/>
    <w:rsid w:val="005B61FB"/>
    <w:rsid w:val="005C2B5F"/>
    <w:rsid w:val="005C3989"/>
    <w:rsid w:val="005C737D"/>
    <w:rsid w:val="005D063C"/>
    <w:rsid w:val="005D3062"/>
    <w:rsid w:val="005D44E1"/>
    <w:rsid w:val="005D5D9B"/>
    <w:rsid w:val="005E27FC"/>
    <w:rsid w:val="005E3635"/>
    <w:rsid w:val="005E3E1E"/>
    <w:rsid w:val="005E5577"/>
    <w:rsid w:val="005E672C"/>
    <w:rsid w:val="005F30E9"/>
    <w:rsid w:val="005F4080"/>
    <w:rsid w:val="005F6A91"/>
    <w:rsid w:val="005F7440"/>
    <w:rsid w:val="005F756E"/>
    <w:rsid w:val="0061232D"/>
    <w:rsid w:val="006130F7"/>
    <w:rsid w:val="00613E06"/>
    <w:rsid w:val="00614E28"/>
    <w:rsid w:val="00614E50"/>
    <w:rsid w:val="006208CE"/>
    <w:rsid w:val="00627F4A"/>
    <w:rsid w:val="006304B6"/>
    <w:rsid w:val="006326D1"/>
    <w:rsid w:val="00633B51"/>
    <w:rsid w:val="006342A6"/>
    <w:rsid w:val="006344A3"/>
    <w:rsid w:val="006345F1"/>
    <w:rsid w:val="00635867"/>
    <w:rsid w:val="006377E4"/>
    <w:rsid w:val="006400E4"/>
    <w:rsid w:val="00640527"/>
    <w:rsid w:val="00647968"/>
    <w:rsid w:val="00652D05"/>
    <w:rsid w:val="00653B10"/>
    <w:rsid w:val="00653D6A"/>
    <w:rsid w:val="006540CE"/>
    <w:rsid w:val="00656656"/>
    <w:rsid w:val="0066294E"/>
    <w:rsid w:val="006670CA"/>
    <w:rsid w:val="00667723"/>
    <w:rsid w:val="00670598"/>
    <w:rsid w:val="00671FD2"/>
    <w:rsid w:val="00672EB9"/>
    <w:rsid w:val="00672EBE"/>
    <w:rsid w:val="00674189"/>
    <w:rsid w:val="00674560"/>
    <w:rsid w:val="006770CB"/>
    <w:rsid w:val="00677593"/>
    <w:rsid w:val="0068157B"/>
    <w:rsid w:val="00682927"/>
    <w:rsid w:val="00686179"/>
    <w:rsid w:val="00687336"/>
    <w:rsid w:val="00690000"/>
    <w:rsid w:val="006949CC"/>
    <w:rsid w:val="006976B4"/>
    <w:rsid w:val="006A2905"/>
    <w:rsid w:val="006A4DA7"/>
    <w:rsid w:val="006A6834"/>
    <w:rsid w:val="006B7DF6"/>
    <w:rsid w:val="006C02E8"/>
    <w:rsid w:val="006C231C"/>
    <w:rsid w:val="006C2830"/>
    <w:rsid w:val="006C561B"/>
    <w:rsid w:val="006C5D18"/>
    <w:rsid w:val="006C5E79"/>
    <w:rsid w:val="006C73FE"/>
    <w:rsid w:val="006D24A6"/>
    <w:rsid w:val="006D3405"/>
    <w:rsid w:val="006D43F6"/>
    <w:rsid w:val="006D5C2B"/>
    <w:rsid w:val="006D5ECD"/>
    <w:rsid w:val="006D6766"/>
    <w:rsid w:val="006E03D3"/>
    <w:rsid w:val="006E1E82"/>
    <w:rsid w:val="006F1646"/>
    <w:rsid w:val="006F1A20"/>
    <w:rsid w:val="006F607B"/>
    <w:rsid w:val="006F788F"/>
    <w:rsid w:val="006F7FEC"/>
    <w:rsid w:val="00700D65"/>
    <w:rsid w:val="00702003"/>
    <w:rsid w:val="007042EB"/>
    <w:rsid w:val="00704C8B"/>
    <w:rsid w:val="0070565A"/>
    <w:rsid w:val="007058CB"/>
    <w:rsid w:val="007116C7"/>
    <w:rsid w:val="007124D0"/>
    <w:rsid w:val="00713108"/>
    <w:rsid w:val="00716EC4"/>
    <w:rsid w:val="0072113F"/>
    <w:rsid w:val="00722147"/>
    <w:rsid w:val="00722A3F"/>
    <w:rsid w:val="00723BA0"/>
    <w:rsid w:val="0072400C"/>
    <w:rsid w:val="00726D34"/>
    <w:rsid w:val="00727D9F"/>
    <w:rsid w:val="00734253"/>
    <w:rsid w:val="00734B8C"/>
    <w:rsid w:val="00734E83"/>
    <w:rsid w:val="00735821"/>
    <w:rsid w:val="00736559"/>
    <w:rsid w:val="007379CA"/>
    <w:rsid w:val="00737DB1"/>
    <w:rsid w:val="00742C9D"/>
    <w:rsid w:val="00745181"/>
    <w:rsid w:val="007510B6"/>
    <w:rsid w:val="00751988"/>
    <w:rsid w:val="007561E6"/>
    <w:rsid w:val="0076019F"/>
    <w:rsid w:val="007601A4"/>
    <w:rsid w:val="00760303"/>
    <w:rsid w:val="00762567"/>
    <w:rsid w:val="00764991"/>
    <w:rsid w:val="00764E81"/>
    <w:rsid w:val="0076750B"/>
    <w:rsid w:val="00767A6F"/>
    <w:rsid w:val="00770456"/>
    <w:rsid w:val="00773BBD"/>
    <w:rsid w:val="00774500"/>
    <w:rsid w:val="00775B8A"/>
    <w:rsid w:val="00777AE3"/>
    <w:rsid w:val="007858AB"/>
    <w:rsid w:val="0079233D"/>
    <w:rsid w:val="00795F2F"/>
    <w:rsid w:val="007978AF"/>
    <w:rsid w:val="007A00DA"/>
    <w:rsid w:val="007A3948"/>
    <w:rsid w:val="007A6144"/>
    <w:rsid w:val="007A6E51"/>
    <w:rsid w:val="007A7F06"/>
    <w:rsid w:val="007B7CD4"/>
    <w:rsid w:val="007C13A4"/>
    <w:rsid w:val="007C220D"/>
    <w:rsid w:val="007C224C"/>
    <w:rsid w:val="007C72ED"/>
    <w:rsid w:val="007D0A52"/>
    <w:rsid w:val="007D2A64"/>
    <w:rsid w:val="007D7462"/>
    <w:rsid w:val="007E134A"/>
    <w:rsid w:val="007E29BC"/>
    <w:rsid w:val="007E3108"/>
    <w:rsid w:val="007E41C9"/>
    <w:rsid w:val="007E621B"/>
    <w:rsid w:val="007E7843"/>
    <w:rsid w:val="007F601F"/>
    <w:rsid w:val="007F6FCF"/>
    <w:rsid w:val="008055D3"/>
    <w:rsid w:val="00805738"/>
    <w:rsid w:val="008076DC"/>
    <w:rsid w:val="008178B5"/>
    <w:rsid w:val="00820FE2"/>
    <w:rsid w:val="00831D9E"/>
    <w:rsid w:val="00834AD0"/>
    <w:rsid w:val="00842255"/>
    <w:rsid w:val="0084255A"/>
    <w:rsid w:val="008437F3"/>
    <w:rsid w:val="0084416B"/>
    <w:rsid w:val="00846B10"/>
    <w:rsid w:val="00846CFF"/>
    <w:rsid w:val="00850010"/>
    <w:rsid w:val="00850FBC"/>
    <w:rsid w:val="008519C5"/>
    <w:rsid w:val="0085479B"/>
    <w:rsid w:val="00857CE7"/>
    <w:rsid w:val="00862496"/>
    <w:rsid w:val="00862A6F"/>
    <w:rsid w:val="00863C9F"/>
    <w:rsid w:val="008670E7"/>
    <w:rsid w:val="00870F35"/>
    <w:rsid w:val="00874E0E"/>
    <w:rsid w:val="00876F29"/>
    <w:rsid w:val="008822DD"/>
    <w:rsid w:val="008827FA"/>
    <w:rsid w:val="00885C7C"/>
    <w:rsid w:val="00886C8E"/>
    <w:rsid w:val="00886CC8"/>
    <w:rsid w:val="00886DC4"/>
    <w:rsid w:val="008919EF"/>
    <w:rsid w:val="008923A3"/>
    <w:rsid w:val="0089529A"/>
    <w:rsid w:val="00896A99"/>
    <w:rsid w:val="008A183B"/>
    <w:rsid w:val="008A3217"/>
    <w:rsid w:val="008A7FCC"/>
    <w:rsid w:val="008B12FD"/>
    <w:rsid w:val="008B1BDC"/>
    <w:rsid w:val="008B3722"/>
    <w:rsid w:val="008B51D2"/>
    <w:rsid w:val="008B5540"/>
    <w:rsid w:val="008B64C0"/>
    <w:rsid w:val="008C02B6"/>
    <w:rsid w:val="008C1334"/>
    <w:rsid w:val="008C30AD"/>
    <w:rsid w:val="008D510B"/>
    <w:rsid w:val="008D69D5"/>
    <w:rsid w:val="008E14CA"/>
    <w:rsid w:val="008F04F6"/>
    <w:rsid w:val="00905150"/>
    <w:rsid w:val="00905BE7"/>
    <w:rsid w:val="009074BB"/>
    <w:rsid w:val="0091000D"/>
    <w:rsid w:val="00915B87"/>
    <w:rsid w:val="00917B10"/>
    <w:rsid w:val="009200A2"/>
    <w:rsid w:val="00920CB7"/>
    <w:rsid w:val="00921105"/>
    <w:rsid w:val="009223B2"/>
    <w:rsid w:val="00922A6B"/>
    <w:rsid w:val="0092436F"/>
    <w:rsid w:val="0092539A"/>
    <w:rsid w:val="00926780"/>
    <w:rsid w:val="0092736A"/>
    <w:rsid w:val="0093697F"/>
    <w:rsid w:val="00944ED3"/>
    <w:rsid w:val="009450F9"/>
    <w:rsid w:val="009501A2"/>
    <w:rsid w:val="00950497"/>
    <w:rsid w:val="00950DDD"/>
    <w:rsid w:val="00954B68"/>
    <w:rsid w:val="0097262E"/>
    <w:rsid w:val="0097369D"/>
    <w:rsid w:val="00973996"/>
    <w:rsid w:val="00973AB5"/>
    <w:rsid w:val="00975F17"/>
    <w:rsid w:val="009807E0"/>
    <w:rsid w:val="00983E65"/>
    <w:rsid w:val="00984884"/>
    <w:rsid w:val="00984E10"/>
    <w:rsid w:val="00986A1B"/>
    <w:rsid w:val="00987887"/>
    <w:rsid w:val="009934CB"/>
    <w:rsid w:val="00994FD2"/>
    <w:rsid w:val="0099672C"/>
    <w:rsid w:val="009A16EB"/>
    <w:rsid w:val="009A1C9B"/>
    <w:rsid w:val="009A3680"/>
    <w:rsid w:val="009A73F2"/>
    <w:rsid w:val="009B1EDD"/>
    <w:rsid w:val="009B7812"/>
    <w:rsid w:val="009C6989"/>
    <w:rsid w:val="009D29C4"/>
    <w:rsid w:val="009D4E54"/>
    <w:rsid w:val="009D5F34"/>
    <w:rsid w:val="009D79A8"/>
    <w:rsid w:val="009E24F7"/>
    <w:rsid w:val="009E2757"/>
    <w:rsid w:val="009E682D"/>
    <w:rsid w:val="009E6D92"/>
    <w:rsid w:val="009E6DB0"/>
    <w:rsid w:val="009F094D"/>
    <w:rsid w:val="009F29EF"/>
    <w:rsid w:val="009F3033"/>
    <w:rsid w:val="009F4E35"/>
    <w:rsid w:val="009F6534"/>
    <w:rsid w:val="009F7C07"/>
    <w:rsid w:val="00A01D70"/>
    <w:rsid w:val="00A02B4E"/>
    <w:rsid w:val="00A03CC1"/>
    <w:rsid w:val="00A03F03"/>
    <w:rsid w:val="00A0552E"/>
    <w:rsid w:val="00A07724"/>
    <w:rsid w:val="00A103F8"/>
    <w:rsid w:val="00A12154"/>
    <w:rsid w:val="00A17561"/>
    <w:rsid w:val="00A24F8E"/>
    <w:rsid w:val="00A32163"/>
    <w:rsid w:val="00A32921"/>
    <w:rsid w:val="00A3404A"/>
    <w:rsid w:val="00A37BDF"/>
    <w:rsid w:val="00A40144"/>
    <w:rsid w:val="00A40519"/>
    <w:rsid w:val="00A44201"/>
    <w:rsid w:val="00A443AC"/>
    <w:rsid w:val="00A44436"/>
    <w:rsid w:val="00A45945"/>
    <w:rsid w:val="00A52B59"/>
    <w:rsid w:val="00A568D6"/>
    <w:rsid w:val="00A61F81"/>
    <w:rsid w:val="00A629CE"/>
    <w:rsid w:val="00A6457E"/>
    <w:rsid w:val="00A70E37"/>
    <w:rsid w:val="00A7211C"/>
    <w:rsid w:val="00A8242A"/>
    <w:rsid w:val="00AA0BC0"/>
    <w:rsid w:val="00AA3688"/>
    <w:rsid w:val="00AA3DD2"/>
    <w:rsid w:val="00AA749A"/>
    <w:rsid w:val="00AB001F"/>
    <w:rsid w:val="00AB798A"/>
    <w:rsid w:val="00AC70FF"/>
    <w:rsid w:val="00AD1F4E"/>
    <w:rsid w:val="00AD3B1A"/>
    <w:rsid w:val="00AD68BD"/>
    <w:rsid w:val="00AD74EA"/>
    <w:rsid w:val="00AE137F"/>
    <w:rsid w:val="00AE1F9E"/>
    <w:rsid w:val="00AE4ABC"/>
    <w:rsid w:val="00AE7062"/>
    <w:rsid w:val="00AF08DB"/>
    <w:rsid w:val="00AF148E"/>
    <w:rsid w:val="00AF1E37"/>
    <w:rsid w:val="00B00F88"/>
    <w:rsid w:val="00B0623E"/>
    <w:rsid w:val="00B062F0"/>
    <w:rsid w:val="00B07ABA"/>
    <w:rsid w:val="00B12F2B"/>
    <w:rsid w:val="00B303F5"/>
    <w:rsid w:val="00B30BC1"/>
    <w:rsid w:val="00B30BEB"/>
    <w:rsid w:val="00B31897"/>
    <w:rsid w:val="00B33F13"/>
    <w:rsid w:val="00B36326"/>
    <w:rsid w:val="00B36E83"/>
    <w:rsid w:val="00B40E38"/>
    <w:rsid w:val="00B42FF8"/>
    <w:rsid w:val="00B43CD9"/>
    <w:rsid w:val="00B44116"/>
    <w:rsid w:val="00B46FDC"/>
    <w:rsid w:val="00B4776C"/>
    <w:rsid w:val="00B522C2"/>
    <w:rsid w:val="00B55489"/>
    <w:rsid w:val="00B56322"/>
    <w:rsid w:val="00B60800"/>
    <w:rsid w:val="00B622AF"/>
    <w:rsid w:val="00B6340F"/>
    <w:rsid w:val="00B672A9"/>
    <w:rsid w:val="00B74A65"/>
    <w:rsid w:val="00B777E4"/>
    <w:rsid w:val="00B81162"/>
    <w:rsid w:val="00B82870"/>
    <w:rsid w:val="00B86059"/>
    <w:rsid w:val="00B91E00"/>
    <w:rsid w:val="00B96108"/>
    <w:rsid w:val="00B96F57"/>
    <w:rsid w:val="00BA44B9"/>
    <w:rsid w:val="00BA58FB"/>
    <w:rsid w:val="00BA7902"/>
    <w:rsid w:val="00BA792D"/>
    <w:rsid w:val="00BB0592"/>
    <w:rsid w:val="00BB38B9"/>
    <w:rsid w:val="00BB53CE"/>
    <w:rsid w:val="00BB5FA1"/>
    <w:rsid w:val="00BB7311"/>
    <w:rsid w:val="00BC27A4"/>
    <w:rsid w:val="00BC293C"/>
    <w:rsid w:val="00BC382D"/>
    <w:rsid w:val="00BC49FF"/>
    <w:rsid w:val="00BC6D5E"/>
    <w:rsid w:val="00BD0C62"/>
    <w:rsid w:val="00BD2B16"/>
    <w:rsid w:val="00BD737D"/>
    <w:rsid w:val="00BE0A29"/>
    <w:rsid w:val="00BE544B"/>
    <w:rsid w:val="00BE6180"/>
    <w:rsid w:val="00BF15FC"/>
    <w:rsid w:val="00BF19CC"/>
    <w:rsid w:val="00BF291B"/>
    <w:rsid w:val="00BF2FF6"/>
    <w:rsid w:val="00BF3F1B"/>
    <w:rsid w:val="00BF50DA"/>
    <w:rsid w:val="00BF5633"/>
    <w:rsid w:val="00BF61ED"/>
    <w:rsid w:val="00BF6B99"/>
    <w:rsid w:val="00C019F7"/>
    <w:rsid w:val="00C01AEF"/>
    <w:rsid w:val="00C02B83"/>
    <w:rsid w:val="00C034FA"/>
    <w:rsid w:val="00C0547F"/>
    <w:rsid w:val="00C11BD4"/>
    <w:rsid w:val="00C12094"/>
    <w:rsid w:val="00C13A7E"/>
    <w:rsid w:val="00C150DD"/>
    <w:rsid w:val="00C17383"/>
    <w:rsid w:val="00C209D5"/>
    <w:rsid w:val="00C24649"/>
    <w:rsid w:val="00C26EB2"/>
    <w:rsid w:val="00C31EC3"/>
    <w:rsid w:val="00C33003"/>
    <w:rsid w:val="00C340F5"/>
    <w:rsid w:val="00C36307"/>
    <w:rsid w:val="00C416B9"/>
    <w:rsid w:val="00C44A35"/>
    <w:rsid w:val="00C46D03"/>
    <w:rsid w:val="00C46F37"/>
    <w:rsid w:val="00C53107"/>
    <w:rsid w:val="00C53A80"/>
    <w:rsid w:val="00C57CB8"/>
    <w:rsid w:val="00C66523"/>
    <w:rsid w:val="00C668BB"/>
    <w:rsid w:val="00C724FC"/>
    <w:rsid w:val="00C74F92"/>
    <w:rsid w:val="00C76F4A"/>
    <w:rsid w:val="00C819F9"/>
    <w:rsid w:val="00C867ED"/>
    <w:rsid w:val="00C86FCF"/>
    <w:rsid w:val="00C95F56"/>
    <w:rsid w:val="00CA10D3"/>
    <w:rsid w:val="00CA20A4"/>
    <w:rsid w:val="00CA5108"/>
    <w:rsid w:val="00CA54B9"/>
    <w:rsid w:val="00CA56EB"/>
    <w:rsid w:val="00CB04D6"/>
    <w:rsid w:val="00CB05C3"/>
    <w:rsid w:val="00CB0E90"/>
    <w:rsid w:val="00CB1936"/>
    <w:rsid w:val="00CB198D"/>
    <w:rsid w:val="00CB232A"/>
    <w:rsid w:val="00CB3531"/>
    <w:rsid w:val="00CB4F29"/>
    <w:rsid w:val="00CC2C5D"/>
    <w:rsid w:val="00CC339E"/>
    <w:rsid w:val="00CC4AA0"/>
    <w:rsid w:val="00CC5493"/>
    <w:rsid w:val="00CD0920"/>
    <w:rsid w:val="00CD3216"/>
    <w:rsid w:val="00CD461D"/>
    <w:rsid w:val="00CD6027"/>
    <w:rsid w:val="00CE1920"/>
    <w:rsid w:val="00CE500D"/>
    <w:rsid w:val="00CF274A"/>
    <w:rsid w:val="00CF3924"/>
    <w:rsid w:val="00D006E3"/>
    <w:rsid w:val="00D0161F"/>
    <w:rsid w:val="00D02BEE"/>
    <w:rsid w:val="00D035D0"/>
    <w:rsid w:val="00D05638"/>
    <w:rsid w:val="00D117B5"/>
    <w:rsid w:val="00D15FD3"/>
    <w:rsid w:val="00D17D0E"/>
    <w:rsid w:val="00D20009"/>
    <w:rsid w:val="00D22219"/>
    <w:rsid w:val="00D22D41"/>
    <w:rsid w:val="00D245C3"/>
    <w:rsid w:val="00D24760"/>
    <w:rsid w:val="00D24D99"/>
    <w:rsid w:val="00D26D29"/>
    <w:rsid w:val="00D272F1"/>
    <w:rsid w:val="00D27855"/>
    <w:rsid w:val="00D3354F"/>
    <w:rsid w:val="00D34A01"/>
    <w:rsid w:val="00D35653"/>
    <w:rsid w:val="00D36515"/>
    <w:rsid w:val="00D3797E"/>
    <w:rsid w:val="00D444C9"/>
    <w:rsid w:val="00D44642"/>
    <w:rsid w:val="00D45FCA"/>
    <w:rsid w:val="00D46EC9"/>
    <w:rsid w:val="00D47478"/>
    <w:rsid w:val="00D50F8D"/>
    <w:rsid w:val="00D52075"/>
    <w:rsid w:val="00D52365"/>
    <w:rsid w:val="00D52E29"/>
    <w:rsid w:val="00D53D7E"/>
    <w:rsid w:val="00D54D21"/>
    <w:rsid w:val="00D552F6"/>
    <w:rsid w:val="00D55D8D"/>
    <w:rsid w:val="00D5668C"/>
    <w:rsid w:val="00D60EFF"/>
    <w:rsid w:val="00D634D6"/>
    <w:rsid w:val="00D640BE"/>
    <w:rsid w:val="00D73644"/>
    <w:rsid w:val="00D7559B"/>
    <w:rsid w:val="00D75C34"/>
    <w:rsid w:val="00D80646"/>
    <w:rsid w:val="00D81FC7"/>
    <w:rsid w:val="00D82A2C"/>
    <w:rsid w:val="00D911FD"/>
    <w:rsid w:val="00D91AEF"/>
    <w:rsid w:val="00D94695"/>
    <w:rsid w:val="00DA1D70"/>
    <w:rsid w:val="00DA1EA6"/>
    <w:rsid w:val="00DA2F86"/>
    <w:rsid w:val="00DA5AEA"/>
    <w:rsid w:val="00DA7189"/>
    <w:rsid w:val="00DA7416"/>
    <w:rsid w:val="00DB4047"/>
    <w:rsid w:val="00DB4DCE"/>
    <w:rsid w:val="00DB6876"/>
    <w:rsid w:val="00DC5178"/>
    <w:rsid w:val="00DC62FF"/>
    <w:rsid w:val="00DD4F2B"/>
    <w:rsid w:val="00DD546C"/>
    <w:rsid w:val="00DE0B7B"/>
    <w:rsid w:val="00DE44DE"/>
    <w:rsid w:val="00DE498B"/>
    <w:rsid w:val="00DE4C32"/>
    <w:rsid w:val="00DE4F14"/>
    <w:rsid w:val="00DE7B57"/>
    <w:rsid w:val="00DF1DFB"/>
    <w:rsid w:val="00DF271B"/>
    <w:rsid w:val="00DF42B5"/>
    <w:rsid w:val="00DF5D87"/>
    <w:rsid w:val="00E02903"/>
    <w:rsid w:val="00E03670"/>
    <w:rsid w:val="00E0500E"/>
    <w:rsid w:val="00E05A91"/>
    <w:rsid w:val="00E10C29"/>
    <w:rsid w:val="00E10C8D"/>
    <w:rsid w:val="00E122C6"/>
    <w:rsid w:val="00E1342A"/>
    <w:rsid w:val="00E13746"/>
    <w:rsid w:val="00E155BB"/>
    <w:rsid w:val="00E16ADE"/>
    <w:rsid w:val="00E174A4"/>
    <w:rsid w:val="00E214EC"/>
    <w:rsid w:val="00E27D40"/>
    <w:rsid w:val="00E3108B"/>
    <w:rsid w:val="00E3552C"/>
    <w:rsid w:val="00E41020"/>
    <w:rsid w:val="00E41B06"/>
    <w:rsid w:val="00E43D14"/>
    <w:rsid w:val="00E47682"/>
    <w:rsid w:val="00E47847"/>
    <w:rsid w:val="00E52BEE"/>
    <w:rsid w:val="00E5655E"/>
    <w:rsid w:val="00E603CB"/>
    <w:rsid w:val="00E63FA0"/>
    <w:rsid w:val="00E65E1D"/>
    <w:rsid w:val="00E66A4A"/>
    <w:rsid w:val="00E66BC9"/>
    <w:rsid w:val="00E71DB9"/>
    <w:rsid w:val="00E746ED"/>
    <w:rsid w:val="00E74D38"/>
    <w:rsid w:val="00E804A1"/>
    <w:rsid w:val="00E838D9"/>
    <w:rsid w:val="00E84BE8"/>
    <w:rsid w:val="00EA10CF"/>
    <w:rsid w:val="00EA6A76"/>
    <w:rsid w:val="00EA77F9"/>
    <w:rsid w:val="00EB069E"/>
    <w:rsid w:val="00EB27E7"/>
    <w:rsid w:val="00EB60A5"/>
    <w:rsid w:val="00EB6926"/>
    <w:rsid w:val="00EB7962"/>
    <w:rsid w:val="00EC0821"/>
    <w:rsid w:val="00EC0EFF"/>
    <w:rsid w:val="00EC1F85"/>
    <w:rsid w:val="00EC206B"/>
    <w:rsid w:val="00EC424C"/>
    <w:rsid w:val="00EC76E2"/>
    <w:rsid w:val="00ED00B5"/>
    <w:rsid w:val="00ED06AE"/>
    <w:rsid w:val="00ED46EF"/>
    <w:rsid w:val="00ED634A"/>
    <w:rsid w:val="00ED6864"/>
    <w:rsid w:val="00EE300D"/>
    <w:rsid w:val="00EE4426"/>
    <w:rsid w:val="00EE501E"/>
    <w:rsid w:val="00EF0BBE"/>
    <w:rsid w:val="00EF32E6"/>
    <w:rsid w:val="00EF6307"/>
    <w:rsid w:val="00F006D0"/>
    <w:rsid w:val="00F1173C"/>
    <w:rsid w:val="00F1188B"/>
    <w:rsid w:val="00F15189"/>
    <w:rsid w:val="00F16AE3"/>
    <w:rsid w:val="00F25BFF"/>
    <w:rsid w:val="00F25DA7"/>
    <w:rsid w:val="00F26FD8"/>
    <w:rsid w:val="00F274E4"/>
    <w:rsid w:val="00F30234"/>
    <w:rsid w:val="00F30DB0"/>
    <w:rsid w:val="00F3389D"/>
    <w:rsid w:val="00F36806"/>
    <w:rsid w:val="00F40115"/>
    <w:rsid w:val="00F40738"/>
    <w:rsid w:val="00F44D28"/>
    <w:rsid w:val="00F46285"/>
    <w:rsid w:val="00F5472F"/>
    <w:rsid w:val="00F55A4D"/>
    <w:rsid w:val="00F60EA1"/>
    <w:rsid w:val="00F632D7"/>
    <w:rsid w:val="00F63C3D"/>
    <w:rsid w:val="00F64062"/>
    <w:rsid w:val="00F64EC4"/>
    <w:rsid w:val="00F673D6"/>
    <w:rsid w:val="00F71EDB"/>
    <w:rsid w:val="00F72678"/>
    <w:rsid w:val="00F74788"/>
    <w:rsid w:val="00F74D3D"/>
    <w:rsid w:val="00F75805"/>
    <w:rsid w:val="00F759CA"/>
    <w:rsid w:val="00F77B25"/>
    <w:rsid w:val="00F8145B"/>
    <w:rsid w:val="00F83081"/>
    <w:rsid w:val="00F83C00"/>
    <w:rsid w:val="00F86A7B"/>
    <w:rsid w:val="00F90CF6"/>
    <w:rsid w:val="00F93E91"/>
    <w:rsid w:val="00F959B2"/>
    <w:rsid w:val="00F9631A"/>
    <w:rsid w:val="00F978A1"/>
    <w:rsid w:val="00FA3C6F"/>
    <w:rsid w:val="00FA754A"/>
    <w:rsid w:val="00FB0E73"/>
    <w:rsid w:val="00FC2351"/>
    <w:rsid w:val="00FC286A"/>
    <w:rsid w:val="00FC2F2A"/>
    <w:rsid w:val="00FC7136"/>
    <w:rsid w:val="00FD0993"/>
    <w:rsid w:val="00FD5694"/>
    <w:rsid w:val="00FD5ABC"/>
    <w:rsid w:val="00FD6450"/>
    <w:rsid w:val="00FD7368"/>
    <w:rsid w:val="00FE141B"/>
    <w:rsid w:val="00FE2009"/>
    <w:rsid w:val="00FE3B3F"/>
    <w:rsid w:val="00FE6BD3"/>
    <w:rsid w:val="00FF0208"/>
    <w:rsid w:val="00FF36DD"/>
    <w:rsid w:val="00FF4374"/>
    <w:rsid w:val="00FF49D7"/>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1F7BE48-87A2-4F79-8501-7217F47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31"/>
    <w:rPr>
      <w:rFonts w:ascii="Times New Roman" w:hAnsi="Times New Roman"/>
      <w:sz w:val="24"/>
      <w:szCs w:val="24"/>
    </w:rPr>
  </w:style>
  <w:style w:type="paragraph" w:styleId="Heading1">
    <w:name w:val="heading 1"/>
    <w:basedOn w:val="Normal"/>
    <w:next w:val="Normal"/>
    <w:link w:val="Heading1Char"/>
    <w:uiPriority w:val="99"/>
    <w:qFormat/>
    <w:rsid w:val="008178B5"/>
    <w:pPr>
      <w:keepNext/>
      <w:tabs>
        <w:tab w:val="left" w:pos="480"/>
        <w:tab w:val="left" w:pos="960"/>
        <w:tab w:val="left" w:pos="6840"/>
      </w:tabs>
      <w:jc w:val="center"/>
      <w:outlineLvl w:val="0"/>
    </w:pPr>
    <w:rPr>
      <w:b/>
      <w:bCs/>
      <w:spacing w:val="-3"/>
      <w:sz w:val="28"/>
      <w:szCs w:val="20"/>
    </w:rPr>
  </w:style>
  <w:style w:type="paragraph" w:styleId="Heading2">
    <w:name w:val="heading 2"/>
    <w:basedOn w:val="Normal"/>
    <w:next w:val="Normal"/>
    <w:link w:val="Heading2Char"/>
    <w:uiPriority w:val="99"/>
    <w:qFormat/>
    <w:rsid w:val="002A778B"/>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8"/>
      <w:szCs w:val="20"/>
    </w:rPr>
  </w:style>
  <w:style w:type="paragraph" w:styleId="Heading3">
    <w:name w:val="heading 3"/>
    <w:basedOn w:val="Normal"/>
    <w:next w:val="Normal"/>
    <w:link w:val="Heading3Char"/>
    <w:unhideWhenUsed/>
    <w:qFormat/>
    <w:locked/>
    <w:rsid w:val="002A778B"/>
    <w:pPr>
      <w:keepNext/>
      <w:keepLines/>
      <w:jc w:val="center"/>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78B5"/>
    <w:rPr>
      <w:rFonts w:ascii="Times New Roman" w:hAnsi="Times New Roman"/>
      <w:b/>
      <w:bCs/>
      <w:spacing w:val="-3"/>
      <w:sz w:val="28"/>
    </w:rPr>
  </w:style>
  <w:style w:type="character" w:customStyle="1" w:styleId="Heading2Char">
    <w:name w:val="Heading 2 Char"/>
    <w:link w:val="Heading2"/>
    <w:uiPriority w:val="99"/>
    <w:locked/>
    <w:rsid w:val="002A778B"/>
    <w:rPr>
      <w:rFonts w:ascii="Times New Roman" w:hAnsi="Times New Roman"/>
      <w:b/>
      <w:bCs/>
      <w:sz w:val="28"/>
    </w:rPr>
  </w:style>
  <w:style w:type="paragraph" w:styleId="PlainText">
    <w:name w:val="Plain Text"/>
    <w:basedOn w:val="Normal"/>
    <w:link w:val="PlainTextChar"/>
    <w:uiPriority w:val="99"/>
    <w:rsid w:val="00E02903"/>
    <w:rPr>
      <w:rFonts w:ascii="Courier New" w:hAnsi="Courier New"/>
      <w:sz w:val="20"/>
      <w:szCs w:val="20"/>
    </w:rPr>
  </w:style>
  <w:style w:type="character" w:customStyle="1" w:styleId="PlainTextChar">
    <w:name w:val="Plain Text Char"/>
    <w:link w:val="PlainText"/>
    <w:uiPriority w:val="99"/>
    <w:locked/>
    <w:rsid w:val="00E02903"/>
    <w:rPr>
      <w:rFonts w:ascii="Courier New" w:hAnsi="Courier New"/>
      <w:sz w:val="20"/>
    </w:rPr>
  </w:style>
  <w:style w:type="paragraph" w:styleId="FootnoteText">
    <w:name w:val="footnote text"/>
    <w:basedOn w:val="Normal"/>
    <w:link w:val="FootnoteTextChar"/>
    <w:uiPriority w:val="99"/>
    <w:semiHidden/>
    <w:rsid w:val="00E02903"/>
    <w:rPr>
      <w:rFonts w:ascii="Univers Condensed" w:hAnsi="Univers Condensed"/>
      <w:sz w:val="20"/>
      <w:szCs w:val="20"/>
    </w:rPr>
  </w:style>
  <w:style w:type="character" w:customStyle="1" w:styleId="FootnoteTextChar">
    <w:name w:val="Footnote Text Char"/>
    <w:link w:val="FootnoteText"/>
    <w:uiPriority w:val="99"/>
    <w:locked/>
    <w:rsid w:val="00E02903"/>
    <w:rPr>
      <w:rFonts w:ascii="Univers Condensed" w:hAnsi="Univers Condensed"/>
      <w:sz w:val="20"/>
    </w:rPr>
  </w:style>
  <w:style w:type="paragraph" w:customStyle="1" w:styleId="QuickFormat1">
    <w:name w:val="QuickFormat1"/>
    <w:basedOn w:val="Normal"/>
    <w:link w:val="QuickFormat1Char"/>
    <w:uiPriority w:val="99"/>
    <w:rsid w:val="009A16EB"/>
    <w:pPr>
      <w:widowControl w:val="0"/>
      <w:jc w:val="center"/>
    </w:pPr>
    <w:rPr>
      <w:b/>
      <w:snapToGrid w:val="0"/>
      <w:color w:val="000000"/>
      <w:sz w:val="20"/>
      <w:szCs w:val="20"/>
      <w:lang w:val="x-none" w:eastAsia="x-none"/>
    </w:rPr>
  </w:style>
  <w:style w:type="character" w:customStyle="1" w:styleId="QuickFormat1Char">
    <w:name w:val="QuickFormat1 Char"/>
    <w:link w:val="QuickFormat1"/>
    <w:uiPriority w:val="99"/>
    <w:locked/>
    <w:rsid w:val="009A16EB"/>
    <w:rPr>
      <w:rFonts w:ascii="Times New Roman" w:hAnsi="Times New Roman"/>
      <w:b/>
      <w:snapToGrid w:val="0"/>
      <w:color w:val="000000"/>
      <w:sz w:val="20"/>
    </w:rPr>
  </w:style>
  <w:style w:type="character" w:styleId="CommentReference">
    <w:name w:val="annotation reference"/>
    <w:semiHidden/>
    <w:rsid w:val="009A16EB"/>
    <w:rPr>
      <w:sz w:val="16"/>
    </w:rPr>
  </w:style>
  <w:style w:type="paragraph" w:styleId="HTMLPreformatted">
    <w:name w:val="HTML Preformatted"/>
    <w:basedOn w:val="Normal"/>
    <w:link w:val="HTMLPreformattedChar"/>
    <w:uiPriority w:val="99"/>
    <w:rsid w:val="0041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41509F"/>
    <w:rPr>
      <w:rFonts w:ascii="Courier New" w:hAnsi="Courier New"/>
      <w:sz w:val="20"/>
    </w:rPr>
  </w:style>
  <w:style w:type="paragraph" w:styleId="BodyText">
    <w:name w:val="Body Text"/>
    <w:basedOn w:val="Normal"/>
    <w:link w:val="BodyTextChar"/>
    <w:uiPriority w:val="99"/>
    <w:rsid w:val="0041509F"/>
    <w:pPr>
      <w:widowControl w:val="0"/>
      <w:spacing w:after="120"/>
    </w:pPr>
    <w:rPr>
      <w:rFonts w:ascii="Courier" w:hAnsi="Courier"/>
      <w:sz w:val="20"/>
      <w:szCs w:val="20"/>
    </w:rPr>
  </w:style>
  <w:style w:type="character" w:customStyle="1" w:styleId="BodyTextChar">
    <w:name w:val="Body Text Char"/>
    <w:link w:val="BodyText"/>
    <w:uiPriority w:val="99"/>
    <w:locked/>
    <w:rsid w:val="0041509F"/>
    <w:rPr>
      <w:rFonts w:ascii="Courier" w:hAnsi="Courier"/>
      <w:sz w:val="20"/>
    </w:rPr>
  </w:style>
  <w:style w:type="paragraph" w:styleId="Header">
    <w:name w:val="header"/>
    <w:basedOn w:val="Normal"/>
    <w:link w:val="HeaderChar"/>
    <w:uiPriority w:val="99"/>
    <w:rsid w:val="00A03CC1"/>
    <w:pPr>
      <w:tabs>
        <w:tab w:val="center" w:pos="4680"/>
        <w:tab w:val="right" w:pos="9360"/>
      </w:tabs>
    </w:pPr>
    <w:rPr>
      <w:sz w:val="20"/>
      <w:szCs w:val="20"/>
    </w:rPr>
  </w:style>
  <w:style w:type="character" w:customStyle="1" w:styleId="HeaderChar">
    <w:name w:val="Header Char"/>
    <w:link w:val="Header"/>
    <w:uiPriority w:val="99"/>
    <w:locked/>
    <w:rsid w:val="00A03CC1"/>
    <w:rPr>
      <w:rFonts w:ascii="Times New Roman" w:hAnsi="Times New Roman"/>
      <w:sz w:val="20"/>
    </w:rPr>
  </w:style>
  <w:style w:type="paragraph" w:styleId="Footer">
    <w:name w:val="footer"/>
    <w:basedOn w:val="Normal"/>
    <w:link w:val="FooterChar"/>
    <w:uiPriority w:val="99"/>
    <w:rsid w:val="00A03CC1"/>
    <w:pPr>
      <w:tabs>
        <w:tab w:val="center" w:pos="4680"/>
        <w:tab w:val="right" w:pos="9360"/>
      </w:tabs>
    </w:pPr>
    <w:rPr>
      <w:sz w:val="20"/>
      <w:szCs w:val="20"/>
    </w:rPr>
  </w:style>
  <w:style w:type="character" w:customStyle="1" w:styleId="FooterChar">
    <w:name w:val="Footer Char"/>
    <w:link w:val="Footer"/>
    <w:uiPriority w:val="99"/>
    <w:locked/>
    <w:rsid w:val="00A03CC1"/>
    <w:rPr>
      <w:rFonts w:ascii="Times New Roman" w:hAnsi="Times New Roman"/>
      <w:sz w:val="20"/>
    </w:rPr>
  </w:style>
  <w:style w:type="paragraph" w:styleId="ListParagraph">
    <w:name w:val="List Paragraph"/>
    <w:basedOn w:val="Normal"/>
    <w:uiPriority w:val="34"/>
    <w:qFormat/>
    <w:rsid w:val="00412048"/>
    <w:pPr>
      <w:widowControl w:val="0"/>
      <w:ind w:left="720"/>
    </w:pPr>
    <w:rPr>
      <w:rFonts w:ascii="Courier" w:hAnsi="Courier" w:cs="Courier"/>
    </w:rPr>
  </w:style>
  <w:style w:type="table" w:styleId="TableGrid">
    <w:name w:val="Table Grid"/>
    <w:basedOn w:val="TableNormal"/>
    <w:uiPriority w:val="99"/>
    <w:rsid w:val="006C231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1EDB"/>
    <w:rPr>
      <w:rFonts w:ascii="Tahoma" w:hAnsi="Tahoma"/>
      <w:sz w:val="16"/>
      <w:szCs w:val="16"/>
    </w:rPr>
  </w:style>
  <w:style w:type="character" w:customStyle="1" w:styleId="BalloonTextChar">
    <w:name w:val="Balloon Text Char"/>
    <w:link w:val="BalloonText"/>
    <w:uiPriority w:val="99"/>
    <w:semiHidden/>
    <w:locked/>
    <w:rsid w:val="00F71EDB"/>
    <w:rPr>
      <w:rFonts w:ascii="Tahoma" w:hAnsi="Tahoma"/>
      <w:sz w:val="16"/>
    </w:rPr>
  </w:style>
  <w:style w:type="paragraph" w:styleId="CommentText">
    <w:name w:val="annotation text"/>
    <w:basedOn w:val="Normal"/>
    <w:link w:val="CommentTextChar"/>
    <w:semiHidden/>
    <w:rsid w:val="00061B1B"/>
    <w:rPr>
      <w:sz w:val="20"/>
      <w:szCs w:val="20"/>
    </w:rPr>
  </w:style>
  <w:style w:type="character" w:customStyle="1" w:styleId="CommentTextChar">
    <w:name w:val="Comment Text Char"/>
    <w:link w:val="CommentText"/>
    <w:uiPriority w:val="99"/>
    <w:semiHidden/>
    <w:locked/>
    <w:rsid w:val="00061B1B"/>
    <w:rPr>
      <w:rFonts w:ascii="Times New Roman" w:hAnsi="Times New Roman"/>
      <w:sz w:val="20"/>
    </w:rPr>
  </w:style>
  <w:style w:type="paragraph" w:styleId="CommentSubject">
    <w:name w:val="annotation subject"/>
    <w:basedOn w:val="CommentText"/>
    <w:next w:val="CommentText"/>
    <w:link w:val="CommentSubjectChar"/>
    <w:uiPriority w:val="99"/>
    <w:semiHidden/>
    <w:rsid w:val="00061B1B"/>
    <w:rPr>
      <w:b/>
      <w:bCs/>
    </w:rPr>
  </w:style>
  <w:style w:type="character" w:customStyle="1" w:styleId="CommentSubjectChar">
    <w:name w:val="Comment Subject Char"/>
    <w:link w:val="CommentSubject"/>
    <w:uiPriority w:val="99"/>
    <w:semiHidden/>
    <w:locked/>
    <w:rsid w:val="00061B1B"/>
    <w:rPr>
      <w:rFonts w:ascii="Times New Roman" w:hAnsi="Times New Roman"/>
      <w:b/>
      <w:sz w:val="20"/>
    </w:rPr>
  </w:style>
  <w:style w:type="paragraph" w:styleId="Revision">
    <w:name w:val="Revision"/>
    <w:hidden/>
    <w:uiPriority w:val="99"/>
    <w:semiHidden/>
    <w:rsid w:val="00986A1B"/>
    <w:rPr>
      <w:rFonts w:ascii="Times New Roman" w:hAnsi="Times New Roman"/>
      <w:sz w:val="24"/>
      <w:szCs w:val="24"/>
    </w:rPr>
  </w:style>
  <w:style w:type="paragraph" w:styleId="NormalWeb">
    <w:name w:val="Normal (Web)"/>
    <w:basedOn w:val="Normal"/>
    <w:uiPriority w:val="99"/>
    <w:semiHidden/>
    <w:rsid w:val="00D3354F"/>
    <w:pPr>
      <w:spacing w:before="100" w:beforeAutospacing="1" w:after="100" w:afterAutospacing="1"/>
    </w:pPr>
  </w:style>
  <w:style w:type="character" w:styleId="Hyperlink">
    <w:name w:val="Hyperlink"/>
    <w:uiPriority w:val="99"/>
    <w:rsid w:val="00BE0A29"/>
    <w:rPr>
      <w:color w:val="0000FF"/>
      <w:u w:val="single"/>
    </w:rPr>
  </w:style>
  <w:style w:type="paragraph" w:customStyle="1" w:styleId="BodyTXT">
    <w:name w:val="BodyTXT"/>
    <w:basedOn w:val="Normal"/>
    <w:qFormat/>
    <w:rsid w:val="00846B10"/>
    <w:rPr>
      <w:rFonts w:asciiTheme="minorHAnsi" w:hAnsiTheme="minorHAnsi" w:cs="Arial"/>
      <w:sz w:val="22"/>
      <w:szCs w:val="22"/>
    </w:rPr>
  </w:style>
  <w:style w:type="paragraph" w:styleId="TOCHeading">
    <w:name w:val="TOC Heading"/>
    <w:basedOn w:val="Heading1"/>
    <w:next w:val="Normal"/>
    <w:uiPriority w:val="39"/>
    <w:semiHidden/>
    <w:unhideWhenUsed/>
    <w:qFormat/>
    <w:rsid w:val="006A2905"/>
    <w:pPr>
      <w:keepLines/>
      <w:tabs>
        <w:tab w:val="clear" w:pos="480"/>
        <w:tab w:val="clear" w:pos="960"/>
        <w:tab w:val="clear" w:pos="6840"/>
      </w:tabs>
      <w:spacing w:before="480" w:line="276" w:lineRule="auto"/>
      <w:jc w:val="left"/>
      <w:outlineLvl w:val="9"/>
    </w:pPr>
    <w:rPr>
      <w:rFonts w:asciiTheme="majorHAnsi" w:eastAsiaTheme="majorEastAsia" w:hAnsiTheme="majorHAnsi" w:cstheme="majorBidi"/>
      <w:color w:val="365F91" w:themeColor="accent1" w:themeShade="BF"/>
      <w:spacing w:val="0"/>
      <w:szCs w:val="28"/>
      <w:lang w:eastAsia="ja-JP"/>
    </w:rPr>
  </w:style>
  <w:style w:type="paragraph" w:styleId="TOC2">
    <w:name w:val="toc 2"/>
    <w:basedOn w:val="Normal"/>
    <w:next w:val="Normal"/>
    <w:autoRedefine/>
    <w:uiPriority w:val="39"/>
    <w:unhideWhenUsed/>
    <w:qFormat/>
    <w:locked/>
    <w:rsid w:val="00A52B59"/>
    <w:pPr>
      <w:spacing w:after="100" w:line="276" w:lineRule="auto"/>
      <w:ind w:left="220"/>
    </w:pPr>
    <w:rPr>
      <w:rFonts w:eastAsiaTheme="minorEastAsia" w:cstheme="minorBidi"/>
      <w:szCs w:val="22"/>
      <w:lang w:eastAsia="ja-JP"/>
    </w:rPr>
  </w:style>
  <w:style w:type="paragraph" w:styleId="TOC1">
    <w:name w:val="toc 1"/>
    <w:basedOn w:val="Normal"/>
    <w:next w:val="Normal"/>
    <w:autoRedefine/>
    <w:uiPriority w:val="39"/>
    <w:unhideWhenUsed/>
    <w:qFormat/>
    <w:locked/>
    <w:rsid w:val="00A52B59"/>
    <w:pPr>
      <w:spacing w:after="100" w:line="276" w:lineRule="auto"/>
    </w:pPr>
    <w:rPr>
      <w:rFonts w:eastAsiaTheme="minorEastAsia" w:cstheme="minorBidi"/>
      <w:szCs w:val="22"/>
      <w:lang w:eastAsia="ja-JP"/>
    </w:rPr>
  </w:style>
  <w:style w:type="paragraph" w:styleId="TOC3">
    <w:name w:val="toc 3"/>
    <w:basedOn w:val="Normal"/>
    <w:next w:val="Normal"/>
    <w:autoRedefine/>
    <w:uiPriority w:val="39"/>
    <w:unhideWhenUsed/>
    <w:qFormat/>
    <w:locked/>
    <w:rsid w:val="00A52B59"/>
    <w:pPr>
      <w:spacing w:after="100" w:line="276" w:lineRule="auto"/>
      <w:ind w:left="440"/>
    </w:pPr>
    <w:rPr>
      <w:rFonts w:eastAsiaTheme="minorEastAsia" w:cstheme="minorBidi"/>
      <w:szCs w:val="22"/>
      <w:lang w:eastAsia="ja-JP"/>
    </w:rPr>
  </w:style>
  <w:style w:type="character" w:styleId="FollowedHyperlink">
    <w:name w:val="FollowedHyperlink"/>
    <w:basedOn w:val="DefaultParagraphFont"/>
    <w:uiPriority w:val="99"/>
    <w:semiHidden/>
    <w:unhideWhenUsed/>
    <w:rsid w:val="00441977"/>
    <w:rPr>
      <w:color w:val="800080" w:themeColor="followedHyperlink"/>
      <w:u w:val="single"/>
    </w:rPr>
  </w:style>
  <w:style w:type="character" w:customStyle="1" w:styleId="Heading3Char">
    <w:name w:val="Heading 3 Char"/>
    <w:basedOn w:val="DefaultParagraphFont"/>
    <w:link w:val="Heading3"/>
    <w:rsid w:val="002A778B"/>
    <w:rPr>
      <w:rFonts w:ascii="Times New Roman" w:eastAsiaTheme="majorEastAsia" w:hAnsi="Times New Roman" w:cstheme="majorBidi"/>
      <w:b/>
      <w:bCs/>
      <w:sz w:val="28"/>
      <w:szCs w:val="24"/>
    </w:rPr>
  </w:style>
  <w:style w:type="character" w:styleId="PlaceholderText">
    <w:name w:val="Placeholder Text"/>
    <w:basedOn w:val="DefaultParagraphFont"/>
    <w:uiPriority w:val="99"/>
    <w:semiHidden/>
    <w:rsid w:val="00A37BDF"/>
    <w:rPr>
      <w:color w:val="808080"/>
    </w:rPr>
  </w:style>
  <w:style w:type="character" w:customStyle="1" w:styleId="Style1">
    <w:name w:val="Style1"/>
    <w:basedOn w:val="DefaultParagraphFont"/>
    <w:uiPriority w:val="1"/>
    <w:rsid w:val="00A37BDF"/>
    <w:rPr>
      <w:rFonts w:ascii="Times New Roman" w:hAnsi="Times New Roman"/>
      <w:b/>
      <w:sz w:val="24"/>
      <w:u w:val="single"/>
    </w:rPr>
  </w:style>
  <w:style w:type="character" w:customStyle="1" w:styleId="Style2">
    <w:name w:val="Style2"/>
    <w:basedOn w:val="DefaultParagraphFont"/>
    <w:uiPriority w:val="1"/>
    <w:rsid w:val="005031C9"/>
    <w:rPr>
      <w:rFonts w:ascii="Times New Roman" w:hAnsi="Times New Roman"/>
      <w:sz w:val="24"/>
    </w:rPr>
  </w:style>
  <w:style w:type="character" w:customStyle="1" w:styleId="Style3">
    <w:name w:val="Style3"/>
    <w:basedOn w:val="DefaultParagraphFont"/>
    <w:uiPriority w:val="1"/>
    <w:rsid w:val="008D510B"/>
    <w:rPr>
      <w:rFonts w:ascii="Times New Roman" w:hAnsi="Times New Roman"/>
      <w:sz w:val="24"/>
    </w:rPr>
  </w:style>
  <w:style w:type="paragraph" w:customStyle="1" w:styleId="Default">
    <w:name w:val="Default"/>
    <w:uiPriority w:val="99"/>
    <w:semiHidden/>
    <w:rsid w:val="003046D1"/>
    <w:pPr>
      <w:autoSpaceDE w:val="0"/>
      <w:autoSpaceDN w:val="0"/>
      <w:adjustRightInd w:val="0"/>
    </w:pPr>
    <w:rPr>
      <w:rFonts w:ascii="Times New Roman" w:hAnsi="Times New Roman"/>
      <w:color w:val="000000"/>
      <w:sz w:val="24"/>
      <w:szCs w:val="24"/>
    </w:rPr>
  </w:style>
  <w:style w:type="paragraph" w:customStyle="1" w:styleId="EmptyLayoutCell">
    <w:name w:val="EmptyLayoutCell"/>
    <w:basedOn w:val="Normal"/>
    <w:rsid w:val="003046D1"/>
    <w:rPr>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8410">
      <w:bodyDiv w:val="1"/>
      <w:marLeft w:val="0"/>
      <w:marRight w:val="0"/>
      <w:marTop w:val="0"/>
      <w:marBottom w:val="0"/>
      <w:divBdr>
        <w:top w:val="none" w:sz="0" w:space="0" w:color="auto"/>
        <w:left w:val="none" w:sz="0" w:space="0" w:color="auto"/>
        <w:bottom w:val="none" w:sz="0" w:space="0" w:color="auto"/>
        <w:right w:val="none" w:sz="0" w:space="0" w:color="auto"/>
      </w:divBdr>
    </w:div>
    <w:div w:id="142744734">
      <w:bodyDiv w:val="1"/>
      <w:marLeft w:val="0"/>
      <w:marRight w:val="0"/>
      <w:marTop w:val="0"/>
      <w:marBottom w:val="0"/>
      <w:divBdr>
        <w:top w:val="none" w:sz="0" w:space="0" w:color="auto"/>
        <w:left w:val="none" w:sz="0" w:space="0" w:color="auto"/>
        <w:bottom w:val="none" w:sz="0" w:space="0" w:color="auto"/>
        <w:right w:val="none" w:sz="0" w:space="0" w:color="auto"/>
      </w:divBdr>
      <w:divsChild>
        <w:div w:id="25644137">
          <w:marLeft w:val="547"/>
          <w:marRight w:val="0"/>
          <w:marTop w:val="154"/>
          <w:marBottom w:val="0"/>
          <w:divBdr>
            <w:top w:val="none" w:sz="0" w:space="0" w:color="auto"/>
            <w:left w:val="none" w:sz="0" w:space="0" w:color="auto"/>
            <w:bottom w:val="none" w:sz="0" w:space="0" w:color="auto"/>
            <w:right w:val="none" w:sz="0" w:space="0" w:color="auto"/>
          </w:divBdr>
        </w:div>
        <w:div w:id="283005634">
          <w:marLeft w:val="1166"/>
          <w:marRight w:val="0"/>
          <w:marTop w:val="134"/>
          <w:marBottom w:val="0"/>
          <w:divBdr>
            <w:top w:val="none" w:sz="0" w:space="0" w:color="auto"/>
            <w:left w:val="none" w:sz="0" w:space="0" w:color="auto"/>
            <w:bottom w:val="none" w:sz="0" w:space="0" w:color="auto"/>
            <w:right w:val="none" w:sz="0" w:space="0" w:color="auto"/>
          </w:divBdr>
        </w:div>
      </w:divsChild>
    </w:div>
    <w:div w:id="507792023">
      <w:bodyDiv w:val="1"/>
      <w:marLeft w:val="0"/>
      <w:marRight w:val="0"/>
      <w:marTop w:val="0"/>
      <w:marBottom w:val="0"/>
      <w:divBdr>
        <w:top w:val="none" w:sz="0" w:space="0" w:color="auto"/>
        <w:left w:val="none" w:sz="0" w:space="0" w:color="auto"/>
        <w:bottom w:val="none" w:sz="0" w:space="0" w:color="auto"/>
        <w:right w:val="none" w:sz="0" w:space="0" w:color="auto"/>
      </w:divBdr>
      <w:divsChild>
        <w:div w:id="1678775300">
          <w:marLeft w:val="547"/>
          <w:marRight w:val="0"/>
          <w:marTop w:val="154"/>
          <w:marBottom w:val="0"/>
          <w:divBdr>
            <w:top w:val="none" w:sz="0" w:space="0" w:color="auto"/>
            <w:left w:val="none" w:sz="0" w:space="0" w:color="auto"/>
            <w:bottom w:val="none" w:sz="0" w:space="0" w:color="auto"/>
            <w:right w:val="none" w:sz="0" w:space="0" w:color="auto"/>
          </w:divBdr>
        </w:div>
        <w:div w:id="1269855915">
          <w:marLeft w:val="1166"/>
          <w:marRight w:val="0"/>
          <w:marTop w:val="134"/>
          <w:marBottom w:val="0"/>
          <w:divBdr>
            <w:top w:val="none" w:sz="0" w:space="0" w:color="auto"/>
            <w:left w:val="none" w:sz="0" w:space="0" w:color="auto"/>
            <w:bottom w:val="none" w:sz="0" w:space="0" w:color="auto"/>
            <w:right w:val="none" w:sz="0" w:space="0" w:color="auto"/>
          </w:divBdr>
        </w:div>
      </w:divsChild>
    </w:div>
    <w:div w:id="810364905">
      <w:bodyDiv w:val="1"/>
      <w:marLeft w:val="0"/>
      <w:marRight w:val="0"/>
      <w:marTop w:val="0"/>
      <w:marBottom w:val="0"/>
      <w:divBdr>
        <w:top w:val="none" w:sz="0" w:space="0" w:color="auto"/>
        <w:left w:val="none" w:sz="0" w:space="0" w:color="auto"/>
        <w:bottom w:val="none" w:sz="0" w:space="0" w:color="auto"/>
        <w:right w:val="none" w:sz="0" w:space="0" w:color="auto"/>
      </w:divBdr>
    </w:div>
    <w:div w:id="941306654">
      <w:marLeft w:val="0"/>
      <w:marRight w:val="0"/>
      <w:marTop w:val="0"/>
      <w:marBottom w:val="0"/>
      <w:divBdr>
        <w:top w:val="none" w:sz="0" w:space="0" w:color="auto"/>
        <w:left w:val="none" w:sz="0" w:space="0" w:color="auto"/>
        <w:bottom w:val="none" w:sz="0" w:space="0" w:color="auto"/>
        <w:right w:val="none" w:sz="0" w:space="0" w:color="auto"/>
      </w:divBdr>
    </w:div>
    <w:div w:id="941306655">
      <w:marLeft w:val="0"/>
      <w:marRight w:val="0"/>
      <w:marTop w:val="0"/>
      <w:marBottom w:val="0"/>
      <w:divBdr>
        <w:top w:val="none" w:sz="0" w:space="0" w:color="auto"/>
        <w:left w:val="none" w:sz="0" w:space="0" w:color="auto"/>
        <w:bottom w:val="none" w:sz="0" w:space="0" w:color="auto"/>
        <w:right w:val="none" w:sz="0" w:space="0" w:color="auto"/>
      </w:divBdr>
    </w:div>
    <w:div w:id="941306656">
      <w:marLeft w:val="0"/>
      <w:marRight w:val="0"/>
      <w:marTop w:val="0"/>
      <w:marBottom w:val="0"/>
      <w:divBdr>
        <w:top w:val="none" w:sz="0" w:space="0" w:color="auto"/>
        <w:left w:val="none" w:sz="0" w:space="0" w:color="auto"/>
        <w:bottom w:val="none" w:sz="0" w:space="0" w:color="auto"/>
        <w:right w:val="none" w:sz="0" w:space="0" w:color="auto"/>
      </w:divBdr>
    </w:div>
    <w:div w:id="941306657">
      <w:marLeft w:val="0"/>
      <w:marRight w:val="0"/>
      <w:marTop w:val="0"/>
      <w:marBottom w:val="0"/>
      <w:divBdr>
        <w:top w:val="none" w:sz="0" w:space="0" w:color="auto"/>
        <w:left w:val="none" w:sz="0" w:space="0" w:color="auto"/>
        <w:bottom w:val="none" w:sz="0" w:space="0" w:color="auto"/>
        <w:right w:val="none" w:sz="0" w:space="0" w:color="auto"/>
      </w:divBdr>
    </w:div>
    <w:div w:id="941306658">
      <w:marLeft w:val="0"/>
      <w:marRight w:val="0"/>
      <w:marTop w:val="0"/>
      <w:marBottom w:val="0"/>
      <w:divBdr>
        <w:top w:val="none" w:sz="0" w:space="0" w:color="auto"/>
        <w:left w:val="none" w:sz="0" w:space="0" w:color="auto"/>
        <w:bottom w:val="none" w:sz="0" w:space="0" w:color="auto"/>
        <w:right w:val="none" w:sz="0" w:space="0" w:color="auto"/>
      </w:divBdr>
    </w:div>
    <w:div w:id="1056322254">
      <w:bodyDiv w:val="1"/>
      <w:marLeft w:val="0"/>
      <w:marRight w:val="0"/>
      <w:marTop w:val="0"/>
      <w:marBottom w:val="0"/>
      <w:divBdr>
        <w:top w:val="none" w:sz="0" w:space="0" w:color="auto"/>
        <w:left w:val="none" w:sz="0" w:space="0" w:color="auto"/>
        <w:bottom w:val="none" w:sz="0" w:space="0" w:color="auto"/>
        <w:right w:val="none" w:sz="0" w:space="0" w:color="auto"/>
      </w:divBdr>
      <w:divsChild>
        <w:div w:id="410659091">
          <w:marLeft w:val="547"/>
          <w:marRight w:val="0"/>
          <w:marTop w:val="154"/>
          <w:marBottom w:val="0"/>
          <w:divBdr>
            <w:top w:val="none" w:sz="0" w:space="0" w:color="auto"/>
            <w:left w:val="none" w:sz="0" w:space="0" w:color="auto"/>
            <w:bottom w:val="none" w:sz="0" w:space="0" w:color="auto"/>
            <w:right w:val="none" w:sz="0" w:space="0" w:color="auto"/>
          </w:divBdr>
        </w:div>
      </w:divsChild>
    </w:div>
    <w:div w:id="1335113939">
      <w:bodyDiv w:val="1"/>
      <w:marLeft w:val="0"/>
      <w:marRight w:val="0"/>
      <w:marTop w:val="0"/>
      <w:marBottom w:val="0"/>
      <w:divBdr>
        <w:top w:val="none" w:sz="0" w:space="0" w:color="auto"/>
        <w:left w:val="none" w:sz="0" w:space="0" w:color="auto"/>
        <w:bottom w:val="none" w:sz="0" w:space="0" w:color="auto"/>
        <w:right w:val="none" w:sz="0" w:space="0" w:color="auto"/>
      </w:divBdr>
    </w:div>
    <w:div w:id="1666933557">
      <w:bodyDiv w:val="1"/>
      <w:marLeft w:val="0"/>
      <w:marRight w:val="0"/>
      <w:marTop w:val="0"/>
      <w:marBottom w:val="0"/>
      <w:divBdr>
        <w:top w:val="none" w:sz="0" w:space="0" w:color="auto"/>
        <w:left w:val="none" w:sz="0" w:space="0" w:color="auto"/>
        <w:bottom w:val="none" w:sz="0" w:space="0" w:color="auto"/>
        <w:right w:val="none" w:sz="0" w:space="0" w:color="auto"/>
      </w:divBdr>
    </w:div>
    <w:div w:id="17578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e64d7ec-d05c-4af7-a45f-a77b5edfde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5520D38458B42A467308E16F6A6F7" ma:contentTypeVersion="2" ma:contentTypeDescription="Create a new document." ma:contentTypeScope="" ma:versionID="7454f93986beb44f174bf494dfe9702f">
  <xsd:schema xmlns:xsd="http://www.w3.org/2001/XMLSchema" xmlns:p="http://schemas.microsoft.com/office/2006/metadata/properties" xmlns:ns2="8e64d7ec-d05c-4af7-a45f-a77b5edfdef6" targetNamespace="http://schemas.microsoft.com/office/2006/metadata/properties" ma:root="true" ma:fieldsID="12aaf5719d564b8d6ce1e7d721aef6e4" ns2:_="">
    <xsd:import namespace="8e64d7ec-d05c-4af7-a45f-a77b5edfdef6"/>
    <xsd:element name="properties">
      <xsd:complexType>
        <xsd:sequence>
          <xsd:element name="documentManagement">
            <xsd:complexType>
              <xsd:all>
                <xsd:element ref="ns2:Sensitivity" minOccurs="0"/>
              </xsd:all>
            </xsd:complexType>
          </xsd:element>
        </xsd:sequence>
      </xsd:complexType>
    </xsd:element>
  </xsd:schema>
  <xsd:schema xmlns:xsd="http://www.w3.org/2001/XMLSchema" xmlns:dms="http://schemas.microsoft.com/office/2006/documentManagement/types" targetNamespace="8e64d7ec-d05c-4af7-a45f-a77b5edfdef6" elementFormDefault="qualified">
    <xsd:import namespace="http://schemas.microsoft.com/office/2006/documentManagement/types"/>
    <xsd:element name="Sensitivity" ma:index="8" nillable="true" ma:displayName="Sensitivity" ma:description="Sensitive Data = Any data that, if lost, stolen or misused, could adversely impact FDIC, insured institutions or individuals.&#10;http://fdic01/division/doa/adminservices/records/directives/1000/1360-9.doc&#10;&#10;Sensitive PII = SSN alone and/or an individual’s full name plus 1 or more additional items of personal data.&#10;http://fdic01/division/dit/ITGovernance/PrivacyProgram/PersonallyIdentifiableInformation/index.html&#10;Non-Sensitive Data = Data that can be shared or viewed with no restrictions internal or external to FDIC.&#10;http://www.fdic.gov/regulations/laws/rules/2000-3800.html" ma:format="Dropdown" ma:internalName="Sensitivity">
      <xsd:simpleType>
        <xsd:restriction base="dms:Choice">
          <xsd:enumeration value="Sensitive Data"/>
          <xsd:enumeration value="Sensitive PII"/>
          <xsd:enumeration value="Non-Sensitive Da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B543-497D-4F69-B3BA-C9CD1154367C}">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8e64d7ec-d05c-4af7-a45f-a77b5edfdef6"/>
    <ds:schemaRef ds:uri="http://www.w3.org/XML/1998/namespace"/>
  </ds:schemaRefs>
</ds:datastoreItem>
</file>

<file path=customXml/itemProps2.xml><?xml version="1.0" encoding="utf-8"?>
<ds:datastoreItem xmlns:ds="http://schemas.openxmlformats.org/officeDocument/2006/customXml" ds:itemID="{1B53C679-7125-43C6-8EDF-C9E6C1E15BBD}">
  <ds:schemaRefs>
    <ds:schemaRef ds:uri="http://schemas.microsoft.com/sharepoint/v3/contenttype/forms"/>
  </ds:schemaRefs>
</ds:datastoreItem>
</file>

<file path=customXml/itemProps3.xml><?xml version="1.0" encoding="utf-8"?>
<ds:datastoreItem xmlns:ds="http://schemas.openxmlformats.org/officeDocument/2006/customXml" ds:itemID="{808273F7-0774-4110-8BB6-2E5E2A70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4d7ec-d05c-4af7-a45f-a77b5edfde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93C4D9-D0C9-4AA9-9459-65489F63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5156</Words>
  <Characters>29684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Small Bank Single Rated Area Template</vt:lpstr>
    </vt:vector>
  </TitlesOfParts>
  <Company>FDIC</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Bank Single Rated Area Template</dc:title>
  <dc:creator>tbressette@fdic.gov</dc:creator>
  <cp:lastModifiedBy>Weydt, Irene (DOB)</cp:lastModifiedBy>
  <cp:revision>5</cp:revision>
  <cp:lastPrinted>2021-04-15T12:19:00Z</cp:lastPrinted>
  <dcterms:created xsi:type="dcterms:W3CDTF">2021-03-24T12:56:00Z</dcterms:created>
  <dcterms:modified xsi:type="dcterms:W3CDTF">2021-04-15T12:19:00Z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0x0101007825520D38458B42A467308E16F6A6F7</vt:lpwstr>
  </property>
</Properties>
</file>