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25" w:rsidRDefault="00B56C1F">
      <w:pPr>
        <w:framePr w:hSpace="187" w:wrap="notBeside" w:vAnchor="page" w:hAnchor="page" w:x="799" w:y="72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" cy="800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325" w:rsidRDefault="00434325" w:rsidP="00434325">
      <w:pPr>
        <w:pStyle w:val="ExecOffice"/>
        <w:framePr w:w="6926" w:h="1617" w:hRule="exact" w:wrap="notBeside" w:vAnchor="page" w:x="2055" w:y="725"/>
        <w:ind w:left="90"/>
        <w:jc w:val="left"/>
        <w:rPr>
          <w:b/>
          <w:bCs/>
          <w:sz w:val="22"/>
        </w:rPr>
      </w:pPr>
      <w:r>
        <w:rPr>
          <w:b/>
          <w:bCs/>
          <w:sz w:val="22"/>
        </w:rPr>
        <w:t>Massachusetts Department of Public Health</w:t>
      </w:r>
    </w:p>
    <w:p w:rsidR="00434325" w:rsidRDefault="00434325" w:rsidP="00434325">
      <w:pPr>
        <w:pStyle w:val="ExecOffice"/>
        <w:framePr w:w="6926" w:h="1617" w:hRule="exact" w:wrap="notBeside" w:vAnchor="page" w:x="2055" w:y="725"/>
        <w:ind w:left="90"/>
        <w:jc w:val="left"/>
        <w:rPr>
          <w:sz w:val="22"/>
        </w:rPr>
      </w:pPr>
      <w:r>
        <w:rPr>
          <w:sz w:val="22"/>
        </w:rPr>
        <w:t>Bureau of Environmental Health</w:t>
      </w:r>
    </w:p>
    <w:p w:rsidR="00434325" w:rsidRDefault="00434325" w:rsidP="00434325">
      <w:pPr>
        <w:pStyle w:val="ExecOffice"/>
        <w:framePr w:w="6926" w:h="1617" w:hRule="exact" w:wrap="notBeside" w:vAnchor="page" w:x="2055" w:y="725"/>
        <w:ind w:left="90"/>
        <w:jc w:val="left"/>
        <w:rPr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305 South Street</w:t>
          </w:r>
        </w:smartTag>
      </w:smartTag>
    </w:p>
    <w:p w:rsidR="00434325" w:rsidRDefault="00434325" w:rsidP="00434325">
      <w:pPr>
        <w:pStyle w:val="ExecOffice"/>
        <w:framePr w:w="6926" w:h="1617" w:hRule="exact" w:wrap="notBeside" w:vAnchor="page" w:x="2055" w:y="725"/>
        <w:ind w:left="90"/>
        <w:jc w:val="left"/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Jamaica Plain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MA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02130</w:t>
          </w:r>
        </w:smartTag>
      </w:smartTag>
      <w:r>
        <w:rPr>
          <w:sz w:val="22"/>
        </w:rPr>
        <w:t>-3597</w:t>
      </w:r>
    </w:p>
    <w:p w:rsidR="00434325" w:rsidRDefault="00E3065D" w:rsidP="00434325">
      <w:pPr>
        <w:pStyle w:val="ExecOffice"/>
        <w:framePr w:w="6926" w:h="1617" w:hRule="exact" w:wrap="notBeside" w:vAnchor="page" w:x="2055" w:y="725"/>
        <w:ind w:left="90"/>
        <w:jc w:val="left"/>
        <w:rPr>
          <w:sz w:val="22"/>
        </w:rPr>
      </w:pPr>
      <w:r>
        <w:rPr>
          <w:sz w:val="22"/>
        </w:rPr>
        <w:t>(617) 983-6712</w:t>
      </w:r>
      <w:r w:rsidR="00434325">
        <w:rPr>
          <w:sz w:val="22"/>
        </w:rPr>
        <w:t xml:space="preserve">    (617) 983-6770 - Fax</w:t>
      </w:r>
    </w:p>
    <w:p w:rsidR="00434325" w:rsidRDefault="00434325" w:rsidP="006C56E6">
      <w:pPr>
        <w:spacing w:before="72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Food Protection Program </w:t>
      </w:r>
    </w:p>
    <w:p w:rsidR="00434325" w:rsidRDefault="00434325" w:rsidP="0033468B">
      <w:pPr>
        <w:tabs>
          <w:tab w:val="left" w:pos="270"/>
          <w:tab w:val="left" w:pos="1080"/>
        </w:tabs>
        <w:spacing w:after="36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Policies, Procedures and Guidelines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00" w:firstRow="0" w:lastRow="0" w:firstColumn="0" w:lastColumn="0" w:noHBand="0" w:noVBand="0"/>
      </w:tblPr>
      <w:tblGrid>
        <w:gridCol w:w="9468"/>
      </w:tblGrid>
      <w:tr w:rsidR="00434325">
        <w:tblPrEx>
          <w:tblCellMar>
            <w:top w:w="0" w:type="dxa"/>
            <w:bottom w:w="0" w:type="dxa"/>
          </w:tblCellMar>
        </w:tblPrEx>
        <w:tc>
          <w:tcPr>
            <w:tcW w:w="9468" w:type="dxa"/>
            <w:shd w:val="pct5" w:color="auto" w:fill="auto"/>
          </w:tcPr>
          <w:p w:rsidR="00434325" w:rsidRDefault="00434325" w:rsidP="003D2E5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Issue:</w:t>
            </w:r>
            <w:r>
              <w:tab/>
              <w:t xml:space="preserve">Carbonated Nonalcoholic Beverages Finished Product Testing        </w:t>
            </w:r>
            <w:r>
              <w:rPr>
                <w:rFonts w:ascii="Arial" w:hAnsi="Arial" w:cs="Arial"/>
                <w:b/>
                <w:bCs/>
              </w:rPr>
              <w:t>No:</w:t>
            </w:r>
            <w:r>
              <w:t xml:space="preserve"> BW-01</w:t>
            </w:r>
          </w:p>
          <w:p w:rsidR="00434325" w:rsidRDefault="00434325">
            <w:pPr>
              <w:tabs>
                <w:tab w:val="left" w:pos="270"/>
                <w:tab w:val="left" w:pos="1080"/>
              </w:tabs>
              <w:rPr>
                <w:rFonts w:ascii="Arial" w:hAnsi="Arial" w:cs="Arial"/>
                <w:b/>
                <w:bCs/>
                <w:sz w:val="32"/>
              </w:rPr>
            </w:pPr>
          </w:p>
        </w:tc>
      </w:tr>
    </w:tbl>
    <w:p w:rsidR="00434325" w:rsidRDefault="00434325" w:rsidP="00C67544">
      <w:pPr>
        <w:spacing w:before="480"/>
      </w:pPr>
      <w:r>
        <w:t xml:space="preserve">Massachusetts regulation 105 CMR </w:t>
      </w:r>
      <w:r w:rsidR="007A6EB8">
        <w:t>500</w:t>
      </w:r>
      <w:r>
        <w:t xml:space="preserve">.000: </w:t>
      </w:r>
      <w:r w:rsidR="007A6EB8">
        <w:t>Good Manufacturing Practices for Food</w:t>
      </w:r>
      <w:r>
        <w:t xml:space="preserve"> requires bottlers of carbonated nonalcoholic beverages to conduct analyses of their finished product.</w:t>
      </w:r>
    </w:p>
    <w:p w:rsidR="00434325" w:rsidRDefault="00434325"/>
    <w:p w:rsidR="00434325" w:rsidRDefault="00434325">
      <w:r>
        <w:t xml:space="preserve">For the purposes of this requirement, manufacturers are required to take finished product samples as frequently as necessary to ensure that all products meet the quality standards in 105 CMR </w:t>
      </w:r>
      <w:r w:rsidR="00263103">
        <w:t>500.09</w:t>
      </w:r>
      <w:r w:rsidR="004D0BED">
        <w:t>3</w:t>
      </w:r>
      <w:r>
        <w:t>. Samples must be taken prior to the introduction of any additives, colors, flavorings or other product enhancers. Samples may, however, be taken prior to, or immediately following, carbonation.</w:t>
      </w:r>
    </w:p>
    <w:p w:rsidR="00434325" w:rsidRPr="002B74A8" w:rsidRDefault="00434325"/>
    <w:p w:rsidR="00434325" w:rsidRDefault="00434325" w:rsidP="00961B71">
      <w:pPr>
        <w:pStyle w:val="Header"/>
        <w:tabs>
          <w:tab w:val="clear" w:pos="4320"/>
          <w:tab w:val="clear" w:pos="8640"/>
        </w:tabs>
        <w:spacing w:after="4360"/>
      </w:pPr>
      <w:r>
        <w:t xml:space="preserve">Routine tests results need not be submitted to the Department but shall be maintained at the </w:t>
      </w:r>
      <w:proofErr w:type="gramStart"/>
      <w:r>
        <w:t>manufacturing</w:t>
      </w:r>
      <w:proofErr w:type="gramEnd"/>
      <w:r>
        <w:t xml:space="preserve"> location.</w:t>
      </w:r>
    </w:p>
    <w:sectPr w:rsidR="00434325">
      <w:footerReference w:type="default" r:id="rId10"/>
      <w:pgSz w:w="12240" w:h="15840"/>
      <w:pgMar w:top="1440" w:right="1440" w:bottom="720" w:left="1440" w:header="720" w:footer="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78" w:rsidRDefault="00675578">
      <w:r>
        <w:separator/>
      </w:r>
    </w:p>
  </w:endnote>
  <w:endnote w:type="continuationSeparator" w:id="0">
    <w:p w:rsidR="00675578" w:rsidRDefault="0067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325" w:rsidRDefault="00B56C1F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132080</wp:posOffset>
              </wp:positionV>
              <wp:extent cx="60579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4pt" to="472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" o:allowincell="f" strokeweight="1pt"/>
          </w:pict>
        </mc:Fallback>
      </mc:AlternateContent>
    </w:r>
  </w:p>
  <w:p w:rsidR="00434325" w:rsidRDefault="00434325" w:rsidP="00C47DA0">
    <w:pPr>
      <w:pStyle w:val="Footer"/>
      <w:tabs>
        <w:tab w:val="clear" w:pos="8640"/>
        <w:tab w:val="right" w:pos="9270"/>
      </w:tabs>
      <w:spacing w:after="480"/>
      <w:rPr>
        <w:rStyle w:val="PageNumber"/>
      </w:rPr>
    </w:pPr>
    <w:r>
      <w:rPr>
        <w:rFonts w:ascii="Arial" w:hAnsi="Arial" w:cs="Arial"/>
        <w:b/>
        <w:bCs/>
        <w:sz w:val="20"/>
      </w:rPr>
      <w:t>Date Issued: 2/28/</w:t>
    </w:r>
    <w:r w:rsidR="00576B5F">
      <w:rPr>
        <w:rFonts w:ascii="Arial" w:hAnsi="Arial" w:cs="Arial"/>
        <w:b/>
        <w:bCs/>
        <w:sz w:val="20"/>
      </w:rPr>
      <w:t>20</w:t>
    </w:r>
    <w:r>
      <w:rPr>
        <w:rFonts w:ascii="Arial" w:hAnsi="Arial" w:cs="Arial"/>
        <w:b/>
        <w:bCs/>
        <w:sz w:val="20"/>
      </w:rPr>
      <w:t>05</w:t>
    </w:r>
    <w:r w:rsidR="00E3065D">
      <w:tab/>
    </w:r>
    <w:r w:rsidR="0048293F">
      <w:tab/>
    </w:r>
    <w:r w:rsidR="00E3065D">
      <w:rPr>
        <w:rFonts w:ascii="Arial" w:hAnsi="Arial" w:cs="Arial"/>
        <w:b/>
        <w:bCs/>
        <w:sz w:val="20"/>
      </w:rPr>
      <w:t>Date Revised:</w:t>
    </w:r>
    <w:r w:rsidR="00263103">
      <w:rPr>
        <w:rFonts w:ascii="Arial" w:hAnsi="Arial" w:cs="Arial"/>
        <w:b/>
        <w:bCs/>
        <w:sz w:val="20"/>
      </w:rPr>
      <w:t xml:space="preserve"> </w:t>
    </w:r>
    <w:r w:rsidR="00BF3586">
      <w:rPr>
        <w:rFonts w:ascii="Arial" w:hAnsi="Arial" w:cs="Arial"/>
        <w:b/>
        <w:bCs/>
        <w:sz w:val="20"/>
      </w:rPr>
      <w:t>6</w:t>
    </w:r>
    <w:r w:rsidR="00263103">
      <w:rPr>
        <w:rFonts w:ascii="Arial" w:hAnsi="Arial" w:cs="Arial"/>
        <w:b/>
        <w:bCs/>
        <w:sz w:val="20"/>
      </w:rPr>
      <w:t>/30/</w:t>
    </w:r>
    <w:r w:rsidR="00576B5F">
      <w:rPr>
        <w:rFonts w:ascii="Arial" w:hAnsi="Arial" w:cs="Arial"/>
        <w:b/>
        <w:bCs/>
        <w:sz w:val="20"/>
      </w:rPr>
      <w:t>20</w:t>
    </w:r>
    <w:r w:rsidR="00263103">
      <w:rPr>
        <w:rFonts w:ascii="Arial" w:hAnsi="Arial" w:cs="Arial"/>
        <w:b/>
        <w:bCs/>
        <w:sz w:val="20"/>
      </w:rPr>
      <w:t>15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6C1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6C1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78" w:rsidRDefault="00675578">
      <w:r>
        <w:separator/>
      </w:r>
    </w:p>
  </w:footnote>
  <w:footnote w:type="continuationSeparator" w:id="0">
    <w:p w:rsidR="00675578" w:rsidRDefault="0067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C07"/>
    <w:multiLevelType w:val="hybridMultilevel"/>
    <w:tmpl w:val="E95AC39C"/>
    <w:lvl w:ilvl="0" w:tplc="179ADCA0">
      <w:start w:val="1"/>
      <w:numFmt w:val="bullet"/>
      <w:pStyle w:val="Heading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25"/>
    <w:rsid w:val="0002091C"/>
    <w:rsid w:val="00035D0C"/>
    <w:rsid w:val="00054D60"/>
    <w:rsid w:val="00083B0E"/>
    <w:rsid w:val="000914E2"/>
    <w:rsid w:val="00126AB2"/>
    <w:rsid w:val="00143FCB"/>
    <w:rsid w:val="00150475"/>
    <w:rsid w:val="001C54BA"/>
    <w:rsid w:val="00263103"/>
    <w:rsid w:val="002B74A8"/>
    <w:rsid w:val="002D6AFB"/>
    <w:rsid w:val="0033468B"/>
    <w:rsid w:val="00380F76"/>
    <w:rsid w:val="003D2E51"/>
    <w:rsid w:val="00434325"/>
    <w:rsid w:val="0048293F"/>
    <w:rsid w:val="004D0BED"/>
    <w:rsid w:val="00556332"/>
    <w:rsid w:val="00576B5F"/>
    <w:rsid w:val="005D1FCA"/>
    <w:rsid w:val="006235C6"/>
    <w:rsid w:val="00675578"/>
    <w:rsid w:val="00690B43"/>
    <w:rsid w:val="006A1750"/>
    <w:rsid w:val="006C56E6"/>
    <w:rsid w:val="006D4814"/>
    <w:rsid w:val="007A6EB8"/>
    <w:rsid w:val="00841FCA"/>
    <w:rsid w:val="00871719"/>
    <w:rsid w:val="009542CB"/>
    <w:rsid w:val="00961B71"/>
    <w:rsid w:val="00B22BA7"/>
    <w:rsid w:val="00B56C1F"/>
    <w:rsid w:val="00BC5DFB"/>
    <w:rsid w:val="00BF3586"/>
    <w:rsid w:val="00C47DA0"/>
    <w:rsid w:val="00C67544"/>
    <w:rsid w:val="00CE341C"/>
    <w:rsid w:val="00D47363"/>
    <w:rsid w:val="00D54DA5"/>
    <w:rsid w:val="00D6458E"/>
    <w:rsid w:val="00D73B5C"/>
    <w:rsid w:val="00D90037"/>
    <w:rsid w:val="00D9137B"/>
    <w:rsid w:val="00DB3850"/>
    <w:rsid w:val="00E3065D"/>
    <w:rsid w:val="00E42032"/>
    <w:rsid w:val="00E56849"/>
    <w:rsid w:val="00F81976"/>
    <w:rsid w:val="00F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BF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35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BF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J:/MSOffice/Template2K/_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5BE6-A17B-4749-BCD2-AF3F7A3F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_DPH Letterhead</Template>
  <TotalTime>0</TotalTime>
  <Pages>1</Pages>
  <Words>138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Carbonated Nonalcoholic Beverages Finished Product Testing        No: BW-01</vt:lpstr>
    </vt:vector>
  </TitlesOfParts>
  <Company> 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2017-05-12T14:09:00Z</dcterms:created>
  <dc:creator>MDPH - Food Protection Program</dc:creator>
  <keywords>carbonated nonalcoholic beverages; 105 CMR 500.000</keywords>
  <lastModifiedBy>AutoBVT</lastModifiedBy>
  <lastPrinted>2017-05-05T18:18:00Z</lastPrinted>
  <dcterms:modified xsi:type="dcterms:W3CDTF">2017-05-12T14:09:00Z</dcterms:modified>
  <revision>2</revision>
  <dc:subject>Massachusetts regulation 105 CMR 500.000: Good Manufacturing Practices for Food requires bottlers of carbonated nonalcoholic beverages to conduct analyses of their finished product.</dc:subject>
  <dc:title>Carbonated Nonalcoholic Beverages Finished Product Testing No: BW-01</dc:title>
</coreProperties>
</file>