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32F2" w14:textId="77777777" w:rsidR="00F05B0A" w:rsidRDefault="00F05B0A" w:rsidP="00CF1FCE">
      <w:pPr>
        <w:pStyle w:val="Default"/>
      </w:pPr>
    </w:p>
    <w:p w14:paraId="34831BEC" w14:textId="66D2FB4E" w:rsidR="00CF1FCE" w:rsidRPr="00FD1956" w:rsidRDefault="0019711F" w:rsidP="00EC5B32">
      <w:pPr>
        <w:pStyle w:val="Default"/>
      </w:pPr>
      <w:r>
        <w:t xml:space="preserve">August </w:t>
      </w:r>
      <w:r w:rsidR="00074069">
        <w:t>5</w:t>
      </w:r>
      <w:r>
        <w:t>, 2024</w:t>
      </w:r>
    </w:p>
    <w:p w14:paraId="24D2F471" w14:textId="77777777" w:rsidR="00F05B0A" w:rsidRDefault="00F05B0A" w:rsidP="00CF1FCE">
      <w:pPr>
        <w:pStyle w:val="Default"/>
        <w:rPr>
          <w:b/>
          <w:bCs/>
          <w:u w:val="single"/>
        </w:rPr>
      </w:pPr>
    </w:p>
    <w:p w14:paraId="4BF8665F" w14:textId="77777777" w:rsidR="00CF1FCE" w:rsidRPr="00FD1956" w:rsidRDefault="00CF1FCE" w:rsidP="00CF1FCE">
      <w:pPr>
        <w:pStyle w:val="Default"/>
        <w:rPr>
          <w:b/>
          <w:bCs/>
          <w:u w:val="single"/>
        </w:rPr>
      </w:pPr>
      <w:r w:rsidRPr="00FD1956">
        <w:rPr>
          <w:b/>
          <w:bCs/>
          <w:u w:val="single"/>
        </w:rPr>
        <w:t>V</w:t>
      </w:r>
      <w:r w:rsidR="00FD1956" w:rsidRPr="00FD1956">
        <w:rPr>
          <w:b/>
          <w:bCs/>
          <w:u w:val="single"/>
        </w:rPr>
        <w:t>IA</w:t>
      </w:r>
      <w:r w:rsidRPr="00FD1956">
        <w:rPr>
          <w:b/>
          <w:bCs/>
          <w:u w:val="single"/>
        </w:rPr>
        <w:t xml:space="preserve"> E</w:t>
      </w:r>
      <w:r w:rsidR="00FD1956" w:rsidRPr="00FD1956">
        <w:rPr>
          <w:b/>
          <w:bCs/>
          <w:u w:val="single"/>
        </w:rPr>
        <w:t>MAIL</w:t>
      </w:r>
      <w:r w:rsidRPr="00FD1956">
        <w:rPr>
          <w:b/>
          <w:bCs/>
          <w:u w:val="single"/>
        </w:rPr>
        <w:t xml:space="preserve"> </w:t>
      </w:r>
    </w:p>
    <w:p w14:paraId="137C23C1" w14:textId="77777777" w:rsidR="00CF1FCE" w:rsidRPr="00FD1956" w:rsidRDefault="00CF1FCE" w:rsidP="00CF1FCE">
      <w:pPr>
        <w:pStyle w:val="Default"/>
      </w:pPr>
    </w:p>
    <w:p w14:paraId="1C746367" w14:textId="77777777" w:rsidR="00CF1FCE" w:rsidRPr="00FD1956" w:rsidRDefault="00CF1FCE" w:rsidP="00CF1FCE">
      <w:pPr>
        <w:pStyle w:val="Default"/>
      </w:pPr>
      <w:r w:rsidRPr="00FD1956">
        <w:t xml:space="preserve">Stephen Davis, Director </w:t>
      </w:r>
    </w:p>
    <w:p w14:paraId="38163A6A" w14:textId="77777777" w:rsidR="00CF1FCE" w:rsidRPr="00FD1956" w:rsidRDefault="00CF1FCE" w:rsidP="00CF1FCE">
      <w:pPr>
        <w:pStyle w:val="Default"/>
      </w:pPr>
      <w:r w:rsidRPr="00FD1956">
        <w:t xml:space="preserve">Division of Health Care Facility Licensure and Certification </w:t>
      </w:r>
    </w:p>
    <w:p w14:paraId="47CBBFBC" w14:textId="77777777" w:rsidR="00CF1FCE" w:rsidRPr="00FD1956" w:rsidRDefault="00CF1FCE" w:rsidP="00CF1FCE">
      <w:pPr>
        <w:pStyle w:val="Default"/>
      </w:pPr>
      <w:r w:rsidRPr="00FD1956">
        <w:t xml:space="preserve">Department of Public Health </w:t>
      </w:r>
    </w:p>
    <w:p w14:paraId="6E877738" w14:textId="77777777" w:rsidR="00CF1FCE" w:rsidRPr="00FD1956" w:rsidRDefault="00CF1FCE" w:rsidP="00CF1FCE">
      <w:pPr>
        <w:pStyle w:val="Default"/>
        <w:rPr>
          <w:color w:val="131313"/>
        </w:rPr>
      </w:pPr>
      <w:r w:rsidRPr="00FD1956">
        <w:rPr>
          <w:color w:val="131313"/>
        </w:rPr>
        <w:t xml:space="preserve">67 Forest Street </w:t>
      </w:r>
    </w:p>
    <w:p w14:paraId="5DF59D12" w14:textId="77777777" w:rsidR="00CF1FCE" w:rsidRPr="00FD1956" w:rsidRDefault="00CF1FCE" w:rsidP="00CF1FCE">
      <w:pPr>
        <w:pStyle w:val="Default"/>
        <w:rPr>
          <w:color w:val="131313"/>
        </w:rPr>
      </w:pPr>
      <w:r w:rsidRPr="00FD1956">
        <w:rPr>
          <w:color w:val="131313"/>
        </w:rPr>
        <w:t xml:space="preserve">Marlborough, MA 01752 </w:t>
      </w:r>
    </w:p>
    <w:p w14:paraId="3297B3F3" w14:textId="77777777" w:rsidR="00CF1FCE" w:rsidRPr="00FD1956" w:rsidRDefault="00CF1FCE" w:rsidP="00CF1FCE">
      <w:pPr>
        <w:pStyle w:val="Default"/>
      </w:pPr>
    </w:p>
    <w:p w14:paraId="00DF4726" w14:textId="77777777" w:rsidR="00CF1FCE" w:rsidRPr="00FD1956" w:rsidRDefault="00CF1FCE" w:rsidP="00CF1FCE">
      <w:pPr>
        <w:pStyle w:val="Default"/>
      </w:pPr>
      <w:r w:rsidRPr="00FD1956">
        <w:t xml:space="preserve">Re: </w:t>
      </w:r>
      <w:r w:rsidRPr="00FD1956">
        <w:tab/>
      </w:r>
      <w:r w:rsidR="00E51328">
        <w:rPr>
          <w:u w:val="single"/>
        </w:rPr>
        <w:t>Carney Hospital</w:t>
      </w:r>
      <w:r w:rsidRPr="00FD1956">
        <w:rPr>
          <w:u w:val="single"/>
        </w:rPr>
        <w:t xml:space="preserve"> – Notice of Hospital Closure</w:t>
      </w:r>
      <w:r w:rsidRPr="00FD1956">
        <w:t xml:space="preserve"> </w:t>
      </w:r>
    </w:p>
    <w:p w14:paraId="10B9366E" w14:textId="77777777" w:rsidR="00CF1FCE" w:rsidRPr="00FD1956" w:rsidRDefault="00CF1FCE" w:rsidP="00CF1FCE">
      <w:pPr>
        <w:pStyle w:val="Default"/>
      </w:pPr>
    </w:p>
    <w:p w14:paraId="2C69C13A" w14:textId="77777777" w:rsidR="00CF1FCE" w:rsidRPr="00FD1956" w:rsidRDefault="00CF1FCE" w:rsidP="00CF1FCE">
      <w:pPr>
        <w:pStyle w:val="Default"/>
      </w:pPr>
      <w:r w:rsidRPr="00FD1956">
        <w:t xml:space="preserve">Dear Mr. Davis: </w:t>
      </w:r>
    </w:p>
    <w:p w14:paraId="702693F0" w14:textId="77777777" w:rsidR="00CF1FCE" w:rsidRPr="00FD1956" w:rsidRDefault="00CF1FCE" w:rsidP="00CF1FCE">
      <w:pPr>
        <w:pStyle w:val="Default"/>
      </w:pPr>
    </w:p>
    <w:p w14:paraId="130659C9" w14:textId="26DC9340" w:rsidR="00FF55E8" w:rsidRDefault="00CF1FCE" w:rsidP="00DD6184">
      <w:pPr>
        <w:pStyle w:val="Default"/>
        <w:jc w:val="both"/>
      </w:pPr>
      <w:bookmarkStart w:id="0" w:name="_Hlk173144838"/>
      <w:r w:rsidRPr="00FD1956">
        <w:t xml:space="preserve">This letter is submitted on behalf of Steward Health Care System </w:t>
      </w:r>
      <w:r w:rsidR="00D97A03" w:rsidRPr="00FD1956">
        <w:t xml:space="preserve">LLC </w:t>
      </w:r>
      <w:r w:rsidR="00DD6184">
        <w:t xml:space="preserve">(“SHC”) </w:t>
      </w:r>
      <w:r w:rsidRPr="00FD1956">
        <w:t xml:space="preserve">regarding </w:t>
      </w:r>
      <w:bookmarkStart w:id="1" w:name="_Hlk172720704"/>
      <w:r w:rsidR="00E51328">
        <w:t>Carney Hospital</w:t>
      </w:r>
      <w:r w:rsidRPr="00FD1956">
        <w:t xml:space="preserve">, located at </w:t>
      </w:r>
      <w:r w:rsidR="00E51328">
        <w:t>2100 Dorchester Avenue, Dorchester</w:t>
      </w:r>
      <w:r w:rsidR="00D97A03" w:rsidRPr="00FD1956">
        <w:t>, MA 0</w:t>
      </w:r>
      <w:r w:rsidR="00E51328">
        <w:t>2124</w:t>
      </w:r>
      <w:r w:rsidRPr="00FD1956">
        <w:t xml:space="preserve"> </w:t>
      </w:r>
      <w:bookmarkEnd w:id="1"/>
      <w:r w:rsidRPr="00FD1956">
        <w:t xml:space="preserve">(the “Hospital”). Pursuant to </w:t>
      </w:r>
      <w:bookmarkStart w:id="2" w:name="_Hlk172641729"/>
      <w:r w:rsidRPr="00FD1956">
        <w:t>105 CMR 130.122</w:t>
      </w:r>
      <w:bookmarkEnd w:id="2"/>
      <w:r w:rsidR="005F150F">
        <w:t xml:space="preserve"> </w:t>
      </w:r>
      <w:r w:rsidR="005F150F" w:rsidRPr="00FE66D3">
        <w:rPr>
          <w:kern w:val="2"/>
        </w:rPr>
        <w:t xml:space="preserve">and </w:t>
      </w:r>
      <w:r w:rsidR="00452AD0">
        <w:rPr>
          <w:kern w:val="2"/>
        </w:rPr>
        <w:t xml:space="preserve">as </w:t>
      </w:r>
      <w:r w:rsidR="00074069">
        <w:rPr>
          <w:kern w:val="2"/>
        </w:rPr>
        <w:t>by</w:t>
      </w:r>
      <w:r w:rsidR="007202E2" w:rsidRPr="007202E2">
        <w:rPr>
          <w:kern w:val="2"/>
        </w:rPr>
        <w:t xml:space="preserve"> </w:t>
      </w:r>
      <w:bookmarkStart w:id="3" w:name="_Hlk173251190"/>
      <w:r w:rsidR="00452AD0">
        <w:rPr>
          <w:kern w:val="2"/>
        </w:rPr>
        <w:t xml:space="preserve">the United </w:t>
      </w:r>
      <w:r w:rsidR="00452AD0" w:rsidRPr="007202E2">
        <w:rPr>
          <w:kern w:val="2"/>
        </w:rPr>
        <w:t xml:space="preserve">States Bankruptcy Court </w:t>
      </w:r>
      <w:r w:rsidR="00452AD0">
        <w:rPr>
          <w:kern w:val="2"/>
        </w:rPr>
        <w:t>for the Southern District of Texas Houston Division</w:t>
      </w:r>
      <w:r w:rsidR="00FF7DFA">
        <w:rPr>
          <w:kern w:val="2"/>
        </w:rPr>
        <w:t xml:space="preserve"> (the “Bankruptcy Court”)</w:t>
      </w:r>
      <w:r w:rsidR="00452AD0">
        <w:rPr>
          <w:kern w:val="2"/>
        </w:rPr>
        <w:t>, authorizing the closure of the Hospital</w:t>
      </w:r>
      <w:r w:rsidR="00E50C19">
        <w:rPr>
          <w:kern w:val="2"/>
        </w:rPr>
        <w:t>,</w:t>
      </w:r>
      <w:r w:rsidR="00452AD0" w:rsidRPr="007202E2">
        <w:rPr>
          <w:kern w:val="2"/>
        </w:rPr>
        <w:t xml:space="preserve"> </w:t>
      </w:r>
      <w:bookmarkEnd w:id="3"/>
      <w:r w:rsidRPr="00FD1956">
        <w:t>the Hospital</w:t>
      </w:r>
      <w:r w:rsidR="005F150F">
        <w:t xml:space="preserve"> </w:t>
      </w:r>
      <w:r w:rsidR="005F150F" w:rsidRPr="005F150F">
        <w:t>hereby provides notice to the Department of Public Health (“Department”) of its decision to close the Hospital</w:t>
      </w:r>
      <w:r w:rsidR="00385B59">
        <w:t>.</w:t>
      </w:r>
      <w:r w:rsidR="00E50C19">
        <w:t xml:space="preserve"> </w:t>
      </w:r>
      <w:r w:rsidRPr="00FD1956">
        <w:t xml:space="preserve">The proposed closure will include the following: </w:t>
      </w:r>
      <w:bookmarkStart w:id="4" w:name="_Hlk172720746"/>
      <w:r w:rsidR="00E51328">
        <w:t>83</w:t>
      </w:r>
      <w:r w:rsidR="006B3751" w:rsidRPr="00FD1956">
        <w:t xml:space="preserve"> Medical/Surgical beds, </w:t>
      </w:r>
      <w:r w:rsidR="00E51328">
        <w:t>19</w:t>
      </w:r>
      <w:r w:rsidR="006B3751" w:rsidRPr="00FD1956">
        <w:t xml:space="preserve"> Intensive Care Unit beds, </w:t>
      </w:r>
      <w:r w:rsidR="00E51328">
        <w:t>7</w:t>
      </w:r>
      <w:r w:rsidR="006B3751" w:rsidRPr="00FD1956">
        <w:t xml:space="preserve"> Pediatric Service beds, </w:t>
      </w:r>
      <w:r w:rsidR="00E51328">
        <w:t>50</w:t>
      </w:r>
      <w:r w:rsidR="006B3751" w:rsidRPr="00FD1956">
        <w:t xml:space="preserve"> Psychiatric Service beds, </w:t>
      </w:r>
      <w:r w:rsidR="00E27981" w:rsidRPr="00FD1956">
        <w:t xml:space="preserve">and all ambulatory care services </w:t>
      </w:r>
      <w:r w:rsidR="00FF55E8" w:rsidRPr="00FD1956">
        <w:t>at the Hospital</w:t>
      </w:r>
      <w:r w:rsidRPr="00FD1956">
        <w:t xml:space="preserve">. </w:t>
      </w:r>
      <w:bookmarkEnd w:id="4"/>
      <w:r w:rsidR="00FD5F6C" w:rsidRPr="00FD5F6C">
        <w:t>The Hospital anticipates closing on or around August 31, 2024</w:t>
      </w:r>
      <w:bookmarkStart w:id="5" w:name="_Hlk173338247"/>
      <w:r w:rsidR="00FD5F6C">
        <w:t>.</w:t>
      </w:r>
      <w:r w:rsidR="00E50C19">
        <w:t xml:space="preserve">  </w:t>
      </w:r>
      <w:r w:rsidR="00E50C19" w:rsidRPr="009135A3">
        <w:t xml:space="preserve">The Hospital operates at a significant loss and serves a limited patient population. We have tried to find alternatives for keeping the hospital </w:t>
      </w:r>
      <w:r w:rsidR="00074069" w:rsidRPr="009135A3">
        <w:t>open but</w:t>
      </w:r>
      <w:r w:rsidR="00E50C19" w:rsidRPr="009135A3">
        <w:t xml:space="preserve"> given the mounting losses and the absence of a qualified bidder or actionable alternative, we have made the difficult decision to close the Hospital.</w:t>
      </w:r>
      <w:r w:rsidR="00E50C19">
        <w:t xml:space="preserve">  </w:t>
      </w:r>
      <w:bookmarkEnd w:id="5"/>
    </w:p>
    <w:p w14:paraId="2B02DAD8" w14:textId="77777777" w:rsidR="00E50C19" w:rsidRDefault="00E50C19" w:rsidP="00DD6184">
      <w:pPr>
        <w:pStyle w:val="Default"/>
        <w:jc w:val="both"/>
      </w:pPr>
    </w:p>
    <w:bookmarkEnd w:id="0"/>
    <w:p w14:paraId="04645FE1" w14:textId="77777777" w:rsidR="00E96CDC" w:rsidRPr="00E96CDC" w:rsidRDefault="00E96CDC" w:rsidP="00E96CDC">
      <w:pPr>
        <w:pStyle w:val="Default"/>
        <w:jc w:val="both"/>
      </w:pPr>
      <w:r w:rsidRPr="00E96CDC">
        <w:t>In further compliance with applicable requirements at 105 CMR 130.122(B), the Hospital provides the following information regarding the Hospital’s closure for review by the Department:</w:t>
      </w:r>
    </w:p>
    <w:p w14:paraId="19BEFF9A" w14:textId="77777777" w:rsidR="00E96CDC" w:rsidRPr="00E96CDC" w:rsidRDefault="00E96CDC" w:rsidP="00E96CDC">
      <w:pPr>
        <w:pStyle w:val="Default"/>
        <w:jc w:val="both"/>
      </w:pPr>
    </w:p>
    <w:p w14:paraId="4F6067A6" w14:textId="77777777" w:rsidR="00F05B0A" w:rsidRPr="006F2953" w:rsidRDefault="00E96CDC" w:rsidP="009F0D28">
      <w:pPr>
        <w:pStyle w:val="Default"/>
        <w:numPr>
          <w:ilvl w:val="0"/>
          <w:numId w:val="3"/>
        </w:numPr>
        <w:jc w:val="both"/>
      </w:pPr>
      <w:bookmarkStart w:id="6" w:name="1._Current_and_historical_utilization_ra"/>
      <w:bookmarkStart w:id="7" w:name="_Hlk173324299"/>
      <w:bookmarkEnd w:id="6"/>
      <w:r w:rsidRPr="006F2953">
        <w:rPr>
          <w:b/>
          <w:bCs/>
        </w:rPr>
        <w:t>Current and historical utilization rates for the Hospital</w:t>
      </w:r>
      <w:r w:rsidR="00F05B0A" w:rsidRPr="006F2953">
        <w:rPr>
          <w:b/>
          <w:bCs/>
        </w:rPr>
        <w:t xml:space="preserve">. </w:t>
      </w:r>
    </w:p>
    <w:p w14:paraId="407527B1" w14:textId="77777777" w:rsidR="00975B52" w:rsidRDefault="00975B52" w:rsidP="00975B52">
      <w:pPr>
        <w:pStyle w:val="Default"/>
        <w:jc w:val="both"/>
        <w:rPr>
          <w:b/>
          <w:bCs/>
          <w:highlight w:val="yellow"/>
        </w:rPr>
      </w:pP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157"/>
        <w:gridCol w:w="1158"/>
        <w:gridCol w:w="1157"/>
        <w:gridCol w:w="1158"/>
        <w:gridCol w:w="1157"/>
        <w:gridCol w:w="1158"/>
      </w:tblGrid>
      <w:tr w:rsidR="008F0B4F" w:rsidRPr="00BC722E" w14:paraId="78091051" w14:textId="77777777" w:rsidTr="000F2EDA">
        <w:trPr>
          <w:trHeight w:val="278"/>
          <w:jc w:val="center"/>
        </w:trPr>
        <w:tc>
          <w:tcPr>
            <w:tcW w:w="2520" w:type="dxa"/>
            <w:vMerge w:val="restart"/>
            <w:vAlign w:val="center"/>
          </w:tcPr>
          <w:p w14:paraId="25BBCE78" w14:textId="75648989" w:rsidR="008F0B4F" w:rsidRPr="00BC722E" w:rsidRDefault="008F0B4F" w:rsidP="006F0FDD">
            <w:pPr>
              <w:pStyle w:val="TableParagraph"/>
              <w:ind w:left="980" w:right="100" w:hanging="1085"/>
              <w:rPr>
                <w:b/>
                <w:bCs/>
                <w:kern w:val="2"/>
              </w:rPr>
            </w:pPr>
            <w:bookmarkStart w:id="8" w:name="_Hlk173327303"/>
            <w:r w:rsidRPr="00BC722E">
              <w:rPr>
                <w:b/>
                <w:bCs/>
                <w:kern w:val="2"/>
              </w:rPr>
              <w:t>Service</w:t>
            </w:r>
          </w:p>
        </w:tc>
        <w:tc>
          <w:tcPr>
            <w:tcW w:w="2315" w:type="dxa"/>
            <w:gridSpan w:val="2"/>
            <w:shd w:val="clear" w:color="auto" w:fill="auto"/>
            <w:vAlign w:val="center"/>
          </w:tcPr>
          <w:p w14:paraId="7FB952AD" w14:textId="51C8188E" w:rsidR="008F0B4F" w:rsidRPr="00BC722E" w:rsidRDefault="00F21156" w:rsidP="007202E2">
            <w:pPr>
              <w:pStyle w:val="TableParagraph"/>
              <w:widowControl/>
              <w:spacing w:line="240" w:lineRule="auto"/>
              <w:ind w:right="0"/>
              <w:rPr>
                <w:b/>
                <w:bCs/>
                <w:kern w:val="2"/>
              </w:rPr>
            </w:pPr>
            <w:r w:rsidRPr="00BC722E">
              <w:rPr>
                <w:b/>
                <w:bCs/>
                <w:kern w:val="2"/>
              </w:rPr>
              <w:t>FY</w:t>
            </w:r>
            <w:r w:rsidR="008F0B4F" w:rsidRPr="00BC722E">
              <w:rPr>
                <w:b/>
                <w:bCs/>
                <w:kern w:val="2"/>
              </w:rPr>
              <w:t>2022</w:t>
            </w:r>
            <w:r w:rsidRPr="00BC722E">
              <w:rPr>
                <w:rStyle w:val="FootnoteReference"/>
                <w:b/>
                <w:bCs/>
                <w:kern w:val="2"/>
              </w:rPr>
              <w:footnoteReference w:id="1"/>
            </w:r>
          </w:p>
        </w:tc>
        <w:tc>
          <w:tcPr>
            <w:tcW w:w="2315" w:type="dxa"/>
            <w:gridSpan w:val="2"/>
            <w:vAlign w:val="center"/>
          </w:tcPr>
          <w:p w14:paraId="092F8B18" w14:textId="31F5D2EB" w:rsidR="008F0B4F" w:rsidRPr="00BC722E" w:rsidRDefault="00F21156" w:rsidP="006F0FDD">
            <w:pPr>
              <w:pStyle w:val="TableParagraph"/>
              <w:widowControl/>
              <w:spacing w:line="240" w:lineRule="auto"/>
              <w:ind w:right="0"/>
              <w:rPr>
                <w:b/>
                <w:bCs/>
                <w:kern w:val="2"/>
              </w:rPr>
            </w:pPr>
            <w:r w:rsidRPr="00BC722E">
              <w:rPr>
                <w:b/>
                <w:bCs/>
                <w:kern w:val="2"/>
              </w:rPr>
              <w:t>FY</w:t>
            </w:r>
            <w:r w:rsidR="008F0B4F" w:rsidRPr="00BC722E">
              <w:rPr>
                <w:b/>
                <w:bCs/>
                <w:kern w:val="2"/>
              </w:rPr>
              <w:t>2023</w:t>
            </w:r>
          </w:p>
        </w:tc>
        <w:tc>
          <w:tcPr>
            <w:tcW w:w="2315" w:type="dxa"/>
            <w:gridSpan w:val="2"/>
            <w:vAlign w:val="center"/>
          </w:tcPr>
          <w:p w14:paraId="60F026B0" w14:textId="027EB3E5" w:rsidR="008F0B4F" w:rsidRPr="00BC722E" w:rsidRDefault="00F21156" w:rsidP="006F0FDD">
            <w:pPr>
              <w:pStyle w:val="TableParagraph"/>
              <w:widowControl/>
              <w:spacing w:line="240" w:lineRule="auto"/>
              <w:ind w:right="0"/>
              <w:rPr>
                <w:b/>
                <w:bCs/>
                <w:kern w:val="2"/>
              </w:rPr>
            </w:pPr>
            <w:r w:rsidRPr="00BC722E">
              <w:rPr>
                <w:b/>
                <w:bCs/>
                <w:kern w:val="2"/>
              </w:rPr>
              <w:t>FY</w:t>
            </w:r>
            <w:r w:rsidR="008F0B4F" w:rsidRPr="00BC722E">
              <w:rPr>
                <w:b/>
                <w:bCs/>
                <w:kern w:val="2"/>
              </w:rPr>
              <w:t>2024</w:t>
            </w:r>
            <w:r w:rsidR="008F0B4F" w:rsidRPr="00BC722E">
              <w:rPr>
                <w:rStyle w:val="FootnoteReference"/>
                <w:b/>
                <w:bCs/>
                <w:kern w:val="2"/>
              </w:rPr>
              <w:footnoteReference w:id="2"/>
            </w:r>
          </w:p>
        </w:tc>
      </w:tr>
      <w:tr w:rsidR="008F0B4F" w:rsidRPr="00BC722E" w14:paraId="530C75F6" w14:textId="37BCE283" w:rsidTr="000F2EDA">
        <w:trPr>
          <w:trHeight w:val="296"/>
          <w:jc w:val="center"/>
        </w:trPr>
        <w:tc>
          <w:tcPr>
            <w:tcW w:w="2520" w:type="dxa"/>
            <w:vMerge/>
            <w:vAlign w:val="center"/>
          </w:tcPr>
          <w:p w14:paraId="698089B7" w14:textId="002DBAD1" w:rsidR="008F0B4F" w:rsidRPr="00BC722E" w:rsidRDefault="008F0B4F" w:rsidP="006F0FDD">
            <w:pPr>
              <w:pStyle w:val="TableParagraph"/>
              <w:widowControl/>
              <w:ind w:left="980" w:right="100" w:hanging="1085"/>
              <w:rPr>
                <w:b/>
                <w:bCs/>
                <w:kern w:val="2"/>
              </w:rPr>
            </w:pPr>
          </w:p>
        </w:tc>
        <w:tc>
          <w:tcPr>
            <w:tcW w:w="1157" w:type="dxa"/>
            <w:shd w:val="clear" w:color="auto" w:fill="auto"/>
            <w:vAlign w:val="center"/>
          </w:tcPr>
          <w:p w14:paraId="671D8437" w14:textId="6748E426" w:rsidR="008F0B4F" w:rsidRPr="00BC722E" w:rsidRDefault="008F0B4F" w:rsidP="002F6EB0">
            <w:pPr>
              <w:pStyle w:val="TableParagraph"/>
              <w:widowControl/>
              <w:spacing w:line="240" w:lineRule="auto"/>
              <w:ind w:right="0"/>
              <w:rPr>
                <w:b/>
                <w:bCs/>
                <w:kern w:val="2"/>
              </w:rPr>
            </w:pPr>
            <w:r w:rsidRPr="00BC722E">
              <w:rPr>
                <w:b/>
                <w:bCs/>
                <w:kern w:val="2"/>
              </w:rPr>
              <w:t>ADC</w:t>
            </w:r>
            <w:r w:rsidR="00BC722E" w:rsidRPr="00BC722E">
              <w:rPr>
                <w:rStyle w:val="FootnoteReference"/>
                <w:b/>
                <w:bCs/>
                <w:kern w:val="2"/>
              </w:rPr>
              <w:footnoteReference w:id="3"/>
            </w:r>
          </w:p>
        </w:tc>
        <w:tc>
          <w:tcPr>
            <w:tcW w:w="1158" w:type="dxa"/>
            <w:vAlign w:val="center"/>
          </w:tcPr>
          <w:p w14:paraId="52D17E14" w14:textId="07EAA7C6" w:rsidR="008F0B4F" w:rsidRPr="00BC722E" w:rsidRDefault="008F0B4F" w:rsidP="002F6EB0">
            <w:pPr>
              <w:pStyle w:val="TableParagraph"/>
              <w:widowControl/>
              <w:spacing w:line="240" w:lineRule="auto"/>
              <w:ind w:right="0"/>
              <w:rPr>
                <w:b/>
                <w:bCs/>
                <w:kern w:val="2"/>
              </w:rPr>
            </w:pPr>
            <w:r w:rsidRPr="00BC722E">
              <w:rPr>
                <w:b/>
                <w:bCs/>
                <w:kern w:val="2"/>
              </w:rPr>
              <w:t>Occupancy</w:t>
            </w:r>
          </w:p>
        </w:tc>
        <w:tc>
          <w:tcPr>
            <w:tcW w:w="1157" w:type="dxa"/>
            <w:vAlign w:val="center"/>
          </w:tcPr>
          <w:p w14:paraId="000B7823" w14:textId="52EEF4C3" w:rsidR="008F0B4F" w:rsidRPr="00BC722E" w:rsidRDefault="008F0B4F" w:rsidP="006F0FDD">
            <w:pPr>
              <w:pStyle w:val="TableParagraph"/>
              <w:widowControl/>
              <w:spacing w:line="240" w:lineRule="auto"/>
              <w:ind w:right="0"/>
              <w:rPr>
                <w:b/>
                <w:bCs/>
                <w:kern w:val="2"/>
              </w:rPr>
            </w:pPr>
            <w:r w:rsidRPr="00BC722E">
              <w:rPr>
                <w:b/>
                <w:bCs/>
                <w:kern w:val="2"/>
              </w:rPr>
              <w:t>ADC</w:t>
            </w:r>
          </w:p>
        </w:tc>
        <w:tc>
          <w:tcPr>
            <w:tcW w:w="1158" w:type="dxa"/>
            <w:vAlign w:val="center"/>
          </w:tcPr>
          <w:p w14:paraId="644A944E" w14:textId="3430AF0A" w:rsidR="008F0B4F" w:rsidRPr="00BC722E" w:rsidRDefault="008F0B4F" w:rsidP="002F6EB0">
            <w:pPr>
              <w:pStyle w:val="TableParagraph"/>
              <w:widowControl/>
              <w:spacing w:line="240" w:lineRule="auto"/>
              <w:ind w:right="0"/>
              <w:rPr>
                <w:b/>
                <w:bCs/>
                <w:kern w:val="2"/>
              </w:rPr>
            </w:pPr>
            <w:r w:rsidRPr="00BC722E">
              <w:rPr>
                <w:b/>
                <w:bCs/>
                <w:kern w:val="2"/>
              </w:rPr>
              <w:t>Occupancy</w:t>
            </w:r>
          </w:p>
        </w:tc>
        <w:tc>
          <w:tcPr>
            <w:tcW w:w="1157" w:type="dxa"/>
            <w:vAlign w:val="center"/>
          </w:tcPr>
          <w:p w14:paraId="1C285093" w14:textId="3B74533A" w:rsidR="008F0B4F" w:rsidRPr="00BC722E" w:rsidRDefault="008F0B4F" w:rsidP="007202E2">
            <w:pPr>
              <w:pStyle w:val="TableParagraph"/>
              <w:widowControl/>
              <w:spacing w:line="240" w:lineRule="auto"/>
              <w:ind w:right="0"/>
              <w:rPr>
                <w:b/>
                <w:bCs/>
                <w:kern w:val="2"/>
              </w:rPr>
            </w:pPr>
            <w:r w:rsidRPr="00BC722E">
              <w:rPr>
                <w:b/>
                <w:bCs/>
                <w:kern w:val="2"/>
              </w:rPr>
              <w:t>ADC</w:t>
            </w:r>
          </w:p>
        </w:tc>
        <w:tc>
          <w:tcPr>
            <w:tcW w:w="1158" w:type="dxa"/>
            <w:vAlign w:val="center"/>
          </w:tcPr>
          <w:p w14:paraId="51A7E1E1" w14:textId="4AB7D013" w:rsidR="008F0B4F" w:rsidRPr="00BC722E" w:rsidRDefault="008F0B4F" w:rsidP="002F6EB0">
            <w:pPr>
              <w:pStyle w:val="TableParagraph"/>
              <w:widowControl/>
              <w:spacing w:line="240" w:lineRule="auto"/>
              <w:ind w:right="0"/>
              <w:rPr>
                <w:b/>
                <w:bCs/>
                <w:kern w:val="2"/>
              </w:rPr>
            </w:pPr>
            <w:r w:rsidRPr="00BC722E">
              <w:rPr>
                <w:b/>
                <w:bCs/>
                <w:kern w:val="2"/>
              </w:rPr>
              <w:t>Occupancy</w:t>
            </w:r>
          </w:p>
        </w:tc>
      </w:tr>
      <w:tr w:rsidR="006F0FDD" w:rsidRPr="00BC722E" w14:paraId="5028549B" w14:textId="309163B5" w:rsidTr="000F2EDA">
        <w:trPr>
          <w:trHeight w:val="341"/>
          <w:jc w:val="center"/>
        </w:trPr>
        <w:tc>
          <w:tcPr>
            <w:tcW w:w="2520" w:type="dxa"/>
            <w:vAlign w:val="center"/>
          </w:tcPr>
          <w:p w14:paraId="20162E65" w14:textId="77777777" w:rsidR="006F0FDD" w:rsidRPr="00BC722E" w:rsidRDefault="006F0FDD" w:rsidP="006F0FDD">
            <w:pPr>
              <w:pStyle w:val="TableParagraph"/>
              <w:widowControl/>
              <w:spacing w:line="240" w:lineRule="auto"/>
              <w:ind w:left="671" w:hanging="621"/>
              <w:contextualSpacing/>
              <w:jc w:val="left"/>
              <w:rPr>
                <w:kern w:val="2"/>
              </w:rPr>
            </w:pPr>
            <w:r w:rsidRPr="00BC722E">
              <w:rPr>
                <w:kern w:val="2"/>
              </w:rPr>
              <w:t>Medical/Surgical Beds</w:t>
            </w:r>
          </w:p>
        </w:tc>
        <w:tc>
          <w:tcPr>
            <w:tcW w:w="1157" w:type="dxa"/>
            <w:shd w:val="clear" w:color="auto" w:fill="auto"/>
            <w:vAlign w:val="center"/>
          </w:tcPr>
          <w:p w14:paraId="0DFE9982" w14:textId="66967069" w:rsidR="006F0FDD" w:rsidRPr="00BC722E" w:rsidRDefault="008F0B4F" w:rsidP="008F0B4F">
            <w:pPr>
              <w:pStyle w:val="TableParagraph"/>
              <w:widowControl/>
              <w:spacing w:line="240" w:lineRule="auto"/>
              <w:ind w:right="90"/>
              <w:contextualSpacing/>
              <w:rPr>
                <w:kern w:val="2"/>
              </w:rPr>
            </w:pPr>
            <w:r w:rsidRPr="00BC722E">
              <w:rPr>
                <w:kern w:val="2"/>
              </w:rPr>
              <w:t>23</w:t>
            </w:r>
          </w:p>
        </w:tc>
        <w:tc>
          <w:tcPr>
            <w:tcW w:w="1158" w:type="dxa"/>
            <w:vAlign w:val="center"/>
          </w:tcPr>
          <w:p w14:paraId="7B53C845" w14:textId="41C4EBE3" w:rsidR="006F0FDD" w:rsidRPr="00BC722E" w:rsidRDefault="006F0FDD" w:rsidP="008F0B4F">
            <w:pPr>
              <w:pStyle w:val="TableParagraph"/>
              <w:widowControl/>
              <w:spacing w:line="240" w:lineRule="auto"/>
              <w:ind w:right="90"/>
              <w:contextualSpacing/>
              <w:rPr>
                <w:kern w:val="2"/>
              </w:rPr>
            </w:pPr>
            <w:r w:rsidRPr="00BC722E">
              <w:rPr>
                <w:color w:val="000000"/>
              </w:rPr>
              <w:t>27.7%</w:t>
            </w:r>
          </w:p>
        </w:tc>
        <w:tc>
          <w:tcPr>
            <w:tcW w:w="1157" w:type="dxa"/>
            <w:vAlign w:val="center"/>
          </w:tcPr>
          <w:p w14:paraId="5836FA2C" w14:textId="64ED07C1" w:rsidR="006F0FDD" w:rsidRPr="00BC722E" w:rsidRDefault="008F0B4F" w:rsidP="008F0B4F">
            <w:pPr>
              <w:pStyle w:val="TableParagraph"/>
              <w:widowControl/>
              <w:spacing w:line="240" w:lineRule="auto"/>
              <w:ind w:right="70"/>
              <w:contextualSpacing/>
              <w:rPr>
                <w:kern w:val="2"/>
              </w:rPr>
            </w:pPr>
            <w:r w:rsidRPr="00BC722E">
              <w:rPr>
                <w:kern w:val="2"/>
              </w:rPr>
              <w:t>20</w:t>
            </w:r>
          </w:p>
        </w:tc>
        <w:tc>
          <w:tcPr>
            <w:tcW w:w="1158" w:type="dxa"/>
            <w:vAlign w:val="center"/>
          </w:tcPr>
          <w:p w14:paraId="54AAF0F7" w14:textId="2A8F0F8B" w:rsidR="006F0FDD" w:rsidRPr="00BC722E" w:rsidRDefault="006F0FDD" w:rsidP="008F0B4F">
            <w:pPr>
              <w:pStyle w:val="TableParagraph"/>
              <w:widowControl/>
              <w:spacing w:line="240" w:lineRule="auto"/>
              <w:ind w:right="70"/>
              <w:contextualSpacing/>
              <w:rPr>
                <w:color w:val="000000"/>
              </w:rPr>
            </w:pPr>
            <w:r w:rsidRPr="00BC722E">
              <w:rPr>
                <w:color w:val="000000"/>
              </w:rPr>
              <w:t>24%</w:t>
            </w:r>
          </w:p>
        </w:tc>
        <w:tc>
          <w:tcPr>
            <w:tcW w:w="1157" w:type="dxa"/>
            <w:vAlign w:val="center"/>
          </w:tcPr>
          <w:p w14:paraId="3CEB283F" w14:textId="2279CB76" w:rsidR="006F0FDD" w:rsidRPr="00BC722E" w:rsidRDefault="008F0B4F" w:rsidP="008F0B4F">
            <w:pPr>
              <w:pStyle w:val="TableParagraph"/>
              <w:widowControl/>
              <w:spacing w:line="240" w:lineRule="auto"/>
              <w:ind w:right="70"/>
              <w:contextualSpacing/>
              <w:rPr>
                <w:color w:val="000000"/>
              </w:rPr>
            </w:pPr>
            <w:r w:rsidRPr="00BC722E">
              <w:rPr>
                <w:color w:val="000000"/>
              </w:rPr>
              <w:t>13</w:t>
            </w:r>
          </w:p>
        </w:tc>
        <w:tc>
          <w:tcPr>
            <w:tcW w:w="1158" w:type="dxa"/>
            <w:vAlign w:val="center"/>
          </w:tcPr>
          <w:p w14:paraId="2473BDAC" w14:textId="54B444D2" w:rsidR="006F0FDD" w:rsidRPr="00BC722E" w:rsidRDefault="006F0FDD" w:rsidP="008F0B4F">
            <w:pPr>
              <w:pStyle w:val="TableParagraph"/>
              <w:widowControl/>
              <w:spacing w:line="240" w:lineRule="auto"/>
              <w:ind w:right="70"/>
              <w:contextualSpacing/>
              <w:rPr>
                <w:color w:val="000000"/>
              </w:rPr>
            </w:pPr>
            <w:r w:rsidRPr="00BC722E">
              <w:rPr>
                <w:color w:val="000000"/>
              </w:rPr>
              <w:t>15.6%</w:t>
            </w:r>
          </w:p>
        </w:tc>
      </w:tr>
      <w:tr w:rsidR="006F0FDD" w:rsidRPr="00BC722E" w14:paraId="2A563E64" w14:textId="07403F96" w:rsidTr="000F2EDA">
        <w:trPr>
          <w:trHeight w:val="359"/>
          <w:jc w:val="center"/>
        </w:trPr>
        <w:tc>
          <w:tcPr>
            <w:tcW w:w="2520" w:type="dxa"/>
            <w:vAlign w:val="center"/>
          </w:tcPr>
          <w:p w14:paraId="3642AA5B" w14:textId="77777777" w:rsidR="006F0FDD" w:rsidRPr="00BC722E" w:rsidRDefault="006F0FDD" w:rsidP="006F0FDD">
            <w:pPr>
              <w:pStyle w:val="TableParagraph"/>
              <w:widowControl/>
              <w:spacing w:line="240" w:lineRule="auto"/>
              <w:ind w:left="671" w:hanging="621"/>
              <w:contextualSpacing/>
              <w:jc w:val="left"/>
              <w:rPr>
                <w:kern w:val="2"/>
              </w:rPr>
            </w:pPr>
            <w:r w:rsidRPr="00BC722E">
              <w:rPr>
                <w:kern w:val="2"/>
              </w:rPr>
              <w:t>Intensive Care Unit Beds</w:t>
            </w:r>
          </w:p>
        </w:tc>
        <w:tc>
          <w:tcPr>
            <w:tcW w:w="1157" w:type="dxa"/>
            <w:shd w:val="clear" w:color="auto" w:fill="auto"/>
            <w:vAlign w:val="center"/>
          </w:tcPr>
          <w:p w14:paraId="368E3C0D" w14:textId="357F2CBC" w:rsidR="006F0FDD" w:rsidRPr="00BC722E" w:rsidRDefault="008F0B4F" w:rsidP="008F0B4F">
            <w:pPr>
              <w:pStyle w:val="TableParagraph"/>
              <w:widowControl/>
              <w:spacing w:line="240" w:lineRule="auto"/>
              <w:ind w:right="90"/>
              <w:contextualSpacing/>
              <w:rPr>
                <w:kern w:val="2"/>
              </w:rPr>
            </w:pPr>
            <w:r w:rsidRPr="00BC722E">
              <w:rPr>
                <w:kern w:val="2"/>
              </w:rPr>
              <w:t>4</w:t>
            </w:r>
          </w:p>
        </w:tc>
        <w:tc>
          <w:tcPr>
            <w:tcW w:w="1158" w:type="dxa"/>
            <w:vAlign w:val="center"/>
          </w:tcPr>
          <w:p w14:paraId="09A29425" w14:textId="3A9A4253" w:rsidR="006F0FDD" w:rsidRPr="00BC722E" w:rsidRDefault="006F0FDD" w:rsidP="008F0B4F">
            <w:pPr>
              <w:pStyle w:val="TableParagraph"/>
              <w:widowControl/>
              <w:spacing w:line="240" w:lineRule="auto"/>
              <w:ind w:right="90"/>
              <w:contextualSpacing/>
              <w:rPr>
                <w:kern w:val="2"/>
              </w:rPr>
            </w:pPr>
            <w:r w:rsidRPr="00BC722E">
              <w:rPr>
                <w:color w:val="000000"/>
              </w:rPr>
              <w:t>21%</w:t>
            </w:r>
          </w:p>
        </w:tc>
        <w:tc>
          <w:tcPr>
            <w:tcW w:w="1157" w:type="dxa"/>
            <w:vAlign w:val="center"/>
          </w:tcPr>
          <w:p w14:paraId="3D1A059D" w14:textId="6AE3EAFB" w:rsidR="006F0FDD" w:rsidRPr="00BC722E" w:rsidRDefault="008F0B4F" w:rsidP="008F0B4F">
            <w:pPr>
              <w:pStyle w:val="TableParagraph"/>
              <w:widowControl/>
              <w:spacing w:line="240" w:lineRule="auto"/>
              <w:ind w:right="70"/>
              <w:contextualSpacing/>
              <w:rPr>
                <w:kern w:val="2"/>
              </w:rPr>
            </w:pPr>
            <w:r w:rsidRPr="00BC722E">
              <w:rPr>
                <w:kern w:val="2"/>
              </w:rPr>
              <w:t>3</w:t>
            </w:r>
          </w:p>
        </w:tc>
        <w:tc>
          <w:tcPr>
            <w:tcW w:w="1158" w:type="dxa"/>
            <w:vAlign w:val="center"/>
          </w:tcPr>
          <w:p w14:paraId="46D417A3" w14:textId="4D54114D" w:rsidR="006F0FDD" w:rsidRPr="00BC722E" w:rsidRDefault="006F0FDD" w:rsidP="008F0B4F">
            <w:pPr>
              <w:pStyle w:val="TableParagraph"/>
              <w:widowControl/>
              <w:spacing w:line="240" w:lineRule="auto"/>
              <w:ind w:right="70"/>
              <w:contextualSpacing/>
              <w:rPr>
                <w:color w:val="000000"/>
              </w:rPr>
            </w:pPr>
            <w:r w:rsidRPr="00BC722E">
              <w:rPr>
                <w:color w:val="000000"/>
              </w:rPr>
              <w:t>15.7%</w:t>
            </w:r>
          </w:p>
        </w:tc>
        <w:tc>
          <w:tcPr>
            <w:tcW w:w="1157" w:type="dxa"/>
            <w:vAlign w:val="center"/>
          </w:tcPr>
          <w:p w14:paraId="519BA041" w14:textId="44BA9259" w:rsidR="006F0FDD" w:rsidRPr="00BC722E" w:rsidRDefault="008F0B4F" w:rsidP="008F0B4F">
            <w:pPr>
              <w:pStyle w:val="TableParagraph"/>
              <w:widowControl/>
              <w:spacing w:line="240" w:lineRule="auto"/>
              <w:ind w:right="70"/>
              <w:contextualSpacing/>
              <w:rPr>
                <w:color w:val="000000"/>
              </w:rPr>
            </w:pPr>
            <w:r w:rsidRPr="00BC722E">
              <w:rPr>
                <w:color w:val="000000"/>
              </w:rPr>
              <w:t>3</w:t>
            </w:r>
          </w:p>
        </w:tc>
        <w:tc>
          <w:tcPr>
            <w:tcW w:w="1158" w:type="dxa"/>
            <w:vAlign w:val="center"/>
          </w:tcPr>
          <w:p w14:paraId="5A5FC7DC" w14:textId="22C108C1" w:rsidR="006F0FDD" w:rsidRPr="00BC722E" w:rsidRDefault="006F0FDD" w:rsidP="008F0B4F">
            <w:pPr>
              <w:pStyle w:val="TableParagraph"/>
              <w:widowControl/>
              <w:spacing w:line="240" w:lineRule="auto"/>
              <w:ind w:right="70"/>
              <w:contextualSpacing/>
              <w:rPr>
                <w:color w:val="000000"/>
              </w:rPr>
            </w:pPr>
            <w:r w:rsidRPr="00BC722E">
              <w:rPr>
                <w:color w:val="000000"/>
              </w:rPr>
              <w:t>15.7%</w:t>
            </w:r>
          </w:p>
        </w:tc>
      </w:tr>
      <w:tr w:rsidR="006F0FDD" w:rsidRPr="00BC722E" w14:paraId="5CBE46C1" w14:textId="2783327E" w:rsidTr="000F2EDA">
        <w:trPr>
          <w:trHeight w:val="341"/>
          <w:jc w:val="center"/>
        </w:trPr>
        <w:tc>
          <w:tcPr>
            <w:tcW w:w="2520" w:type="dxa"/>
            <w:vAlign w:val="center"/>
          </w:tcPr>
          <w:p w14:paraId="49A43A73" w14:textId="21FCE642" w:rsidR="006F0FDD" w:rsidRPr="00BC722E" w:rsidRDefault="006F0FDD" w:rsidP="006F0FDD">
            <w:pPr>
              <w:pStyle w:val="TableParagraph"/>
              <w:widowControl/>
              <w:spacing w:line="240" w:lineRule="auto"/>
              <w:ind w:left="671" w:hanging="621"/>
              <w:contextualSpacing/>
              <w:jc w:val="left"/>
              <w:rPr>
                <w:kern w:val="2"/>
              </w:rPr>
            </w:pPr>
            <w:r w:rsidRPr="00BC722E">
              <w:rPr>
                <w:kern w:val="2"/>
              </w:rPr>
              <w:t>Psychiatric Beds</w:t>
            </w:r>
          </w:p>
        </w:tc>
        <w:tc>
          <w:tcPr>
            <w:tcW w:w="1157" w:type="dxa"/>
            <w:shd w:val="clear" w:color="auto" w:fill="auto"/>
            <w:vAlign w:val="center"/>
          </w:tcPr>
          <w:p w14:paraId="3C63297D" w14:textId="7A0BAF7F" w:rsidR="006F0FDD" w:rsidRPr="00BC722E" w:rsidRDefault="008F0B4F" w:rsidP="008F0B4F">
            <w:pPr>
              <w:pStyle w:val="TableParagraph"/>
              <w:widowControl/>
              <w:spacing w:line="240" w:lineRule="auto"/>
              <w:ind w:right="90"/>
              <w:contextualSpacing/>
              <w:rPr>
                <w:kern w:val="2"/>
              </w:rPr>
            </w:pPr>
            <w:r w:rsidRPr="00BC722E">
              <w:rPr>
                <w:kern w:val="2"/>
              </w:rPr>
              <w:t>40</w:t>
            </w:r>
          </w:p>
        </w:tc>
        <w:tc>
          <w:tcPr>
            <w:tcW w:w="1158" w:type="dxa"/>
            <w:vAlign w:val="center"/>
          </w:tcPr>
          <w:p w14:paraId="433B86D6" w14:textId="4AEF4258" w:rsidR="006F0FDD" w:rsidRPr="00BC722E" w:rsidRDefault="006F0FDD" w:rsidP="008F0B4F">
            <w:pPr>
              <w:pStyle w:val="TableParagraph"/>
              <w:widowControl/>
              <w:spacing w:line="240" w:lineRule="auto"/>
              <w:ind w:right="90"/>
              <w:contextualSpacing/>
              <w:rPr>
                <w:kern w:val="2"/>
              </w:rPr>
            </w:pPr>
            <w:r w:rsidRPr="00BC722E">
              <w:rPr>
                <w:color w:val="000000"/>
              </w:rPr>
              <w:t>80%</w:t>
            </w:r>
          </w:p>
        </w:tc>
        <w:tc>
          <w:tcPr>
            <w:tcW w:w="1157" w:type="dxa"/>
            <w:vAlign w:val="center"/>
          </w:tcPr>
          <w:p w14:paraId="5DB0A532" w14:textId="3AAB3198" w:rsidR="006F0FDD" w:rsidRPr="00BC722E" w:rsidRDefault="008F0B4F" w:rsidP="008F0B4F">
            <w:pPr>
              <w:pStyle w:val="TableParagraph"/>
              <w:widowControl/>
              <w:spacing w:line="240" w:lineRule="auto"/>
              <w:ind w:right="70"/>
              <w:contextualSpacing/>
              <w:rPr>
                <w:color w:val="000000"/>
              </w:rPr>
            </w:pPr>
            <w:r w:rsidRPr="00BC722E">
              <w:rPr>
                <w:color w:val="000000"/>
              </w:rPr>
              <w:t>37</w:t>
            </w:r>
          </w:p>
        </w:tc>
        <w:tc>
          <w:tcPr>
            <w:tcW w:w="1158" w:type="dxa"/>
            <w:vAlign w:val="center"/>
          </w:tcPr>
          <w:p w14:paraId="6F34D101" w14:textId="2D288D97" w:rsidR="006F0FDD" w:rsidRPr="00BC722E" w:rsidRDefault="006F0FDD" w:rsidP="008F0B4F">
            <w:pPr>
              <w:pStyle w:val="TableParagraph"/>
              <w:widowControl/>
              <w:spacing w:line="240" w:lineRule="auto"/>
              <w:ind w:right="70"/>
              <w:contextualSpacing/>
              <w:rPr>
                <w:color w:val="000000"/>
              </w:rPr>
            </w:pPr>
            <w:r w:rsidRPr="00BC722E">
              <w:rPr>
                <w:color w:val="000000"/>
              </w:rPr>
              <w:t>74%</w:t>
            </w:r>
          </w:p>
        </w:tc>
        <w:tc>
          <w:tcPr>
            <w:tcW w:w="1157" w:type="dxa"/>
            <w:vAlign w:val="center"/>
          </w:tcPr>
          <w:p w14:paraId="58430D45" w14:textId="448E1AD6" w:rsidR="006F0FDD" w:rsidRPr="00BC722E" w:rsidRDefault="008F0B4F" w:rsidP="008F0B4F">
            <w:pPr>
              <w:pStyle w:val="TableParagraph"/>
              <w:widowControl/>
              <w:spacing w:line="240" w:lineRule="auto"/>
              <w:ind w:right="70"/>
              <w:contextualSpacing/>
              <w:rPr>
                <w:color w:val="000000"/>
              </w:rPr>
            </w:pPr>
            <w:r w:rsidRPr="00BC722E">
              <w:rPr>
                <w:color w:val="000000"/>
              </w:rPr>
              <w:t>34</w:t>
            </w:r>
          </w:p>
        </w:tc>
        <w:tc>
          <w:tcPr>
            <w:tcW w:w="1158" w:type="dxa"/>
            <w:vAlign w:val="center"/>
          </w:tcPr>
          <w:p w14:paraId="1F60FE4A" w14:textId="62798D22" w:rsidR="006F0FDD" w:rsidRPr="00BC722E" w:rsidRDefault="006F0FDD" w:rsidP="008F0B4F">
            <w:pPr>
              <w:pStyle w:val="TableParagraph"/>
              <w:widowControl/>
              <w:spacing w:line="240" w:lineRule="auto"/>
              <w:ind w:right="70"/>
              <w:contextualSpacing/>
              <w:rPr>
                <w:color w:val="000000"/>
              </w:rPr>
            </w:pPr>
            <w:r w:rsidRPr="00BC722E">
              <w:rPr>
                <w:color w:val="000000"/>
              </w:rPr>
              <w:t>68%</w:t>
            </w:r>
          </w:p>
        </w:tc>
      </w:tr>
      <w:tr w:rsidR="006F0FDD" w:rsidRPr="00BC722E" w14:paraId="5AD46FBC" w14:textId="670817C6" w:rsidTr="000F2EDA">
        <w:trPr>
          <w:trHeight w:val="359"/>
          <w:jc w:val="center"/>
        </w:trPr>
        <w:tc>
          <w:tcPr>
            <w:tcW w:w="2520" w:type="dxa"/>
            <w:vAlign w:val="center"/>
          </w:tcPr>
          <w:p w14:paraId="0AAD40EB" w14:textId="5EDFECCD" w:rsidR="006F0FDD" w:rsidRPr="00BC722E" w:rsidRDefault="006F0FDD" w:rsidP="006F0FDD">
            <w:pPr>
              <w:pStyle w:val="TableParagraph"/>
              <w:widowControl/>
              <w:spacing w:line="240" w:lineRule="auto"/>
              <w:ind w:left="671" w:hanging="621"/>
              <w:contextualSpacing/>
              <w:jc w:val="left"/>
              <w:rPr>
                <w:kern w:val="2"/>
              </w:rPr>
            </w:pPr>
            <w:r w:rsidRPr="00BC722E">
              <w:rPr>
                <w:kern w:val="2"/>
              </w:rPr>
              <w:t>Pediatric Beds</w:t>
            </w:r>
            <w:r w:rsidRPr="00BC722E">
              <w:rPr>
                <w:rStyle w:val="FootnoteReference"/>
                <w:kern w:val="2"/>
              </w:rPr>
              <w:footnoteReference w:id="4"/>
            </w:r>
          </w:p>
        </w:tc>
        <w:tc>
          <w:tcPr>
            <w:tcW w:w="1157" w:type="dxa"/>
            <w:shd w:val="clear" w:color="auto" w:fill="auto"/>
            <w:vAlign w:val="center"/>
          </w:tcPr>
          <w:p w14:paraId="33A032F1" w14:textId="7C053B6F" w:rsidR="006F0FDD" w:rsidRPr="00BC722E" w:rsidRDefault="002F6EB0" w:rsidP="008F0B4F">
            <w:pPr>
              <w:pStyle w:val="TableParagraph"/>
              <w:widowControl/>
              <w:spacing w:line="240" w:lineRule="auto"/>
              <w:ind w:right="90"/>
              <w:contextualSpacing/>
              <w:rPr>
                <w:color w:val="000000"/>
              </w:rPr>
            </w:pPr>
            <w:r w:rsidRPr="00BC722E">
              <w:rPr>
                <w:color w:val="000000"/>
              </w:rPr>
              <w:t>0</w:t>
            </w:r>
          </w:p>
        </w:tc>
        <w:tc>
          <w:tcPr>
            <w:tcW w:w="1158" w:type="dxa"/>
            <w:vAlign w:val="center"/>
          </w:tcPr>
          <w:p w14:paraId="23CF0A8A" w14:textId="57D0FBCA" w:rsidR="006F0FDD" w:rsidRPr="00BC722E" w:rsidRDefault="006F0FDD" w:rsidP="008F0B4F">
            <w:pPr>
              <w:pStyle w:val="TableParagraph"/>
              <w:widowControl/>
              <w:spacing w:line="240" w:lineRule="auto"/>
              <w:ind w:right="90"/>
              <w:contextualSpacing/>
              <w:rPr>
                <w:color w:val="000000"/>
              </w:rPr>
            </w:pPr>
            <w:r w:rsidRPr="00BC722E">
              <w:rPr>
                <w:color w:val="000000"/>
              </w:rPr>
              <w:t>0%</w:t>
            </w:r>
          </w:p>
        </w:tc>
        <w:tc>
          <w:tcPr>
            <w:tcW w:w="1157" w:type="dxa"/>
            <w:vAlign w:val="center"/>
          </w:tcPr>
          <w:p w14:paraId="58D41271" w14:textId="6FC6060F" w:rsidR="006F0FDD" w:rsidRPr="00BC722E" w:rsidRDefault="002F6EB0" w:rsidP="008F0B4F">
            <w:pPr>
              <w:pStyle w:val="TableParagraph"/>
              <w:widowControl/>
              <w:spacing w:line="240" w:lineRule="auto"/>
              <w:ind w:right="70"/>
              <w:contextualSpacing/>
              <w:rPr>
                <w:color w:val="000000"/>
              </w:rPr>
            </w:pPr>
            <w:r w:rsidRPr="00BC722E">
              <w:rPr>
                <w:color w:val="000000"/>
              </w:rPr>
              <w:t>0</w:t>
            </w:r>
          </w:p>
        </w:tc>
        <w:tc>
          <w:tcPr>
            <w:tcW w:w="1158" w:type="dxa"/>
            <w:vAlign w:val="center"/>
          </w:tcPr>
          <w:p w14:paraId="3C84FE4A" w14:textId="07CCB2CD" w:rsidR="006F0FDD" w:rsidRPr="00BC722E" w:rsidRDefault="006F0FDD" w:rsidP="008F0B4F">
            <w:pPr>
              <w:pStyle w:val="TableParagraph"/>
              <w:widowControl/>
              <w:spacing w:line="240" w:lineRule="auto"/>
              <w:ind w:right="70"/>
              <w:contextualSpacing/>
              <w:rPr>
                <w:color w:val="000000"/>
              </w:rPr>
            </w:pPr>
            <w:r w:rsidRPr="00BC722E">
              <w:rPr>
                <w:color w:val="000000"/>
              </w:rPr>
              <w:t>0%</w:t>
            </w:r>
          </w:p>
        </w:tc>
        <w:tc>
          <w:tcPr>
            <w:tcW w:w="1157" w:type="dxa"/>
            <w:vAlign w:val="center"/>
          </w:tcPr>
          <w:p w14:paraId="551C4448" w14:textId="1AE36DA7" w:rsidR="006F0FDD" w:rsidRPr="00BC722E" w:rsidRDefault="002F6EB0" w:rsidP="008F0B4F">
            <w:pPr>
              <w:pStyle w:val="TableParagraph"/>
              <w:widowControl/>
              <w:spacing w:line="240" w:lineRule="auto"/>
              <w:ind w:right="70"/>
              <w:contextualSpacing/>
              <w:rPr>
                <w:color w:val="000000"/>
              </w:rPr>
            </w:pPr>
            <w:r w:rsidRPr="00BC722E">
              <w:rPr>
                <w:color w:val="000000"/>
              </w:rPr>
              <w:t>0</w:t>
            </w:r>
          </w:p>
        </w:tc>
        <w:tc>
          <w:tcPr>
            <w:tcW w:w="1158" w:type="dxa"/>
            <w:vAlign w:val="center"/>
          </w:tcPr>
          <w:p w14:paraId="38747179" w14:textId="6C2833F4" w:rsidR="006F0FDD" w:rsidRPr="00BC722E" w:rsidRDefault="006F0FDD" w:rsidP="008F0B4F">
            <w:pPr>
              <w:pStyle w:val="TableParagraph"/>
              <w:widowControl/>
              <w:spacing w:line="240" w:lineRule="auto"/>
              <w:ind w:right="70"/>
              <w:contextualSpacing/>
              <w:rPr>
                <w:color w:val="000000"/>
              </w:rPr>
            </w:pPr>
            <w:r w:rsidRPr="00BC722E">
              <w:rPr>
                <w:color w:val="000000"/>
              </w:rPr>
              <w:t>0%</w:t>
            </w:r>
          </w:p>
        </w:tc>
      </w:tr>
      <w:bookmarkEnd w:id="8"/>
    </w:tbl>
    <w:p w14:paraId="4E24B431" w14:textId="77777777" w:rsidR="00975B52" w:rsidRDefault="00975B52" w:rsidP="00975B52">
      <w:pPr>
        <w:pStyle w:val="Default"/>
        <w:jc w:val="both"/>
        <w:rPr>
          <w:highlight w:val="yellow"/>
        </w:rPr>
      </w:pPr>
    </w:p>
    <w:p w14:paraId="2DB2B620" w14:textId="77777777" w:rsidR="00B153FA" w:rsidRDefault="00B153FA" w:rsidP="00975B52">
      <w:pPr>
        <w:pStyle w:val="Default"/>
        <w:jc w:val="both"/>
        <w:rPr>
          <w:highlight w:val="yellow"/>
        </w:rPr>
      </w:pPr>
    </w:p>
    <w:p w14:paraId="2827FB43" w14:textId="77777777" w:rsidR="00B153FA" w:rsidRDefault="00B153FA" w:rsidP="00975B52">
      <w:pPr>
        <w:pStyle w:val="Default"/>
        <w:jc w:val="both"/>
        <w:rPr>
          <w:highlight w:val="yellow"/>
        </w:rPr>
      </w:pPr>
    </w:p>
    <w:tbl>
      <w:tblPr>
        <w:tblW w:w="8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1708"/>
        <w:gridCol w:w="1708"/>
        <w:gridCol w:w="1709"/>
      </w:tblGrid>
      <w:tr w:rsidR="00B153FA" w:rsidRPr="00BC722E" w14:paraId="5E22EA3E" w14:textId="77777777" w:rsidTr="00F21156">
        <w:trPr>
          <w:trHeight w:val="548"/>
          <w:jc w:val="center"/>
        </w:trPr>
        <w:tc>
          <w:tcPr>
            <w:tcW w:w="3865" w:type="dxa"/>
          </w:tcPr>
          <w:p w14:paraId="3C6A85E1" w14:textId="77777777" w:rsidR="00B153FA" w:rsidRPr="00BC722E" w:rsidRDefault="00B153FA" w:rsidP="00071901">
            <w:pPr>
              <w:pStyle w:val="TableParagraph"/>
              <w:widowControl/>
              <w:ind w:left="1075" w:right="1068"/>
              <w:rPr>
                <w:b/>
                <w:bCs/>
                <w:kern w:val="2"/>
              </w:rPr>
            </w:pPr>
            <w:r w:rsidRPr="00BC722E">
              <w:rPr>
                <w:b/>
                <w:bCs/>
                <w:kern w:val="2"/>
              </w:rPr>
              <w:t>Service</w:t>
            </w:r>
          </w:p>
        </w:tc>
        <w:tc>
          <w:tcPr>
            <w:tcW w:w="1708" w:type="dxa"/>
            <w:shd w:val="clear" w:color="auto" w:fill="auto"/>
          </w:tcPr>
          <w:p w14:paraId="5D9EE353" w14:textId="186BE89A" w:rsidR="00B153FA" w:rsidRPr="00BC722E" w:rsidRDefault="006F0FDD" w:rsidP="00071901">
            <w:pPr>
              <w:pStyle w:val="TableParagraph"/>
              <w:widowControl/>
              <w:spacing w:line="240" w:lineRule="auto"/>
              <w:ind w:right="0"/>
              <w:rPr>
                <w:b/>
                <w:bCs/>
                <w:kern w:val="2"/>
              </w:rPr>
            </w:pPr>
            <w:r w:rsidRPr="00BC722E">
              <w:rPr>
                <w:b/>
                <w:bCs/>
                <w:kern w:val="2"/>
              </w:rPr>
              <w:t xml:space="preserve">Patient </w:t>
            </w:r>
            <w:r w:rsidR="00B153FA" w:rsidRPr="00BC722E">
              <w:rPr>
                <w:b/>
                <w:bCs/>
                <w:kern w:val="2"/>
              </w:rPr>
              <w:t xml:space="preserve">Volume </w:t>
            </w:r>
          </w:p>
          <w:p w14:paraId="3383D825" w14:textId="4164BD1D" w:rsidR="00B153FA" w:rsidRPr="00BC722E" w:rsidRDefault="000F2EDA" w:rsidP="00071901">
            <w:pPr>
              <w:pStyle w:val="TableParagraph"/>
              <w:widowControl/>
              <w:spacing w:line="240" w:lineRule="auto"/>
              <w:ind w:right="0"/>
              <w:rPr>
                <w:b/>
                <w:bCs/>
                <w:kern w:val="2"/>
              </w:rPr>
            </w:pPr>
            <w:r w:rsidRPr="00BC722E">
              <w:rPr>
                <w:b/>
                <w:bCs/>
                <w:kern w:val="2"/>
              </w:rPr>
              <w:t>FY</w:t>
            </w:r>
            <w:r w:rsidR="00B153FA" w:rsidRPr="00BC722E">
              <w:rPr>
                <w:b/>
                <w:bCs/>
                <w:kern w:val="2"/>
              </w:rPr>
              <w:t>2022</w:t>
            </w:r>
          </w:p>
        </w:tc>
        <w:tc>
          <w:tcPr>
            <w:tcW w:w="1708" w:type="dxa"/>
          </w:tcPr>
          <w:p w14:paraId="6407D9FB" w14:textId="1258C16A" w:rsidR="00B153FA" w:rsidRPr="00BC722E" w:rsidRDefault="006F0FDD" w:rsidP="00071901">
            <w:pPr>
              <w:pStyle w:val="TableParagraph"/>
              <w:widowControl/>
              <w:spacing w:line="240" w:lineRule="auto"/>
              <w:ind w:right="0"/>
              <w:rPr>
                <w:b/>
                <w:bCs/>
                <w:kern w:val="2"/>
              </w:rPr>
            </w:pPr>
            <w:r w:rsidRPr="00BC722E">
              <w:rPr>
                <w:b/>
                <w:bCs/>
                <w:kern w:val="2"/>
              </w:rPr>
              <w:t xml:space="preserve">Patient </w:t>
            </w:r>
            <w:r w:rsidR="00B153FA" w:rsidRPr="00BC722E">
              <w:rPr>
                <w:b/>
                <w:bCs/>
                <w:kern w:val="2"/>
              </w:rPr>
              <w:t xml:space="preserve">Volume </w:t>
            </w:r>
          </w:p>
          <w:p w14:paraId="1C426A85" w14:textId="363FDC61" w:rsidR="00B153FA" w:rsidRPr="00BC722E" w:rsidRDefault="000F2EDA" w:rsidP="00071901">
            <w:pPr>
              <w:pStyle w:val="TableParagraph"/>
              <w:widowControl/>
              <w:spacing w:line="240" w:lineRule="auto"/>
              <w:ind w:right="0"/>
              <w:rPr>
                <w:b/>
                <w:bCs/>
                <w:kern w:val="2"/>
              </w:rPr>
            </w:pPr>
            <w:r w:rsidRPr="00BC722E">
              <w:rPr>
                <w:b/>
                <w:bCs/>
                <w:kern w:val="2"/>
              </w:rPr>
              <w:t>FY</w:t>
            </w:r>
            <w:r w:rsidR="00B153FA" w:rsidRPr="00BC722E">
              <w:rPr>
                <w:b/>
                <w:bCs/>
                <w:kern w:val="2"/>
              </w:rPr>
              <w:t>2023</w:t>
            </w:r>
          </w:p>
        </w:tc>
        <w:tc>
          <w:tcPr>
            <w:tcW w:w="1709" w:type="dxa"/>
          </w:tcPr>
          <w:p w14:paraId="3AFD3F37" w14:textId="4A463624" w:rsidR="00B153FA" w:rsidRPr="00BC722E" w:rsidRDefault="006F0FDD" w:rsidP="00071901">
            <w:pPr>
              <w:pStyle w:val="TableParagraph"/>
              <w:widowControl/>
              <w:spacing w:line="240" w:lineRule="auto"/>
              <w:ind w:right="0"/>
              <w:rPr>
                <w:b/>
                <w:bCs/>
                <w:kern w:val="2"/>
              </w:rPr>
            </w:pPr>
            <w:r w:rsidRPr="00BC722E">
              <w:rPr>
                <w:b/>
                <w:bCs/>
                <w:kern w:val="2"/>
              </w:rPr>
              <w:t xml:space="preserve">Patient </w:t>
            </w:r>
            <w:r w:rsidR="00B153FA" w:rsidRPr="00BC722E">
              <w:rPr>
                <w:b/>
                <w:bCs/>
                <w:kern w:val="2"/>
              </w:rPr>
              <w:t>Volume</w:t>
            </w:r>
          </w:p>
          <w:p w14:paraId="206F0516" w14:textId="640B5D8B" w:rsidR="00B153FA" w:rsidRPr="00BC722E" w:rsidRDefault="000F2EDA" w:rsidP="00071901">
            <w:pPr>
              <w:pStyle w:val="TableParagraph"/>
              <w:widowControl/>
              <w:spacing w:line="240" w:lineRule="auto"/>
              <w:ind w:right="0"/>
              <w:rPr>
                <w:b/>
                <w:bCs/>
                <w:kern w:val="2"/>
              </w:rPr>
            </w:pPr>
            <w:r w:rsidRPr="00BC722E">
              <w:rPr>
                <w:b/>
                <w:bCs/>
                <w:kern w:val="2"/>
              </w:rPr>
              <w:t>FY</w:t>
            </w:r>
            <w:r w:rsidR="00B153FA" w:rsidRPr="00BC722E">
              <w:rPr>
                <w:b/>
                <w:bCs/>
                <w:kern w:val="2"/>
              </w:rPr>
              <w:t>2024</w:t>
            </w:r>
            <w:r w:rsidR="00B153FA" w:rsidRPr="00BC722E">
              <w:rPr>
                <w:rStyle w:val="FootnoteReference"/>
                <w:b/>
                <w:bCs/>
                <w:kern w:val="2"/>
              </w:rPr>
              <w:footnoteReference w:id="5"/>
            </w:r>
          </w:p>
        </w:tc>
      </w:tr>
      <w:tr w:rsidR="00B153FA" w:rsidRPr="00BC722E" w14:paraId="7F5DD250" w14:textId="77777777" w:rsidTr="00071901">
        <w:trPr>
          <w:trHeight w:val="341"/>
          <w:jc w:val="center"/>
        </w:trPr>
        <w:tc>
          <w:tcPr>
            <w:tcW w:w="3865" w:type="dxa"/>
            <w:vAlign w:val="center"/>
          </w:tcPr>
          <w:p w14:paraId="0633630C" w14:textId="176BCC8C" w:rsidR="00B153FA" w:rsidRPr="00BC722E" w:rsidRDefault="00B153FA" w:rsidP="00071901">
            <w:pPr>
              <w:pStyle w:val="TableParagraph"/>
              <w:widowControl/>
              <w:spacing w:line="240" w:lineRule="auto"/>
              <w:ind w:left="671" w:hanging="621"/>
              <w:contextualSpacing/>
              <w:jc w:val="left"/>
              <w:rPr>
                <w:kern w:val="2"/>
              </w:rPr>
            </w:pPr>
            <w:r w:rsidRPr="00BC722E">
              <w:rPr>
                <w:kern w:val="2"/>
              </w:rPr>
              <w:t>Emergency Department</w:t>
            </w:r>
          </w:p>
        </w:tc>
        <w:tc>
          <w:tcPr>
            <w:tcW w:w="1708" w:type="dxa"/>
            <w:shd w:val="clear" w:color="auto" w:fill="auto"/>
            <w:vAlign w:val="center"/>
          </w:tcPr>
          <w:p w14:paraId="7C6B788E" w14:textId="77777777" w:rsidR="00B153FA" w:rsidRPr="00BC722E" w:rsidRDefault="00B153FA" w:rsidP="00071901">
            <w:pPr>
              <w:pStyle w:val="TableParagraph"/>
              <w:widowControl/>
              <w:spacing w:line="240" w:lineRule="auto"/>
              <w:ind w:right="90"/>
              <w:contextualSpacing/>
              <w:rPr>
                <w:kern w:val="2"/>
              </w:rPr>
            </w:pPr>
            <w:r w:rsidRPr="00BC722E">
              <w:rPr>
                <w:color w:val="000000"/>
              </w:rPr>
              <w:t>30,919</w:t>
            </w:r>
          </w:p>
        </w:tc>
        <w:tc>
          <w:tcPr>
            <w:tcW w:w="1708" w:type="dxa"/>
            <w:vAlign w:val="center"/>
          </w:tcPr>
          <w:p w14:paraId="41FCDE71" w14:textId="77777777" w:rsidR="00B153FA" w:rsidRPr="00BC722E" w:rsidRDefault="00B153FA" w:rsidP="00071901">
            <w:pPr>
              <w:pStyle w:val="TableParagraph"/>
              <w:widowControl/>
              <w:spacing w:line="240" w:lineRule="auto"/>
              <w:ind w:right="90"/>
              <w:contextualSpacing/>
              <w:rPr>
                <w:kern w:val="2"/>
              </w:rPr>
            </w:pPr>
            <w:r w:rsidRPr="00BC722E">
              <w:rPr>
                <w:color w:val="000000"/>
              </w:rPr>
              <w:t>30,211</w:t>
            </w:r>
          </w:p>
        </w:tc>
        <w:tc>
          <w:tcPr>
            <w:tcW w:w="1709" w:type="dxa"/>
            <w:vAlign w:val="center"/>
          </w:tcPr>
          <w:p w14:paraId="1CEE5C76" w14:textId="77777777" w:rsidR="00B153FA" w:rsidRPr="00BC722E" w:rsidRDefault="00B153FA" w:rsidP="00071901">
            <w:pPr>
              <w:pStyle w:val="TableParagraph"/>
              <w:widowControl/>
              <w:spacing w:line="240" w:lineRule="auto"/>
              <w:ind w:right="70"/>
              <w:contextualSpacing/>
              <w:rPr>
                <w:kern w:val="2"/>
              </w:rPr>
            </w:pPr>
            <w:r w:rsidRPr="00BC722E">
              <w:rPr>
                <w:color w:val="000000"/>
              </w:rPr>
              <w:t>15,248</w:t>
            </w:r>
          </w:p>
        </w:tc>
      </w:tr>
      <w:tr w:rsidR="00B153FA" w:rsidRPr="00BC722E" w14:paraId="4304C6CB" w14:textId="77777777" w:rsidTr="00071901">
        <w:trPr>
          <w:trHeight w:val="359"/>
          <w:jc w:val="center"/>
        </w:trPr>
        <w:tc>
          <w:tcPr>
            <w:tcW w:w="3865" w:type="dxa"/>
            <w:vAlign w:val="center"/>
          </w:tcPr>
          <w:p w14:paraId="4D5A30C9" w14:textId="77777777" w:rsidR="00B153FA" w:rsidRPr="00BC722E" w:rsidRDefault="00B153FA" w:rsidP="00071901">
            <w:pPr>
              <w:pStyle w:val="TableParagraph"/>
              <w:widowControl/>
              <w:spacing w:line="240" w:lineRule="auto"/>
              <w:ind w:left="671" w:hanging="621"/>
              <w:contextualSpacing/>
              <w:jc w:val="left"/>
              <w:rPr>
                <w:kern w:val="2"/>
              </w:rPr>
            </w:pPr>
            <w:r w:rsidRPr="00BC722E">
              <w:rPr>
                <w:kern w:val="2"/>
              </w:rPr>
              <w:t>Outpatient Procedures</w:t>
            </w:r>
            <w:r w:rsidRPr="00BC722E">
              <w:rPr>
                <w:rStyle w:val="FootnoteReference"/>
                <w:kern w:val="2"/>
              </w:rPr>
              <w:footnoteReference w:id="6"/>
            </w:r>
          </w:p>
        </w:tc>
        <w:tc>
          <w:tcPr>
            <w:tcW w:w="1708" w:type="dxa"/>
            <w:shd w:val="clear" w:color="auto" w:fill="auto"/>
            <w:vAlign w:val="center"/>
          </w:tcPr>
          <w:p w14:paraId="180E7440" w14:textId="77777777" w:rsidR="00B153FA" w:rsidRPr="00BC722E" w:rsidRDefault="00B153FA" w:rsidP="00071901">
            <w:pPr>
              <w:pStyle w:val="TableParagraph"/>
              <w:widowControl/>
              <w:spacing w:line="240" w:lineRule="auto"/>
              <w:ind w:right="90"/>
              <w:contextualSpacing/>
              <w:rPr>
                <w:kern w:val="2"/>
              </w:rPr>
            </w:pPr>
            <w:r w:rsidRPr="00BC722E">
              <w:rPr>
                <w:kern w:val="2"/>
              </w:rPr>
              <w:t>196,804</w:t>
            </w:r>
          </w:p>
        </w:tc>
        <w:tc>
          <w:tcPr>
            <w:tcW w:w="1708" w:type="dxa"/>
            <w:vAlign w:val="center"/>
          </w:tcPr>
          <w:p w14:paraId="7D8E7DEF" w14:textId="77777777" w:rsidR="00B153FA" w:rsidRPr="00BC722E" w:rsidRDefault="00B153FA" w:rsidP="00071901">
            <w:pPr>
              <w:pStyle w:val="TableParagraph"/>
              <w:widowControl/>
              <w:spacing w:line="240" w:lineRule="auto"/>
              <w:ind w:right="90"/>
              <w:contextualSpacing/>
              <w:rPr>
                <w:kern w:val="2"/>
              </w:rPr>
            </w:pPr>
            <w:r w:rsidRPr="00BC722E">
              <w:rPr>
                <w:kern w:val="2"/>
              </w:rPr>
              <w:t>204,061</w:t>
            </w:r>
          </w:p>
        </w:tc>
        <w:tc>
          <w:tcPr>
            <w:tcW w:w="1709" w:type="dxa"/>
            <w:vAlign w:val="center"/>
          </w:tcPr>
          <w:p w14:paraId="5E822CFD" w14:textId="77777777" w:rsidR="00B153FA" w:rsidRPr="00BC722E" w:rsidRDefault="00B153FA" w:rsidP="00071901">
            <w:pPr>
              <w:pStyle w:val="TableParagraph"/>
              <w:widowControl/>
              <w:spacing w:line="240" w:lineRule="auto"/>
              <w:ind w:right="70"/>
              <w:contextualSpacing/>
              <w:rPr>
                <w:kern w:val="2"/>
              </w:rPr>
            </w:pPr>
            <w:r w:rsidRPr="00BC722E">
              <w:rPr>
                <w:kern w:val="2"/>
              </w:rPr>
              <w:t>101,908</w:t>
            </w:r>
          </w:p>
        </w:tc>
      </w:tr>
      <w:bookmarkEnd w:id="7"/>
    </w:tbl>
    <w:p w14:paraId="712188F9" w14:textId="77777777" w:rsidR="00F05B0A" w:rsidRDefault="00F05B0A" w:rsidP="00E96CDC">
      <w:pPr>
        <w:pStyle w:val="Default"/>
      </w:pPr>
    </w:p>
    <w:p w14:paraId="2E90BC1C" w14:textId="77777777" w:rsidR="00E96CDC" w:rsidRPr="00E96CDC" w:rsidRDefault="00E96CDC" w:rsidP="00E96CDC">
      <w:pPr>
        <w:pStyle w:val="Default"/>
        <w:numPr>
          <w:ilvl w:val="0"/>
          <w:numId w:val="3"/>
        </w:numPr>
        <w:jc w:val="both"/>
        <w:rPr>
          <w:b/>
          <w:bCs/>
        </w:rPr>
      </w:pPr>
      <w:bookmarkStart w:id="9" w:name="2._A_description_of_the_anticipated_impa"/>
      <w:bookmarkEnd w:id="9"/>
      <w:r w:rsidRPr="00E96CDC">
        <w:rPr>
          <w:b/>
          <w:bCs/>
        </w:rPr>
        <w:t>A description of the anticipated impact on individuals in the Hospital’s service area following the closure of the Services.</w:t>
      </w:r>
    </w:p>
    <w:p w14:paraId="018D3732" w14:textId="77777777" w:rsidR="00E96CDC" w:rsidRPr="00E96CDC" w:rsidRDefault="00E96CDC" w:rsidP="00E96CDC">
      <w:pPr>
        <w:pStyle w:val="Default"/>
        <w:jc w:val="both"/>
        <w:rPr>
          <w:b/>
        </w:rPr>
      </w:pPr>
    </w:p>
    <w:p w14:paraId="218B3569" w14:textId="77777777" w:rsidR="00452AD0" w:rsidRPr="0038667C" w:rsidRDefault="00452AD0" w:rsidP="00452AD0">
      <w:pPr>
        <w:pStyle w:val="Default"/>
        <w:jc w:val="both"/>
      </w:pPr>
      <w:r w:rsidRPr="0038667C">
        <w:t xml:space="preserve">Following an extensive sale process over the course of nearly five months, SHC did not receive any actionable offers for Carney Hospital as part of the </w:t>
      </w:r>
      <w:r>
        <w:t>C</w:t>
      </w:r>
      <w:r w:rsidRPr="0038667C">
        <w:t xml:space="preserve">hapter 11 </w:t>
      </w:r>
      <w:r>
        <w:t xml:space="preserve">Bankruptcy </w:t>
      </w:r>
      <w:r w:rsidRPr="0038667C">
        <w:t xml:space="preserve">process. After exhausting the viable alternatives to transition the Hospital to another operator, SHC has made the difficult decision to close the Hospital.  </w:t>
      </w:r>
    </w:p>
    <w:p w14:paraId="748CB21E" w14:textId="77777777" w:rsidR="00452AD0" w:rsidRPr="0038667C" w:rsidRDefault="00452AD0" w:rsidP="00452AD0">
      <w:pPr>
        <w:pStyle w:val="Default"/>
        <w:jc w:val="both"/>
        <w:rPr>
          <w:i/>
          <w:iCs/>
        </w:rPr>
      </w:pPr>
    </w:p>
    <w:p w14:paraId="549A1E59" w14:textId="12651FCA" w:rsidR="00452AD0" w:rsidRDefault="00452AD0" w:rsidP="00452AD0">
      <w:pPr>
        <w:pStyle w:val="Default"/>
        <w:jc w:val="both"/>
      </w:pPr>
      <w:r w:rsidRPr="0038667C">
        <w:t>This is a challenging and unfortunate situation, and the effect it will have on the Hospital’s patients, employees, and the community served is regrettable. SHC</w:t>
      </w:r>
      <w:r w:rsidR="00342192">
        <w:t>’s overwhelming priority is to our patients, their families and our dedicated employees.  We are</w:t>
      </w:r>
      <w:r w:rsidRPr="0038667C">
        <w:t xml:space="preserve"> committed to </w:t>
      </w:r>
      <w:r>
        <w:t>facilitating</w:t>
      </w:r>
      <w:r w:rsidRPr="0038667C">
        <w:t xml:space="preserve"> a smooth transition for those affected, while continuing to provide quality care to </w:t>
      </w:r>
      <w:r w:rsidR="00342192">
        <w:t>our</w:t>
      </w:r>
      <w:r w:rsidR="00342192" w:rsidRPr="0038667C">
        <w:t xml:space="preserve"> </w:t>
      </w:r>
      <w:r w:rsidRPr="0038667C">
        <w:t xml:space="preserve">patients. Among other things, SHC will work closely with the Hospital’s patients to help them find the best possible care alternative and with its valued employees and health care professionals to assist during this difficult transition. </w:t>
      </w:r>
    </w:p>
    <w:p w14:paraId="378B1EB7" w14:textId="77777777" w:rsidR="00452AD0" w:rsidRDefault="00452AD0" w:rsidP="00452AD0">
      <w:pPr>
        <w:pStyle w:val="Default"/>
        <w:jc w:val="both"/>
      </w:pPr>
    </w:p>
    <w:p w14:paraId="6F2618E9" w14:textId="77777777" w:rsidR="00452AD0" w:rsidRDefault="00452AD0" w:rsidP="00452AD0">
      <w:pPr>
        <w:pStyle w:val="Default"/>
        <w:jc w:val="both"/>
      </w:pPr>
      <w:r>
        <w:t xml:space="preserve">The Hospital notes that the other facilities in the region, which are available to the patients currently served by the Hospital, include the following: </w:t>
      </w:r>
    </w:p>
    <w:p w14:paraId="6376C1A6" w14:textId="77777777" w:rsidR="00374662" w:rsidRDefault="00374662" w:rsidP="00E96CDC">
      <w:pPr>
        <w:pStyle w:val="Default"/>
      </w:pPr>
      <w:bookmarkStart w:id="10" w:name="_Hlk173148594"/>
    </w:p>
    <w:p w14:paraId="5DEFE48E" w14:textId="77777777" w:rsidR="008A1214" w:rsidRDefault="008A1214" w:rsidP="008A1214">
      <w:pPr>
        <w:pStyle w:val="Default"/>
        <w:numPr>
          <w:ilvl w:val="0"/>
          <w:numId w:val="4"/>
        </w:numPr>
      </w:pPr>
      <w:bookmarkStart w:id="11" w:name="_Hlk173153130"/>
      <w:r w:rsidRPr="00374662">
        <w:t>Beth Israel Deaconess Hospital Milton</w:t>
      </w:r>
      <w:r w:rsidR="00374662" w:rsidRPr="00374662">
        <w:t xml:space="preserve"> – </w:t>
      </w:r>
      <w:r w:rsidR="00E5555A" w:rsidRPr="00E5555A">
        <w:t xml:space="preserve">199 </w:t>
      </w:r>
      <w:proofErr w:type="spellStart"/>
      <w:r w:rsidR="00E5555A" w:rsidRPr="00E5555A">
        <w:t>Reedsdale</w:t>
      </w:r>
      <w:proofErr w:type="spellEnd"/>
      <w:r w:rsidR="00E5555A" w:rsidRPr="00E5555A">
        <w:t xml:space="preserve"> Rd, Milton, MA 02186</w:t>
      </w:r>
    </w:p>
    <w:p w14:paraId="572000F6" w14:textId="77777777" w:rsidR="00374662" w:rsidRPr="00374662" w:rsidRDefault="00374662" w:rsidP="00374662">
      <w:pPr>
        <w:pStyle w:val="Default"/>
        <w:numPr>
          <w:ilvl w:val="0"/>
          <w:numId w:val="4"/>
        </w:numPr>
      </w:pPr>
      <w:r w:rsidRPr="008A1214">
        <w:t>Brigham and Women’s Faulkner H</w:t>
      </w:r>
      <w:r>
        <w:t xml:space="preserve">ospital – </w:t>
      </w:r>
      <w:r w:rsidR="00E5555A" w:rsidRPr="00E5555A">
        <w:t>1153 Centre St, Jamaica Plain, MA 02130</w:t>
      </w:r>
      <w:r w:rsidR="00E5555A">
        <w:t xml:space="preserve"> </w:t>
      </w:r>
    </w:p>
    <w:p w14:paraId="01D1D45C" w14:textId="77777777" w:rsidR="00975B52" w:rsidRDefault="008A1214" w:rsidP="00975B52">
      <w:pPr>
        <w:pStyle w:val="Default"/>
        <w:numPr>
          <w:ilvl w:val="0"/>
          <w:numId w:val="4"/>
        </w:numPr>
      </w:pPr>
      <w:r w:rsidRPr="00374662">
        <w:t xml:space="preserve">Boston Medical Center </w:t>
      </w:r>
      <w:r w:rsidR="00374662" w:rsidRPr="00374662">
        <w:t xml:space="preserve">– </w:t>
      </w:r>
      <w:r w:rsidR="00E5555A" w:rsidRPr="00E5555A">
        <w:t>One Boston Medical Center Pl, Boston, MA 02118</w:t>
      </w:r>
    </w:p>
    <w:p w14:paraId="69CC6B9E" w14:textId="77777777" w:rsidR="00975B52" w:rsidRDefault="00975B52" w:rsidP="00E5555A">
      <w:pPr>
        <w:pStyle w:val="Default"/>
        <w:numPr>
          <w:ilvl w:val="0"/>
          <w:numId w:val="4"/>
        </w:numPr>
      </w:pPr>
      <w:r>
        <w:t xml:space="preserve">Bournewood Hospital – </w:t>
      </w:r>
      <w:r w:rsidR="00E5555A" w:rsidRPr="00E5555A">
        <w:t>300 South St, Chestnut Hill, MA 02467</w:t>
      </w:r>
    </w:p>
    <w:p w14:paraId="62496DF5" w14:textId="77777777" w:rsidR="00374662" w:rsidRPr="00E5555A" w:rsidRDefault="00374662" w:rsidP="00374662">
      <w:pPr>
        <w:pStyle w:val="Default"/>
        <w:numPr>
          <w:ilvl w:val="0"/>
          <w:numId w:val="4"/>
        </w:numPr>
      </w:pPr>
      <w:r w:rsidRPr="00E5555A">
        <w:t xml:space="preserve">Beth Israel Deaconess Medical Center – </w:t>
      </w:r>
      <w:r w:rsidR="00E5555A" w:rsidRPr="00E5555A">
        <w:t>330 Brookline Ave, Boston, MA 02215</w:t>
      </w:r>
    </w:p>
    <w:p w14:paraId="360C2D84" w14:textId="77777777" w:rsidR="00E5555A" w:rsidRPr="00E5555A" w:rsidRDefault="00E5555A" w:rsidP="00374662">
      <w:pPr>
        <w:pStyle w:val="Default"/>
        <w:numPr>
          <w:ilvl w:val="0"/>
          <w:numId w:val="4"/>
        </w:numPr>
      </w:pPr>
      <w:r w:rsidRPr="00E5555A">
        <w:t>Cambridge Health Alliance</w:t>
      </w:r>
      <w:r>
        <w:rPr>
          <w:rStyle w:val="FootnoteReference"/>
          <w:lang w:val="es-MX"/>
        </w:rPr>
        <w:footnoteReference w:id="7"/>
      </w:r>
      <w:r w:rsidRPr="00E5555A">
        <w:t xml:space="preserve"> - 1493 Cambridge St, Cambridge, MA 02139</w:t>
      </w:r>
    </w:p>
    <w:p w14:paraId="0C3AEECF" w14:textId="77777777" w:rsidR="00E5555A" w:rsidRDefault="008A1214" w:rsidP="00811FD4">
      <w:pPr>
        <w:pStyle w:val="Default"/>
        <w:numPr>
          <w:ilvl w:val="0"/>
          <w:numId w:val="4"/>
        </w:numPr>
      </w:pPr>
      <w:r w:rsidRPr="00E5555A">
        <w:t xml:space="preserve">Tufts Medical Center </w:t>
      </w:r>
      <w:r w:rsidR="00374662" w:rsidRPr="00E5555A">
        <w:t xml:space="preserve">– </w:t>
      </w:r>
      <w:r w:rsidR="00E5555A" w:rsidRPr="00E5555A">
        <w:t>800 Washington St, Boston, MA 02111</w:t>
      </w:r>
    </w:p>
    <w:p w14:paraId="4BE8241C" w14:textId="77777777" w:rsidR="00374662" w:rsidRPr="00374662" w:rsidRDefault="00374662" w:rsidP="00811FD4">
      <w:pPr>
        <w:pStyle w:val="Default"/>
        <w:numPr>
          <w:ilvl w:val="0"/>
          <w:numId w:val="4"/>
        </w:numPr>
      </w:pPr>
      <w:r w:rsidRPr="00374662">
        <w:t xml:space="preserve">South Shore Hospital – </w:t>
      </w:r>
      <w:r w:rsidR="00F23DDD" w:rsidRPr="00F23DDD">
        <w:t>55 Fogg Rd, South Weymouth, MA 02190</w:t>
      </w:r>
    </w:p>
    <w:p w14:paraId="23BE26C2" w14:textId="77777777" w:rsidR="00975B52" w:rsidRDefault="00374662" w:rsidP="00975B52">
      <w:pPr>
        <w:pStyle w:val="Default"/>
        <w:numPr>
          <w:ilvl w:val="0"/>
          <w:numId w:val="4"/>
        </w:numPr>
      </w:pPr>
      <w:r w:rsidRPr="00374662">
        <w:t xml:space="preserve">St. Elizabeth’s Medical Center – </w:t>
      </w:r>
      <w:r w:rsidR="00F23DDD" w:rsidRPr="00F23DDD">
        <w:t>736 Cambridge St, Boston, MA 02135</w:t>
      </w:r>
    </w:p>
    <w:p w14:paraId="50E1991F" w14:textId="77777777" w:rsidR="00975B52" w:rsidRPr="00374662" w:rsidRDefault="00975B52" w:rsidP="00E5555A">
      <w:pPr>
        <w:pStyle w:val="Default"/>
        <w:numPr>
          <w:ilvl w:val="0"/>
          <w:numId w:val="4"/>
        </w:numPr>
      </w:pPr>
      <w:r>
        <w:t>Mount Auburn Hospital</w:t>
      </w:r>
      <w:r w:rsidR="00F23DDD">
        <w:t xml:space="preserve"> </w:t>
      </w:r>
      <w:r w:rsidR="00F23DDD" w:rsidRPr="00374662">
        <w:t>–</w:t>
      </w:r>
      <w:r w:rsidR="00F23DDD">
        <w:t xml:space="preserve"> </w:t>
      </w:r>
      <w:r w:rsidR="00F23DDD" w:rsidRPr="00F23DDD">
        <w:t>330 Mt Auburn St, Cambridge, MA 02138</w:t>
      </w:r>
      <w:r w:rsidR="00F23DDD">
        <w:t xml:space="preserve"> </w:t>
      </w:r>
    </w:p>
    <w:p w14:paraId="79BC2063" w14:textId="77777777" w:rsidR="00374662" w:rsidRPr="00374662" w:rsidRDefault="00374662" w:rsidP="008A1214">
      <w:pPr>
        <w:pStyle w:val="Default"/>
        <w:numPr>
          <w:ilvl w:val="0"/>
          <w:numId w:val="4"/>
        </w:numPr>
      </w:pPr>
      <w:r w:rsidRPr="00374662">
        <w:t xml:space="preserve">Good Samaritan Medical Center – </w:t>
      </w:r>
      <w:r w:rsidR="00F23DDD" w:rsidRPr="00F23DDD">
        <w:t>235 N Pearl St, Brockton, MA 02301</w:t>
      </w:r>
      <w:r>
        <w:t xml:space="preserve"> </w:t>
      </w:r>
    </w:p>
    <w:bookmarkEnd w:id="10"/>
    <w:bookmarkEnd w:id="11"/>
    <w:p w14:paraId="413365E8" w14:textId="77777777" w:rsidR="00D56FD6" w:rsidRPr="00E96CDC" w:rsidRDefault="00D56FD6" w:rsidP="0038667C">
      <w:pPr>
        <w:pStyle w:val="Default"/>
        <w:jc w:val="both"/>
      </w:pPr>
    </w:p>
    <w:p w14:paraId="6BD95D81" w14:textId="77777777" w:rsidR="00E96CDC" w:rsidRPr="00E96CDC" w:rsidRDefault="00E96CDC" w:rsidP="00E96CDC">
      <w:pPr>
        <w:pStyle w:val="Default"/>
        <w:numPr>
          <w:ilvl w:val="0"/>
          <w:numId w:val="3"/>
        </w:numPr>
        <w:jc w:val="both"/>
        <w:rPr>
          <w:b/>
          <w:bCs/>
        </w:rPr>
      </w:pPr>
      <w:bookmarkStart w:id="12" w:name="3._Date_for_the_closure_of_the_Service."/>
      <w:bookmarkEnd w:id="12"/>
      <w:r w:rsidRPr="00E96CDC">
        <w:rPr>
          <w:b/>
          <w:bCs/>
        </w:rPr>
        <w:t>Date for the closure of the Service.</w:t>
      </w:r>
    </w:p>
    <w:p w14:paraId="0CE5111B" w14:textId="77777777" w:rsidR="00E96CDC" w:rsidRPr="00E96CDC" w:rsidRDefault="00E96CDC" w:rsidP="00E96CDC">
      <w:pPr>
        <w:pStyle w:val="Default"/>
        <w:jc w:val="both"/>
        <w:rPr>
          <w:b/>
        </w:rPr>
      </w:pPr>
    </w:p>
    <w:p w14:paraId="4ACDFA5F" w14:textId="77777777" w:rsidR="00E96CDC" w:rsidRDefault="00E96CDC" w:rsidP="00E96CDC">
      <w:pPr>
        <w:pStyle w:val="Default"/>
      </w:pPr>
      <w:r w:rsidRPr="00E96CDC">
        <w:t>The Hospital anticipates closing on</w:t>
      </w:r>
      <w:r w:rsidR="004F79D9">
        <w:t xml:space="preserve"> or around</w:t>
      </w:r>
      <w:r w:rsidRPr="00E96CDC">
        <w:t xml:space="preserve"> </w:t>
      </w:r>
      <w:r w:rsidR="00F05B0A">
        <w:t xml:space="preserve">August 31, 2024. </w:t>
      </w:r>
    </w:p>
    <w:p w14:paraId="5B0AE5E0" w14:textId="77777777" w:rsidR="00F05B0A" w:rsidRPr="00E96CDC" w:rsidRDefault="00F05B0A" w:rsidP="00E96CDC">
      <w:pPr>
        <w:pStyle w:val="Default"/>
      </w:pPr>
    </w:p>
    <w:p w14:paraId="4C21BAA2" w14:textId="77777777" w:rsidR="00E96CDC" w:rsidRPr="00143CEA" w:rsidRDefault="00E96CDC" w:rsidP="00E96CDC">
      <w:pPr>
        <w:pStyle w:val="Default"/>
        <w:numPr>
          <w:ilvl w:val="0"/>
          <w:numId w:val="3"/>
        </w:numPr>
        <w:rPr>
          <w:b/>
          <w:bCs/>
        </w:rPr>
      </w:pPr>
      <w:bookmarkStart w:id="13" w:name="4._Names_and_addresses_of_any_organized_"/>
      <w:bookmarkEnd w:id="13"/>
      <w:r w:rsidRPr="00143CEA">
        <w:rPr>
          <w:b/>
          <w:bCs/>
        </w:rPr>
        <w:t>Names and addresses of any organized health care coalitions and community groups known to the Hospital when the notice is issued to DPH that would have an interest in the closure of the Services.</w:t>
      </w:r>
    </w:p>
    <w:p w14:paraId="4501C725" w14:textId="77777777" w:rsidR="00F05B0A" w:rsidRDefault="00F05B0A" w:rsidP="00E96CDC">
      <w:pPr>
        <w:pStyle w:val="Default"/>
        <w:jc w:val="both"/>
      </w:pPr>
    </w:p>
    <w:p w14:paraId="228AD52A" w14:textId="77777777" w:rsidR="00143CEA" w:rsidRPr="00143CEA" w:rsidRDefault="00143CEA" w:rsidP="00B153FA">
      <w:pPr>
        <w:pStyle w:val="Default"/>
        <w:numPr>
          <w:ilvl w:val="0"/>
          <w:numId w:val="5"/>
        </w:numPr>
        <w:jc w:val="both"/>
      </w:pPr>
      <w:r w:rsidRPr="00143CEA">
        <w:t>Domestic Violence Ended (DOVE)</w:t>
      </w:r>
    </w:p>
    <w:p w14:paraId="43206E6B" w14:textId="77777777" w:rsidR="00143CEA" w:rsidRPr="00143CEA" w:rsidRDefault="00143CEA" w:rsidP="00B153FA">
      <w:pPr>
        <w:pStyle w:val="Default"/>
        <w:ind w:firstLine="720"/>
        <w:jc w:val="both"/>
      </w:pPr>
      <w:r w:rsidRPr="00143CEA">
        <w:t>P.O. Box 690267</w:t>
      </w:r>
    </w:p>
    <w:p w14:paraId="4E38E79F" w14:textId="77777777" w:rsidR="00143CEA" w:rsidRPr="00143CEA" w:rsidRDefault="00143CEA" w:rsidP="00B153FA">
      <w:pPr>
        <w:pStyle w:val="Default"/>
        <w:ind w:firstLine="720"/>
        <w:jc w:val="both"/>
      </w:pPr>
      <w:r w:rsidRPr="00143CEA">
        <w:t>Quincy, MA  02269</w:t>
      </w:r>
    </w:p>
    <w:p w14:paraId="50544007" w14:textId="77777777" w:rsidR="00143CEA" w:rsidRPr="00143CEA" w:rsidRDefault="00143CEA" w:rsidP="00143CEA">
      <w:pPr>
        <w:pStyle w:val="Default"/>
        <w:jc w:val="both"/>
      </w:pPr>
    </w:p>
    <w:p w14:paraId="4B29307F" w14:textId="77777777" w:rsidR="00143CEA" w:rsidRPr="00143CEA" w:rsidRDefault="00143CEA" w:rsidP="00B153FA">
      <w:pPr>
        <w:pStyle w:val="Default"/>
        <w:numPr>
          <w:ilvl w:val="0"/>
          <w:numId w:val="5"/>
        </w:numPr>
        <w:jc w:val="both"/>
      </w:pPr>
      <w:bookmarkStart w:id="14" w:name="_Hlk173749755"/>
      <w:r w:rsidRPr="00143CEA">
        <w:t>National Alliance of Mental Illness (NAMI)</w:t>
      </w:r>
    </w:p>
    <w:p w14:paraId="06365DD1" w14:textId="77777777" w:rsidR="00143CEA" w:rsidRPr="00143CEA" w:rsidRDefault="00143CEA" w:rsidP="00B153FA">
      <w:pPr>
        <w:pStyle w:val="Default"/>
        <w:ind w:firstLine="720"/>
        <w:jc w:val="both"/>
      </w:pPr>
      <w:r w:rsidRPr="00143CEA">
        <w:t>331 Montvale Avenue, 2</w:t>
      </w:r>
      <w:r w:rsidRPr="00143CEA">
        <w:rPr>
          <w:vertAlign w:val="superscript"/>
        </w:rPr>
        <w:t>nd</w:t>
      </w:r>
      <w:r w:rsidRPr="00143CEA">
        <w:t xml:space="preserve"> Floor</w:t>
      </w:r>
    </w:p>
    <w:p w14:paraId="6EB9E10E" w14:textId="77777777" w:rsidR="00143CEA" w:rsidRPr="00143CEA" w:rsidRDefault="00143CEA" w:rsidP="00B153FA">
      <w:pPr>
        <w:pStyle w:val="Default"/>
        <w:ind w:firstLine="720"/>
        <w:jc w:val="both"/>
      </w:pPr>
      <w:r w:rsidRPr="00143CEA">
        <w:t>Woburn, MA  01801</w:t>
      </w:r>
    </w:p>
    <w:bookmarkEnd w:id="14"/>
    <w:p w14:paraId="6BFBD6E3" w14:textId="77777777" w:rsidR="00143CEA" w:rsidRDefault="00143CEA" w:rsidP="00E96CDC">
      <w:pPr>
        <w:pStyle w:val="Default"/>
        <w:jc w:val="both"/>
      </w:pPr>
    </w:p>
    <w:p w14:paraId="376FA599" w14:textId="77777777" w:rsidR="00E96CDC" w:rsidRPr="00E96CDC" w:rsidRDefault="00E96CDC" w:rsidP="00E96CDC">
      <w:pPr>
        <w:pStyle w:val="Default"/>
        <w:jc w:val="both"/>
      </w:pPr>
    </w:p>
    <w:p w14:paraId="51309E0C" w14:textId="77777777" w:rsidR="00E96CDC" w:rsidRPr="006F2953" w:rsidRDefault="00E96CDC" w:rsidP="00E96CDC">
      <w:pPr>
        <w:pStyle w:val="Default"/>
        <w:numPr>
          <w:ilvl w:val="0"/>
          <w:numId w:val="3"/>
        </w:numPr>
        <w:rPr>
          <w:b/>
          <w:bCs/>
        </w:rPr>
      </w:pPr>
      <w:bookmarkStart w:id="15" w:name="5._A_detailed_account_of_any_community_e"/>
      <w:bookmarkEnd w:id="15"/>
      <w:r w:rsidRPr="006F2953">
        <w:rPr>
          <w:b/>
          <w:bCs/>
        </w:rPr>
        <w:t>A detailed account of any community engagement and planning which has occurred prior to filing notice of the closure of the Services.</w:t>
      </w:r>
    </w:p>
    <w:p w14:paraId="512C066E" w14:textId="77777777" w:rsidR="00F05B0A" w:rsidRDefault="00F05B0A" w:rsidP="00E96CDC">
      <w:pPr>
        <w:pStyle w:val="Default"/>
      </w:pPr>
    </w:p>
    <w:p w14:paraId="62B98E6A" w14:textId="248984CB" w:rsidR="00BC722E" w:rsidRDefault="00BC722E" w:rsidP="00BC722E">
      <w:pPr>
        <w:adjustRightInd w:val="0"/>
        <w:ind w:left="360"/>
        <w:jc w:val="both"/>
      </w:pPr>
      <w:r w:rsidRPr="00AE74CD">
        <w:t xml:space="preserve">The Hospital has and will continue to engage with local stakeholders, including the Mayor, city councilors and local </w:t>
      </w:r>
      <w:r>
        <w:t>elected officials</w:t>
      </w:r>
      <w:r w:rsidRPr="00AE74CD">
        <w:t xml:space="preserve">. The purpose of such community engagement is to identify concerns with the closure of the Hospital and determine how they will be addressed. Additionally, Steward </w:t>
      </w:r>
      <w:r>
        <w:t>s</w:t>
      </w:r>
      <w:r w:rsidRPr="00AE74CD">
        <w:t xml:space="preserve">enior </w:t>
      </w:r>
      <w:r>
        <w:t>l</w:t>
      </w:r>
      <w:r w:rsidRPr="00AE74CD">
        <w:t xml:space="preserve">eadership </w:t>
      </w:r>
      <w:r>
        <w:t xml:space="preserve">is </w:t>
      </w:r>
      <w:r w:rsidRPr="00AE74CD">
        <w:t>engaged in ongoing conversations with the Department and the Executive Office of Health and Human Services to discuss the planned closure.</w:t>
      </w:r>
    </w:p>
    <w:p w14:paraId="039953A0" w14:textId="77777777" w:rsidR="00BC722E" w:rsidRDefault="00BC722E" w:rsidP="00BC722E">
      <w:pPr>
        <w:adjustRightInd w:val="0"/>
        <w:ind w:left="720"/>
        <w:jc w:val="both"/>
      </w:pPr>
    </w:p>
    <w:p w14:paraId="2C29CFCF" w14:textId="77777777" w:rsidR="00BC722E" w:rsidRPr="00FE66D3" w:rsidRDefault="00BC722E" w:rsidP="00BC722E">
      <w:pPr>
        <w:pStyle w:val="BodyText"/>
        <w:widowControl/>
        <w:ind w:firstLine="360"/>
        <w:jc w:val="both"/>
        <w:rPr>
          <w:b/>
          <w:kern w:val="2"/>
        </w:rPr>
      </w:pPr>
      <w:r w:rsidRPr="00691038">
        <w:rPr>
          <w:rFonts w:eastAsiaTheme="minorHAnsi"/>
          <w:color w:val="070707"/>
          <w:kern w:val="2"/>
        </w:rPr>
        <w:t>The following communications have occurred:</w:t>
      </w:r>
    </w:p>
    <w:p w14:paraId="5B15F1E5" w14:textId="77777777" w:rsidR="00BC722E" w:rsidRDefault="00BC722E" w:rsidP="00BC722E">
      <w:pPr>
        <w:jc w:val="both"/>
        <w:rPr>
          <w:kern w:val="2"/>
        </w:rPr>
      </w:pPr>
    </w:p>
    <w:p w14:paraId="73EDB2C8" w14:textId="263BFD38" w:rsidR="00BC722E" w:rsidRPr="00347355" w:rsidRDefault="009A4F39" w:rsidP="00BC722E">
      <w:pPr>
        <w:pStyle w:val="ListParagraph"/>
        <w:widowControl/>
        <w:numPr>
          <w:ilvl w:val="0"/>
          <w:numId w:val="9"/>
        </w:numPr>
        <w:jc w:val="both"/>
        <w:rPr>
          <w:b/>
          <w:bCs/>
          <w:kern w:val="2"/>
          <w:sz w:val="24"/>
          <w:szCs w:val="24"/>
          <w:u w:val="single"/>
        </w:rPr>
      </w:pPr>
      <w:bookmarkStart w:id="16" w:name="_Hlk173748167"/>
      <w:r>
        <w:rPr>
          <w:kern w:val="2"/>
          <w:sz w:val="24"/>
          <w:szCs w:val="24"/>
        </w:rPr>
        <w:t>SHC</w:t>
      </w:r>
      <w:r w:rsidR="00BC722E">
        <w:rPr>
          <w:kern w:val="2"/>
          <w:sz w:val="24"/>
          <w:szCs w:val="24"/>
        </w:rPr>
        <w:t xml:space="preserve"> leadership notified Massachusetts Nurses Association, SEIU and Air Traffic Control.</w:t>
      </w:r>
    </w:p>
    <w:p w14:paraId="00F0A5A3" w14:textId="24398A2A" w:rsidR="00BC722E" w:rsidRPr="00691038" w:rsidRDefault="00BC722E" w:rsidP="00BC722E">
      <w:pPr>
        <w:pStyle w:val="ListParagraph"/>
        <w:widowControl/>
        <w:numPr>
          <w:ilvl w:val="0"/>
          <w:numId w:val="9"/>
        </w:numPr>
        <w:jc w:val="both"/>
        <w:rPr>
          <w:b/>
          <w:bCs/>
          <w:kern w:val="2"/>
          <w:sz w:val="24"/>
          <w:szCs w:val="24"/>
          <w:u w:val="single"/>
        </w:rPr>
      </w:pPr>
      <w:r>
        <w:rPr>
          <w:kern w:val="2"/>
          <w:sz w:val="24"/>
          <w:szCs w:val="24"/>
        </w:rPr>
        <w:t>Hospital President Stan McLaren notified the Board of Directors, Department Heads, Medical Executive Committee, and Credentialing Committee.</w:t>
      </w:r>
    </w:p>
    <w:p w14:paraId="2B0EFECF" w14:textId="7EC66764" w:rsidR="00BC722E" w:rsidRPr="005C4A2E" w:rsidRDefault="00BC722E" w:rsidP="00BC722E">
      <w:pPr>
        <w:pStyle w:val="ListParagraph"/>
        <w:widowControl/>
        <w:numPr>
          <w:ilvl w:val="0"/>
          <w:numId w:val="9"/>
        </w:numPr>
        <w:jc w:val="both"/>
        <w:rPr>
          <w:b/>
          <w:bCs/>
          <w:kern w:val="2"/>
          <w:sz w:val="24"/>
          <w:szCs w:val="24"/>
          <w:u w:val="single"/>
        </w:rPr>
      </w:pPr>
      <w:r>
        <w:rPr>
          <w:kern w:val="2"/>
          <w:sz w:val="24"/>
          <w:szCs w:val="24"/>
        </w:rPr>
        <w:t>Hospital President Stan McLaren held department level meetings and active leadership rounds across all Departments.</w:t>
      </w:r>
    </w:p>
    <w:bookmarkEnd w:id="16"/>
    <w:p w14:paraId="5F77ECE6" w14:textId="70A8CB1C" w:rsidR="00BC722E" w:rsidRPr="00691038" w:rsidRDefault="00BC722E" w:rsidP="00BC722E">
      <w:pPr>
        <w:pStyle w:val="ListParagraph"/>
        <w:widowControl/>
        <w:numPr>
          <w:ilvl w:val="0"/>
          <w:numId w:val="9"/>
        </w:numPr>
        <w:jc w:val="both"/>
        <w:rPr>
          <w:b/>
          <w:bCs/>
          <w:kern w:val="2"/>
          <w:sz w:val="24"/>
          <w:szCs w:val="24"/>
          <w:u w:val="single"/>
        </w:rPr>
      </w:pPr>
      <w:r>
        <w:rPr>
          <w:kern w:val="2"/>
          <w:sz w:val="24"/>
          <w:szCs w:val="24"/>
        </w:rPr>
        <w:t>SHC representatives communicated with Senator Collins and Representative Fluker Oakley.</w:t>
      </w:r>
    </w:p>
    <w:p w14:paraId="16C82539" w14:textId="77777777" w:rsidR="00BC722E" w:rsidRDefault="00BC722E" w:rsidP="00BC722E">
      <w:pPr>
        <w:jc w:val="both"/>
        <w:rPr>
          <w:b/>
          <w:bCs/>
          <w:kern w:val="2"/>
          <w:u w:val="single"/>
        </w:rPr>
      </w:pPr>
    </w:p>
    <w:p w14:paraId="1748C43E" w14:textId="58166AFB" w:rsidR="00BC722E" w:rsidRPr="00E96CDC" w:rsidRDefault="00BC722E" w:rsidP="00BC722E">
      <w:pPr>
        <w:pStyle w:val="Default"/>
        <w:ind w:left="360"/>
        <w:jc w:val="both"/>
      </w:pPr>
      <w:r>
        <w:t>In addition, SHC provided</w:t>
      </w:r>
      <w:r w:rsidRPr="00FD1956">
        <w:t xml:space="preserve"> notice to the Hospital’s Patient and Family Council, each staff member of the Hospital, and every labor organization that represents the Hospital’s workforce during the period of the essential services closure process. Notice </w:t>
      </w:r>
      <w:r>
        <w:t>was also provided</w:t>
      </w:r>
      <w:r w:rsidRPr="00FD1956">
        <w:t xml:space="preserve"> to the members of the General Court, as well as </w:t>
      </w:r>
      <w:r>
        <w:t xml:space="preserve">local </w:t>
      </w:r>
      <w:r w:rsidRPr="00FD1956">
        <w:t xml:space="preserve">elected officials. </w:t>
      </w:r>
      <w:r w:rsidRPr="00E96CDC">
        <w:t>The Hospital continues to engage with patients, staff, and community members to maintain open and ongoing communication regarding the closure process.</w:t>
      </w:r>
    </w:p>
    <w:p w14:paraId="3BD35A11" w14:textId="77777777" w:rsidR="00F05B0A" w:rsidRPr="00E96CDC" w:rsidRDefault="00F05B0A" w:rsidP="00E96CDC">
      <w:pPr>
        <w:pStyle w:val="Default"/>
        <w:rPr>
          <w:b/>
          <w:bCs/>
        </w:rPr>
      </w:pPr>
    </w:p>
    <w:p w14:paraId="363310F9" w14:textId="77777777" w:rsidR="0050629B" w:rsidRPr="00FD1956" w:rsidRDefault="00CF1FCE" w:rsidP="00A82A04">
      <w:pPr>
        <w:jc w:val="both"/>
      </w:pPr>
      <w:r w:rsidRPr="00FD1956">
        <w:lastRenderedPageBreak/>
        <w:t xml:space="preserve">Thank you for your attention to this matter. If you have any questions, please do not hesitate to contact </w:t>
      </w:r>
      <w:r w:rsidR="00F23DDD">
        <w:t>Stan McLaren</w:t>
      </w:r>
      <w:r w:rsidRPr="00FD1956">
        <w:t>, President of the Hospital at, or me.</w:t>
      </w:r>
    </w:p>
    <w:p w14:paraId="601EEF48" w14:textId="77777777" w:rsidR="00570602" w:rsidRDefault="00570602" w:rsidP="00A82A04">
      <w:pPr>
        <w:jc w:val="both"/>
      </w:pPr>
    </w:p>
    <w:p w14:paraId="42EC4733" w14:textId="77777777" w:rsidR="00EC5B32" w:rsidRPr="00FD1956" w:rsidRDefault="00EC5B32" w:rsidP="00A82A04">
      <w:pPr>
        <w:jc w:val="both"/>
      </w:pPr>
    </w:p>
    <w:p w14:paraId="686DA520" w14:textId="3B64DAEE" w:rsidR="00EC5B32" w:rsidRPr="00EC5B32" w:rsidRDefault="00570602" w:rsidP="00EC5B32">
      <w:pPr>
        <w:jc w:val="both"/>
      </w:pPr>
      <w:r w:rsidRPr="00FD1956">
        <w:tab/>
      </w:r>
      <w:r w:rsidRPr="00FD1956">
        <w:tab/>
      </w:r>
      <w:r w:rsidRPr="00FD1956">
        <w:tab/>
      </w:r>
      <w:r w:rsidRPr="00FD1956">
        <w:tab/>
      </w:r>
      <w:r w:rsidRPr="00FD1956">
        <w:tab/>
      </w:r>
      <w:r w:rsidRPr="00FD1956">
        <w:tab/>
      </w:r>
      <w:r w:rsidRPr="00FD1956">
        <w:tab/>
        <w:t>Sincerely,</w:t>
      </w:r>
    </w:p>
    <w:p w14:paraId="25D0E4DC" w14:textId="7ECA8BDF" w:rsidR="00EC5B32" w:rsidRDefault="00EC5B32" w:rsidP="00EC5B32">
      <w:pPr>
        <w:jc w:val="both"/>
        <w:rPr>
          <w:rFonts w:ascii="Lucida Sans" w:hAnsi="Lucida Sans"/>
        </w:rPr>
      </w:pP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rPr>
        <w:tab/>
      </w:r>
      <w:r>
        <w:rPr>
          <w:rFonts w:ascii="Lucida Sans" w:hAnsi="Lucida Sans"/>
          <w:noProof/>
        </w:rPr>
        <w:drawing>
          <wp:inline distT="0" distB="0" distL="0" distR="0" wp14:anchorId="17BBC313" wp14:editId="19377E0E">
            <wp:extent cx="15240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noFill/>
                    <a:ln>
                      <a:noFill/>
                    </a:ln>
                  </pic:spPr>
                </pic:pic>
              </a:graphicData>
            </a:graphic>
          </wp:inline>
        </w:drawing>
      </w:r>
    </w:p>
    <w:p w14:paraId="51649D6E" w14:textId="77777777" w:rsidR="00EC5B32" w:rsidRDefault="00EC5B32" w:rsidP="00EC5B32">
      <w:pPr>
        <w:ind w:left="4320" w:firstLine="720"/>
        <w:rPr>
          <w:rFonts w:asciiTheme="minorHAnsi" w:hAnsiTheme="minorHAnsi" w:cstheme="minorHAnsi"/>
          <w:b/>
          <w:bCs/>
          <w:color w:val="326295"/>
          <w:sz w:val="20"/>
          <w:szCs w:val="20"/>
          <w14:ligatures w14:val="standardContextual"/>
        </w:rPr>
      </w:pPr>
      <w:r>
        <w:rPr>
          <w:rFonts w:cstheme="minorHAnsi"/>
          <w:b/>
          <w:bCs/>
          <w:color w:val="326295"/>
          <w:sz w:val="20"/>
          <w:szCs w:val="20"/>
        </w:rPr>
        <w:t>Octavio (Tavi) Diaz MD, MPH</w:t>
      </w:r>
    </w:p>
    <w:p w14:paraId="1BF878E1" w14:textId="77777777" w:rsidR="00EC5B32" w:rsidRDefault="00EC5B32" w:rsidP="00EC5B32">
      <w:pPr>
        <w:ind w:left="4320" w:firstLine="720"/>
        <w:rPr>
          <w:rFonts w:cstheme="minorHAnsi"/>
          <w:b/>
          <w:bCs/>
          <w:color w:val="326295"/>
          <w:sz w:val="20"/>
          <w:szCs w:val="20"/>
        </w:rPr>
      </w:pPr>
      <w:r>
        <w:rPr>
          <w:rFonts w:cstheme="minorHAnsi"/>
          <w:b/>
          <w:bCs/>
          <w:color w:val="326295"/>
          <w:sz w:val="20"/>
          <w:szCs w:val="20"/>
        </w:rPr>
        <w:t>President, North Region &amp;</w:t>
      </w:r>
    </w:p>
    <w:p w14:paraId="26420324" w14:textId="77777777" w:rsidR="00EC5B32" w:rsidRDefault="00EC5B32" w:rsidP="00EC5B32">
      <w:pPr>
        <w:ind w:left="4320" w:firstLine="720"/>
        <w:rPr>
          <w:rFonts w:cstheme="minorHAnsi"/>
          <w:b/>
          <w:bCs/>
          <w:color w:val="326295"/>
          <w:sz w:val="20"/>
          <w:szCs w:val="20"/>
        </w:rPr>
      </w:pPr>
      <w:r>
        <w:rPr>
          <w:rFonts w:cstheme="minorHAnsi"/>
          <w:b/>
          <w:bCs/>
          <w:color w:val="326295"/>
          <w:sz w:val="20"/>
          <w:szCs w:val="20"/>
        </w:rPr>
        <w:t>System Chief Medical Officer</w:t>
      </w:r>
    </w:p>
    <w:p w14:paraId="4D7F46C8" w14:textId="77777777" w:rsidR="00EC5B32" w:rsidRDefault="00EC5B32" w:rsidP="00EC5B32">
      <w:pPr>
        <w:ind w:left="5040"/>
        <w:rPr>
          <w:rFonts w:cstheme="minorHAnsi"/>
          <w:b/>
          <w:bCs/>
          <w:color w:val="326295"/>
          <w:sz w:val="20"/>
          <w:szCs w:val="20"/>
        </w:rPr>
      </w:pPr>
      <w:r>
        <w:rPr>
          <w:rFonts w:cstheme="minorHAnsi"/>
          <w:b/>
          <w:bCs/>
          <w:color w:val="326295"/>
          <w:sz w:val="20"/>
          <w:szCs w:val="20"/>
        </w:rPr>
        <w:t>Steward Health Care System</w:t>
      </w:r>
    </w:p>
    <w:p w14:paraId="1536609F" w14:textId="77777777" w:rsidR="00570602" w:rsidRPr="00FD1956" w:rsidRDefault="00570602" w:rsidP="00A82A04">
      <w:pPr>
        <w:jc w:val="both"/>
      </w:pPr>
    </w:p>
    <w:p w14:paraId="62257147" w14:textId="77777777" w:rsidR="00570602" w:rsidRPr="00FD1956" w:rsidRDefault="00570602" w:rsidP="00570602">
      <w:pPr>
        <w:pStyle w:val="LetterSigBlock"/>
        <w:rPr>
          <w:szCs w:val="24"/>
        </w:rPr>
      </w:pP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r>
    </w:p>
    <w:p w14:paraId="26C8E2F7" w14:textId="272FAC1D" w:rsidR="00570602" w:rsidRPr="00FD1956" w:rsidRDefault="00570602" w:rsidP="00EC5B32">
      <w:pPr>
        <w:jc w:val="both"/>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03B7DE19" w14:textId="77777777" w:rsidR="00570602" w:rsidRPr="00FD1956" w:rsidRDefault="00570602" w:rsidP="00A82A04">
      <w:pPr>
        <w:jc w:val="both"/>
      </w:pPr>
    </w:p>
    <w:p w14:paraId="3FD019AF" w14:textId="77777777" w:rsidR="00570602" w:rsidRPr="00FD1956" w:rsidRDefault="00570602" w:rsidP="000D3604">
      <w:pPr>
        <w:rPr>
          <w:lang w:eastAsia="x-none"/>
        </w:rPr>
      </w:pPr>
      <w:r w:rsidRPr="00FD1956">
        <w:t>cc:</w:t>
      </w:r>
      <w:r w:rsidRPr="00FD1956">
        <w:tab/>
      </w:r>
      <w:r w:rsidRPr="00FD1956">
        <w:rPr>
          <w:lang w:eastAsia="x-none"/>
        </w:rPr>
        <w:t>Walter Mackie, DPH</w:t>
      </w:r>
    </w:p>
    <w:p w14:paraId="4898CF2D" w14:textId="3B34BD3B" w:rsidR="00074069" w:rsidRDefault="00074069" w:rsidP="00B57069">
      <w:pPr>
        <w:ind w:firstLine="720"/>
        <w:rPr>
          <w:lang w:val="pt-BR" w:eastAsia="x-none"/>
        </w:rPr>
      </w:pPr>
      <w:r>
        <w:rPr>
          <w:lang w:val="pt-BR" w:eastAsia="x-none"/>
        </w:rPr>
        <w:t>B. McLoughlin, DPH</w:t>
      </w:r>
    </w:p>
    <w:p w14:paraId="2D7615AF" w14:textId="0B25EA43" w:rsidR="00B57069" w:rsidRPr="00074069" w:rsidRDefault="00B57069" w:rsidP="00B57069">
      <w:pPr>
        <w:ind w:firstLine="720"/>
        <w:rPr>
          <w:lang w:val="pt-BR" w:eastAsia="x-none"/>
        </w:rPr>
      </w:pPr>
      <w:r w:rsidRPr="00074069">
        <w:rPr>
          <w:lang w:val="pt-BR" w:eastAsia="x-none"/>
        </w:rPr>
        <w:t>Antonio Sousa, DPH</w:t>
      </w:r>
    </w:p>
    <w:p w14:paraId="262A9C83" w14:textId="77777777" w:rsidR="00570602" w:rsidRPr="00074069" w:rsidRDefault="00570602" w:rsidP="00570602">
      <w:pPr>
        <w:ind w:firstLine="720"/>
        <w:rPr>
          <w:lang w:val="pt-BR" w:eastAsia="x-none"/>
        </w:rPr>
      </w:pPr>
      <w:r w:rsidRPr="00074069">
        <w:rPr>
          <w:lang w:val="pt-BR" w:eastAsia="x-none"/>
        </w:rPr>
        <w:t>Judy Bernice, DPH</w:t>
      </w:r>
    </w:p>
    <w:p w14:paraId="4BC3216F" w14:textId="77777777" w:rsidR="00570602" w:rsidRPr="00143CEA" w:rsidRDefault="00570602" w:rsidP="00570602">
      <w:pPr>
        <w:ind w:firstLine="720"/>
        <w:rPr>
          <w:lang w:eastAsia="x-none"/>
        </w:rPr>
      </w:pPr>
      <w:r w:rsidRPr="00143CEA">
        <w:rPr>
          <w:lang w:eastAsia="x-none"/>
        </w:rPr>
        <w:t>Rebecca Kaye, DPH</w:t>
      </w:r>
    </w:p>
    <w:p w14:paraId="17E682FB" w14:textId="77777777" w:rsidR="00570602" w:rsidRDefault="00570602" w:rsidP="00570602">
      <w:pPr>
        <w:ind w:firstLine="720"/>
        <w:rPr>
          <w:lang w:eastAsia="x-none"/>
        </w:rPr>
      </w:pPr>
      <w:r w:rsidRPr="00143CEA">
        <w:rPr>
          <w:lang w:eastAsia="x-none"/>
        </w:rPr>
        <w:t>Torey McNamara, DPH</w:t>
      </w:r>
    </w:p>
    <w:p w14:paraId="62AC32F1" w14:textId="6F781810" w:rsidR="00B153FA" w:rsidRPr="00143CEA" w:rsidRDefault="00B153FA" w:rsidP="00570602">
      <w:pPr>
        <w:ind w:firstLine="720"/>
        <w:rPr>
          <w:lang w:eastAsia="x-none"/>
        </w:rPr>
      </w:pPr>
      <w:r>
        <w:rPr>
          <w:lang w:eastAsia="x-none"/>
        </w:rPr>
        <w:t xml:space="preserve">Stan McLaren, Steward </w:t>
      </w:r>
    </w:p>
    <w:p w14:paraId="013BA0FE" w14:textId="77777777" w:rsidR="00F23DDD" w:rsidRPr="00FE66D3" w:rsidRDefault="00F23DDD" w:rsidP="00F23DDD">
      <w:pPr>
        <w:pStyle w:val="BodyText"/>
        <w:widowControl/>
        <w:ind w:firstLine="720"/>
        <w:rPr>
          <w:kern w:val="2"/>
        </w:rPr>
      </w:pPr>
      <w:r w:rsidRPr="00FE66D3">
        <w:rPr>
          <w:kern w:val="2"/>
        </w:rPr>
        <w:t>Center for Health Information and Analysis</w:t>
      </w:r>
    </w:p>
    <w:p w14:paraId="679BE086" w14:textId="77777777" w:rsidR="00F23DDD" w:rsidRPr="00FE66D3" w:rsidRDefault="00F23DDD" w:rsidP="00F23DDD">
      <w:pPr>
        <w:pStyle w:val="BodyText"/>
        <w:widowControl/>
        <w:ind w:firstLine="720"/>
        <w:rPr>
          <w:kern w:val="2"/>
        </w:rPr>
      </w:pPr>
      <w:r w:rsidRPr="00FE66D3">
        <w:rPr>
          <w:kern w:val="2"/>
        </w:rPr>
        <w:t>Executive Office of Labor and Workforce Development</w:t>
      </w:r>
    </w:p>
    <w:p w14:paraId="620173FB" w14:textId="77777777" w:rsidR="00F23DDD" w:rsidRPr="00FE66D3" w:rsidRDefault="00F23DDD" w:rsidP="00F23DDD">
      <w:pPr>
        <w:pStyle w:val="BodyText"/>
        <w:widowControl/>
        <w:ind w:right="5580" w:firstLine="720"/>
        <w:rPr>
          <w:kern w:val="2"/>
        </w:rPr>
      </w:pPr>
      <w:r w:rsidRPr="00FE66D3">
        <w:rPr>
          <w:kern w:val="2"/>
        </w:rPr>
        <w:t xml:space="preserve">Health Policy Commission </w:t>
      </w:r>
    </w:p>
    <w:p w14:paraId="6CCB60C9" w14:textId="77777777" w:rsidR="00F23DDD" w:rsidRPr="00FE66D3" w:rsidRDefault="00F23DDD" w:rsidP="00F23DDD">
      <w:pPr>
        <w:pStyle w:val="BodyText"/>
        <w:widowControl/>
        <w:ind w:right="5580" w:firstLine="720"/>
        <w:rPr>
          <w:kern w:val="2"/>
        </w:rPr>
      </w:pPr>
      <w:r w:rsidRPr="00FE66D3">
        <w:rPr>
          <w:kern w:val="2"/>
        </w:rPr>
        <w:t>Office of the Attorney General</w:t>
      </w:r>
    </w:p>
    <w:p w14:paraId="514D01D8" w14:textId="77777777" w:rsidR="00F23DDD" w:rsidRPr="00F23DDD" w:rsidRDefault="00F23DDD" w:rsidP="00570602">
      <w:pPr>
        <w:ind w:firstLine="720"/>
        <w:rPr>
          <w:lang w:eastAsia="x-none"/>
        </w:rPr>
      </w:pPr>
    </w:p>
    <w:p w14:paraId="124C9B01" w14:textId="77777777" w:rsidR="00570602" w:rsidRPr="00FD1956" w:rsidRDefault="00570602" w:rsidP="00B84343">
      <w:pPr>
        <w:ind w:firstLine="720"/>
      </w:pPr>
    </w:p>
    <w:sectPr w:rsidR="00570602" w:rsidRPr="00FD1956" w:rsidSect="00D8645B">
      <w:headerReference w:type="default" r:id="rId10"/>
      <w:headerReference w:type="first" r:id="rId11"/>
      <w:pgSz w:w="12240" w:h="15840" w:code="1"/>
      <w:pgMar w:top="1440" w:right="1440" w:bottom="360" w:left="1440" w:header="720" w:footer="3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9CED" w14:textId="77777777" w:rsidR="00916D1B" w:rsidRDefault="00916D1B" w:rsidP="00570602">
      <w:r>
        <w:separator/>
      </w:r>
    </w:p>
  </w:endnote>
  <w:endnote w:type="continuationSeparator" w:id="0">
    <w:p w14:paraId="6C89F718" w14:textId="77777777" w:rsidR="00916D1B" w:rsidRDefault="00916D1B" w:rsidP="005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29DA" w14:textId="77777777" w:rsidR="00916D1B" w:rsidRDefault="00916D1B" w:rsidP="00570602">
      <w:r>
        <w:separator/>
      </w:r>
    </w:p>
  </w:footnote>
  <w:footnote w:type="continuationSeparator" w:id="0">
    <w:p w14:paraId="25B27A06" w14:textId="77777777" w:rsidR="00916D1B" w:rsidRDefault="00916D1B" w:rsidP="00570602">
      <w:r>
        <w:continuationSeparator/>
      </w:r>
    </w:p>
  </w:footnote>
  <w:footnote w:id="1">
    <w:p w14:paraId="0462DA8E" w14:textId="76D0EB01" w:rsidR="00F21156" w:rsidRDefault="00F21156">
      <w:pPr>
        <w:pStyle w:val="FootnoteText"/>
      </w:pPr>
      <w:r>
        <w:rPr>
          <w:rStyle w:val="FootnoteReference"/>
        </w:rPr>
        <w:footnoteRef/>
      </w:r>
      <w:r>
        <w:t xml:space="preserve"> The Hospital’s fiscal year runs on the calendar year, January 1 to December 31. </w:t>
      </w:r>
    </w:p>
  </w:footnote>
  <w:footnote w:id="2">
    <w:p w14:paraId="75567A23" w14:textId="38DD6F20" w:rsidR="008F0B4F" w:rsidRDefault="008F0B4F">
      <w:pPr>
        <w:pStyle w:val="FootnoteText"/>
      </w:pPr>
      <w:r>
        <w:rPr>
          <w:rStyle w:val="FootnoteReference"/>
        </w:rPr>
        <w:footnoteRef/>
      </w:r>
      <w:r>
        <w:t xml:space="preserve"> Through 06/30/2024</w:t>
      </w:r>
      <w:r w:rsidR="00BC722E">
        <w:t>.</w:t>
      </w:r>
    </w:p>
  </w:footnote>
  <w:footnote w:id="3">
    <w:p w14:paraId="72657C57" w14:textId="11B3C6C7" w:rsidR="00BC722E" w:rsidRDefault="00BC722E">
      <w:pPr>
        <w:pStyle w:val="FootnoteText"/>
      </w:pPr>
      <w:r>
        <w:rPr>
          <w:rStyle w:val="FootnoteReference"/>
        </w:rPr>
        <w:footnoteRef/>
      </w:r>
      <w:r>
        <w:t xml:space="preserve"> Denotes Average Daily Census.</w:t>
      </w:r>
    </w:p>
  </w:footnote>
  <w:footnote w:id="4">
    <w:p w14:paraId="017552A6" w14:textId="0D54A2E5" w:rsidR="006F0FDD" w:rsidRDefault="006F0FDD">
      <w:pPr>
        <w:pStyle w:val="FootnoteText"/>
      </w:pPr>
      <w:r>
        <w:rPr>
          <w:rStyle w:val="FootnoteReference"/>
        </w:rPr>
        <w:footnoteRef/>
      </w:r>
      <w:r>
        <w:t xml:space="preserve"> </w:t>
      </w:r>
      <w:r w:rsidR="00BC722E">
        <w:t>Pediatric services beds have been temporarily out of service due to the lack of patient demand and staffing limitations.</w:t>
      </w:r>
    </w:p>
  </w:footnote>
  <w:footnote w:id="5">
    <w:p w14:paraId="443ABC59" w14:textId="77777777" w:rsidR="00B153FA" w:rsidRDefault="00B153FA" w:rsidP="00B153FA">
      <w:pPr>
        <w:pStyle w:val="FootnoteText"/>
      </w:pPr>
      <w:r>
        <w:rPr>
          <w:rStyle w:val="FootnoteReference"/>
        </w:rPr>
        <w:footnoteRef/>
      </w:r>
      <w:r>
        <w:t xml:space="preserve"> Through 06/30/2024. </w:t>
      </w:r>
    </w:p>
  </w:footnote>
  <w:footnote w:id="6">
    <w:p w14:paraId="076A2F23" w14:textId="77777777" w:rsidR="00B153FA" w:rsidRDefault="00B153FA" w:rsidP="00B153FA">
      <w:pPr>
        <w:pStyle w:val="FootnoteText"/>
      </w:pPr>
      <w:r>
        <w:rPr>
          <w:rStyle w:val="FootnoteReference"/>
        </w:rPr>
        <w:footnoteRef/>
      </w:r>
      <w:r>
        <w:t xml:space="preserve"> Includes surgical cases, diagnostic radiology, CT, MRI, laboratory, endoscopy, and pain management. </w:t>
      </w:r>
    </w:p>
  </w:footnote>
  <w:footnote w:id="7">
    <w:p w14:paraId="1D026834" w14:textId="77777777" w:rsidR="00E5555A" w:rsidRDefault="00E5555A">
      <w:pPr>
        <w:pStyle w:val="FootnoteText"/>
      </w:pPr>
      <w:r>
        <w:rPr>
          <w:rStyle w:val="FootnoteReference"/>
        </w:rPr>
        <w:footnoteRef/>
      </w:r>
      <w:r>
        <w:t xml:space="preserve"> Including CHA’s Somerville and Everett campuses.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1452" w14:textId="77777777" w:rsidR="00626898" w:rsidRPr="00256DEC" w:rsidRDefault="00626898" w:rsidP="00626898">
    <w:pPr>
      <w:pStyle w:val="BodyText"/>
      <w:widowControl/>
      <w:rPr>
        <w:kern w:val="2"/>
      </w:rPr>
    </w:pPr>
    <w:r w:rsidRPr="00256DEC">
      <w:rPr>
        <w:kern w:val="2"/>
      </w:rPr>
      <w:t>Stephen Davis, Director</w:t>
    </w:r>
  </w:p>
  <w:p w14:paraId="7D097676" w14:textId="77777777" w:rsidR="00626898" w:rsidRDefault="00626898" w:rsidP="00626898">
    <w:pPr>
      <w:pStyle w:val="BodyText"/>
      <w:widowControl/>
      <w:rPr>
        <w:kern w:val="2"/>
      </w:rPr>
    </w:pPr>
    <w:r w:rsidRPr="00256DEC">
      <w:rPr>
        <w:kern w:val="2"/>
      </w:rPr>
      <w:t>Division of Health Care Facility Licensure and Certification</w:t>
    </w:r>
  </w:p>
  <w:p w14:paraId="6F12838D" w14:textId="77777777" w:rsidR="00626898" w:rsidRPr="00256DEC" w:rsidRDefault="00626898" w:rsidP="00626898">
    <w:pPr>
      <w:pStyle w:val="BodyText"/>
      <w:widowControl/>
      <w:rPr>
        <w:kern w:val="2"/>
      </w:rPr>
    </w:pPr>
    <w:r w:rsidRPr="00256DEC">
      <w:rPr>
        <w:kern w:val="2"/>
      </w:rPr>
      <w:t>Bureau of Health Care Safety and Quality</w:t>
    </w:r>
  </w:p>
  <w:p w14:paraId="344DADA3" w14:textId="77777777" w:rsidR="00626898" w:rsidRDefault="00626898" w:rsidP="00626898">
    <w:pPr>
      <w:pStyle w:val="BodyText"/>
      <w:widowControl/>
      <w:ind w:right="90"/>
      <w:rPr>
        <w:kern w:val="2"/>
      </w:rPr>
    </w:pPr>
    <w:r w:rsidRPr="00256DEC">
      <w:rPr>
        <w:kern w:val="2"/>
      </w:rPr>
      <w:t>Department of Public Health</w:t>
    </w:r>
  </w:p>
  <w:p w14:paraId="230B11F8" w14:textId="15617C50" w:rsidR="00626898" w:rsidRPr="00E06A88" w:rsidRDefault="00074069" w:rsidP="00626898">
    <w:pPr>
      <w:pStyle w:val="Header"/>
    </w:pPr>
    <w:r>
      <w:t>August 5,</w:t>
    </w:r>
    <w:r w:rsidR="00626898" w:rsidRPr="00E06A88">
      <w:t xml:space="preserve"> 202</w:t>
    </w:r>
    <w:r w:rsidR="00626898">
      <w:t>4</w:t>
    </w:r>
  </w:p>
  <w:p w14:paraId="7ABD2311" w14:textId="697A9435" w:rsidR="00626898" w:rsidRPr="00E06A88" w:rsidRDefault="00626898" w:rsidP="00626898">
    <w:pPr>
      <w:pStyle w:val="Header"/>
      <w:rPr>
        <w:noProof/>
      </w:rPr>
    </w:pPr>
    <w:r w:rsidRPr="00E06A88">
      <w:t>Page</w:t>
    </w:r>
    <w:sdt>
      <w:sdtPr>
        <w:id w:val="1662042999"/>
        <w:docPartObj>
          <w:docPartGallery w:val="Page Numbers (Top of Page)"/>
          <w:docPartUnique/>
        </w:docPartObj>
      </w:sdtPr>
      <w:sdtEndPr>
        <w:rPr>
          <w:noProof/>
        </w:rPr>
      </w:sdtEndPr>
      <w:sdtContent>
        <w:r w:rsidRPr="00E06A88">
          <w:t xml:space="preserve"> </w:t>
        </w:r>
        <w:r w:rsidRPr="00E06A88">
          <w:fldChar w:fldCharType="begin"/>
        </w:r>
        <w:r w:rsidRPr="00E06A88">
          <w:instrText xml:space="preserve"> PAGE   \* MERGEFORMAT </w:instrText>
        </w:r>
        <w:r w:rsidRPr="00E06A88">
          <w:fldChar w:fldCharType="separate"/>
        </w:r>
        <w:r w:rsidR="00FF7DFA">
          <w:rPr>
            <w:noProof/>
          </w:rPr>
          <w:t>4</w:t>
        </w:r>
        <w:r w:rsidRPr="00E06A88">
          <w:rPr>
            <w:noProof/>
          </w:rPr>
          <w:fldChar w:fldCharType="end"/>
        </w:r>
      </w:sdtContent>
    </w:sdt>
  </w:p>
  <w:p w14:paraId="44F74A6C" w14:textId="77777777" w:rsidR="00926FE7" w:rsidRDefault="00926FE7">
    <w:pPr>
      <w:pStyle w:val="Header"/>
    </w:pPr>
  </w:p>
  <w:p w14:paraId="5DEEE5D4" w14:textId="77777777" w:rsidR="005F150F" w:rsidRDefault="005F15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4C5F" w14:textId="77777777" w:rsidR="00EC5B32" w:rsidRPr="00565A5D" w:rsidRDefault="00EC5B32" w:rsidP="00EC5B32">
    <w:pPr>
      <w:spacing w:before="36"/>
      <w:rPr>
        <w:rFonts w:ascii="Arial" w:eastAsia="Arial" w:hAnsi="Arial" w:cs="Arial"/>
        <w:b/>
        <w:color w:val="444444"/>
        <w:w w:val="76"/>
        <w:sz w:val="18"/>
        <w:szCs w:val="18"/>
      </w:rPr>
    </w:pPr>
    <w:r w:rsidRPr="00EC5B32">
      <w:rPr>
        <w:rFonts w:ascii="Arial" w:eastAsia="Arial" w:hAnsi="Arial" w:cs="Arial"/>
        <w:b/>
        <w:noProof/>
        <w:color w:val="444444"/>
        <w:w w:val="76"/>
        <w:kern w:val="2"/>
        <w:sz w:val="18"/>
        <w:szCs w:val="18"/>
        <w14:ligatures w14:val="standardContextual"/>
      </w:rPr>
      <mc:AlternateContent>
        <mc:Choice Requires="wps">
          <w:drawing>
            <wp:anchor distT="45720" distB="45720" distL="114300" distR="114300" simplePos="0" relativeHeight="251659264" behindDoc="0" locked="0" layoutInCell="1" allowOverlap="1" wp14:anchorId="46F41A49" wp14:editId="1DA13744">
              <wp:simplePos x="0" y="0"/>
              <wp:positionH relativeFrom="column">
                <wp:posOffset>1762125</wp:posOffset>
              </wp:positionH>
              <wp:positionV relativeFrom="paragraph">
                <wp:posOffset>28575</wp:posOffset>
              </wp:positionV>
              <wp:extent cx="38671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ysClr val="window" lastClr="FFFFFF"/>
                        </a:solidFill>
                        <a:miter lim="800000"/>
                        <a:headEnd/>
                        <a:tailEnd/>
                      </a:ln>
                    </wps:spPr>
                    <wps:txbx>
                      <w:txbxContent>
                        <w:p w14:paraId="07CCB844" w14:textId="77777777" w:rsidR="00EC5B32" w:rsidRPr="00565A5D" w:rsidRDefault="00EC5B32" w:rsidP="00EC5B3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41A49" id="_x0000_t202" coordsize="21600,21600" o:spt="202" path="m,l,21600r21600,l21600,xe">
              <v:stroke joinstyle="miter"/>
              <v:path gradientshapeok="t" o:connecttype="rect"/>
            </v:shapetype>
            <v:shape id="Text Box 2" o:spid="_x0000_s1026" type="#_x0000_t202" style="position:absolute;margin-left:138.75pt;margin-top:2.25pt;width:3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" strokecolor="window">
              <v:textbox style="mso-fit-shape-to-text:t">
                <w:txbxContent>
                  <w:p w14:paraId="07CCB844" w14:textId="77777777" w:rsidR="00EC5B32" w:rsidRPr="00565A5D" w:rsidRDefault="00EC5B32" w:rsidP="00EC5B32">
                    <w:pPr>
                      <w:rPr>
                        <w:sz w:val="20"/>
                        <w:szCs w:val="20"/>
                      </w:rPr>
                    </w:pPr>
                  </w:p>
                </w:txbxContent>
              </v:textbox>
              <w10:wrap type="square"/>
            </v:shape>
          </w:pict>
        </mc:Fallback>
      </mc:AlternateContent>
    </w:r>
    <w:r w:rsidRPr="00EC5B32">
      <w:rPr>
        <w:rFonts w:ascii="Arial" w:eastAsia="Arial" w:hAnsi="Arial" w:cs="Arial"/>
        <w:b/>
        <w:color w:val="444444"/>
        <w:w w:val="76"/>
        <w:kern w:val="2"/>
        <w:sz w:val="18"/>
        <w:szCs w:val="18"/>
        <w14:ligatures w14:val="standardContextual"/>
      </w:rPr>
      <w:t xml:space="preserve"> </w:t>
    </w:r>
    <w:r w:rsidRPr="002E14A4">
      <w:rPr>
        <w:rFonts w:ascii="Arial" w:eastAsia="Arial" w:hAnsi="Arial" w:cs="Arial"/>
        <w:b/>
        <w:noProof/>
        <w:color w:val="444444"/>
        <w:w w:val="76"/>
        <w:sz w:val="18"/>
        <w:szCs w:val="18"/>
      </w:rPr>
      <mc:AlternateContent>
        <mc:Choice Requires="wps">
          <w:drawing>
            <wp:anchor distT="45720" distB="45720" distL="114300" distR="114300" simplePos="0" relativeHeight="251661312" behindDoc="0" locked="0" layoutInCell="1" allowOverlap="1" wp14:anchorId="33448656" wp14:editId="66E25B58">
              <wp:simplePos x="0" y="0"/>
              <wp:positionH relativeFrom="column">
                <wp:posOffset>1466850</wp:posOffset>
              </wp:positionH>
              <wp:positionV relativeFrom="paragraph">
                <wp:posOffset>28575</wp:posOffset>
              </wp:positionV>
              <wp:extent cx="4162425" cy="140462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chemeClr val="bg1"/>
                        </a:solidFill>
                        <a:miter lim="800000"/>
                        <a:headEnd/>
                        <a:tailEnd/>
                      </a:ln>
                    </wps:spPr>
                    <wps:txbx>
                      <w:txbxContent>
                        <w:p w14:paraId="1C42679F" w14:textId="77777777" w:rsidR="00EC5B32" w:rsidRPr="00565A5D" w:rsidRDefault="00EC5B32" w:rsidP="00EC5B32">
                          <w:pPr>
                            <w:rPr>
                              <w:b/>
                              <w:bCs/>
                              <w:sz w:val="20"/>
                              <w:szCs w:val="20"/>
                            </w:rPr>
                          </w:pPr>
                          <w:r w:rsidRPr="00565A5D">
                            <w:rPr>
                              <w:b/>
                              <w:bCs/>
                              <w:sz w:val="20"/>
                              <w:szCs w:val="20"/>
                            </w:rPr>
                            <w:t>Steward Health Care System LLC    North Division</w:t>
                          </w:r>
                        </w:p>
                        <w:p w14:paraId="3A8E0246" w14:textId="77777777" w:rsidR="00EC5B32" w:rsidRPr="00565A5D" w:rsidRDefault="00EC5B32" w:rsidP="00EC5B3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48656" id="_x0000_s1027" type="#_x0000_t202" style="position:absolute;margin-left:115.5pt;margin-top:2.25pt;width:327.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" strokecolor="white [3212]">
              <v:textbox style="mso-fit-shape-to-text:t">
                <w:txbxContent>
                  <w:p w14:paraId="1C42679F" w14:textId="77777777" w:rsidR="00EC5B32" w:rsidRPr="00565A5D" w:rsidRDefault="00EC5B32" w:rsidP="00EC5B32">
                    <w:pPr>
                      <w:rPr>
                        <w:b/>
                        <w:bCs/>
                        <w:sz w:val="20"/>
                        <w:szCs w:val="20"/>
                      </w:rPr>
                    </w:pPr>
                    <w:r w:rsidRPr="00565A5D">
                      <w:rPr>
                        <w:b/>
                        <w:bCs/>
                        <w:sz w:val="20"/>
                        <w:szCs w:val="20"/>
                      </w:rPr>
                      <w:t>Steward Health Care System LLC    North Division</w:t>
                    </w:r>
                  </w:p>
                  <w:p w14:paraId="3A8E0246" w14:textId="77777777" w:rsidR="00EC5B32" w:rsidRPr="00565A5D" w:rsidRDefault="00EC5B32" w:rsidP="00EC5B32">
                    <w:pPr>
                      <w:rPr>
                        <w:sz w:val="20"/>
                        <w:szCs w:val="20"/>
                      </w:rPr>
                    </w:pPr>
                  </w:p>
                </w:txbxContent>
              </v:textbox>
              <w10:wrap type="square"/>
            </v:shape>
          </w:pict>
        </mc:Fallback>
      </mc:AlternateContent>
    </w:r>
    <w:r>
      <w:rPr>
        <w:noProof/>
      </w:rPr>
      <w:drawing>
        <wp:inline distT="0" distB="0" distL="0" distR="0" wp14:anchorId="14D73176" wp14:editId="1E914453">
          <wp:extent cx="1314450" cy="83682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744" cy="844651"/>
                  </a:xfrm>
                  <a:prstGeom prst="rect">
                    <a:avLst/>
                  </a:prstGeom>
                  <a:noFill/>
                  <a:ln>
                    <a:noFill/>
                  </a:ln>
                </pic:spPr>
              </pic:pic>
            </a:graphicData>
          </a:graphic>
        </wp:inline>
      </w:drawing>
    </w:r>
    <w:r w:rsidRPr="002E14A4">
      <w:rPr>
        <w:rFonts w:ascii="Arial" w:eastAsia="Arial" w:hAnsi="Arial" w:cs="Arial"/>
        <w:b/>
        <w:color w:val="444444"/>
        <w:w w:val="76"/>
        <w:sz w:val="18"/>
        <w:szCs w:val="18"/>
      </w:rPr>
      <w:t xml:space="preserve"> </w:t>
    </w:r>
  </w:p>
  <w:p w14:paraId="05921B32" w14:textId="2644AA43" w:rsidR="00665378" w:rsidRPr="00EC5B32" w:rsidRDefault="00665378" w:rsidP="00EC5B32">
    <w:pPr>
      <w:suppressAutoHyphens w:val="0"/>
      <w:spacing w:before="36"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EA5"/>
    <w:multiLevelType w:val="hybridMultilevel"/>
    <w:tmpl w:val="64EAC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02CBB"/>
    <w:multiLevelType w:val="hybridMultilevel"/>
    <w:tmpl w:val="84DC94D0"/>
    <w:lvl w:ilvl="0" w:tplc="56B85A30">
      <w:start w:val="1"/>
      <w:numFmt w:val="decimal"/>
      <w:lvlText w:val="%1."/>
      <w:lvlJc w:val="left"/>
      <w:pPr>
        <w:ind w:left="360" w:hanging="360"/>
      </w:pPr>
      <w:rPr>
        <w:rFonts w:ascii="Times New Roman" w:eastAsia="Times New Roman" w:hAnsi="Times New Roman" w:cs="Times New Roman" w:hint="default"/>
        <w:b/>
        <w:bCs/>
        <w:i w:val="0"/>
        <w:iCs w:val="0"/>
        <w:color w:val="171717"/>
        <w:spacing w:val="0"/>
        <w:w w:val="100"/>
        <w:sz w:val="24"/>
        <w:szCs w:val="24"/>
        <w:lang w:val="en-US" w:eastAsia="en-US" w:bidi="ar-SA"/>
      </w:rPr>
    </w:lvl>
    <w:lvl w:ilvl="1" w:tplc="639E1B0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010A53E">
      <w:numFmt w:val="bullet"/>
      <w:lvlText w:val="•"/>
      <w:lvlJc w:val="left"/>
      <w:pPr>
        <w:ind w:left="1677" w:hanging="360"/>
      </w:pPr>
      <w:rPr>
        <w:lang w:val="en-US" w:eastAsia="en-US" w:bidi="ar-SA"/>
      </w:rPr>
    </w:lvl>
    <w:lvl w:ilvl="3" w:tplc="BEB4AD4E">
      <w:numFmt w:val="bullet"/>
      <w:lvlText w:val="•"/>
      <w:lvlJc w:val="left"/>
      <w:pPr>
        <w:ind w:left="2635" w:hanging="360"/>
      </w:pPr>
      <w:rPr>
        <w:lang w:val="en-US" w:eastAsia="en-US" w:bidi="ar-SA"/>
      </w:rPr>
    </w:lvl>
    <w:lvl w:ilvl="4" w:tplc="1F2AD540">
      <w:numFmt w:val="bullet"/>
      <w:lvlText w:val="•"/>
      <w:lvlJc w:val="left"/>
      <w:pPr>
        <w:ind w:left="3593" w:hanging="360"/>
      </w:pPr>
      <w:rPr>
        <w:lang w:val="en-US" w:eastAsia="en-US" w:bidi="ar-SA"/>
      </w:rPr>
    </w:lvl>
    <w:lvl w:ilvl="5" w:tplc="96DAAEB4">
      <w:numFmt w:val="bullet"/>
      <w:lvlText w:val="•"/>
      <w:lvlJc w:val="left"/>
      <w:pPr>
        <w:ind w:left="4551" w:hanging="360"/>
      </w:pPr>
      <w:rPr>
        <w:lang w:val="en-US" w:eastAsia="en-US" w:bidi="ar-SA"/>
      </w:rPr>
    </w:lvl>
    <w:lvl w:ilvl="6" w:tplc="D1E6FD0E">
      <w:numFmt w:val="bullet"/>
      <w:lvlText w:val="•"/>
      <w:lvlJc w:val="left"/>
      <w:pPr>
        <w:ind w:left="5508" w:hanging="360"/>
      </w:pPr>
      <w:rPr>
        <w:lang w:val="en-US" w:eastAsia="en-US" w:bidi="ar-SA"/>
      </w:rPr>
    </w:lvl>
    <w:lvl w:ilvl="7" w:tplc="BD88B97E">
      <w:numFmt w:val="bullet"/>
      <w:lvlText w:val="•"/>
      <w:lvlJc w:val="left"/>
      <w:pPr>
        <w:ind w:left="6466" w:hanging="360"/>
      </w:pPr>
      <w:rPr>
        <w:lang w:val="en-US" w:eastAsia="en-US" w:bidi="ar-SA"/>
      </w:rPr>
    </w:lvl>
    <w:lvl w:ilvl="8" w:tplc="C7E08BDE">
      <w:numFmt w:val="bullet"/>
      <w:lvlText w:val="•"/>
      <w:lvlJc w:val="left"/>
      <w:pPr>
        <w:ind w:left="7424" w:hanging="360"/>
      </w:pPr>
      <w:rPr>
        <w:lang w:val="en-US" w:eastAsia="en-US" w:bidi="ar-SA"/>
      </w:rPr>
    </w:lvl>
  </w:abstractNum>
  <w:abstractNum w:abstractNumId="3"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405ED"/>
    <w:multiLevelType w:val="hybridMultilevel"/>
    <w:tmpl w:val="BCD49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6" w15:restartNumberingAfterBreak="0">
    <w:nsid w:val="5A4731D9"/>
    <w:multiLevelType w:val="multilevel"/>
    <w:tmpl w:val="8608574A"/>
    <w:lvl w:ilvl="0">
      <w:start w:val="1"/>
      <w:numFmt w:val="decimal"/>
      <w:pStyle w:val="Tabbed1"/>
      <w:lvlText w:val="%1."/>
      <w:lvlJc w:val="left"/>
      <w:pPr>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lowerLetter"/>
      <w:pStyle w:val="Tabbed2"/>
      <w:lvlText w:val="%2."/>
      <w:lvlJc w:val="left"/>
      <w:pPr>
        <w:ind w:left="0" w:firstLine="1440"/>
      </w:pPr>
      <w:rPr>
        <w:b w:val="0"/>
        <w:i w:val="0"/>
        <w:caps w:val="0"/>
        <w:strike w:val="0"/>
        <w:dstrike w:val="0"/>
        <w:outline w:val="0"/>
        <w:shadow w:val="0"/>
        <w:emboss w:val="0"/>
        <w:imprint w:val="0"/>
        <w:vanish w:val="0"/>
        <w:color w:val="000000"/>
        <w:sz w:val="24"/>
        <w:u w:val="none"/>
        <w:effect w:val="none"/>
        <w:vertAlign w:val="baseline"/>
      </w:rPr>
    </w:lvl>
    <w:lvl w:ilvl="2">
      <w:start w:val="1"/>
      <w:numFmt w:val="lowerRoman"/>
      <w:pStyle w:val="Tabbed3"/>
      <w:lvlText w:val="%3."/>
      <w:lvlJc w:val="right"/>
      <w:pPr>
        <w:ind w:left="0" w:firstLine="2160"/>
      </w:pPr>
      <w:rPr>
        <w:b w:val="0"/>
        <w:i w:val="0"/>
        <w:caps w:val="0"/>
        <w:strike w:val="0"/>
        <w:dstrike w:val="0"/>
        <w:outline w:val="0"/>
        <w:shadow w:val="0"/>
        <w:emboss w:val="0"/>
        <w:imprint w:val="0"/>
        <w:vanish w:val="0"/>
        <w:color w:val="000000"/>
        <w:sz w:val="24"/>
        <w:u w:val="none"/>
        <w:effect w:val="none"/>
        <w:vertAlign w:val="baseline"/>
      </w:rPr>
    </w:lvl>
    <w:lvl w:ilvl="3">
      <w:start w:val="1"/>
      <w:numFmt w:val="decimal"/>
      <w:pStyle w:val="Tabbed4"/>
      <w:lvlText w:val="(%4)"/>
      <w:lvlJc w:val="left"/>
      <w:pPr>
        <w:ind w:left="0" w:firstLine="28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Letter"/>
      <w:pStyle w:val="Tabbed5"/>
      <w:lvlText w:val="%5."/>
      <w:lvlJc w:val="left"/>
      <w:pPr>
        <w:ind w:left="0" w:firstLine="360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lowerRoman"/>
      <w:pStyle w:val="Tabbed6"/>
      <w:lvlText w:val="%6."/>
      <w:lvlJc w:val="left"/>
      <w:pPr>
        <w:ind w:left="0" w:firstLine="43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decimal"/>
      <w:pStyle w:val="Tabbed7"/>
      <w:lvlText w:val="%7)"/>
      <w:lvlJc w:val="left"/>
      <w:pPr>
        <w:ind w:left="0" w:firstLine="50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Letter"/>
      <w:pStyle w:val="Tabbed8"/>
      <w:lvlText w:val="%8)"/>
      <w:lvlJc w:val="left"/>
      <w:pPr>
        <w:ind w:left="0" w:firstLine="576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lowerRoman"/>
      <w:pStyle w:val="Tabbed9"/>
      <w:lvlText w:val="%9)"/>
      <w:lvlJc w:val="left"/>
      <w:pPr>
        <w:ind w:left="0" w:firstLine="64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7" w15:restartNumberingAfterBreak="0">
    <w:nsid w:val="6A367894"/>
    <w:multiLevelType w:val="hybridMultilevel"/>
    <w:tmpl w:val="16B6C128"/>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54F24"/>
    <w:multiLevelType w:val="hybridMultilevel"/>
    <w:tmpl w:val="76DA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246633">
    <w:abstractNumId w:val="3"/>
  </w:num>
  <w:num w:numId="2" w16cid:durableId="51853468">
    <w:abstractNumId w:val="1"/>
  </w:num>
  <w:num w:numId="3" w16cid:durableId="1163666889">
    <w:abstractNumId w:val="2"/>
    <w:lvlOverride w:ilvl="0">
      <w:startOverride w:val="1"/>
    </w:lvlOverride>
    <w:lvlOverride w:ilvl="1"/>
    <w:lvlOverride w:ilvl="2"/>
    <w:lvlOverride w:ilvl="3"/>
    <w:lvlOverride w:ilvl="4"/>
    <w:lvlOverride w:ilvl="5"/>
    <w:lvlOverride w:ilvl="6"/>
    <w:lvlOverride w:ilvl="7"/>
    <w:lvlOverride w:ilvl="8"/>
  </w:num>
  <w:num w:numId="4" w16cid:durableId="1433277963">
    <w:abstractNumId w:val="7"/>
  </w:num>
  <w:num w:numId="5" w16cid:durableId="552348517">
    <w:abstractNumId w:val="8"/>
  </w:num>
  <w:num w:numId="6" w16cid:durableId="187377201">
    <w:abstractNumId w:val="5"/>
  </w:num>
  <w:num w:numId="7" w16cid:durableId="814637952">
    <w:abstractNumId w:val="6"/>
  </w:num>
  <w:num w:numId="8" w16cid:durableId="38938633">
    <w:abstractNumId w:val="4"/>
  </w:num>
  <w:num w:numId="9" w16cid:durableId="47337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CE"/>
    <w:rsid w:val="00074069"/>
    <w:rsid w:val="0007617D"/>
    <w:rsid w:val="00086295"/>
    <w:rsid w:val="000D3604"/>
    <w:rsid w:val="000F2EDA"/>
    <w:rsid w:val="000F41CE"/>
    <w:rsid w:val="00106DCD"/>
    <w:rsid w:val="00110F40"/>
    <w:rsid w:val="00143CEA"/>
    <w:rsid w:val="00167662"/>
    <w:rsid w:val="0019711F"/>
    <w:rsid w:val="001E2949"/>
    <w:rsid w:val="001E62A8"/>
    <w:rsid w:val="002044EF"/>
    <w:rsid w:val="00247640"/>
    <w:rsid w:val="002857AD"/>
    <w:rsid w:val="0028784D"/>
    <w:rsid w:val="002A7C76"/>
    <w:rsid w:val="002D0E3A"/>
    <w:rsid w:val="002E68F0"/>
    <w:rsid w:val="002F6EB0"/>
    <w:rsid w:val="00313F8E"/>
    <w:rsid w:val="00322A0A"/>
    <w:rsid w:val="00342192"/>
    <w:rsid w:val="00374662"/>
    <w:rsid w:val="00385B59"/>
    <w:rsid w:val="0038667C"/>
    <w:rsid w:val="00411CA8"/>
    <w:rsid w:val="004211C0"/>
    <w:rsid w:val="00435FF5"/>
    <w:rsid w:val="00452AD0"/>
    <w:rsid w:val="00480B77"/>
    <w:rsid w:val="004C5B86"/>
    <w:rsid w:val="004D2ADF"/>
    <w:rsid w:val="004E4CA2"/>
    <w:rsid w:val="004F53F4"/>
    <w:rsid w:val="004F79D9"/>
    <w:rsid w:val="0050629B"/>
    <w:rsid w:val="005607BF"/>
    <w:rsid w:val="00570602"/>
    <w:rsid w:val="00571AF7"/>
    <w:rsid w:val="005A73E9"/>
    <w:rsid w:val="005B3D66"/>
    <w:rsid w:val="005B59CE"/>
    <w:rsid w:val="005F150F"/>
    <w:rsid w:val="005F67B7"/>
    <w:rsid w:val="006139E0"/>
    <w:rsid w:val="006155E8"/>
    <w:rsid w:val="00626898"/>
    <w:rsid w:val="00632EC4"/>
    <w:rsid w:val="006600D2"/>
    <w:rsid w:val="00665378"/>
    <w:rsid w:val="00676D10"/>
    <w:rsid w:val="00686857"/>
    <w:rsid w:val="006B3751"/>
    <w:rsid w:val="006D50C5"/>
    <w:rsid w:val="006F0FDD"/>
    <w:rsid w:val="006F2953"/>
    <w:rsid w:val="007202E2"/>
    <w:rsid w:val="0074131E"/>
    <w:rsid w:val="007835BE"/>
    <w:rsid w:val="00795BAA"/>
    <w:rsid w:val="007967E8"/>
    <w:rsid w:val="007C44D0"/>
    <w:rsid w:val="007E2879"/>
    <w:rsid w:val="008013A8"/>
    <w:rsid w:val="00881757"/>
    <w:rsid w:val="008A1214"/>
    <w:rsid w:val="008E0F2E"/>
    <w:rsid w:val="008F0B4F"/>
    <w:rsid w:val="00906C39"/>
    <w:rsid w:val="009135A3"/>
    <w:rsid w:val="00916D1B"/>
    <w:rsid w:val="009237A7"/>
    <w:rsid w:val="00926FE7"/>
    <w:rsid w:val="00927037"/>
    <w:rsid w:val="00935BC2"/>
    <w:rsid w:val="00970C12"/>
    <w:rsid w:val="009753C9"/>
    <w:rsid w:val="00975B52"/>
    <w:rsid w:val="009A1176"/>
    <w:rsid w:val="009A4F39"/>
    <w:rsid w:val="00A64125"/>
    <w:rsid w:val="00A82A04"/>
    <w:rsid w:val="00AA2B1B"/>
    <w:rsid w:val="00B153FA"/>
    <w:rsid w:val="00B169E1"/>
    <w:rsid w:val="00B57069"/>
    <w:rsid w:val="00B67FC0"/>
    <w:rsid w:val="00B84343"/>
    <w:rsid w:val="00B924F4"/>
    <w:rsid w:val="00BC3283"/>
    <w:rsid w:val="00BC722E"/>
    <w:rsid w:val="00BD38E5"/>
    <w:rsid w:val="00BD4B41"/>
    <w:rsid w:val="00BE185F"/>
    <w:rsid w:val="00BE3D6A"/>
    <w:rsid w:val="00C31B08"/>
    <w:rsid w:val="00C6799E"/>
    <w:rsid w:val="00C93F0A"/>
    <w:rsid w:val="00CA0053"/>
    <w:rsid w:val="00CB2C5E"/>
    <w:rsid w:val="00CF1FCE"/>
    <w:rsid w:val="00CF324B"/>
    <w:rsid w:val="00CF670F"/>
    <w:rsid w:val="00D13684"/>
    <w:rsid w:val="00D330D6"/>
    <w:rsid w:val="00D56FD6"/>
    <w:rsid w:val="00D6511B"/>
    <w:rsid w:val="00D8645B"/>
    <w:rsid w:val="00D952A3"/>
    <w:rsid w:val="00D97A03"/>
    <w:rsid w:val="00DB2F9B"/>
    <w:rsid w:val="00DD6184"/>
    <w:rsid w:val="00DE3929"/>
    <w:rsid w:val="00DF36A0"/>
    <w:rsid w:val="00E079F6"/>
    <w:rsid w:val="00E17773"/>
    <w:rsid w:val="00E27981"/>
    <w:rsid w:val="00E3620C"/>
    <w:rsid w:val="00E50C19"/>
    <w:rsid w:val="00E51328"/>
    <w:rsid w:val="00E5555A"/>
    <w:rsid w:val="00E60DCC"/>
    <w:rsid w:val="00E76603"/>
    <w:rsid w:val="00E96CDC"/>
    <w:rsid w:val="00EB3DC4"/>
    <w:rsid w:val="00EC5B32"/>
    <w:rsid w:val="00EE1157"/>
    <w:rsid w:val="00F05B0A"/>
    <w:rsid w:val="00F21156"/>
    <w:rsid w:val="00F23DDD"/>
    <w:rsid w:val="00F33709"/>
    <w:rsid w:val="00F75322"/>
    <w:rsid w:val="00FB4289"/>
    <w:rsid w:val="00FC62B4"/>
    <w:rsid w:val="00FD1956"/>
    <w:rsid w:val="00FD5F6C"/>
    <w:rsid w:val="00FF55E8"/>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B48A"/>
  <w15:chartTrackingRefBased/>
  <w15:docId w15:val="{F3498406-CF93-45C5-81D0-EF61F57D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2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efault">
    <w:name w:val="Default"/>
    <w:rsid w:val="00CF1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07BF"/>
    <w:rPr>
      <w:color w:val="0563C1"/>
      <w:u w:val="single"/>
    </w:rPr>
  </w:style>
  <w:style w:type="paragraph" w:styleId="Header">
    <w:name w:val="header"/>
    <w:basedOn w:val="Normal"/>
    <w:link w:val="HeaderChar"/>
    <w:uiPriority w:val="99"/>
    <w:unhideWhenUsed/>
    <w:rsid w:val="00570602"/>
    <w:pPr>
      <w:tabs>
        <w:tab w:val="center" w:pos="4680"/>
        <w:tab w:val="right" w:pos="9360"/>
      </w:tabs>
    </w:pPr>
  </w:style>
  <w:style w:type="character" w:customStyle="1" w:styleId="HeaderChar">
    <w:name w:val="Header Char"/>
    <w:basedOn w:val="DefaultParagraphFont"/>
    <w:link w:val="Header"/>
    <w:uiPriority w:val="99"/>
    <w:rsid w:val="00570602"/>
    <w:rPr>
      <w:rFonts w:ascii="Times New Roman" w:hAnsi="Times New Roman" w:cs="Times New Roman"/>
      <w:sz w:val="24"/>
      <w:szCs w:val="24"/>
    </w:rPr>
  </w:style>
  <w:style w:type="paragraph" w:styleId="Footer">
    <w:name w:val="footer"/>
    <w:basedOn w:val="Normal"/>
    <w:link w:val="FooterChar"/>
    <w:uiPriority w:val="99"/>
    <w:unhideWhenUsed/>
    <w:rsid w:val="00570602"/>
    <w:pPr>
      <w:tabs>
        <w:tab w:val="center" w:pos="4680"/>
        <w:tab w:val="right" w:pos="9360"/>
      </w:tabs>
    </w:pPr>
  </w:style>
  <w:style w:type="character" w:customStyle="1" w:styleId="FooterChar">
    <w:name w:val="Footer Char"/>
    <w:basedOn w:val="DefaultParagraphFont"/>
    <w:link w:val="Footer"/>
    <w:uiPriority w:val="99"/>
    <w:rsid w:val="00570602"/>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570602"/>
    <w:pPr>
      <w:suppressAutoHyphens w:val="0"/>
    </w:pPr>
    <w:rPr>
      <w:sz w:val="22"/>
      <w:szCs w:val="20"/>
    </w:rPr>
  </w:style>
  <w:style w:type="paragraph" w:customStyle="1" w:styleId="AuthorInfo">
    <w:name w:val="_AuthorInfo"/>
    <w:basedOn w:val="AuthorName"/>
    <w:uiPriority w:val="99"/>
    <w:semiHidden/>
    <w:unhideWhenUsed/>
    <w:rsid w:val="00570602"/>
    <w:rPr>
      <w:sz w:val="20"/>
    </w:rPr>
  </w:style>
  <w:style w:type="paragraph" w:customStyle="1" w:styleId="LetterSigBlock">
    <w:name w:val="_Letter Sig Block"/>
    <w:basedOn w:val="Normal"/>
    <w:uiPriority w:val="98"/>
    <w:semiHidden/>
    <w:rsid w:val="00570602"/>
    <w:pPr>
      <w:suppressAutoHyphens w:val="0"/>
    </w:pPr>
    <w:rPr>
      <w:noProof/>
      <w:szCs w:val="20"/>
    </w:rPr>
  </w:style>
  <w:style w:type="character" w:customStyle="1" w:styleId="DocID">
    <w:name w:val="DocID"/>
    <w:basedOn w:val="DefaultParagraphFont"/>
    <w:uiPriority w:val="1"/>
    <w:rsid w:val="00570602"/>
    <w:rPr>
      <w:rFonts w:ascii="Times New Roman" w:hAnsi="Times New Roman"/>
      <w:sz w:val="16"/>
      <w:szCs w:val="16"/>
    </w:rPr>
  </w:style>
  <w:style w:type="paragraph" w:styleId="BodyText">
    <w:name w:val="Body Text"/>
    <w:basedOn w:val="Normal"/>
    <w:link w:val="BodyTextChar"/>
    <w:uiPriority w:val="1"/>
    <w:qFormat/>
    <w:rsid w:val="00626898"/>
    <w:pPr>
      <w:widowControl w:val="0"/>
      <w:suppressAutoHyphens w:val="0"/>
      <w:autoSpaceDE w:val="0"/>
      <w:autoSpaceDN w:val="0"/>
    </w:pPr>
  </w:style>
  <w:style w:type="character" w:customStyle="1" w:styleId="BodyTextChar">
    <w:name w:val="Body Text Char"/>
    <w:basedOn w:val="DefaultParagraphFont"/>
    <w:link w:val="BodyText"/>
    <w:uiPriority w:val="1"/>
    <w:rsid w:val="0062689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8645B"/>
    <w:rPr>
      <w:color w:val="605E5C"/>
      <w:shd w:val="clear" w:color="auto" w:fill="E1DFDD"/>
    </w:rPr>
  </w:style>
  <w:style w:type="character" w:styleId="CommentReference">
    <w:name w:val="annotation reference"/>
    <w:basedOn w:val="DefaultParagraphFont"/>
    <w:uiPriority w:val="99"/>
    <w:semiHidden/>
    <w:unhideWhenUsed/>
    <w:rsid w:val="00DD6184"/>
    <w:rPr>
      <w:sz w:val="16"/>
      <w:szCs w:val="16"/>
    </w:rPr>
  </w:style>
  <w:style w:type="paragraph" w:styleId="CommentText">
    <w:name w:val="annotation text"/>
    <w:basedOn w:val="Normal"/>
    <w:link w:val="CommentTextChar"/>
    <w:uiPriority w:val="99"/>
    <w:unhideWhenUsed/>
    <w:rsid w:val="00DD6184"/>
    <w:rPr>
      <w:sz w:val="20"/>
      <w:szCs w:val="20"/>
    </w:rPr>
  </w:style>
  <w:style w:type="character" w:customStyle="1" w:styleId="CommentTextChar">
    <w:name w:val="Comment Text Char"/>
    <w:basedOn w:val="DefaultParagraphFont"/>
    <w:link w:val="CommentText"/>
    <w:uiPriority w:val="99"/>
    <w:rsid w:val="00DD61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6184"/>
    <w:rPr>
      <w:b/>
      <w:bCs/>
    </w:rPr>
  </w:style>
  <w:style w:type="character" w:customStyle="1" w:styleId="CommentSubjectChar">
    <w:name w:val="Comment Subject Char"/>
    <w:basedOn w:val="CommentTextChar"/>
    <w:link w:val="CommentSubject"/>
    <w:uiPriority w:val="99"/>
    <w:semiHidden/>
    <w:rsid w:val="00DD6184"/>
    <w:rPr>
      <w:rFonts w:ascii="Times New Roman" w:hAnsi="Times New Roman" w:cs="Times New Roman"/>
      <w:b/>
      <w:bCs/>
      <w:sz w:val="20"/>
      <w:szCs w:val="20"/>
    </w:rPr>
  </w:style>
  <w:style w:type="paragraph" w:styleId="FootnoteText">
    <w:name w:val="footnote text"/>
    <w:aliases w:val="fn,fn Char,ft Char,ft,fnt,Footnote Text Char1 Char,Footnote Text Char Char Char,Style 31,FN,Car,Footnote Text Char1 Char Char Char Char,Footnote Text Char Char Char Char Char Char,Footnote Text Char1 Char1,Footnote Text Char Char Char1,FT"/>
    <w:basedOn w:val="Normal"/>
    <w:link w:val="FootnoteTextChar"/>
    <w:unhideWhenUsed/>
    <w:qFormat/>
    <w:rsid w:val="00374662"/>
    <w:rPr>
      <w:sz w:val="20"/>
      <w:szCs w:val="20"/>
    </w:rPr>
  </w:style>
  <w:style w:type="character" w:customStyle="1" w:styleId="FootnoteTextChar">
    <w:name w:val="Footnote Text Char"/>
    <w:aliases w:val="fn Char1,fn Char Char,ft Char Char,ft Char1,fnt Char,Footnote Text Char1 Char Char,Footnote Text Char Char Char Char,Style 31 Char,FN Char,Car Char,Footnote Text Char1 Char Char Char Char Char,Footnote Text Char1 Char1 Char,FT Char"/>
    <w:basedOn w:val="DefaultParagraphFont"/>
    <w:link w:val="FootnoteText"/>
    <w:rsid w:val="00374662"/>
    <w:rPr>
      <w:rFonts w:ascii="Times New Roman" w:hAnsi="Times New Roman" w:cs="Times New Roman"/>
      <w:sz w:val="20"/>
      <w:szCs w:val="20"/>
    </w:rPr>
  </w:style>
  <w:style w:type="character" w:styleId="FootnoteReference">
    <w:name w:val="footnote reference"/>
    <w:aliases w:val="fr,Style 30,FC,Style 28,Style 38,Style 27,Style 20,Style 22,Style 34,Style 52,callout,Style 29,Style 25,Style 33,Style 42,Style 13,Style 9,Style 16,Style 12,St,Sty,Style 14,Style 15,Style 17,Style 18,Style 32,Style 4,Style 41,Style 7"/>
    <w:basedOn w:val="DefaultParagraphFont"/>
    <w:uiPriority w:val="99"/>
    <w:unhideWhenUsed/>
    <w:qFormat/>
    <w:rsid w:val="00374662"/>
    <w:rPr>
      <w:vertAlign w:val="superscript"/>
    </w:rPr>
  </w:style>
  <w:style w:type="paragraph" w:customStyle="1" w:styleId="TableParagraph">
    <w:name w:val="Table Paragraph"/>
    <w:basedOn w:val="Normal"/>
    <w:uiPriority w:val="1"/>
    <w:qFormat/>
    <w:rsid w:val="00975B52"/>
    <w:pPr>
      <w:widowControl w:val="0"/>
      <w:suppressAutoHyphens w:val="0"/>
      <w:autoSpaceDE w:val="0"/>
      <w:autoSpaceDN w:val="0"/>
      <w:spacing w:line="275" w:lineRule="exact"/>
      <w:ind w:right="258"/>
      <w:jc w:val="center"/>
    </w:pPr>
    <w:rPr>
      <w:sz w:val="22"/>
      <w:szCs w:val="22"/>
    </w:rPr>
  </w:style>
  <w:style w:type="paragraph" w:styleId="Revision">
    <w:name w:val="Revision"/>
    <w:hidden/>
    <w:uiPriority w:val="99"/>
    <w:semiHidden/>
    <w:rsid w:val="006600D2"/>
    <w:pPr>
      <w:spacing w:after="0" w:line="240" w:lineRule="auto"/>
    </w:pPr>
    <w:rPr>
      <w:rFonts w:ascii="Times New Roman" w:hAnsi="Times New Roman" w:cs="Times New Roman"/>
      <w:sz w:val="24"/>
      <w:szCs w:val="24"/>
    </w:rPr>
  </w:style>
  <w:style w:type="table" w:styleId="TableGrid">
    <w:name w:val="Table Grid"/>
    <w:basedOn w:val="TableNormal"/>
    <w:uiPriority w:val="59"/>
    <w:unhideWhenUsed/>
    <w:rsid w:val="00E50C19"/>
    <w:pPr>
      <w:spacing w:after="0" w:line="240" w:lineRule="auto"/>
      <w:ind w:left="360" w:hanging="360"/>
      <w:jc w:val="both"/>
    </w:pPr>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Tabbed3">
    <w:name w:val="Tabbed 3"/>
    <w:basedOn w:val="Normal"/>
    <w:qFormat/>
    <w:rsid w:val="00E50C19"/>
    <w:pPr>
      <w:numPr>
        <w:ilvl w:val="2"/>
        <w:numId w:val="7"/>
      </w:numPr>
      <w:suppressAutoHyphens w:val="0"/>
      <w:spacing w:after="240"/>
      <w:jc w:val="both"/>
      <w:outlineLvl w:val="2"/>
    </w:pPr>
    <w:rPr>
      <w:rFonts w:eastAsia="Calibri"/>
    </w:rPr>
  </w:style>
  <w:style w:type="paragraph" w:styleId="List3">
    <w:name w:val="List 3"/>
    <w:basedOn w:val="Normal"/>
    <w:uiPriority w:val="21"/>
    <w:semiHidden/>
    <w:unhideWhenUsed/>
    <w:rsid w:val="00E50C19"/>
    <w:pPr>
      <w:numPr>
        <w:numId w:val="6"/>
      </w:numPr>
      <w:suppressAutoHyphens w:val="0"/>
      <w:spacing w:after="240"/>
      <w:jc w:val="both"/>
    </w:pPr>
  </w:style>
  <w:style w:type="paragraph" w:customStyle="1" w:styleId="Tabbed8">
    <w:name w:val="Tabbed 8"/>
    <w:basedOn w:val="Normal"/>
    <w:qFormat/>
    <w:rsid w:val="00E50C19"/>
    <w:pPr>
      <w:numPr>
        <w:ilvl w:val="7"/>
        <w:numId w:val="7"/>
      </w:numPr>
      <w:suppressAutoHyphens w:val="0"/>
      <w:spacing w:after="240"/>
      <w:jc w:val="both"/>
      <w:outlineLvl w:val="7"/>
    </w:pPr>
    <w:rPr>
      <w:rFonts w:eastAsia="Calibri"/>
    </w:rPr>
  </w:style>
  <w:style w:type="paragraph" w:customStyle="1" w:styleId="Tabbed9">
    <w:name w:val="Tabbed 9"/>
    <w:basedOn w:val="Normal"/>
    <w:qFormat/>
    <w:rsid w:val="00E50C19"/>
    <w:pPr>
      <w:numPr>
        <w:ilvl w:val="8"/>
        <w:numId w:val="7"/>
      </w:numPr>
      <w:suppressAutoHyphens w:val="0"/>
      <w:spacing w:after="240"/>
      <w:jc w:val="both"/>
      <w:outlineLvl w:val="8"/>
    </w:pPr>
    <w:rPr>
      <w:rFonts w:eastAsia="Calibri"/>
    </w:rPr>
  </w:style>
  <w:style w:type="paragraph" w:customStyle="1" w:styleId="Tabbed1">
    <w:name w:val="Tabbed 1"/>
    <w:basedOn w:val="Normal"/>
    <w:link w:val="Tabbed1Char"/>
    <w:qFormat/>
    <w:rsid w:val="00E50C19"/>
    <w:pPr>
      <w:numPr>
        <w:numId w:val="7"/>
      </w:numPr>
      <w:suppressAutoHyphens w:val="0"/>
      <w:spacing w:after="120" w:line="480" w:lineRule="auto"/>
      <w:jc w:val="both"/>
      <w:outlineLvl w:val="0"/>
    </w:pPr>
    <w:rPr>
      <w:rFonts w:eastAsia="Calibri"/>
    </w:rPr>
  </w:style>
  <w:style w:type="character" w:customStyle="1" w:styleId="Tabbed1Char">
    <w:name w:val="Tabbed 1 Char"/>
    <w:basedOn w:val="DefaultParagraphFont"/>
    <w:link w:val="Tabbed1"/>
    <w:rsid w:val="00E50C19"/>
    <w:rPr>
      <w:rFonts w:ascii="Times New Roman" w:eastAsia="Calibri" w:hAnsi="Times New Roman" w:cs="Times New Roman"/>
      <w:sz w:val="24"/>
      <w:szCs w:val="24"/>
    </w:rPr>
  </w:style>
  <w:style w:type="paragraph" w:customStyle="1" w:styleId="Tabbed2">
    <w:name w:val="Tabbed 2"/>
    <w:basedOn w:val="Normal"/>
    <w:qFormat/>
    <w:rsid w:val="00E50C19"/>
    <w:pPr>
      <w:numPr>
        <w:ilvl w:val="1"/>
        <w:numId w:val="7"/>
      </w:numPr>
      <w:suppressAutoHyphens w:val="0"/>
      <w:spacing w:after="240"/>
      <w:jc w:val="both"/>
      <w:outlineLvl w:val="1"/>
    </w:pPr>
    <w:rPr>
      <w:rFonts w:eastAsia="Calibri"/>
    </w:rPr>
  </w:style>
  <w:style w:type="paragraph" w:customStyle="1" w:styleId="Tabbed4">
    <w:name w:val="Tabbed 4"/>
    <w:basedOn w:val="Normal"/>
    <w:qFormat/>
    <w:rsid w:val="00E50C19"/>
    <w:pPr>
      <w:numPr>
        <w:ilvl w:val="3"/>
        <w:numId w:val="7"/>
      </w:numPr>
      <w:suppressAutoHyphens w:val="0"/>
      <w:spacing w:after="240"/>
      <w:jc w:val="both"/>
      <w:outlineLvl w:val="3"/>
    </w:pPr>
    <w:rPr>
      <w:rFonts w:eastAsia="Calibri"/>
    </w:rPr>
  </w:style>
  <w:style w:type="paragraph" w:customStyle="1" w:styleId="Tabbed5">
    <w:name w:val="Tabbed 5"/>
    <w:basedOn w:val="Normal"/>
    <w:qFormat/>
    <w:rsid w:val="00E50C19"/>
    <w:pPr>
      <w:numPr>
        <w:ilvl w:val="4"/>
        <w:numId w:val="7"/>
      </w:numPr>
      <w:suppressAutoHyphens w:val="0"/>
      <w:spacing w:after="240"/>
      <w:jc w:val="both"/>
      <w:outlineLvl w:val="4"/>
    </w:pPr>
    <w:rPr>
      <w:rFonts w:eastAsia="Calibri"/>
    </w:rPr>
  </w:style>
  <w:style w:type="paragraph" w:customStyle="1" w:styleId="Tabbed6">
    <w:name w:val="Tabbed 6"/>
    <w:basedOn w:val="Normal"/>
    <w:qFormat/>
    <w:rsid w:val="00E50C19"/>
    <w:pPr>
      <w:numPr>
        <w:ilvl w:val="5"/>
        <w:numId w:val="7"/>
      </w:numPr>
      <w:suppressAutoHyphens w:val="0"/>
      <w:spacing w:after="240"/>
      <w:jc w:val="both"/>
      <w:outlineLvl w:val="5"/>
    </w:pPr>
    <w:rPr>
      <w:rFonts w:eastAsia="Calibri"/>
    </w:rPr>
  </w:style>
  <w:style w:type="paragraph" w:customStyle="1" w:styleId="Tabbed7">
    <w:name w:val="Tabbed 7"/>
    <w:basedOn w:val="Normal"/>
    <w:qFormat/>
    <w:rsid w:val="00E50C19"/>
    <w:pPr>
      <w:numPr>
        <w:ilvl w:val="6"/>
        <w:numId w:val="7"/>
      </w:numPr>
      <w:suppressAutoHyphens w:val="0"/>
      <w:spacing w:after="240"/>
      <w:jc w:val="both"/>
      <w:outlineLvl w:val="6"/>
    </w:pPr>
    <w:rPr>
      <w:rFonts w:eastAsia="Calibri"/>
    </w:rPr>
  </w:style>
  <w:style w:type="paragraph" w:styleId="BalloonText">
    <w:name w:val="Balloon Text"/>
    <w:basedOn w:val="Normal"/>
    <w:link w:val="BalloonTextChar"/>
    <w:uiPriority w:val="99"/>
    <w:semiHidden/>
    <w:unhideWhenUsed/>
    <w:rsid w:val="00322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0A"/>
    <w:rPr>
      <w:rFonts w:ascii="Segoe UI" w:hAnsi="Segoe UI" w:cs="Segoe UI"/>
      <w:sz w:val="18"/>
      <w:szCs w:val="18"/>
    </w:rPr>
  </w:style>
  <w:style w:type="paragraph" w:styleId="ListParagraph">
    <w:name w:val="List Paragraph"/>
    <w:basedOn w:val="Normal"/>
    <w:uiPriority w:val="34"/>
    <w:qFormat/>
    <w:rsid w:val="00BC722E"/>
    <w:pPr>
      <w:widowControl w:val="0"/>
      <w:suppressAutoHyphens w:val="0"/>
      <w:autoSpaceDE w:val="0"/>
      <w:autoSpaceDN w:val="0"/>
      <w:ind w:left="84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780">
      <w:bodyDiv w:val="1"/>
      <w:marLeft w:val="0"/>
      <w:marRight w:val="0"/>
      <w:marTop w:val="0"/>
      <w:marBottom w:val="0"/>
      <w:divBdr>
        <w:top w:val="none" w:sz="0" w:space="0" w:color="auto"/>
        <w:left w:val="none" w:sz="0" w:space="0" w:color="auto"/>
        <w:bottom w:val="none" w:sz="0" w:space="0" w:color="auto"/>
        <w:right w:val="none" w:sz="0" w:space="0" w:color="auto"/>
      </w:divBdr>
    </w:div>
    <w:div w:id="283922722">
      <w:bodyDiv w:val="1"/>
      <w:marLeft w:val="0"/>
      <w:marRight w:val="0"/>
      <w:marTop w:val="0"/>
      <w:marBottom w:val="0"/>
      <w:divBdr>
        <w:top w:val="none" w:sz="0" w:space="0" w:color="auto"/>
        <w:left w:val="none" w:sz="0" w:space="0" w:color="auto"/>
        <w:bottom w:val="none" w:sz="0" w:space="0" w:color="auto"/>
        <w:right w:val="none" w:sz="0" w:space="0" w:color="auto"/>
      </w:divBdr>
    </w:div>
    <w:div w:id="813788981">
      <w:bodyDiv w:val="1"/>
      <w:marLeft w:val="0"/>
      <w:marRight w:val="0"/>
      <w:marTop w:val="0"/>
      <w:marBottom w:val="0"/>
      <w:divBdr>
        <w:top w:val="none" w:sz="0" w:space="0" w:color="auto"/>
        <w:left w:val="none" w:sz="0" w:space="0" w:color="auto"/>
        <w:bottom w:val="none" w:sz="0" w:space="0" w:color="auto"/>
        <w:right w:val="none" w:sz="0" w:space="0" w:color="auto"/>
      </w:divBdr>
    </w:div>
    <w:div w:id="880287583">
      <w:bodyDiv w:val="1"/>
      <w:marLeft w:val="0"/>
      <w:marRight w:val="0"/>
      <w:marTop w:val="0"/>
      <w:marBottom w:val="0"/>
      <w:divBdr>
        <w:top w:val="none" w:sz="0" w:space="0" w:color="auto"/>
        <w:left w:val="none" w:sz="0" w:space="0" w:color="auto"/>
        <w:bottom w:val="none" w:sz="0" w:space="0" w:color="auto"/>
        <w:right w:val="none" w:sz="0" w:space="0" w:color="auto"/>
      </w:divBdr>
    </w:div>
    <w:div w:id="958684619">
      <w:bodyDiv w:val="1"/>
      <w:marLeft w:val="0"/>
      <w:marRight w:val="0"/>
      <w:marTop w:val="0"/>
      <w:marBottom w:val="0"/>
      <w:divBdr>
        <w:top w:val="none" w:sz="0" w:space="0" w:color="auto"/>
        <w:left w:val="none" w:sz="0" w:space="0" w:color="auto"/>
        <w:bottom w:val="none" w:sz="0" w:space="0" w:color="auto"/>
        <w:right w:val="none" w:sz="0" w:space="0" w:color="auto"/>
      </w:divBdr>
    </w:div>
    <w:div w:id="1016425156">
      <w:bodyDiv w:val="1"/>
      <w:marLeft w:val="0"/>
      <w:marRight w:val="0"/>
      <w:marTop w:val="0"/>
      <w:marBottom w:val="0"/>
      <w:divBdr>
        <w:top w:val="none" w:sz="0" w:space="0" w:color="auto"/>
        <w:left w:val="none" w:sz="0" w:space="0" w:color="auto"/>
        <w:bottom w:val="none" w:sz="0" w:space="0" w:color="auto"/>
        <w:right w:val="none" w:sz="0" w:space="0" w:color="auto"/>
      </w:divBdr>
    </w:div>
    <w:div w:id="1029644312">
      <w:bodyDiv w:val="1"/>
      <w:marLeft w:val="0"/>
      <w:marRight w:val="0"/>
      <w:marTop w:val="0"/>
      <w:marBottom w:val="0"/>
      <w:divBdr>
        <w:top w:val="none" w:sz="0" w:space="0" w:color="auto"/>
        <w:left w:val="none" w:sz="0" w:space="0" w:color="auto"/>
        <w:bottom w:val="none" w:sz="0" w:space="0" w:color="auto"/>
        <w:right w:val="none" w:sz="0" w:space="0" w:color="auto"/>
      </w:divBdr>
    </w:div>
    <w:div w:id="1053042578">
      <w:bodyDiv w:val="1"/>
      <w:marLeft w:val="0"/>
      <w:marRight w:val="0"/>
      <w:marTop w:val="0"/>
      <w:marBottom w:val="0"/>
      <w:divBdr>
        <w:top w:val="none" w:sz="0" w:space="0" w:color="auto"/>
        <w:left w:val="none" w:sz="0" w:space="0" w:color="auto"/>
        <w:bottom w:val="none" w:sz="0" w:space="0" w:color="auto"/>
        <w:right w:val="none" w:sz="0" w:space="0" w:color="auto"/>
      </w:divBdr>
    </w:div>
    <w:div w:id="1205828678">
      <w:bodyDiv w:val="1"/>
      <w:marLeft w:val="0"/>
      <w:marRight w:val="0"/>
      <w:marTop w:val="0"/>
      <w:marBottom w:val="0"/>
      <w:divBdr>
        <w:top w:val="none" w:sz="0" w:space="0" w:color="auto"/>
        <w:left w:val="none" w:sz="0" w:space="0" w:color="auto"/>
        <w:bottom w:val="none" w:sz="0" w:space="0" w:color="auto"/>
        <w:right w:val="none" w:sz="0" w:space="0" w:color="auto"/>
      </w:divBdr>
    </w:div>
    <w:div w:id="1471678507">
      <w:bodyDiv w:val="1"/>
      <w:marLeft w:val="0"/>
      <w:marRight w:val="0"/>
      <w:marTop w:val="0"/>
      <w:marBottom w:val="0"/>
      <w:divBdr>
        <w:top w:val="none" w:sz="0" w:space="0" w:color="auto"/>
        <w:left w:val="none" w:sz="0" w:space="0" w:color="auto"/>
        <w:bottom w:val="none" w:sz="0" w:space="0" w:color="auto"/>
        <w:right w:val="none" w:sz="0" w:space="0" w:color="auto"/>
      </w:divBdr>
    </w:div>
    <w:div w:id="1563059677">
      <w:bodyDiv w:val="1"/>
      <w:marLeft w:val="0"/>
      <w:marRight w:val="0"/>
      <w:marTop w:val="0"/>
      <w:marBottom w:val="0"/>
      <w:divBdr>
        <w:top w:val="none" w:sz="0" w:space="0" w:color="auto"/>
        <w:left w:val="none" w:sz="0" w:space="0" w:color="auto"/>
        <w:bottom w:val="none" w:sz="0" w:space="0" w:color="auto"/>
        <w:right w:val="none" w:sz="0" w:space="0" w:color="auto"/>
      </w:divBdr>
    </w:div>
    <w:div w:id="1889876345">
      <w:bodyDiv w:val="1"/>
      <w:marLeft w:val="0"/>
      <w:marRight w:val="0"/>
      <w:marTop w:val="0"/>
      <w:marBottom w:val="0"/>
      <w:divBdr>
        <w:top w:val="none" w:sz="0" w:space="0" w:color="auto"/>
        <w:left w:val="none" w:sz="0" w:space="0" w:color="auto"/>
        <w:bottom w:val="none" w:sz="0" w:space="0" w:color="auto"/>
        <w:right w:val="none" w:sz="0" w:space="0" w:color="auto"/>
      </w:divBdr>
    </w:div>
    <w:div w:id="1931766473">
      <w:bodyDiv w:val="1"/>
      <w:marLeft w:val="0"/>
      <w:marRight w:val="0"/>
      <w:marTop w:val="0"/>
      <w:marBottom w:val="0"/>
      <w:divBdr>
        <w:top w:val="none" w:sz="0" w:space="0" w:color="auto"/>
        <w:left w:val="none" w:sz="0" w:space="0" w:color="auto"/>
        <w:bottom w:val="none" w:sz="0" w:space="0" w:color="auto"/>
        <w:right w:val="none" w:sz="0" w:space="0" w:color="auto"/>
      </w:divBdr>
    </w:div>
    <w:div w:id="194125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ACCA2.79E96C8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A4E8-B55A-4D65-8229-2B896029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Weil, Gotshal &amp; Manges LLP</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 Arden</dc:creator>
  <cp:lastModifiedBy>Robinson, Mackenzie</cp:lastModifiedBy>
  <cp:revision>2</cp:revision>
  <dcterms:created xsi:type="dcterms:W3CDTF">2024-08-05T17:51:00Z</dcterms:created>
  <dcterms:modified xsi:type="dcterms:W3CDTF">2024-08-05T17:51:00Z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4859-9543-5988.1</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4859-5047-1381</vt:lpwstr>
  </property>
</Properties>
</file>