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BE1" w:rsidRPr="00E004B9" w:rsidRDefault="00790BE1" w:rsidP="00790BE1">
      <w:pPr>
        <w:jc w:val="center"/>
      </w:pPr>
      <w:bookmarkStart w:id="0" w:name="_GoBack"/>
      <w:bookmarkEnd w:id="0"/>
      <w:r w:rsidRPr="00E004B9">
        <w:t>COMMONWEALTH OF MASSACHUSETTS</w:t>
      </w:r>
    </w:p>
    <w:p w:rsidR="00790BE1" w:rsidRPr="00D93D93" w:rsidRDefault="00790BE1" w:rsidP="00790BE1">
      <w:pPr>
        <w:spacing w:line="240" w:lineRule="auto"/>
        <w:ind w:left="4680"/>
        <w:rPr>
          <w:b/>
        </w:rPr>
      </w:pPr>
      <w:r w:rsidRPr="00D93D93">
        <w:rPr>
          <w:b/>
        </w:rPr>
        <w:t>Division of Administrative Law Appeals</w:t>
      </w:r>
    </w:p>
    <w:p w:rsidR="00790BE1" w:rsidRPr="00D93D93" w:rsidRDefault="00790BE1" w:rsidP="00790BE1">
      <w:pPr>
        <w:spacing w:line="240" w:lineRule="auto"/>
        <w:ind w:left="4680"/>
        <w:rPr>
          <w:b/>
        </w:rPr>
      </w:pPr>
      <w:r>
        <w:rPr>
          <w:b/>
        </w:rPr>
        <w:t>1 Congress</w:t>
      </w:r>
      <w:r w:rsidRPr="00D93D93">
        <w:rPr>
          <w:b/>
        </w:rPr>
        <w:t xml:space="preserve"> Street, </w:t>
      </w:r>
      <w:r>
        <w:rPr>
          <w:b/>
        </w:rPr>
        <w:t>11</w:t>
      </w:r>
      <w:r w:rsidRPr="00D93D93">
        <w:rPr>
          <w:b/>
        </w:rPr>
        <w:t>th Floor</w:t>
      </w:r>
    </w:p>
    <w:p w:rsidR="00790BE1" w:rsidRPr="00D93D93" w:rsidRDefault="00790BE1" w:rsidP="00790BE1">
      <w:pPr>
        <w:spacing w:line="240" w:lineRule="auto"/>
        <w:ind w:left="4680"/>
        <w:rPr>
          <w:b/>
        </w:rPr>
      </w:pPr>
      <w:r w:rsidRPr="00D93D93">
        <w:rPr>
          <w:b/>
        </w:rPr>
        <w:t>Boston, MA 02114</w:t>
      </w:r>
    </w:p>
    <w:p w:rsidR="00790BE1" w:rsidRPr="00D93D93" w:rsidRDefault="00790BE1" w:rsidP="00790BE1">
      <w:pPr>
        <w:spacing w:line="240" w:lineRule="auto"/>
        <w:ind w:left="4680"/>
        <w:rPr>
          <w:b/>
        </w:rPr>
      </w:pPr>
      <w:r w:rsidRPr="00D93D93">
        <w:rPr>
          <w:b/>
        </w:rPr>
        <w:t>www.mass.gov/dala</w:t>
      </w:r>
    </w:p>
    <w:p w:rsidR="00790BE1" w:rsidRPr="00E004B9" w:rsidRDefault="00790BE1" w:rsidP="00790BE1">
      <w:pPr>
        <w:spacing w:line="240" w:lineRule="auto"/>
      </w:pPr>
    </w:p>
    <w:p w:rsidR="00790BE1" w:rsidRPr="00E004B9" w:rsidRDefault="00562DA4" w:rsidP="00790BE1">
      <w:pPr>
        <w:spacing w:line="240" w:lineRule="auto"/>
      </w:pPr>
      <w:r>
        <w:rPr>
          <w:b/>
        </w:rPr>
        <w:t>Laurence Carroll</w:t>
      </w:r>
      <w:r w:rsidR="00790BE1" w:rsidRPr="00E004B9">
        <w:t>,</w:t>
      </w:r>
    </w:p>
    <w:p w:rsidR="00790BE1" w:rsidRPr="00E004B9" w:rsidRDefault="00790BE1" w:rsidP="00790BE1">
      <w:pPr>
        <w:spacing w:line="240" w:lineRule="auto"/>
      </w:pPr>
      <w:r w:rsidRPr="00E004B9">
        <w:t>Petitioner</w:t>
      </w:r>
    </w:p>
    <w:p w:rsidR="00790BE1" w:rsidRPr="00E004B9" w:rsidRDefault="00790BE1" w:rsidP="00790BE1">
      <w:pPr>
        <w:spacing w:line="240" w:lineRule="auto"/>
      </w:pPr>
    </w:p>
    <w:p w:rsidR="00790BE1" w:rsidRDefault="00790BE1" w:rsidP="00790BE1">
      <w:pPr>
        <w:spacing w:line="240" w:lineRule="auto"/>
      </w:pPr>
      <w:r w:rsidRPr="00E004B9">
        <w:t xml:space="preserve">v.                                                                           Docket No. </w:t>
      </w:r>
      <w:r w:rsidR="00B637BD">
        <w:t>CR-15-8</w:t>
      </w:r>
    </w:p>
    <w:p w:rsidR="00790BE1" w:rsidRPr="00E004B9" w:rsidRDefault="00790BE1" w:rsidP="00790BE1">
      <w:pPr>
        <w:spacing w:line="240" w:lineRule="auto"/>
      </w:pPr>
    </w:p>
    <w:p w:rsidR="00790BE1" w:rsidRPr="00E004B9" w:rsidRDefault="00562DA4" w:rsidP="00790BE1">
      <w:pPr>
        <w:spacing w:line="240" w:lineRule="auto"/>
      </w:pPr>
      <w:r w:rsidRPr="00562DA4">
        <w:rPr>
          <w:b/>
        </w:rPr>
        <w:t>Massachusetts Teachers’ Retirement System</w:t>
      </w:r>
      <w:r w:rsidR="00790BE1" w:rsidRPr="00E004B9">
        <w:t>,</w:t>
      </w:r>
    </w:p>
    <w:p w:rsidR="00790BE1" w:rsidRDefault="00790BE1" w:rsidP="00790BE1">
      <w:pPr>
        <w:spacing w:line="240" w:lineRule="auto"/>
      </w:pPr>
      <w:r w:rsidRPr="00E004B9">
        <w:t xml:space="preserve">Respondent         </w:t>
      </w:r>
    </w:p>
    <w:p w:rsidR="00790BE1" w:rsidRDefault="00790BE1" w:rsidP="00790BE1">
      <w:pPr>
        <w:spacing w:line="240" w:lineRule="auto"/>
      </w:pPr>
    </w:p>
    <w:p w:rsidR="00790BE1" w:rsidRPr="00FD3CDE" w:rsidRDefault="00790BE1" w:rsidP="00790BE1">
      <w:pPr>
        <w:spacing w:line="240" w:lineRule="auto"/>
      </w:pPr>
      <w:r w:rsidRPr="00CF06CA">
        <w:rPr>
          <w:b/>
        </w:rPr>
        <w:t>Appearance for Petitioner</w:t>
      </w:r>
      <w:r w:rsidRPr="00FD3CDE">
        <w:t>:</w:t>
      </w:r>
      <w:r w:rsidRPr="00FD3CDE">
        <w:tab/>
      </w:r>
      <w:r w:rsidRPr="00FD3CDE">
        <w:tab/>
      </w:r>
      <w:r w:rsidRPr="00FD3CDE">
        <w:tab/>
      </w:r>
    </w:p>
    <w:p w:rsidR="00790BE1" w:rsidRDefault="00790BE1" w:rsidP="00790BE1">
      <w:pPr>
        <w:spacing w:line="240" w:lineRule="auto"/>
        <w:rPr>
          <w:highlight w:val="lightGray"/>
        </w:rPr>
      </w:pPr>
    </w:p>
    <w:p w:rsidR="00562DA4" w:rsidRPr="00562DA4" w:rsidRDefault="00562DA4" w:rsidP="00790BE1">
      <w:pPr>
        <w:spacing w:line="240" w:lineRule="auto"/>
        <w:ind w:left="720"/>
      </w:pPr>
      <w:r w:rsidRPr="00562DA4">
        <w:t>Laurence Carroll</w:t>
      </w:r>
    </w:p>
    <w:p w:rsidR="00790BE1" w:rsidRDefault="00562DA4" w:rsidP="00790BE1">
      <w:pPr>
        <w:spacing w:line="240" w:lineRule="auto"/>
        <w:ind w:left="720"/>
      </w:pPr>
      <w:r>
        <w:t>31 Tara Terrace</w:t>
      </w:r>
    </w:p>
    <w:p w:rsidR="00562DA4" w:rsidRPr="005B7797" w:rsidRDefault="00562DA4" w:rsidP="00790BE1">
      <w:pPr>
        <w:spacing w:line="240" w:lineRule="auto"/>
        <w:ind w:left="720"/>
      </w:pPr>
      <w:r>
        <w:t>Buzzards Bay, MA 02532</w:t>
      </w:r>
    </w:p>
    <w:p w:rsidR="00790BE1" w:rsidRPr="00FD3CDE" w:rsidRDefault="00790BE1" w:rsidP="00790BE1">
      <w:pPr>
        <w:spacing w:line="240" w:lineRule="auto"/>
        <w:rPr>
          <w:highlight w:val="lightGray"/>
        </w:rPr>
      </w:pPr>
    </w:p>
    <w:p w:rsidR="00790BE1" w:rsidRPr="00FD3CDE" w:rsidRDefault="00790BE1" w:rsidP="00790BE1">
      <w:pPr>
        <w:spacing w:line="240" w:lineRule="auto"/>
      </w:pPr>
      <w:r w:rsidRPr="00CF06CA">
        <w:rPr>
          <w:b/>
        </w:rPr>
        <w:t>Appearance for Respondent</w:t>
      </w:r>
      <w:r w:rsidRPr="00FD3CDE">
        <w:t>:</w:t>
      </w:r>
      <w:r w:rsidRPr="00FD3CDE">
        <w:tab/>
      </w:r>
      <w:r w:rsidRPr="00FD3CDE">
        <w:tab/>
      </w:r>
      <w:r w:rsidRPr="00FD3CDE">
        <w:tab/>
      </w:r>
    </w:p>
    <w:p w:rsidR="00790BE1" w:rsidRPr="00FD3CDE" w:rsidRDefault="00790BE1" w:rsidP="00790BE1">
      <w:pPr>
        <w:spacing w:line="240" w:lineRule="auto"/>
      </w:pPr>
    </w:p>
    <w:p w:rsidR="00790BE1" w:rsidRDefault="00562DA4" w:rsidP="00790BE1">
      <w:pPr>
        <w:spacing w:line="240" w:lineRule="auto"/>
        <w:ind w:firstLine="720"/>
      </w:pPr>
      <w:r>
        <w:t>Cristina I. Galica, Esq.</w:t>
      </w:r>
    </w:p>
    <w:p w:rsidR="00562DA4" w:rsidRDefault="00562DA4" w:rsidP="00790BE1">
      <w:pPr>
        <w:spacing w:line="240" w:lineRule="auto"/>
        <w:ind w:firstLine="720"/>
      </w:pPr>
      <w:r w:rsidRPr="00562DA4">
        <w:t>Massachusetts Teachers’ Retirement System</w:t>
      </w:r>
    </w:p>
    <w:p w:rsidR="00562DA4" w:rsidRPr="00562DA4" w:rsidRDefault="00562DA4" w:rsidP="00790BE1">
      <w:pPr>
        <w:spacing w:line="240" w:lineRule="auto"/>
        <w:ind w:firstLine="720"/>
      </w:pPr>
      <w:r>
        <w:t>One Charles Park</w:t>
      </w:r>
    </w:p>
    <w:p w:rsidR="00790BE1" w:rsidRDefault="00562DA4" w:rsidP="00790BE1">
      <w:pPr>
        <w:spacing w:line="240" w:lineRule="auto"/>
      </w:pPr>
      <w:r>
        <w:tab/>
        <w:t>Cambridge, MA 02142-1206</w:t>
      </w:r>
    </w:p>
    <w:p w:rsidR="00562DA4" w:rsidRPr="00FD3CDE" w:rsidRDefault="00562DA4" w:rsidP="00790BE1">
      <w:pPr>
        <w:spacing w:line="240" w:lineRule="auto"/>
      </w:pPr>
    </w:p>
    <w:p w:rsidR="00790BE1" w:rsidRPr="00FD3CDE" w:rsidRDefault="00790BE1" w:rsidP="00790BE1">
      <w:pPr>
        <w:spacing w:line="240" w:lineRule="auto"/>
      </w:pPr>
      <w:r w:rsidRPr="00CF06CA">
        <w:rPr>
          <w:b/>
        </w:rPr>
        <w:t>Administrative Magistrate</w:t>
      </w:r>
      <w:r w:rsidRPr="00FD3CDE">
        <w:t>:</w:t>
      </w:r>
      <w:r w:rsidRPr="00FD3CDE">
        <w:tab/>
      </w:r>
      <w:r w:rsidRPr="00FD3CDE">
        <w:tab/>
      </w:r>
      <w:r w:rsidRPr="00FD3CDE">
        <w:tab/>
      </w:r>
    </w:p>
    <w:p w:rsidR="00790BE1" w:rsidRPr="00FD3CDE" w:rsidRDefault="00790BE1" w:rsidP="00790BE1">
      <w:pPr>
        <w:spacing w:line="240" w:lineRule="auto"/>
      </w:pPr>
    </w:p>
    <w:p w:rsidR="00790BE1" w:rsidRPr="000D620E" w:rsidRDefault="00790BE1" w:rsidP="00790BE1">
      <w:pPr>
        <w:ind w:firstLine="720"/>
      </w:pPr>
      <w:r w:rsidRPr="000D620E">
        <w:t xml:space="preserve">Kenneth Bresler                                          </w:t>
      </w:r>
    </w:p>
    <w:p w:rsidR="00790BE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r w:rsidRPr="00E60A30">
        <w:rPr>
          <w:b/>
        </w:rPr>
        <w:t>SUMMARY OF DECISION</w:t>
      </w:r>
    </w:p>
    <w:p w:rsidR="00790BE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p>
    <w:p w:rsidR="00790BE1" w:rsidRDefault="00E60A30" w:rsidP="00E60A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720"/>
      </w:pPr>
      <w:r>
        <w:t>Denial of petitioner’s application to buy back creditable service is affirmed because he was not teaching pupils</w:t>
      </w:r>
    </w:p>
    <w:p w:rsidR="00E60A30" w:rsidRPr="00E60A30" w:rsidRDefault="00E60A30"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r w:rsidRPr="00E004B9">
        <w:rPr>
          <w:b/>
        </w:rPr>
        <w:t>DECISION</w:t>
      </w:r>
    </w:p>
    <w:p w:rsidR="002068C0" w:rsidRDefault="00790BE1" w:rsidP="002C0CBA">
      <w:pPr>
        <w:widowControl w:val="0"/>
        <w:ind w:firstLine="720"/>
      </w:pPr>
      <w:r>
        <w:t xml:space="preserve">The petitioner, </w:t>
      </w:r>
      <w:r w:rsidR="00562DA4" w:rsidRPr="00562DA4">
        <w:t>Laurence Carroll</w:t>
      </w:r>
      <w:r>
        <w:t xml:space="preserve">, </w:t>
      </w:r>
      <w:r w:rsidR="002068C0">
        <w:t xml:space="preserve">appeals the denial of the respondent, the </w:t>
      </w:r>
      <w:r w:rsidR="002068C0" w:rsidRPr="00562DA4">
        <w:t>Massachusetts Teachers’ Retirement System</w:t>
      </w:r>
      <w:r w:rsidR="002068C0">
        <w:t xml:space="preserve"> (MTRS) to buy back creditable service.</w:t>
      </w:r>
    </w:p>
    <w:p w:rsidR="002068C0" w:rsidRDefault="002068C0" w:rsidP="002C0CBA">
      <w:pPr>
        <w:widowControl w:val="0"/>
        <w:ind w:firstLine="720"/>
      </w:pPr>
      <w:r>
        <w:t xml:space="preserve">Mr. Carroll requested that I decide his appeal based on documents he had submitted, but I called a hearing because Mr. Carroll’s documents did not explicitly discuss his teaching duties. </w:t>
      </w:r>
      <w:r>
        <w:lastRenderedPageBreak/>
        <w:t>Nor did they specify how much time he spent teaching.</w:t>
      </w:r>
    </w:p>
    <w:p w:rsidR="00790BE1" w:rsidRDefault="00790BE1" w:rsidP="00790BE1">
      <w:r>
        <w:tab/>
        <w:t xml:space="preserve">I held a hearing on </w:t>
      </w:r>
      <w:r w:rsidR="00562DA4">
        <w:t>June 21, 2016</w:t>
      </w:r>
      <w:r>
        <w:t xml:space="preserve">, which I recorded digitally. </w:t>
      </w:r>
      <w:r w:rsidR="00562DA4">
        <w:t xml:space="preserve">Mr. Carroll </w:t>
      </w:r>
      <w:r w:rsidRPr="00562DA4">
        <w:t>represented himself</w:t>
      </w:r>
      <w:r>
        <w:t xml:space="preserve">, testified, and called no other witness. I accepted into evidence </w:t>
      </w:r>
      <w:r w:rsidR="00562DA4">
        <w:t>nine</w:t>
      </w:r>
      <w:r>
        <w:t xml:space="preserve"> exhibits.</w:t>
      </w:r>
      <w:r w:rsidR="002068C0">
        <w:t xml:space="preserve"> I allowed Mr. Carroll to adopt as his testimony paragraphs 5 and 8 of his prehearing memorandum.</w:t>
      </w:r>
    </w:p>
    <w:p w:rsidR="00790BE1" w:rsidRDefault="00790BE1" w:rsidP="00790BE1">
      <w:r>
        <w:tab/>
      </w:r>
      <w:r w:rsidRPr="002068C0">
        <w:t xml:space="preserve">Both parties submitted post-hearing briefs. </w:t>
      </w:r>
    </w:p>
    <w:p w:rsidR="00790BE1" w:rsidRDefault="00790BE1" w:rsidP="00790BE1">
      <w:pPr>
        <w:jc w:val="center"/>
        <w:rPr>
          <w:b/>
        </w:rPr>
      </w:pPr>
      <w:r w:rsidRPr="00E004B9">
        <w:rPr>
          <w:b/>
        </w:rPr>
        <w:t>Findings of Fact</w:t>
      </w:r>
    </w:p>
    <w:p w:rsidR="002068C0" w:rsidRDefault="00CC24B8" w:rsidP="002068C0">
      <w:r>
        <w:tab/>
        <w:t>1</w:t>
      </w:r>
      <w:r w:rsidR="002068C0">
        <w:t>. Mr. Carroll is a member of the MTRS. (Ex. 3.)</w:t>
      </w:r>
    </w:p>
    <w:p w:rsidR="002068C0" w:rsidRDefault="00CC24B8" w:rsidP="002068C0">
      <w:pPr>
        <w:ind w:firstLine="720"/>
        <w:rPr>
          <w:rFonts w:cs="Times New Roman"/>
          <w:szCs w:val="24"/>
        </w:rPr>
      </w:pPr>
      <w:r>
        <w:t>2</w:t>
      </w:r>
      <w:r w:rsidR="002068C0">
        <w:t>. From 19</w:t>
      </w:r>
      <w:r w:rsidR="002068C0">
        <w:rPr>
          <w:rFonts w:cs="Times New Roman"/>
          <w:szCs w:val="24"/>
        </w:rPr>
        <w:t>91 to 1993, Mr. Carroll was Head Teacher</w:t>
      </w:r>
      <w:r w:rsidR="002A7672">
        <w:rPr>
          <w:rFonts w:cs="Times New Roman"/>
          <w:szCs w:val="24"/>
        </w:rPr>
        <w:t>/Supervisor</w:t>
      </w:r>
      <w:r w:rsidR="002068C0">
        <w:rPr>
          <w:rFonts w:cs="Times New Roman"/>
          <w:szCs w:val="24"/>
        </w:rPr>
        <w:t xml:space="preserve"> of the Network High School in Brockton. (Testimony.)</w:t>
      </w:r>
    </w:p>
    <w:p w:rsidR="002068C0" w:rsidRDefault="00CC24B8" w:rsidP="002068C0">
      <w:pPr>
        <w:ind w:firstLine="720"/>
        <w:rPr>
          <w:rFonts w:cs="Times New Roman"/>
          <w:szCs w:val="24"/>
        </w:rPr>
      </w:pPr>
      <w:r>
        <w:rPr>
          <w:rFonts w:cs="Times New Roman"/>
          <w:szCs w:val="24"/>
        </w:rPr>
        <w:t>3</w:t>
      </w:r>
      <w:r w:rsidR="002068C0">
        <w:rPr>
          <w:rFonts w:cs="Times New Roman"/>
          <w:szCs w:val="24"/>
        </w:rPr>
        <w:t xml:space="preserve">. The Network High School was not a Brockton public school; rather, its students were </w:t>
      </w:r>
      <w:r w:rsidR="00B74465">
        <w:rPr>
          <w:rFonts w:cs="Times New Roman"/>
          <w:szCs w:val="24"/>
        </w:rPr>
        <w:t xml:space="preserve">residential </w:t>
      </w:r>
      <w:r w:rsidR="002068C0">
        <w:rPr>
          <w:rFonts w:cs="Times New Roman"/>
          <w:szCs w:val="24"/>
        </w:rPr>
        <w:t>clients of the Massachusetts Department of Children and Families. (Testimony.)</w:t>
      </w:r>
    </w:p>
    <w:p w:rsidR="00B74465" w:rsidRDefault="002068C0" w:rsidP="00B74465">
      <w:pPr>
        <w:ind w:firstLine="720"/>
        <w:rPr>
          <w:rFonts w:cs="Times New Roman"/>
          <w:szCs w:val="24"/>
        </w:rPr>
      </w:pPr>
      <w:r>
        <w:rPr>
          <w:rFonts w:cs="Times New Roman"/>
          <w:szCs w:val="24"/>
        </w:rPr>
        <w:t xml:space="preserve"> </w:t>
      </w:r>
      <w:r w:rsidR="00CC24B8">
        <w:rPr>
          <w:rFonts w:cs="Times New Roman"/>
          <w:szCs w:val="24"/>
        </w:rPr>
        <w:t>4</w:t>
      </w:r>
      <w:r w:rsidR="00B74465">
        <w:rPr>
          <w:rFonts w:cs="Times New Roman"/>
          <w:szCs w:val="24"/>
        </w:rPr>
        <w:t>. Although his title was “Head Teacher</w:t>
      </w:r>
      <w:r w:rsidR="002A7672">
        <w:rPr>
          <w:rFonts w:cs="Times New Roman"/>
          <w:szCs w:val="24"/>
        </w:rPr>
        <w:t>/Supervisor</w:t>
      </w:r>
      <w:r w:rsidR="00B74465">
        <w:rPr>
          <w:rFonts w:cs="Times New Roman"/>
          <w:szCs w:val="24"/>
        </w:rPr>
        <w:t>,” Mr. Carroll referred to his position as “supervising teacher” and “supervisor.” (Testimony</w:t>
      </w:r>
      <w:r w:rsidR="002A7672">
        <w:rPr>
          <w:rFonts w:cs="Times New Roman"/>
          <w:szCs w:val="24"/>
        </w:rPr>
        <w:t>;  Pet. Prehearing Memo, ¶ 5</w:t>
      </w:r>
      <w:r w:rsidR="00B74465">
        <w:rPr>
          <w:rFonts w:cs="Times New Roman"/>
          <w:szCs w:val="24"/>
        </w:rPr>
        <w:t>.)</w:t>
      </w:r>
    </w:p>
    <w:p w:rsidR="00B74465" w:rsidRDefault="00CC24B8" w:rsidP="00B74465">
      <w:pPr>
        <w:ind w:firstLine="720"/>
        <w:rPr>
          <w:rFonts w:cs="Times New Roman"/>
          <w:szCs w:val="24"/>
        </w:rPr>
      </w:pPr>
      <w:r>
        <w:rPr>
          <w:rFonts w:cs="Times New Roman"/>
          <w:szCs w:val="24"/>
        </w:rPr>
        <w:t>5</w:t>
      </w:r>
      <w:r w:rsidR="00B74465">
        <w:rPr>
          <w:rFonts w:cs="Times New Roman"/>
          <w:szCs w:val="24"/>
        </w:rPr>
        <w:t>. As Head Teacher</w:t>
      </w:r>
      <w:r w:rsidR="002A7672">
        <w:rPr>
          <w:rFonts w:cs="Times New Roman"/>
          <w:szCs w:val="24"/>
        </w:rPr>
        <w:t>/Supervisor</w:t>
      </w:r>
      <w:r w:rsidR="00B74465">
        <w:rPr>
          <w:rFonts w:cs="Times New Roman"/>
          <w:szCs w:val="24"/>
        </w:rPr>
        <w:t>, Mr. Carroll worked with teachers, teaching assistants, and counselors to help educate students. He wrote and implemented the school’s English and remedial mathematics curriculum. He implemented the technology curriculum. (Testimony.)</w:t>
      </w:r>
    </w:p>
    <w:p w:rsidR="00B74465" w:rsidRDefault="00B74465" w:rsidP="00B74465">
      <w:r>
        <w:tab/>
      </w:r>
      <w:r w:rsidR="00CC24B8">
        <w:t>6</w:t>
      </w:r>
      <w:r>
        <w:t>. Mr. Carroll was in classrooms daily, although he was not assigned a classroom. He estimated that he was in classrooms for five hours per day. (Testimony.)</w:t>
      </w:r>
    </w:p>
    <w:p w:rsidR="00713EC8" w:rsidRDefault="00713EC8" w:rsidP="00B74465">
      <w:r>
        <w:tab/>
      </w:r>
      <w:r w:rsidR="00CC24B8">
        <w:t>7</w:t>
      </w:r>
      <w:r>
        <w:t>. Except for when he served as a substitute, Mr. Carroll was not a classroom teacher. (Testimony.)</w:t>
      </w:r>
    </w:p>
    <w:p w:rsidR="00713EC8" w:rsidRDefault="00713EC8" w:rsidP="00713EC8">
      <w:pPr>
        <w:widowControl w:val="0"/>
      </w:pPr>
      <w:r>
        <w:tab/>
      </w:r>
      <w:r w:rsidR="00CC24B8">
        <w:t>8</w:t>
      </w:r>
      <w:r>
        <w:t xml:space="preserve">. Mr. Carroll’s job was to assist the classroom teachers and manage students. He helped students to pay attention and stay on task. He intervened with anxious students or those whose behavior was “escalating,” presumably into problematic behavior. He occasionally </w:t>
      </w:r>
      <w:r w:rsidR="002C0CBA">
        <w:t>took</w:t>
      </w:r>
      <w:r>
        <w:t xml:space="preserve"> such </w:t>
      </w:r>
      <w:r>
        <w:lastRenderedPageBreak/>
        <w:t>students out of the classroom t</w:t>
      </w:r>
      <w:r w:rsidR="003B1397">
        <w:t>o engage in one-on-one or small-</w:t>
      </w:r>
      <w:r>
        <w:t>group work.</w:t>
      </w:r>
      <w:r w:rsidR="00B61B4E">
        <w:t xml:space="preserve"> (Testimony.)</w:t>
      </w:r>
    </w:p>
    <w:p w:rsidR="00713EC8" w:rsidRDefault="00B74465" w:rsidP="00B74465">
      <w:r>
        <w:tab/>
      </w:r>
      <w:r w:rsidR="00CC24B8">
        <w:t>9</w:t>
      </w:r>
      <w:r w:rsidR="00713EC8">
        <w:t>. I</w:t>
      </w:r>
      <w:r>
        <w:t xml:space="preserve">n the classroom, </w:t>
      </w:r>
      <w:r w:rsidR="00713EC8">
        <w:t xml:space="preserve">Mr. Carroll helped students with social skills and English arts </w:t>
      </w:r>
      <w:r>
        <w:t>(although there is no evidence that he stood in front of students and taught English or English arts)</w:t>
      </w:r>
      <w:r w:rsidR="00713EC8">
        <w:t>. He also evaluated</w:t>
      </w:r>
      <w:r>
        <w:t xml:space="preserve"> students</w:t>
      </w:r>
      <w:r w:rsidR="00713EC8">
        <w:t>’</w:t>
      </w:r>
      <w:r>
        <w:t xml:space="preserve"> </w:t>
      </w:r>
      <w:r w:rsidR="00713EC8">
        <w:t>social</w:t>
      </w:r>
      <w:r>
        <w:t xml:space="preserve"> </w:t>
      </w:r>
      <w:r w:rsidR="00713EC8">
        <w:t>development.</w:t>
      </w:r>
      <w:r w:rsidR="00713EC8">
        <w:rPr>
          <w:rStyle w:val="FootnoteReference"/>
        </w:rPr>
        <w:footnoteReference w:id="1"/>
      </w:r>
      <w:r>
        <w:t xml:space="preserve"> </w:t>
      </w:r>
      <w:r w:rsidR="00B61B4E">
        <w:t>(Testimony.)</w:t>
      </w:r>
    </w:p>
    <w:p w:rsidR="00713EC8" w:rsidRDefault="00713EC8" w:rsidP="00B74465">
      <w:r>
        <w:tab/>
      </w:r>
      <w:r w:rsidR="00CC24B8">
        <w:t>10</w:t>
      </w:r>
      <w:r>
        <w:t>. The Network High School did not have substitute teachers. (Testimony.)</w:t>
      </w:r>
    </w:p>
    <w:p w:rsidR="00B74465" w:rsidRDefault="00713EC8" w:rsidP="00713EC8">
      <w:r>
        <w:tab/>
      </w:r>
      <w:r w:rsidR="00CC24B8">
        <w:t>11</w:t>
      </w:r>
      <w:r>
        <w:t xml:space="preserve">. Mr. Carroll’s </w:t>
      </w:r>
      <w:r w:rsidR="002A7672">
        <w:t xml:space="preserve">only </w:t>
      </w:r>
      <w:r>
        <w:t>classro</w:t>
      </w:r>
      <w:r w:rsidR="000923F5">
        <w:t>om teaching was as a substitute. It</w:t>
      </w:r>
      <w:r>
        <w:t xml:space="preserve"> was “episodic,” and could last a </w:t>
      </w:r>
      <w:r w:rsidR="00B74465">
        <w:t xml:space="preserve">day, </w:t>
      </w:r>
      <w:r>
        <w:t xml:space="preserve">a </w:t>
      </w:r>
      <w:r w:rsidR="00B74465">
        <w:t xml:space="preserve">week, or </w:t>
      </w:r>
      <w:r>
        <w:t>a month.</w:t>
      </w:r>
      <w:r w:rsidR="002A7672">
        <w:t xml:space="preserve"> (Testimony.)</w:t>
      </w:r>
    </w:p>
    <w:p w:rsidR="002A7672" w:rsidRDefault="002A7672" w:rsidP="00713EC8">
      <w:r>
        <w:tab/>
      </w:r>
      <w:r w:rsidR="00CC24B8">
        <w:t>12</w:t>
      </w:r>
      <w:r>
        <w:t>. Mr. Carroll also had residential duties. (Testimony.)</w:t>
      </w:r>
    </w:p>
    <w:p w:rsidR="002A7672" w:rsidRDefault="002A7672" w:rsidP="00713EC8">
      <w:r>
        <w:tab/>
      </w:r>
      <w:r w:rsidR="00CC24B8">
        <w:t>13</w:t>
      </w:r>
      <w:r>
        <w:t>. The written duties of the Head Teacher/Supervisor included:</w:t>
      </w:r>
    </w:p>
    <w:p w:rsidR="002A7672" w:rsidRDefault="002A7672" w:rsidP="002A7672">
      <w:pPr>
        <w:spacing w:line="240" w:lineRule="auto"/>
        <w:ind w:left="720" w:right="720"/>
      </w:pPr>
      <w:r>
        <w:t>Provide day to day leadership and instruction in the Millieu</w:t>
      </w:r>
      <w:r>
        <w:rPr>
          <w:rStyle w:val="FootnoteReference"/>
        </w:rPr>
        <w:footnoteReference w:id="2"/>
      </w:r>
      <w:r>
        <w:t xml:space="preserve"> by insuring appropriate staffing and coverage levels, daily schedules, activities, and staff-student interactions.</w:t>
      </w:r>
    </w:p>
    <w:p w:rsidR="002A7672" w:rsidRDefault="002A7672" w:rsidP="002A7672">
      <w:pPr>
        <w:spacing w:line="240" w:lineRule="auto"/>
        <w:ind w:left="720" w:right="720"/>
      </w:pPr>
    </w:p>
    <w:p w:rsidR="002A7672" w:rsidRDefault="002A7672" w:rsidP="002A7672">
      <w:pPr>
        <w:spacing w:line="240" w:lineRule="auto"/>
        <w:ind w:left="720" w:right="720"/>
      </w:pPr>
      <w:r>
        <w:t>Develop and implement an appropriate range of high school based curricula appropriate to the age and abilities of the students.</w:t>
      </w:r>
    </w:p>
    <w:p w:rsidR="002A7672" w:rsidRDefault="002A7672" w:rsidP="002A7672">
      <w:pPr>
        <w:spacing w:line="240" w:lineRule="auto"/>
        <w:ind w:left="720" w:right="720"/>
      </w:pPr>
    </w:p>
    <w:p w:rsidR="002A7672" w:rsidRDefault="002A7672" w:rsidP="002A7672">
      <w:pPr>
        <w:spacing w:line="240" w:lineRule="auto"/>
        <w:ind w:right="720"/>
      </w:pPr>
      <w:r>
        <w:t>(Ex. 9.)</w:t>
      </w:r>
      <w:r>
        <w:rPr>
          <w:rStyle w:val="FootnoteReference"/>
        </w:rPr>
        <w:footnoteReference w:id="3"/>
      </w:r>
    </w:p>
    <w:p w:rsidR="002A7672" w:rsidRDefault="002A7672" w:rsidP="002A7672">
      <w:pPr>
        <w:spacing w:line="240" w:lineRule="auto"/>
        <w:ind w:right="720"/>
      </w:pPr>
    </w:p>
    <w:p w:rsidR="00562DA4" w:rsidRDefault="00790BE1" w:rsidP="00790BE1">
      <w:r>
        <w:tab/>
      </w:r>
      <w:r w:rsidR="00CC24B8">
        <w:t>14</w:t>
      </w:r>
      <w:r w:rsidR="00562DA4">
        <w:t xml:space="preserve">. On </w:t>
      </w:r>
      <w:r w:rsidR="00211AA9">
        <w:t>May 30, 2012, Mr. Carroll applied to buy back creditable servic</w:t>
      </w:r>
      <w:r w:rsidR="00B74465">
        <w:t xml:space="preserve">e from his employment at the Network High School. </w:t>
      </w:r>
      <w:r w:rsidR="00211AA9">
        <w:t>(Ex. 3.)</w:t>
      </w:r>
    </w:p>
    <w:p w:rsidR="00790BE1" w:rsidRDefault="00CC24B8" w:rsidP="00B74465">
      <w:pPr>
        <w:ind w:firstLine="720"/>
      </w:pPr>
      <w:r>
        <w:t>15</w:t>
      </w:r>
      <w:r w:rsidR="00562DA4">
        <w:t>. On January 2, 2015, the MTRS denied Mr. Carroll’s application</w:t>
      </w:r>
      <w:r w:rsidR="00713EC8">
        <w:t xml:space="preserve"> because he had not been engaged in teaching pupils under G.L. c. 32, </w:t>
      </w:r>
      <w:r w:rsidR="00713EC8">
        <w:rPr>
          <w:rFonts w:cs="Times New Roman"/>
        </w:rPr>
        <w:t>§</w:t>
      </w:r>
      <w:r w:rsidR="00713EC8">
        <w:t xml:space="preserve"> </w:t>
      </w:r>
      <w:r w:rsidR="002A7672">
        <w:t>4(</w:t>
      </w:r>
      <w:r w:rsidR="002C0CBA">
        <w:t>1</w:t>
      </w:r>
      <w:r w:rsidR="002A7672">
        <w:t>)(p)</w:t>
      </w:r>
      <w:r w:rsidR="00562DA4">
        <w:t>. (Ex. 1.)</w:t>
      </w:r>
    </w:p>
    <w:p w:rsidR="00562DA4" w:rsidRDefault="00562DA4" w:rsidP="00790BE1">
      <w:r>
        <w:tab/>
      </w:r>
      <w:r w:rsidR="00CC24B8">
        <w:t>16</w:t>
      </w:r>
      <w:r>
        <w:t>. On January 12, 2015, Mr. Carroll timely appealed. (Ex. 2.)</w:t>
      </w:r>
    </w:p>
    <w:p w:rsidR="002068C0" w:rsidRDefault="002068C0" w:rsidP="00790BE1">
      <w:pPr>
        <w:rPr>
          <w:rFonts w:cs="Times New Roman"/>
          <w:szCs w:val="24"/>
        </w:rPr>
      </w:pPr>
      <w:r>
        <w:tab/>
      </w:r>
      <w:r w:rsidR="00CC24B8">
        <w:t>17</w:t>
      </w:r>
      <w:r>
        <w:t>. At the hearing</w:t>
      </w:r>
      <w:r w:rsidR="00B74465">
        <w:t xml:space="preserve"> on June 21, 2016</w:t>
      </w:r>
      <w:r>
        <w:t xml:space="preserve">, </w:t>
      </w:r>
      <w:r w:rsidR="00B74465">
        <w:t>Mr. Carroll narrowed his appeal to 19</w:t>
      </w:r>
      <w:r w:rsidR="00B74465">
        <w:rPr>
          <w:rFonts w:cs="Times New Roman"/>
          <w:szCs w:val="24"/>
        </w:rPr>
        <w:t>91 to 1993</w:t>
      </w:r>
      <w:r w:rsidR="00224723">
        <w:rPr>
          <w:rFonts w:cs="Times New Roman"/>
          <w:szCs w:val="24"/>
        </w:rPr>
        <w:t xml:space="preserve"> as the </w:t>
      </w:r>
      <w:r w:rsidR="002A7672">
        <w:rPr>
          <w:rFonts w:cs="Times New Roman"/>
          <w:szCs w:val="24"/>
        </w:rPr>
        <w:t>years of</w:t>
      </w:r>
      <w:r w:rsidR="00224723">
        <w:rPr>
          <w:rFonts w:cs="Times New Roman"/>
          <w:szCs w:val="24"/>
        </w:rPr>
        <w:t xml:space="preserve"> creditable</w:t>
      </w:r>
      <w:r w:rsidR="002A7672">
        <w:rPr>
          <w:rFonts w:cs="Times New Roman"/>
          <w:szCs w:val="24"/>
        </w:rPr>
        <w:t xml:space="preserve"> s</w:t>
      </w:r>
      <w:r w:rsidR="00224723">
        <w:rPr>
          <w:rFonts w:cs="Times New Roman"/>
          <w:szCs w:val="24"/>
        </w:rPr>
        <w:t>ervice that he wished to buy back.</w:t>
      </w:r>
    </w:p>
    <w:p w:rsidR="00790BE1" w:rsidRDefault="00790BE1" w:rsidP="000923F5">
      <w:pPr>
        <w:jc w:val="center"/>
        <w:rPr>
          <w:rFonts w:cs="Times New Roman"/>
          <w:b/>
          <w:szCs w:val="24"/>
        </w:rPr>
      </w:pPr>
      <w:r w:rsidRPr="00F90200">
        <w:rPr>
          <w:rFonts w:cs="Times New Roman"/>
          <w:b/>
          <w:szCs w:val="24"/>
        </w:rPr>
        <w:lastRenderedPageBreak/>
        <w:t>Discussion</w:t>
      </w:r>
    </w:p>
    <w:p w:rsidR="00224723" w:rsidRDefault="00224723" w:rsidP="00224723">
      <w:pPr>
        <w:widowControl w:val="0"/>
      </w:pPr>
      <w:r w:rsidRPr="00D17752">
        <w:rPr>
          <w:rFonts w:cs="Times New Roman"/>
          <w:szCs w:val="24"/>
          <w:lang w:val="en"/>
        </w:rPr>
        <w:tab/>
        <w:t>Ge</w:t>
      </w:r>
      <w:r>
        <w:rPr>
          <w:rFonts w:cs="Times New Roman"/>
          <w:szCs w:val="24"/>
          <w:lang w:val="en"/>
        </w:rPr>
        <w:t xml:space="preserve">neral Laws Chapter 32, Section 4(1)(p) allows a teacher who is a member of </w:t>
      </w:r>
      <w:r w:rsidR="00884F63">
        <w:rPr>
          <w:rFonts w:cs="Times New Roman"/>
          <w:szCs w:val="24"/>
          <w:lang w:val="en"/>
        </w:rPr>
        <w:t xml:space="preserve">a </w:t>
      </w:r>
      <w:r>
        <w:rPr>
          <w:rFonts w:cs="Times New Roman"/>
          <w:szCs w:val="24"/>
          <w:lang w:val="en"/>
        </w:rPr>
        <w:t xml:space="preserve">retirement system to buy previous creditable service if, under various circumstances, the teacher was “previously </w:t>
      </w:r>
      <w:r w:rsidRPr="00D17752">
        <w:rPr>
          <w:rFonts w:cs="Times New Roman"/>
          <w:szCs w:val="24"/>
          <w:lang w:val="en"/>
        </w:rPr>
        <w:t>engaged in teaching pupils in any non-pu</w:t>
      </w:r>
      <w:r>
        <w:rPr>
          <w:rFonts w:cs="Times New Roman"/>
          <w:szCs w:val="24"/>
          <w:lang w:val="en"/>
        </w:rPr>
        <w:t>blic school in the commonwealth.” The only issue in this appeal is whether Mr. Carroll was “teaching pupils.” H</w:t>
      </w:r>
      <w:r>
        <w:t>e was not. Rather, he was a supervisor with some educational duties that did not fit the statutory requirement.</w:t>
      </w:r>
    </w:p>
    <w:p w:rsidR="00B61B4E" w:rsidRDefault="00B61B4E" w:rsidP="00790BE1">
      <w:pPr>
        <w:rPr>
          <w:rFonts w:cs="Times New Roman"/>
          <w:szCs w:val="24"/>
        </w:rPr>
      </w:pPr>
      <w:r>
        <w:rPr>
          <w:rFonts w:cs="Times New Roman"/>
          <w:szCs w:val="24"/>
        </w:rPr>
        <w:tab/>
      </w:r>
      <w:r w:rsidR="00CC24B8">
        <w:rPr>
          <w:rFonts w:cs="Times New Roman"/>
          <w:szCs w:val="24"/>
        </w:rPr>
        <w:t xml:space="preserve">Mr. Carroll </w:t>
      </w:r>
      <w:r w:rsidR="002C0CBA">
        <w:rPr>
          <w:rFonts w:cs="Times New Roman"/>
          <w:szCs w:val="24"/>
        </w:rPr>
        <w:t xml:space="preserve">originally </w:t>
      </w:r>
      <w:r w:rsidR="00CC24B8">
        <w:rPr>
          <w:rFonts w:cs="Times New Roman"/>
          <w:szCs w:val="24"/>
        </w:rPr>
        <w:t>requested that I proceed</w:t>
      </w:r>
      <w:r>
        <w:rPr>
          <w:rFonts w:cs="Times New Roman"/>
          <w:szCs w:val="24"/>
        </w:rPr>
        <w:t xml:space="preserve"> only on documents, </w:t>
      </w:r>
      <w:r w:rsidR="00CC24B8">
        <w:rPr>
          <w:rFonts w:cs="Times New Roman"/>
          <w:szCs w:val="24"/>
        </w:rPr>
        <w:t>which did not discuss his classroom activities</w:t>
      </w:r>
      <w:r w:rsidR="003B1397">
        <w:rPr>
          <w:rFonts w:cs="Times New Roman"/>
          <w:szCs w:val="24"/>
        </w:rPr>
        <w:t>,</w:t>
      </w:r>
      <w:r w:rsidR="00CC24B8">
        <w:rPr>
          <w:rFonts w:cs="Times New Roman"/>
          <w:szCs w:val="24"/>
        </w:rPr>
        <w:t xml:space="preserve"> at all. If I had agreed, </w:t>
      </w:r>
      <w:r>
        <w:rPr>
          <w:rFonts w:cs="Times New Roman"/>
          <w:szCs w:val="24"/>
        </w:rPr>
        <w:t xml:space="preserve">he would not have proved his case. </w:t>
      </w:r>
      <w:r w:rsidR="00CC24B8">
        <w:rPr>
          <w:i/>
        </w:rPr>
        <w:t>Deborah Herst Hill v. State Board of Retirement</w:t>
      </w:r>
      <w:r w:rsidR="00CC24B8">
        <w:t>, CR-07-605 (DALA 2009)(“</w:t>
      </w:r>
      <w:r w:rsidR="00CC24B8">
        <w:rPr>
          <w:lang w:val="en"/>
        </w:rPr>
        <w:t xml:space="preserve">The Petitioner has the burden of proof on each element necessary to establish entitlement to a benefit under Chapter 32”). At the beginning of the hearing, I told Mr. </w:t>
      </w:r>
      <w:r w:rsidR="00CC24B8">
        <w:rPr>
          <w:rFonts w:cs="Times New Roman"/>
          <w:szCs w:val="24"/>
        </w:rPr>
        <w:t>Carroll that this was his case to make</w:t>
      </w:r>
      <w:r w:rsidR="008B00FB">
        <w:rPr>
          <w:rFonts w:cs="Times New Roman"/>
          <w:szCs w:val="24"/>
        </w:rPr>
        <w:t xml:space="preserve"> and that </w:t>
      </w:r>
      <w:r w:rsidR="002C0CBA">
        <w:rPr>
          <w:rFonts w:cs="Times New Roman"/>
          <w:szCs w:val="24"/>
        </w:rPr>
        <w:t>once</w:t>
      </w:r>
      <w:r w:rsidR="008B00FB">
        <w:rPr>
          <w:rFonts w:cs="Times New Roman"/>
          <w:szCs w:val="24"/>
        </w:rPr>
        <w:t xml:space="preserve"> the hearing</w:t>
      </w:r>
      <w:r w:rsidR="002C0CBA">
        <w:rPr>
          <w:rFonts w:cs="Times New Roman"/>
          <w:szCs w:val="24"/>
        </w:rPr>
        <w:t xml:space="preserve"> was over</w:t>
      </w:r>
      <w:r w:rsidR="008B00FB">
        <w:rPr>
          <w:rFonts w:cs="Times New Roman"/>
          <w:szCs w:val="24"/>
        </w:rPr>
        <w:t>, I could not go through documents and make the case for him</w:t>
      </w:r>
      <w:r w:rsidR="00CC24B8">
        <w:rPr>
          <w:rFonts w:cs="Times New Roman"/>
          <w:szCs w:val="24"/>
        </w:rPr>
        <w:t>.</w:t>
      </w:r>
      <w:r w:rsidR="008B00FB">
        <w:rPr>
          <w:rFonts w:cs="Times New Roman"/>
          <w:szCs w:val="24"/>
        </w:rPr>
        <w:t xml:space="preserve"> I put Mr. Carroll on notice that his documents were insufficient to prove his case and that his testimony was critical.</w:t>
      </w:r>
      <w:r w:rsidR="00CC24B8">
        <w:rPr>
          <w:rFonts w:cs="Times New Roman"/>
          <w:szCs w:val="24"/>
        </w:rPr>
        <w:t xml:space="preserve"> Nonetheless, Mr. Carroll</w:t>
      </w:r>
      <w:r w:rsidR="00224723">
        <w:rPr>
          <w:rFonts w:cs="Times New Roman"/>
          <w:szCs w:val="24"/>
        </w:rPr>
        <w:t>’s</w:t>
      </w:r>
      <w:r w:rsidR="00CC24B8">
        <w:rPr>
          <w:rFonts w:cs="Times New Roman"/>
          <w:szCs w:val="24"/>
        </w:rPr>
        <w:t xml:space="preserve"> direct-examination testimony</w:t>
      </w:r>
      <w:r w:rsidR="00224723">
        <w:rPr>
          <w:rFonts w:cs="Times New Roman"/>
          <w:szCs w:val="24"/>
        </w:rPr>
        <w:t xml:space="preserve"> omitted many </w:t>
      </w:r>
      <w:r>
        <w:rPr>
          <w:rFonts w:cs="Times New Roman"/>
          <w:szCs w:val="24"/>
        </w:rPr>
        <w:t>details</w:t>
      </w:r>
      <w:r w:rsidR="00224723">
        <w:rPr>
          <w:rFonts w:cs="Times New Roman"/>
          <w:szCs w:val="24"/>
        </w:rPr>
        <w:t>, including</w:t>
      </w:r>
      <w:r>
        <w:rPr>
          <w:rFonts w:cs="Times New Roman"/>
          <w:szCs w:val="24"/>
        </w:rPr>
        <w:t xml:space="preserve"> about his teaching</w:t>
      </w:r>
      <w:r w:rsidR="000923F5">
        <w:rPr>
          <w:rFonts w:cs="Times New Roman"/>
          <w:szCs w:val="24"/>
        </w:rPr>
        <w:t>. If his testimony ended with the testimony that he chose to give</w:t>
      </w:r>
      <w:r w:rsidR="00224723">
        <w:rPr>
          <w:rFonts w:cs="Times New Roman"/>
          <w:szCs w:val="24"/>
        </w:rPr>
        <w:t>, he would not have proved his case.</w:t>
      </w:r>
      <w:r>
        <w:rPr>
          <w:rFonts w:cs="Times New Roman"/>
          <w:szCs w:val="24"/>
        </w:rPr>
        <w:t xml:space="preserve"> When I asked Mr. Carroll questions about his teaching duties, he </w:t>
      </w:r>
      <w:r w:rsidR="00224723">
        <w:rPr>
          <w:rFonts w:cs="Times New Roman"/>
          <w:szCs w:val="24"/>
        </w:rPr>
        <w:t>did</w:t>
      </w:r>
      <w:r>
        <w:rPr>
          <w:rFonts w:cs="Times New Roman"/>
          <w:szCs w:val="24"/>
        </w:rPr>
        <w:t xml:space="preserve"> not </w:t>
      </w:r>
      <w:r w:rsidR="00224723">
        <w:rPr>
          <w:rFonts w:cs="Times New Roman"/>
          <w:szCs w:val="24"/>
        </w:rPr>
        <w:t xml:space="preserve">answer </w:t>
      </w:r>
      <w:r>
        <w:rPr>
          <w:rFonts w:cs="Times New Roman"/>
          <w:szCs w:val="24"/>
        </w:rPr>
        <w:t>forthright</w:t>
      </w:r>
      <w:r w:rsidR="00224723">
        <w:rPr>
          <w:rFonts w:cs="Times New Roman"/>
          <w:szCs w:val="24"/>
        </w:rPr>
        <w:t>ly</w:t>
      </w:r>
      <w:r>
        <w:rPr>
          <w:rFonts w:cs="Times New Roman"/>
          <w:szCs w:val="24"/>
        </w:rPr>
        <w:t xml:space="preserve"> or veered off-topic. In other words, I gave Mr. Carroll opportunities to make his case.</w:t>
      </w:r>
      <w:r w:rsidR="00224723">
        <w:rPr>
          <w:rFonts w:cs="Times New Roman"/>
          <w:szCs w:val="24"/>
        </w:rPr>
        <w:t xml:space="preserve"> However, he did not do so.</w:t>
      </w:r>
      <w:r>
        <w:rPr>
          <w:rFonts w:cs="Times New Roman"/>
          <w:szCs w:val="24"/>
        </w:rPr>
        <w:t xml:space="preserve"> </w:t>
      </w:r>
    </w:p>
    <w:p w:rsidR="00224723" w:rsidRDefault="00224723" w:rsidP="008B00FB">
      <w:pPr>
        <w:widowControl w:val="0"/>
        <w:rPr>
          <w:rFonts w:eastAsia="Times New Roman" w:cs="Times New Roman"/>
          <w:bCs/>
          <w:szCs w:val="24"/>
          <w:lang w:val="en"/>
        </w:rPr>
      </w:pPr>
      <w:r>
        <w:rPr>
          <w:rFonts w:cs="Times New Roman"/>
          <w:szCs w:val="24"/>
        </w:rPr>
        <w:tab/>
        <w:t>T</w:t>
      </w:r>
      <w:r w:rsidRPr="00D07772">
        <w:rPr>
          <w:rFonts w:cs="Times New Roman"/>
          <w:szCs w:val="24"/>
        </w:rPr>
        <w:t>he statute</w:t>
      </w:r>
      <w:r>
        <w:rPr>
          <w:rFonts w:cs="Times New Roman"/>
          <w:szCs w:val="24"/>
        </w:rPr>
        <w:t>’s phrase “</w:t>
      </w:r>
      <w:r w:rsidRPr="00D07772">
        <w:rPr>
          <w:rFonts w:cs="Times New Roman"/>
          <w:szCs w:val="24"/>
        </w:rPr>
        <w:t>teaching pupils</w:t>
      </w:r>
      <w:r>
        <w:rPr>
          <w:rFonts w:cs="Times New Roman"/>
          <w:szCs w:val="24"/>
        </w:rPr>
        <w:t>”</w:t>
      </w:r>
      <w:r w:rsidRPr="00D07772">
        <w:rPr>
          <w:rFonts w:cs="Times New Roman"/>
          <w:szCs w:val="24"/>
        </w:rPr>
        <w:t xml:space="preserve"> has a “</w:t>
      </w:r>
      <w:r w:rsidRPr="00D07772">
        <w:rPr>
          <w:rFonts w:cs="Times New Roman"/>
          <w:szCs w:val="24"/>
          <w:lang w:val="en"/>
        </w:rPr>
        <w:t>narrow interpretation”: that of “teaching</w:t>
      </w:r>
      <w:r>
        <w:rPr>
          <w:rFonts w:cs="Times New Roman"/>
          <w:szCs w:val="24"/>
          <w:lang w:val="en"/>
        </w:rPr>
        <w:t xml:space="preserve"> pupils</w:t>
      </w:r>
      <w:r w:rsidRPr="00D07772">
        <w:rPr>
          <w:rFonts w:cs="Times New Roman"/>
          <w:szCs w:val="24"/>
          <w:lang w:val="en"/>
        </w:rPr>
        <w:t xml:space="preserve"> academics.”</w:t>
      </w:r>
      <w:bookmarkStart w:id="1" w:name="hit1"/>
      <w:bookmarkStart w:id="2" w:name="hit2"/>
      <w:bookmarkStart w:id="3" w:name="hit3"/>
      <w:bookmarkEnd w:id="1"/>
      <w:bookmarkEnd w:id="2"/>
      <w:bookmarkEnd w:id="3"/>
      <w:r>
        <w:rPr>
          <w:rFonts w:cs="Times New Roman"/>
          <w:szCs w:val="24"/>
          <w:lang w:val="en"/>
        </w:rPr>
        <w:t xml:space="preserve"> </w:t>
      </w:r>
      <w:r w:rsidRPr="008A514E">
        <w:rPr>
          <w:rFonts w:eastAsia="Times New Roman" w:cs="Times New Roman"/>
          <w:bCs/>
          <w:i/>
          <w:szCs w:val="24"/>
          <w:lang w:val="en"/>
        </w:rPr>
        <w:t>Janet Kraskouskas</w:t>
      </w:r>
      <w:r w:rsidRPr="00D07772">
        <w:rPr>
          <w:rFonts w:eastAsia="Times New Roman" w:cs="Times New Roman"/>
          <w:bCs/>
          <w:i/>
          <w:szCs w:val="24"/>
          <w:lang w:val="en"/>
        </w:rPr>
        <w:t xml:space="preserve"> v. Massachusetts</w:t>
      </w:r>
      <w:r w:rsidRPr="008A514E">
        <w:rPr>
          <w:rFonts w:eastAsia="Times New Roman" w:cs="Times New Roman"/>
          <w:bCs/>
          <w:i/>
          <w:szCs w:val="24"/>
          <w:lang w:val="en"/>
        </w:rPr>
        <w:t xml:space="preserve"> Teachers</w:t>
      </w:r>
      <w:r w:rsidRPr="00D07772">
        <w:rPr>
          <w:rFonts w:eastAsia="Times New Roman" w:cs="Times New Roman"/>
          <w:bCs/>
          <w:i/>
          <w:szCs w:val="24"/>
          <w:lang w:val="en"/>
        </w:rPr>
        <w:t>’</w:t>
      </w:r>
      <w:r w:rsidRPr="008A514E">
        <w:rPr>
          <w:rFonts w:eastAsia="Times New Roman" w:cs="Times New Roman"/>
          <w:bCs/>
          <w:i/>
          <w:szCs w:val="24"/>
          <w:lang w:val="en"/>
        </w:rPr>
        <w:t xml:space="preserve"> Retirement System</w:t>
      </w:r>
      <w:r w:rsidRPr="008A514E">
        <w:rPr>
          <w:rFonts w:eastAsia="Times New Roman" w:cs="Times New Roman"/>
          <w:bCs/>
          <w:szCs w:val="24"/>
          <w:lang w:val="en"/>
        </w:rPr>
        <w:t xml:space="preserve">, </w:t>
      </w:r>
      <w:r>
        <w:rPr>
          <w:rFonts w:eastAsia="Times New Roman" w:cs="Times New Roman"/>
          <w:bCs/>
          <w:szCs w:val="24"/>
          <w:lang w:val="en"/>
        </w:rPr>
        <w:t>CR-09-288 *8, 9 (DALA 2014).</w:t>
      </w:r>
    </w:p>
    <w:p w:rsidR="00B579F3" w:rsidRDefault="00B579F3" w:rsidP="00B579F3">
      <w:pPr>
        <w:widowControl w:val="0"/>
        <w:ind w:firstLine="720"/>
      </w:pPr>
      <w:r>
        <w:t xml:space="preserve">A teacher must be teaching academic subjects to pupils. Being a supervisor, helping classroom teachers, and helping students master social skills and control their behavior does not </w:t>
      </w:r>
      <w:r>
        <w:lastRenderedPageBreak/>
        <w:t xml:space="preserve">constitute teaching academics, as valuable as Mr. Carroll’s activities were. </w:t>
      </w:r>
    </w:p>
    <w:p w:rsidR="008B00FB" w:rsidRDefault="00B579F3" w:rsidP="00B579F3">
      <w:pPr>
        <w:widowControl w:val="0"/>
        <w:ind w:firstLine="720"/>
        <w:rPr>
          <w:rFonts w:cs="Times New Roman"/>
          <w:szCs w:val="24"/>
        </w:rPr>
      </w:pPr>
      <w:r>
        <w:t xml:space="preserve">If Mr. Carroll taught academic subjects while working with students one-on-one or in groups outside the classroom, </w:t>
      </w:r>
      <w:r w:rsidR="008B00FB">
        <w:rPr>
          <w:rFonts w:cs="Times New Roman"/>
          <w:szCs w:val="24"/>
        </w:rPr>
        <w:t>he did not so testify</w:t>
      </w:r>
      <w:r w:rsidR="00224723">
        <w:rPr>
          <w:rFonts w:cs="Times New Roman"/>
          <w:szCs w:val="24"/>
        </w:rPr>
        <w:t>.</w:t>
      </w:r>
      <w:r w:rsidR="008B00FB">
        <w:rPr>
          <w:rFonts w:cs="Times New Roman"/>
          <w:szCs w:val="24"/>
        </w:rPr>
        <w:t xml:space="preserve"> If English arts is an academic subject, similar or equivalent to English, he did not so testify. He did not testify that when he was a substitute teacher, he was teaching academics. He did not testify about how much time he spent as a substitute teacher in 1991 through 1993.</w:t>
      </w:r>
    </w:p>
    <w:p w:rsidR="00500469" w:rsidRDefault="00500469" w:rsidP="00500469">
      <w:pPr>
        <w:widowControl w:val="0"/>
        <w:ind w:right="720" w:firstLine="720"/>
        <w:rPr>
          <w:rFonts w:eastAsia="Times New Roman" w:cs="Times New Roman"/>
          <w:bCs/>
          <w:szCs w:val="24"/>
          <w:lang w:val="en"/>
        </w:rPr>
      </w:pPr>
      <w:r>
        <w:rPr>
          <w:rFonts w:cs="Times New Roman"/>
          <w:szCs w:val="24"/>
        </w:rPr>
        <w:t>I</w:t>
      </w:r>
      <w:r w:rsidR="000923F5">
        <w:rPr>
          <w:rFonts w:cs="Times New Roman"/>
          <w:szCs w:val="24"/>
        </w:rPr>
        <w:t xml:space="preserve">n </w:t>
      </w:r>
      <w:r w:rsidR="000923F5" w:rsidRPr="000923F5">
        <w:rPr>
          <w:rFonts w:eastAsia="Times New Roman" w:cs="Times New Roman"/>
          <w:i/>
          <w:szCs w:val="24"/>
          <w:lang w:val="en"/>
        </w:rPr>
        <w:t>Alicia Taft v. Contributory Retirement Board</w:t>
      </w:r>
      <w:r w:rsidR="000923F5" w:rsidRPr="000923F5">
        <w:rPr>
          <w:rFonts w:eastAsia="Times New Roman" w:cs="Times New Roman"/>
          <w:szCs w:val="24"/>
          <w:lang w:val="en"/>
        </w:rPr>
        <w:t>, CR-</w:t>
      </w:r>
      <w:r w:rsidR="000923F5" w:rsidRPr="000923F5">
        <w:rPr>
          <w:rFonts w:eastAsia="Times New Roman" w:cs="Times New Roman"/>
          <w:bCs/>
          <w:szCs w:val="24"/>
          <w:lang w:val="en"/>
        </w:rPr>
        <w:t>02-657 (DALA</w:t>
      </w:r>
      <w:r w:rsidR="000923F5">
        <w:rPr>
          <w:rFonts w:eastAsia="Times New Roman" w:cs="Times New Roman"/>
          <w:bCs/>
          <w:szCs w:val="24"/>
          <w:lang w:val="en"/>
        </w:rPr>
        <w:t xml:space="preserve"> 2004)</w:t>
      </w:r>
      <w:r>
        <w:rPr>
          <w:rFonts w:eastAsia="Times New Roman" w:cs="Times New Roman"/>
          <w:bCs/>
          <w:szCs w:val="24"/>
          <w:lang w:val="en"/>
        </w:rPr>
        <w:t xml:space="preserve">, </w:t>
      </w:r>
    </w:p>
    <w:p w:rsidR="000923F5" w:rsidRDefault="00500469" w:rsidP="00500469">
      <w:pPr>
        <w:widowControl w:val="0"/>
        <w:spacing w:line="240" w:lineRule="auto"/>
        <w:ind w:left="720" w:right="720"/>
        <w:rPr>
          <w:lang w:val="en"/>
        </w:rPr>
      </w:pPr>
      <w:r>
        <w:rPr>
          <w:rFonts w:eastAsia="Times New Roman" w:cs="Times New Roman"/>
          <w:bCs/>
          <w:szCs w:val="24"/>
          <w:lang w:val="en"/>
        </w:rPr>
        <w:t xml:space="preserve">the petitioner </w:t>
      </w:r>
      <w:r>
        <w:rPr>
          <w:lang w:val="en"/>
        </w:rPr>
        <w:t>was not hired to do teaching, but she did substitute teaching, covering for ill teachers or if a teacher was on a leave of absence.</w:t>
      </w:r>
    </w:p>
    <w:p w:rsidR="00500469" w:rsidRDefault="00500469" w:rsidP="00500469">
      <w:pPr>
        <w:widowControl w:val="0"/>
        <w:spacing w:line="240" w:lineRule="auto"/>
        <w:ind w:right="720"/>
        <w:rPr>
          <w:lang w:val="en"/>
        </w:rPr>
      </w:pPr>
    </w:p>
    <w:p w:rsidR="00500469" w:rsidRDefault="00500469" w:rsidP="00500469">
      <w:pPr>
        <w:widowControl w:val="0"/>
        <w:spacing w:line="240" w:lineRule="auto"/>
        <w:ind w:right="720"/>
        <w:rPr>
          <w:rFonts w:cs="Times New Roman"/>
          <w:szCs w:val="24"/>
        </w:rPr>
      </w:pPr>
      <w:r>
        <w:rPr>
          <w:lang w:val="en"/>
        </w:rPr>
        <w:t>The decision concluded that</w:t>
      </w:r>
    </w:p>
    <w:p w:rsidR="00500469" w:rsidRDefault="00500469" w:rsidP="00500469">
      <w:pPr>
        <w:widowControl w:val="0"/>
        <w:spacing w:line="240" w:lineRule="auto"/>
        <w:ind w:left="720" w:right="720" w:firstLine="720"/>
        <w:rPr>
          <w:rFonts w:cs="Times New Roman"/>
          <w:szCs w:val="24"/>
        </w:rPr>
      </w:pPr>
    </w:p>
    <w:p w:rsidR="000923F5" w:rsidRDefault="000923F5" w:rsidP="000923F5">
      <w:pPr>
        <w:spacing w:line="240" w:lineRule="auto"/>
        <w:ind w:left="720" w:right="720"/>
        <w:rPr>
          <w:lang w:val="en"/>
        </w:rPr>
      </w:pPr>
      <w:r>
        <w:rPr>
          <w:lang w:val="en"/>
        </w:rPr>
        <w:t>…Ms. Taft's work as Director of Programs at St. Coletta Day School was not fundamentally a teaching function, but an oversight and supervisory function. The fact that she not infrequently engaged in teaching work and had the background to do that effectively, does not alter this conclusion.</w:t>
      </w:r>
    </w:p>
    <w:p w:rsidR="000923F5" w:rsidRDefault="000923F5" w:rsidP="000923F5">
      <w:pPr>
        <w:spacing w:line="240" w:lineRule="auto"/>
        <w:ind w:left="720" w:right="720"/>
        <w:rPr>
          <w:lang w:val="en"/>
        </w:rPr>
      </w:pPr>
    </w:p>
    <w:p w:rsidR="000923F5" w:rsidRDefault="000923F5" w:rsidP="00CC24B8">
      <w:pPr>
        <w:rPr>
          <w:lang w:val="en"/>
        </w:rPr>
      </w:pPr>
      <w:r>
        <w:rPr>
          <w:lang w:val="en"/>
        </w:rPr>
        <w:tab/>
        <w:t xml:space="preserve">The decision continued that the language </w:t>
      </w:r>
      <w:r w:rsidR="00500469">
        <w:rPr>
          <w:lang w:val="en"/>
        </w:rPr>
        <w:t xml:space="preserve">of </w:t>
      </w:r>
      <w:r w:rsidR="00500469">
        <w:t xml:space="preserve">G.L. c. 32, </w:t>
      </w:r>
      <w:r w:rsidR="00500469">
        <w:rPr>
          <w:rFonts w:cs="Times New Roman"/>
        </w:rPr>
        <w:t>§</w:t>
      </w:r>
      <w:r w:rsidR="00500469">
        <w:t xml:space="preserve"> 4(1)(p) </w:t>
      </w:r>
      <w:r>
        <w:rPr>
          <w:lang w:val="en"/>
        </w:rPr>
        <w:t xml:space="preserve">did not include “supervisors of teachers” and the phrase “engaged in teaching pupils” is “too specific in meaning” to </w:t>
      </w:r>
    </w:p>
    <w:p w:rsidR="000923F5" w:rsidRDefault="000923F5" w:rsidP="000923F5">
      <w:pPr>
        <w:spacing w:line="240" w:lineRule="auto"/>
        <w:ind w:left="720" w:right="720"/>
        <w:rPr>
          <w:lang w:val="en"/>
        </w:rPr>
      </w:pPr>
      <w:r>
        <w:rPr>
          <w:lang w:val="en"/>
        </w:rPr>
        <w:t>be stretched to encompass someone hired to supervisor teachers and to direct an educational program who also at times did teach pupils.</w:t>
      </w:r>
    </w:p>
    <w:p w:rsidR="000923F5" w:rsidRDefault="000923F5" w:rsidP="000923F5">
      <w:pPr>
        <w:spacing w:line="240" w:lineRule="auto"/>
        <w:ind w:left="720" w:right="720"/>
        <w:rPr>
          <w:lang w:val="en"/>
        </w:rPr>
      </w:pPr>
    </w:p>
    <w:p w:rsidR="00CC24B8" w:rsidRPr="0006065E" w:rsidRDefault="000923F5" w:rsidP="00CC24B8">
      <w:r>
        <w:rPr>
          <w:i/>
          <w:lang w:val="en"/>
        </w:rPr>
        <w:t>Id.</w:t>
      </w:r>
      <w:r w:rsidR="00500469">
        <w:rPr>
          <w:i/>
          <w:lang w:val="en"/>
        </w:rPr>
        <w:t>,</w:t>
      </w:r>
      <w:r>
        <w:rPr>
          <w:lang w:val="en"/>
        </w:rPr>
        <w:t xml:space="preserve"> </w:t>
      </w:r>
      <w:r>
        <w:rPr>
          <w:i/>
          <w:lang w:val="en"/>
        </w:rPr>
        <w:t>aff’d</w:t>
      </w:r>
      <w:r>
        <w:rPr>
          <w:lang w:val="en"/>
        </w:rPr>
        <w:t xml:space="preserve">, </w:t>
      </w:r>
      <w:r w:rsidRPr="000923F5">
        <w:rPr>
          <w:rFonts w:eastAsia="Times New Roman" w:cs="Times New Roman"/>
          <w:i/>
          <w:szCs w:val="24"/>
          <w:lang w:val="en"/>
        </w:rPr>
        <w:t>Alicia Taft v. Contributory Retirement Board</w:t>
      </w:r>
      <w:r w:rsidRPr="000923F5">
        <w:rPr>
          <w:rFonts w:eastAsia="Times New Roman" w:cs="Times New Roman"/>
          <w:szCs w:val="24"/>
          <w:lang w:val="en"/>
        </w:rPr>
        <w:t>, CR-</w:t>
      </w:r>
      <w:r w:rsidRPr="000923F5">
        <w:rPr>
          <w:rFonts w:eastAsia="Times New Roman" w:cs="Times New Roman"/>
          <w:bCs/>
          <w:szCs w:val="24"/>
          <w:lang w:val="en"/>
        </w:rPr>
        <w:t xml:space="preserve">02-657 (CRAB 2004), </w:t>
      </w:r>
      <w:r w:rsidR="00CC24B8" w:rsidRPr="000923F5">
        <w:rPr>
          <w:rFonts w:eastAsia="Times New Roman" w:cs="Times New Roman"/>
          <w:bCs/>
          <w:szCs w:val="24"/>
          <w:lang w:val="en"/>
        </w:rPr>
        <w:t>Suffolk Sup. Ct. Civ. No. 2004-05441 (Memorandum and Order, Nov. 1, 2005</w:t>
      </w:r>
      <w:r>
        <w:rPr>
          <w:rFonts w:eastAsia="Times New Roman" w:cs="Times New Roman"/>
          <w:bCs/>
          <w:szCs w:val="24"/>
          <w:lang w:val="en"/>
        </w:rPr>
        <w:t>).</w:t>
      </w:r>
    </w:p>
    <w:p w:rsidR="00790BE1" w:rsidRDefault="00790BE1" w:rsidP="00790BE1">
      <w:pPr>
        <w:pStyle w:val="Default"/>
        <w:spacing w:line="480" w:lineRule="auto"/>
        <w:jc w:val="center"/>
        <w:rPr>
          <w:b/>
          <w:color w:val="auto"/>
        </w:rPr>
      </w:pPr>
      <w:r w:rsidRPr="00DB6139">
        <w:rPr>
          <w:b/>
          <w:color w:val="auto"/>
        </w:rPr>
        <w:t>Conclusion</w:t>
      </w:r>
      <w:r>
        <w:rPr>
          <w:b/>
          <w:color w:val="auto"/>
        </w:rPr>
        <w:t xml:space="preserve"> and Order</w:t>
      </w:r>
    </w:p>
    <w:p w:rsidR="000923F5" w:rsidRDefault="00790BE1" w:rsidP="00790BE1">
      <w:pPr>
        <w:pStyle w:val="Default"/>
        <w:spacing w:line="480" w:lineRule="auto"/>
      </w:pPr>
      <w:r>
        <w:rPr>
          <w:color w:val="auto"/>
        </w:rPr>
        <w:tab/>
      </w:r>
      <w:r w:rsidR="00B579F3">
        <w:rPr>
          <w:color w:val="auto"/>
        </w:rPr>
        <w:t xml:space="preserve">Mr. Carroll did </w:t>
      </w:r>
      <w:r w:rsidR="00961C96">
        <w:t xml:space="preserve">not </w:t>
      </w:r>
      <w:r w:rsidR="00B579F3">
        <w:t>teach</w:t>
      </w:r>
      <w:r w:rsidR="00961C96">
        <w:t xml:space="preserve"> academics</w:t>
      </w:r>
      <w:r w:rsidR="00B579F3">
        <w:t xml:space="preserve"> to pupils</w:t>
      </w:r>
      <w:r w:rsidR="00961C96">
        <w:t xml:space="preserve">, which is a prerequisite under G.L. c. 32, </w:t>
      </w:r>
      <w:r w:rsidR="00961C96" w:rsidRPr="00835EE2">
        <w:rPr>
          <w:rFonts w:eastAsia="Times New Roman"/>
        </w:rPr>
        <w:t>§ 4(1)(</w:t>
      </w:r>
      <w:r w:rsidR="00961C96" w:rsidRPr="00835EE2">
        <w:rPr>
          <w:rFonts w:eastAsia="Times New Roman"/>
          <w:iCs/>
        </w:rPr>
        <w:t>p</w:t>
      </w:r>
      <w:r w:rsidR="00961C96">
        <w:rPr>
          <w:rFonts w:eastAsia="Times New Roman"/>
        </w:rPr>
        <w:t>) to</w:t>
      </w:r>
      <w:r w:rsidR="00B579F3">
        <w:rPr>
          <w:rFonts w:eastAsia="Times New Roman"/>
        </w:rPr>
        <w:t xml:space="preserve"> buy</w:t>
      </w:r>
      <w:r w:rsidR="00961C96">
        <w:rPr>
          <w:rFonts w:eastAsia="Times New Roman"/>
        </w:rPr>
        <w:t xml:space="preserve"> </w:t>
      </w:r>
      <w:r w:rsidR="00B579F3">
        <w:rPr>
          <w:rFonts w:eastAsia="Times New Roman"/>
        </w:rPr>
        <w:t>creditable</w:t>
      </w:r>
      <w:r w:rsidR="00961C96">
        <w:rPr>
          <w:rFonts w:eastAsia="Times New Roman"/>
        </w:rPr>
        <w:t xml:space="preserve"> service. </w:t>
      </w:r>
      <w:r w:rsidR="00961C96">
        <w:t xml:space="preserve">The denial of his application to </w:t>
      </w:r>
      <w:r w:rsidR="00B579F3">
        <w:t>buy creditable</w:t>
      </w:r>
      <w:r w:rsidR="00961C96">
        <w:t xml:space="preserve"> service is therefore affirmed.</w:t>
      </w:r>
    </w:p>
    <w:p w:rsidR="000923F5" w:rsidRDefault="000923F5">
      <w:pPr>
        <w:spacing w:line="240" w:lineRule="auto"/>
        <w:rPr>
          <w:rFonts w:cs="Times New Roman"/>
          <w:color w:val="000000"/>
          <w:szCs w:val="24"/>
        </w:rPr>
      </w:pPr>
      <w:r>
        <w:br w:type="page"/>
      </w:r>
    </w:p>
    <w:p w:rsidR="00790BE1" w:rsidRPr="00070706" w:rsidRDefault="00790BE1" w:rsidP="00790BE1">
      <w:pPr>
        <w:pStyle w:val="Default"/>
        <w:spacing w:line="480" w:lineRule="auto"/>
        <w:rPr>
          <w:color w:val="auto"/>
        </w:rPr>
      </w:pPr>
    </w:p>
    <w:p w:rsidR="00790BE1" w:rsidRPr="00DB613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rsidRPr="00DB6139">
        <w:t xml:space="preserve"> </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DIVISION OF ADMINISTRATIVE LAW APPEALS</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__________________________________</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Kenneth Bresler</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Administrative Magistrate</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0A0ABD">
        <w:t>Dated:</w:t>
      </w:r>
      <w:r w:rsidRPr="00E004B9">
        <w:t xml:space="preserve"> </w:t>
      </w:r>
      <w:r w:rsidR="00884F63">
        <w:t>November 17, 2016</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p>
    <w:p w:rsidR="00790BE1" w:rsidRPr="00E004B9" w:rsidRDefault="00790BE1" w:rsidP="00790BE1">
      <w:pPr>
        <w:ind w:firstLine="720"/>
      </w:pPr>
    </w:p>
    <w:p w:rsidR="00343DEA" w:rsidRDefault="00343DEA" w:rsidP="00A61B7F">
      <w:pPr>
        <w:widowControl w:val="0"/>
      </w:pPr>
    </w:p>
    <w:sectPr w:rsidR="00343DEA" w:rsidSect="00FB003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D18" w:rsidRDefault="00664D18">
      <w:pPr>
        <w:spacing w:line="240" w:lineRule="auto"/>
      </w:pPr>
      <w:r>
        <w:separator/>
      </w:r>
    </w:p>
  </w:endnote>
  <w:endnote w:type="continuationSeparator" w:id="0">
    <w:p w:rsidR="00664D18" w:rsidRDefault="00664D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86270"/>
      <w:docPartObj>
        <w:docPartGallery w:val="Page Numbers (Bottom of Page)"/>
        <w:docPartUnique/>
      </w:docPartObj>
    </w:sdtPr>
    <w:sdtEndPr>
      <w:rPr>
        <w:noProof/>
      </w:rPr>
    </w:sdtEndPr>
    <w:sdtContent>
      <w:p w:rsidR="002A1DB8" w:rsidRDefault="00790BE1">
        <w:pPr>
          <w:pStyle w:val="Footer"/>
          <w:jc w:val="center"/>
        </w:pPr>
        <w:r>
          <w:fldChar w:fldCharType="begin"/>
        </w:r>
        <w:r>
          <w:instrText xml:space="preserve"> PAGE   \* MERGEFORMAT </w:instrText>
        </w:r>
        <w:r>
          <w:fldChar w:fldCharType="separate"/>
        </w:r>
        <w:r w:rsidR="0024632B">
          <w:rPr>
            <w:noProof/>
          </w:rPr>
          <w:t>2</w:t>
        </w:r>
        <w:r>
          <w:rPr>
            <w:noProof/>
          </w:rPr>
          <w:fldChar w:fldCharType="end"/>
        </w:r>
      </w:p>
    </w:sdtContent>
  </w:sdt>
  <w:p w:rsidR="004721C1" w:rsidRDefault="00664D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1C1" w:rsidRDefault="00664D18">
    <w:pPr>
      <w:pStyle w:val="Footer"/>
      <w:jc w:val="center"/>
    </w:pPr>
  </w:p>
  <w:p w:rsidR="004721C1" w:rsidRDefault="00664D18" w:rsidP="00FB00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D18" w:rsidRDefault="00664D18">
      <w:pPr>
        <w:spacing w:line="240" w:lineRule="auto"/>
      </w:pPr>
      <w:r>
        <w:separator/>
      </w:r>
    </w:p>
  </w:footnote>
  <w:footnote w:type="continuationSeparator" w:id="0">
    <w:p w:rsidR="00664D18" w:rsidRDefault="00664D18">
      <w:pPr>
        <w:spacing w:line="240" w:lineRule="auto"/>
      </w:pPr>
      <w:r>
        <w:continuationSeparator/>
      </w:r>
    </w:p>
  </w:footnote>
  <w:footnote w:id="1">
    <w:p w:rsidR="00713EC8" w:rsidRPr="00B61B4E" w:rsidRDefault="00713EC8" w:rsidP="00B61B4E">
      <w:pPr>
        <w:pStyle w:val="FootnoteText"/>
        <w:widowControl w:val="0"/>
        <w:spacing w:after="120"/>
        <w:rPr>
          <w:sz w:val="24"/>
          <w:szCs w:val="24"/>
        </w:rPr>
      </w:pPr>
      <w:r w:rsidRPr="00B61B4E">
        <w:rPr>
          <w:rStyle w:val="FootnoteReference"/>
          <w:sz w:val="24"/>
          <w:szCs w:val="24"/>
        </w:rPr>
        <w:footnoteRef/>
      </w:r>
      <w:r w:rsidRPr="00B61B4E">
        <w:rPr>
          <w:sz w:val="24"/>
          <w:szCs w:val="24"/>
        </w:rPr>
        <w:t xml:space="preserve"> It is unclear whether he did so formally, such as with forms, or informally.</w:t>
      </w:r>
    </w:p>
  </w:footnote>
  <w:footnote w:id="2">
    <w:p w:rsidR="002A7672" w:rsidRPr="00B61B4E" w:rsidRDefault="002A7672" w:rsidP="00B61B4E">
      <w:pPr>
        <w:pStyle w:val="FootnoteText"/>
        <w:widowControl w:val="0"/>
        <w:spacing w:after="120"/>
        <w:rPr>
          <w:sz w:val="24"/>
          <w:szCs w:val="24"/>
        </w:rPr>
      </w:pPr>
      <w:r w:rsidRPr="00B61B4E">
        <w:rPr>
          <w:rStyle w:val="FootnoteReference"/>
          <w:sz w:val="24"/>
          <w:szCs w:val="24"/>
        </w:rPr>
        <w:footnoteRef/>
      </w:r>
      <w:r w:rsidRPr="00B61B4E">
        <w:rPr>
          <w:sz w:val="24"/>
          <w:szCs w:val="24"/>
        </w:rPr>
        <w:t xml:space="preserve"> This went unexplained by the evidence.</w:t>
      </w:r>
    </w:p>
  </w:footnote>
  <w:footnote w:id="3">
    <w:p w:rsidR="00EF3D62" w:rsidRDefault="002A7672" w:rsidP="00B61B4E">
      <w:pPr>
        <w:pStyle w:val="FootnoteText"/>
        <w:widowControl w:val="0"/>
        <w:spacing w:after="120"/>
      </w:pPr>
      <w:r w:rsidRPr="00B61B4E">
        <w:rPr>
          <w:rStyle w:val="FootnoteReference"/>
          <w:sz w:val="24"/>
          <w:szCs w:val="24"/>
        </w:rPr>
        <w:footnoteRef/>
      </w:r>
      <w:r w:rsidRPr="00B61B4E">
        <w:rPr>
          <w:sz w:val="24"/>
          <w:szCs w:val="24"/>
        </w:rPr>
        <w:t xml:space="preserve"> </w:t>
      </w:r>
      <w:r w:rsidR="00B61B4E" w:rsidRPr="00B61B4E">
        <w:rPr>
          <w:sz w:val="24"/>
          <w:szCs w:val="24"/>
        </w:rPr>
        <w:t xml:space="preserve">Mr. Carroll </w:t>
      </w:r>
      <w:r w:rsidR="00EF3D62">
        <w:rPr>
          <w:sz w:val="24"/>
          <w:szCs w:val="24"/>
        </w:rPr>
        <w:t xml:space="preserve">specifically </w:t>
      </w:r>
      <w:r w:rsidR="00B61B4E" w:rsidRPr="00B61B4E">
        <w:rPr>
          <w:sz w:val="24"/>
          <w:szCs w:val="24"/>
        </w:rPr>
        <w:t>identified these two items as</w:t>
      </w:r>
      <w:r w:rsidR="00B61B4E" w:rsidRPr="00EF3D62">
        <w:rPr>
          <w:sz w:val="24"/>
          <w:szCs w:val="24"/>
        </w:rPr>
        <w:t xml:space="preserve"> </w:t>
      </w:r>
      <w:r w:rsidR="00EF3D62" w:rsidRPr="00EF3D62">
        <w:rPr>
          <w:rFonts w:cs="Times New Roman"/>
          <w:sz w:val="24"/>
          <w:szCs w:val="24"/>
        </w:rPr>
        <w:t>“consistent” with teaching duties.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E1"/>
    <w:rsid w:val="000506B8"/>
    <w:rsid w:val="000540CA"/>
    <w:rsid w:val="000923F5"/>
    <w:rsid w:val="00112DCC"/>
    <w:rsid w:val="002068C0"/>
    <w:rsid w:val="00211AA9"/>
    <w:rsid w:val="00224723"/>
    <w:rsid w:val="0024632B"/>
    <w:rsid w:val="002A0ACD"/>
    <w:rsid w:val="002A7672"/>
    <w:rsid w:val="002C0CBA"/>
    <w:rsid w:val="00343DEA"/>
    <w:rsid w:val="003B1397"/>
    <w:rsid w:val="004E6F6B"/>
    <w:rsid w:val="00500469"/>
    <w:rsid w:val="00534924"/>
    <w:rsid w:val="0054151E"/>
    <w:rsid w:val="00562DA4"/>
    <w:rsid w:val="005D6A15"/>
    <w:rsid w:val="00664D18"/>
    <w:rsid w:val="00713EC8"/>
    <w:rsid w:val="00772A4B"/>
    <w:rsid w:val="00790BE1"/>
    <w:rsid w:val="007C487C"/>
    <w:rsid w:val="007F2346"/>
    <w:rsid w:val="00817BBF"/>
    <w:rsid w:val="00841882"/>
    <w:rsid w:val="00846233"/>
    <w:rsid w:val="00884F63"/>
    <w:rsid w:val="008A1A40"/>
    <w:rsid w:val="008B00FB"/>
    <w:rsid w:val="00961C96"/>
    <w:rsid w:val="00A61B7F"/>
    <w:rsid w:val="00B579F3"/>
    <w:rsid w:val="00B61B4E"/>
    <w:rsid w:val="00B637BD"/>
    <w:rsid w:val="00B74465"/>
    <w:rsid w:val="00C6221D"/>
    <w:rsid w:val="00CC24B8"/>
    <w:rsid w:val="00E16E4F"/>
    <w:rsid w:val="00E60A30"/>
    <w:rsid w:val="00EF3D62"/>
    <w:rsid w:val="00F05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FootnoteText">
    <w:name w:val="footnote text"/>
    <w:basedOn w:val="Normal"/>
    <w:link w:val="FootnoteTextChar"/>
    <w:uiPriority w:val="99"/>
    <w:unhideWhenUsed/>
    <w:rsid w:val="00713EC8"/>
    <w:pPr>
      <w:spacing w:line="240" w:lineRule="auto"/>
    </w:pPr>
    <w:rPr>
      <w:sz w:val="20"/>
      <w:szCs w:val="20"/>
    </w:rPr>
  </w:style>
  <w:style w:type="character" w:customStyle="1" w:styleId="FootnoteTextChar">
    <w:name w:val="Footnote Text Char"/>
    <w:basedOn w:val="DefaultParagraphFont"/>
    <w:link w:val="FootnoteText"/>
    <w:uiPriority w:val="99"/>
    <w:rsid w:val="00713EC8"/>
    <w:rPr>
      <w:rFonts w:ascii="Times New Roman" w:hAnsi="Times New Roman"/>
      <w:sz w:val="20"/>
      <w:szCs w:val="20"/>
    </w:rPr>
  </w:style>
  <w:style w:type="character" w:styleId="FootnoteReference">
    <w:name w:val="footnote reference"/>
    <w:basedOn w:val="DefaultParagraphFont"/>
    <w:uiPriority w:val="99"/>
    <w:semiHidden/>
    <w:unhideWhenUsed/>
    <w:rsid w:val="00713EC8"/>
    <w:rPr>
      <w:vertAlign w:val="superscript"/>
    </w:rPr>
  </w:style>
  <w:style w:type="paragraph" w:styleId="Header">
    <w:name w:val="header"/>
    <w:basedOn w:val="Normal"/>
    <w:link w:val="HeaderChar"/>
    <w:uiPriority w:val="99"/>
    <w:unhideWhenUsed/>
    <w:rsid w:val="000923F5"/>
    <w:pPr>
      <w:tabs>
        <w:tab w:val="center" w:pos="4680"/>
        <w:tab w:val="right" w:pos="9360"/>
      </w:tabs>
      <w:spacing w:line="240" w:lineRule="auto"/>
    </w:pPr>
  </w:style>
  <w:style w:type="character" w:customStyle="1" w:styleId="HeaderChar">
    <w:name w:val="Header Char"/>
    <w:basedOn w:val="DefaultParagraphFont"/>
    <w:link w:val="Header"/>
    <w:uiPriority w:val="99"/>
    <w:rsid w:val="000923F5"/>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FootnoteText">
    <w:name w:val="footnote text"/>
    <w:basedOn w:val="Normal"/>
    <w:link w:val="FootnoteTextChar"/>
    <w:uiPriority w:val="99"/>
    <w:unhideWhenUsed/>
    <w:rsid w:val="00713EC8"/>
    <w:pPr>
      <w:spacing w:line="240" w:lineRule="auto"/>
    </w:pPr>
    <w:rPr>
      <w:sz w:val="20"/>
      <w:szCs w:val="20"/>
    </w:rPr>
  </w:style>
  <w:style w:type="character" w:customStyle="1" w:styleId="FootnoteTextChar">
    <w:name w:val="Footnote Text Char"/>
    <w:basedOn w:val="DefaultParagraphFont"/>
    <w:link w:val="FootnoteText"/>
    <w:uiPriority w:val="99"/>
    <w:rsid w:val="00713EC8"/>
    <w:rPr>
      <w:rFonts w:ascii="Times New Roman" w:hAnsi="Times New Roman"/>
      <w:sz w:val="20"/>
      <w:szCs w:val="20"/>
    </w:rPr>
  </w:style>
  <w:style w:type="character" w:styleId="FootnoteReference">
    <w:name w:val="footnote reference"/>
    <w:basedOn w:val="DefaultParagraphFont"/>
    <w:uiPriority w:val="99"/>
    <w:semiHidden/>
    <w:unhideWhenUsed/>
    <w:rsid w:val="00713EC8"/>
    <w:rPr>
      <w:vertAlign w:val="superscript"/>
    </w:rPr>
  </w:style>
  <w:style w:type="paragraph" w:styleId="Header">
    <w:name w:val="header"/>
    <w:basedOn w:val="Normal"/>
    <w:link w:val="HeaderChar"/>
    <w:uiPriority w:val="99"/>
    <w:unhideWhenUsed/>
    <w:rsid w:val="000923F5"/>
    <w:pPr>
      <w:tabs>
        <w:tab w:val="center" w:pos="4680"/>
        <w:tab w:val="right" w:pos="9360"/>
      </w:tabs>
      <w:spacing w:line="240" w:lineRule="auto"/>
    </w:pPr>
  </w:style>
  <w:style w:type="character" w:customStyle="1" w:styleId="HeaderChar">
    <w:name w:val="Header Char"/>
    <w:basedOn w:val="DefaultParagraphFont"/>
    <w:link w:val="Header"/>
    <w:uiPriority w:val="99"/>
    <w:rsid w:val="000923F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25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F85F7-739A-427E-8D61-244A8834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2016-11-17T14:55:00Z</cp:lastPrinted>
  <dcterms:created xsi:type="dcterms:W3CDTF">2017-08-08T18:42:00Z</dcterms:created>
  <dcterms:modified xsi:type="dcterms:W3CDTF">2017-08-08T18:42:00Z</dcterms:modified>
</cp:coreProperties>
</file>