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6731B7B" w:rsidR="00C71B4C" w:rsidRDefault="00C9008D" w:rsidP="00D820B5">
      <w:pPr>
        <w:pStyle w:val="Heading1"/>
      </w:pPr>
      <w:r w:rsidRPr="00C9008D">
        <w:t>Community Behavioral Health</w:t>
      </w:r>
      <w:r w:rsidRPr="00C9008D">
        <w:br/>
        <w:t>Promotion and Prevention Commission</w:t>
      </w:r>
    </w:p>
    <w:p w14:paraId="78F20935" w14:textId="77777777" w:rsidR="00C9008D" w:rsidRPr="005F0E38" w:rsidRDefault="00C9008D" w:rsidP="0031623E"/>
    <w:p w14:paraId="1B2623FB" w14:textId="77777777" w:rsidR="00D006A9" w:rsidRDefault="00D006A9" w:rsidP="002014F3">
      <w:pPr>
        <w:rPr>
          <w:b/>
          <w:bCs/>
        </w:rPr>
      </w:pPr>
    </w:p>
    <w:p w14:paraId="74E06A22" w14:textId="77777777" w:rsidR="00C9008D" w:rsidRPr="00C9008D" w:rsidRDefault="00C9008D" w:rsidP="00C9008D">
      <w:r w:rsidRPr="00C9008D">
        <w:t>Kiame Mahaniah, MD, MBA</w:t>
      </w:r>
    </w:p>
    <w:p w14:paraId="605484D3" w14:textId="77777777" w:rsidR="00C9008D" w:rsidRPr="00C9008D" w:rsidRDefault="00C9008D" w:rsidP="00C9008D">
      <w:r w:rsidRPr="00C9008D">
        <w:t>Undersecretary for Health</w:t>
      </w:r>
    </w:p>
    <w:p w14:paraId="257870D7" w14:textId="49DC119E" w:rsidR="00C9008D" w:rsidRPr="00C9008D" w:rsidRDefault="00C9008D" w:rsidP="00C9008D">
      <w:r w:rsidRPr="00C9008D">
        <w:t xml:space="preserve">Executive Office </w:t>
      </w:r>
      <w:r w:rsidR="00D27AED">
        <w:t>o</w:t>
      </w:r>
      <w:r w:rsidRPr="00C9008D">
        <w:t>f Health and Human Services</w:t>
      </w:r>
    </w:p>
    <w:p w14:paraId="188DA7F2" w14:textId="735F9F1D" w:rsidR="00C9008D" w:rsidRPr="00C9008D" w:rsidRDefault="00D27AED" w:rsidP="00C9008D">
      <w:r>
        <w:t>February 8</w:t>
      </w:r>
      <w:r w:rsidR="00C9008D" w:rsidRPr="00C9008D">
        <w:t>, 202</w:t>
      </w:r>
      <w:r>
        <w:t>4</w:t>
      </w:r>
    </w:p>
    <w:p w14:paraId="0D70BF77" w14:textId="77777777" w:rsidR="00C9008D" w:rsidRPr="00C9008D" w:rsidRDefault="00C9008D" w:rsidP="00C9008D">
      <w:r w:rsidRPr="00C9008D">
        <w:t>3:00-4:30 pm</w:t>
      </w:r>
    </w:p>
    <w:p w14:paraId="396DF5D2" w14:textId="2F31215C" w:rsidR="00C9008D" w:rsidRPr="00C9008D" w:rsidRDefault="00D77767" w:rsidP="00C9008D">
      <w:r>
        <w:t xml:space="preserve">Virtual / </w:t>
      </w:r>
      <w:r w:rsidR="00C9008D" w:rsidRPr="00C9008D">
        <w:t>Zoom</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411DC9" w:rsidRDefault="0031623E">
      <w:r>
        <w:lastRenderedPageBreak/>
        <w:t xml:space="preserve">Slide </w:t>
      </w:r>
      <w:r w:rsidR="00D23C6E">
        <w:t>2</w:t>
      </w:r>
    </w:p>
    <w:p w14:paraId="2491BCDC" w14:textId="6372B53C" w:rsidR="0031623E" w:rsidRPr="00D820B5" w:rsidRDefault="0031623E" w:rsidP="00D820B5">
      <w:pPr>
        <w:pStyle w:val="Heading2"/>
      </w:pPr>
      <w:r w:rsidRPr="00D820B5">
        <w:t xml:space="preserve">Agenda </w:t>
      </w:r>
    </w:p>
    <w:p w14:paraId="2DA0EFF8" w14:textId="77777777" w:rsidR="00177D44" w:rsidRPr="00177D44" w:rsidRDefault="00177D44" w:rsidP="00177D44">
      <w:pPr>
        <w:ind w:left="720"/>
      </w:pPr>
    </w:p>
    <w:p w14:paraId="49A54CD3" w14:textId="44D29CE1" w:rsidR="00C9008D" w:rsidRPr="00C9008D" w:rsidRDefault="00C9008D" w:rsidP="00C9008D">
      <w:pPr>
        <w:numPr>
          <w:ilvl w:val="0"/>
          <w:numId w:val="1"/>
        </w:numPr>
      </w:pPr>
      <w:r w:rsidRPr="00C9008D">
        <w:t xml:space="preserve">Welcome and </w:t>
      </w:r>
      <w:r w:rsidR="00CD22D3">
        <w:t>Introdu</w:t>
      </w:r>
      <w:r w:rsidRPr="00C9008D">
        <w:t>c</w:t>
      </w:r>
      <w:r w:rsidR="00CD22D3">
        <w:t>tions</w:t>
      </w:r>
    </w:p>
    <w:p w14:paraId="658106ED" w14:textId="7A835266" w:rsidR="00C9008D" w:rsidRPr="00C9008D" w:rsidRDefault="00CD22D3" w:rsidP="00C9008D">
      <w:pPr>
        <w:numPr>
          <w:ilvl w:val="0"/>
          <w:numId w:val="1"/>
        </w:numPr>
      </w:pPr>
      <w:r>
        <w:t>Approval of 11/16/2023 Meeting Minutes</w:t>
      </w:r>
    </w:p>
    <w:p w14:paraId="74249B7B" w14:textId="77777777" w:rsidR="00CD22D3" w:rsidRDefault="00CD22D3" w:rsidP="00C9008D">
      <w:pPr>
        <w:numPr>
          <w:ilvl w:val="0"/>
          <w:numId w:val="1"/>
        </w:numPr>
      </w:pPr>
      <w:r>
        <w:t xml:space="preserve">Draft </w:t>
      </w:r>
      <w:r w:rsidR="00C9008D" w:rsidRPr="00C9008D">
        <w:t>Annual Report</w:t>
      </w:r>
    </w:p>
    <w:p w14:paraId="21F3AEDB" w14:textId="47879A3D" w:rsidR="00C9008D" w:rsidRPr="00C9008D" w:rsidRDefault="00C9008D" w:rsidP="00C9008D">
      <w:pPr>
        <w:numPr>
          <w:ilvl w:val="0"/>
          <w:numId w:val="1"/>
        </w:numPr>
      </w:pPr>
      <w:r w:rsidRPr="00C9008D">
        <w:t xml:space="preserve">Trust Fund </w:t>
      </w:r>
      <w:r w:rsidR="00CD22D3">
        <w:t>&amp; Planned Expenditure</w:t>
      </w:r>
      <w:r w:rsidRPr="00C9008D">
        <w:t>s</w:t>
      </w:r>
    </w:p>
    <w:p w14:paraId="56A95D50" w14:textId="77777777" w:rsidR="00CD22D3" w:rsidRDefault="00CD22D3" w:rsidP="00C9008D">
      <w:pPr>
        <w:numPr>
          <w:ilvl w:val="0"/>
          <w:numId w:val="1"/>
        </w:numPr>
      </w:pPr>
      <w:r>
        <w:t>Upd</w:t>
      </w:r>
      <w:r w:rsidR="00C9008D" w:rsidRPr="00C9008D">
        <w:t>at</w:t>
      </w:r>
      <w:r>
        <w:t>e on OBHP Hiring</w:t>
      </w:r>
    </w:p>
    <w:p w14:paraId="1C87CB99" w14:textId="3E59F0F2" w:rsidR="00C9008D" w:rsidRPr="00C9008D" w:rsidRDefault="00CD22D3" w:rsidP="00C9008D">
      <w:pPr>
        <w:numPr>
          <w:ilvl w:val="0"/>
          <w:numId w:val="1"/>
        </w:numPr>
      </w:pPr>
      <w:r>
        <w:t>Review of Workgroup Proposals</w:t>
      </w:r>
    </w:p>
    <w:p w14:paraId="209A5D5D" w14:textId="77777777" w:rsidR="00C9008D" w:rsidRPr="00C9008D" w:rsidRDefault="00C9008D" w:rsidP="00C9008D">
      <w:pPr>
        <w:numPr>
          <w:ilvl w:val="0"/>
          <w:numId w:val="1"/>
        </w:numPr>
      </w:pPr>
      <w:r w:rsidRPr="00C9008D">
        <w:t>Upcoming Meetings and Next Steps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lastRenderedPageBreak/>
        <w:t>Slid</w:t>
      </w:r>
      <w:r>
        <w:t>e 3</w:t>
      </w:r>
    </w:p>
    <w:p w14:paraId="72DD93CC" w14:textId="3C58F5CC" w:rsidR="005F0E38" w:rsidRPr="005F0E38" w:rsidRDefault="00CD22D3" w:rsidP="005F0E38">
      <w:pPr>
        <w:pStyle w:val="Heading2"/>
      </w:pPr>
      <w:r>
        <w:t xml:space="preserve">Draft </w:t>
      </w:r>
      <w:r w:rsidR="008E7424">
        <w:t>Annual Rep</w:t>
      </w:r>
      <w:r w:rsidR="00C71B4C">
        <w:t>o</w:t>
      </w:r>
      <w:r w:rsidR="008E7424">
        <w:t>rt</w:t>
      </w:r>
    </w:p>
    <w:p w14:paraId="7867D836" w14:textId="77777777" w:rsidR="008E7424" w:rsidRDefault="008E7424" w:rsidP="00C71B4C">
      <w:pPr>
        <w:rPr>
          <w:b/>
          <w:bCs/>
        </w:rPr>
      </w:pPr>
    </w:p>
    <w:p w14:paraId="4C5B8D0F" w14:textId="77777777" w:rsidR="008E7424" w:rsidRPr="008E7424" w:rsidRDefault="008E7424" w:rsidP="008E7424">
      <w:pPr>
        <w:rPr>
          <w:b/>
          <w:bCs/>
        </w:rPr>
      </w:pPr>
      <w:r w:rsidRPr="008E7424">
        <w:rPr>
          <w:b/>
          <w:bCs/>
          <w:u w:val="single"/>
        </w:rPr>
        <w:t>Annual Report</w:t>
      </w:r>
    </w:p>
    <w:p w14:paraId="6BCA22A9" w14:textId="77777777" w:rsidR="00CD22D3" w:rsidRPr="00CD22D3" w:rsidRDefault="00CD22D3" w:rsidP="00CD22D3">
      <w:pPr>
        <w:numPr>
          <w:ilvl w:val="0"/>
          <w:numId w:val="39"/>
        </w:numPr>
      </w:pPr>
      <w:r w:rsidRPr="00CD22D3">
        <w:t xml:space="preserve">The </w:t>
      </w:r>
      <w:hyperlink r:id="rId6" w:history="1">
        <w:r w:rsidRPr="00CD22D3">
          <w:rPr>
            <w:rStyle w:val="Hyperlink"/>
          </w:rPr>
          <w:t>statute</w:t>
        </w:r>
      </w:hyperlink>
      <w:r w:rsidRPr="00CD22D3">
        <w:t xml:space="preserve"> requires the Commission to submit a report no later than March 1 each year summarizing its activities from the prior year and any recommendations to the Secretary.</w:t>
      </w:r>
    </w:p>
    <w:p w14:paraId="44A0ABE0" w14:textId="77777777" w:rsidR="00CD22D3" w:rsidRPr="00CD22D3" w:rsidRDefault="00CD22D3" w:rsidP="00CD22D3">
      <w:pPr>
        <w:numPr>
          <w:ilvl w:val="0"/>
          <w:numId w:val="39"/>
        </w:numPr>
      </w:pPr>
      <w:r w:rsidRPr="00CD22D3">
        <w:t>A draft of the Commission’s annual report was shared with members prior to the meeting.</w:t>
      </w:r>
    </w:p>
    <w:p w14:paraId="62EE7B3A" w14:textId="77777777" w:rsidR="00CD22D3" w:rsidRPr="00CD22D3" w:rsidRDefault="00CD22D3" w:rsidP="00CD22D3">
      <w:pPr>
        <w:numPr>
          <w:ilvl w:val="0"/>
          <w:numId w:val="39"/>
        </w:numPr>
      </w:pPr>
      <w:r w:rsidRPr="00CD22D3">
        <w:t>Similar to the Commission’s prior reports, the report was structured as a letter from the Commission’s Chair, summarizing the group’s activities from the prior year (March 1, 2023 to March 1, 2024).</w:t>
      </w:r>
    </w:p>
    <w:p w14:paraId="185B87CF" w14:textId="77777777" w:rsidR="00CD22D3" w:rsidRDefault="00CD22D3"/>
    <w:p w14:paraId="42145E1D" w14:textId="77777777" w:rsidR="00CD22D3" w:rsidRDefault="00CD22D3">
      <w:r>
        <w:br w:type="page"/>
      </w:r>
    </w:p>
    <w:p w14:paraId="5D51A789" w14:textId="29306EB8" w:rsidR="00AF4867" w:rsidRDefault="00AF4867" w:rsidP="00AF4867">
      <w:r w:rsidRPr="00B93233">
        <w:lastRenderedPageBreak/>
        <w:t>Slid</w:t>
      </w:r>
      <w:r>
        <w:t xml:space="preserve">e </w:t>
      </w:r>
      <w:r w:rsidR="00CD22D3">
        <w:t>4</w:t>
      </w:r>
    </w:p>
    <w:p w14:paraId="20950FE8" w14:textId="60CB3AAA" w:rsidR="00AF4867" w:rsidRPr="005F0E38" w:rsidRDefault="00AF4867" w:rsidP="00AF4867">
      <w:pPr>
        <w:pStyle w:val="Heading2"/>
      </w:pPr>
      <w:r>
        <w:t xml:space="preserve">Trust Fund </w:t>
      </w:r>
      <w:r w:rsidR="00CD22D3">
        <w:t>&amp; Planned Exp</w:t>
      </w:r>
      <w:r>
        <w:t>e</w:t>
      </w:r>
      <w:r w:rsidR="00CD22D3">
        <w:t>nditure</w:t>
      </w:r>
      <w:r>
        <w:t>s</w:t>
      </w:r>
    </w:p>
    <w:p w14:paraId="5DA8D28C" w14:textId="77777777" w:rsidR="00AF4867" w:rsidRDefault="00AF4867" w:rsidP="00AF4867">
      <w:pPr>
        <w:rPr>
          <w:b/>
          <w:bCs/>
        </w:rPr>
      </w:pPr>
    </w:p>
    <w:p w14:paraId="4A1FC65C" w14:textId="77777777" w:rsidR="00AF4867" w:rsidRPr="00AF4867" w:rsidRDefault="00AF4867" w:rsidP="00AF4867">
      <w:pPr>
        <w:rPr>
          <w:u w:val="single"/>
        </w:rPr>
      </w:pPr>
      <w:r w:rsidRPr="00AF4867">
        <w:rPr>
          <w:b/>
          <w:bCs/>
          <w:u w:val="single"/>
        </w:rPr>
        <w:t>Trust Fund</w:t>
      </w:r>
    </w:p>
    <w:p w14:paraId="23338189" w14:textId="77777777" w:rsidR="00CD22D3" w:rsidRPr="00CD22D3" w:rsidRDefault="00CD22D3" w:rsidP="00CD22D3">
      <w:pPr>
        <w:numPr>
          <w:ilvl w:val="0"/>
          <w:numId w:val="45"/>
        </w:numPr>
      </w:pPr>
      <w:r w:rsidRPr="00CD22D3">
        <w:t>To date, the Community Behavioral Health Promotion and Prevention Trust Fund has approx. $16.5M.</w:t>
      </w:r>
    </w:p>
    <w:p w14:paraId="09FD1E78" w14:textId="77777777" w:rsidR="00CD22D3" w:rsidRPr="00CD22D3" w:rsidRDefault="00CD22D3" w:rsidP="00CD22D3">
      <w:pPr>
        <w:numPr>
          <w:ilvl w:val="0"/>
          <w:numId w:val="45"/>
        </w:numPr>
      </w:pPr>
      <w:r w:rsidRPr="00CD22D3">
        <w:t>EOHHS estimates the Trust Fund can expect an infusion of $4M annually for the foreseeable future.</w:t>
      </w:r>
    </w:p>
    <w:p w14:paraId="67231ABA" w14:textId="77777777" w:rsidR="00CD22D3" w:rsidRDefault="00CD22D3" w:rsidP="00AF4867"/>
    <w:p w14:paraId="6AF63422" w14:textId="77777777" w:rsidR="00CD22D3" w:rsidRPr="00CD22D3" w:rsidRDefault="00CD22D3" w:rsidP="00CD22D3">
      <w:pPr>
        <w:tabs>
          <w:tab w:val="left" w:pos="3263"/>
        </w:tabs>
      </w:pPr>
      <w:r w:rsidRPr="00CD22D3">
        <w:rPr>
          <w:b/>
          <w:bCs/>
          <w:u w:val="single"/>
        </w:rPr>
        <w:t>Planned Expenditures for FY24-25</w:t>
      </w:r>
    </w:p>
    <w:p w14:paraId="023AE5B5" w14:textId="77777777" w:rsidR="00CD22D3" w:rsidRPr="00CD22D3" w:rsidRDefault="00CD22D3" w:rsidP="00CD22D3">
      <w:pPr>
        <w:numPr>
          <w:ilvl w:val="0"/>
          <w:numId w:val="46"/>
        </w:numPr>
        <w:tabs>
          <w:tab w:val="left" w:pos="3263"/>
        </w:tabs>
      </w:pPr>
      <w:r w:rsidRPr="00CD22D3">
        <w:rPr>
          <w:u w:val="single"/>
        </w:rPr>
        <w:t>OBHP:</w:t>
      </w:r>
      <w:r w:rsidRPr="00CD22D3">
        <w:t xml:space="preserve"> Salaries for Assistant Commissioner and any program/support staff</w:t>
      </w:r>
    </w:p>
    <w:p w14:paraId="288B03C8" w14:textId="77777777" w:rsidR="00CD22D3" w:rsidRPr="00CD22D3" w:rsidRDefault="00CD22D3" w:rsidP="00CD22D3">
      <w:pPr>
        <w:numPr>
          <w:ilvl w:val="0"/>
          <w:numId w:val="46"/>
        </w:numPr>
        <w:tabs>
          <w:tab w:val="left" w:pos="3263"/>
        </w:tabs>
      </w:pPr>
      <w:r w:rsidRPr="00CD22D3">
        <w:rPr>
          <w:u w:val="single"/>
        </w:rPr>
        <w:t>IRTs:</w:t>
      </w:r>
      <w:r w:rsidRPr="00CD22D3">
        <w:t xml:space="preserve"> Salaries for 2-3 full-time staff to coordinate the work of the IRTs</w:t>
      </w:r>
    </w:p>
    <w:p w14:paraId="4FC6B7D0" w14:textId="77777777" w:rsidR="00CD22D3" w:rsidRDefault="00CD22D3" w:rsidP="00CD22D3">
      <w:pPr>
        <w:tabs>
          <w:tab w:val="left" w:pos="3263"/>
        </w:tabs>
      </w:pPr>
    </w:p>
    <w:p w14:paraId="35F25E86" w14:textId="2A5991B8" w:rsidR="00AF4867" w:rsidRDefault="00AF4867"/>
    <w:tbl>
      <w:tblPr>
        <w:tblW w:w="3680" w:type="dxa"/>
        <w:tblCellMar>
          <w:left w:w="0" w:type="dxa"/>
          <w:right w:w="0" w:type="dxa"/>
        </w:tblCellMar>
        <w:tblLook w:val="0420" w:firstRow="1" w:lastRow="0" w:firstColumn="0" w:lastColumn="0" w:noHBand="0" w:noVBand="1"/>
      </w:tblPr>
      <w:tblGrid>
        <w:gridCol w:w="1610"/>
        <w:gridCol w:w="2070"/>
      </w:tblGrid>
      <w:tr w:rsidR="00A14324" w:rsidRPr="006A7B0B" w14:paraId="7B754F70" w14:textId="77777777" w:rsidTr="00D820B5">
        <w:trPr>
          <w:trHeight w:val="432"/>
          <w:tblHeader/>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AAFE47" w14:textId="351C144C" w:rsidR="00A14324" w:rsidRPr="006A7B0B" w:rsidRDefault="00A14324" w:rsidP="00901F02">
            <w:r>
              <w:rPr>
                <w:b/>
                <w:bCs/>
              </w:rPr>
              <w:t>Fiscal Y</w:t>
            </w:r>
            <w:r w:rsidRPr="006A7B0B">
              <w:rPr>
                <w:b/>
                <w:bCs/>
              </w:rPr>
              <w:t>e</w:t>
            </w:r>
            <w:r>
              <w:rPr>
                <w:b/>
                <w:bCs/>
              </w:rPr>
              <w:t>ar</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9E858" w14:textId="47932525" w:rsidR="00A14324" w:rsidRPr="00A14324" w:rsidRDefault="00A14324" w:rsidP="00901F02">
            <w:pPr>
              <w:rPr>
                <w:b/>
                <w:bCs/>
              </w:rPr>
            </w:pPr>
            <w:r w:rsidRPr="00A14324">
              <w:rPr>
                <w:b/>
                <w:bCs/>
              </w:rPr>
              <w:t>Ending Balance</w:t>
            </w:r>
          </w:p>
        </w:tc>
      </w:tr>
      <w:tr w:rsidR="00A14324" w:rsidRPr="008C7C83" w14:paraId="5783A906" w14:textId="77777777" w:rsidTr="0007735C">
        <w:trPr>
          <w:trHeight w:val="432"/>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756AE1" w14:textId="54B56E3D" w:rsidR="00A14324" w:rsidRPr="008C7C83" w:rsidRDefault="00A14324" w:rsidP="00A14324">
            <w:r w:rsidRPr="008B70A8">
              <w:t>FY20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9228DB" w14:textId="0E48C112" w:rsidR="00A14324" w:rsidRPr="008C7C83" w:rsidRDefault="00A14324" w:rsidP="00A14324">
            <w:r>
              <w:t>$200,000</w:t>
            </w:r>
          </w:p>
        </w:tc>
      </w:tr>
      <w:tr w:rsidR="00A14324" w:rsidRPr="008C7C83" w14:paraId="162C7CAC" w14:textId="77777777" w:rsidTr="0007735C">
        <w:trPr>
          <w:trHeight w:val="432"/>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75850A" w14:textId="3B81F7B5" w:rsidR="00A14324" w:rsidRPr="008B70A8" w:rsidRDefault="00A14324" w:rsidP="00A14324">
            <w:r>
              <w:t>FY21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7DB8EE" w14:textId="2932DA36" w:rsidR="00A14324" w:rsidRDefault="00A14324" w:rsidP="00A14324">
            <w:r w:rsidRPr="00A14324">
              <w:t>$4,391,252</w:t>
            </w:r>
          </w:p>
        </w:tc>
      </w:tr>
      <w:tr w:rsidR="00A14324" w:rsidRPr="008C7C83" w14:paraId="719F8D33" w14:textId="77777777" w:rsidTr="0007735C">
        <w:trPr>
          <w:trHeight w:val="432"/>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9D9D33" w14:textId="3CBF755D" w:rsidR="00A14324" w:rsidRDefault="00A14324" w:rsidP="00A14324">
            <w:r>
              <w:t>FY22</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A47814" w14:textId="6A3FB4BA" w:rsidR="00A14324" w:rsidRPr="00A14324" w:rsidRDefault="00A14324" w:rsidP="00A14324">
            <w:r>
              <w:t>$9,489,101</w:t>
            </w:r>
          </w:p>
        </w:tc>
      </w:tr>
      <w:tr w:rsidR="00A14324" w:rsidRPr="008C7C83" w14:paraId="7179D131" w14:textId="77777777" w:rsidTr="0007735C">
        <w:trPr>
          <w:trHeight w:val="432"/>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B4E508" w14:textId="619873E9" w:rsidR="00A14324" w:rsidRDefault="00A14324" w:rsidP="00A14324">
            <w:r>
              <w:t>FY23</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C36801" w14:textId="4E4CB648" w:rsidR="00A14324" w:rsidRPr="00A14324" w:rsidRDefault="00A14324" w:rsidP="00A14324">
            <w:r>
              <w:t>$13,850,308</w:t>
            </w:r>
          </w:p>
        </w:tc>
      </w:tr>
      <w:tr w:rsidR="00A14324" w:rsidRPr="008C7C83" w14:paraId="36FA7C10" w14:textId="77777777" w:rsidTr="0007735C">
        <w:trPr>
          <w:trHeight w:val="432"/>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DCC7F7" w14:textId="4DC90CDA" w:rsidR="00A14324" w:rsidRDefault="00A14324" w:rsidP="00A14324">
            <w:r>
              <w:t>Current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F03A54" w14:textId="2164ACFF" w:rsidR="00A14324" w:rsidRDefault="00A14324" w:rsidP="00A14324">
            <w:r>
              <w:t>$16,496,345</w:t>
            </w:r>
          </w:p>
        </w:tc>
      </w:tr>
    </w:tbl>
    <w:p w14:paraId="060AB999" w14:textId="33AB0A4F" w:rsidR="00CD22D3" w:rsidRDefault="00CD22D3"/>
    <w:p w14:paraId="6A597024" w14:textId="77777777" w:rsidR="00A14324" w:rsidRDefault="00A14324"/>
    <w:p w14:paraId="3F604E5C" w14:textId="77777777" w:rsidR="00A14324" w:rsidRDefault="00A14324"/>
    <w:p w14:paraId="47D67468" w14:textId="77777777" w:rsidR="00A14324" w:rsidRDefault="00A14324">
      <w:r>
        <w:br w:type="page"/>
      </w:r>
    </w:p>
    <w:p w14:paraId="4D48BC35" w14:textId="0FA85520" w:rsidR="00AF4867" w:rsidRDefault="00AF4867" w:rsidP="00AF4867">
      <w:r w:rsidRPr="00B93233">
        <w:lastRenderedPageBreak/>
        <w:t>Slid</w:t>
      </w:r>
      <w:r>
        <w:t xml:space="preserve">e </w:t>
      </w:r>
      <w:r w:rsidR="00CD22D3">
        <w:t>5</w:t>
      </w:r>
    </w:p>
    <w:p w14:paraId="7A691AFC" w14:textId="5675F1C1" w:rsidR="00AF4867" w:rsidRPr="005F0E38" w:rsidRDefault="00CD22D3" w:rsidP="00AF4867">
      <w:pPr>
        <w:pStyle w:val="Heading2"/>
      </w:pPr>
      <w:r>
        <w:t>Review of Workgroup Proposals</w:t>
      </w:r>
    </w:p>
    <w:p w14:paraId="2D3D3EAB" w14:textId="77777777" w:rsidR="00AF4867" w:rsidRDefault="00AF4867" w:rsidP="00AF4867">
      <w:pPr>
        <w:rPr>
          <w:b/>
          <w:bCs/>
        </w:rPr>
      </w:pPr>
    </w:p>
    <w:p w14:paraId="1647801C" w14:textId="77777777" w:rsidR="00CD22D3" w:rsidRPr="00CD22D3" w:rsidRDefault="00CD22D3" w:rsidP="00CD22D3">
      <w:r w:rsidRPr="00CD22D3">
        <w:rPr>
          <w:b/>
          <w:bCs/>
          <w:u w:val="single"/>
        </w:rPr>
        <w:t>Workgroup Proposals</w:t>
      </w:r>
    </w:p>
    <w:p w14:paraId="500A64BF" w14:textId="77777777" w:rsidR="00CD22D3" w:rsidRDefault="00CD22D3" w:rsidP="00CD22D3">
      <w:pPr>
        <w:numPr>
          <w:ilvl w:val="0"/>
          <w:numId w:val="47"/>
        </w:numPr>
      </w:pPr>
      <w:r w:rsidRPr="00CD22D3">
        <w:t>In 2020, members of the Commission elected to form workgroups to develop proposals focused on a variety of topics (listed below).</w:t>
      </w:r>
    </w:p>
    <w:p w14:paraId="778CAF1F" w14:textId="77777777" w:rsidR="00CD22D3" w:rsidRPr="00CD22D3" w:rsidRDefault="00CD22D3" w:rsidP="00CD22D3">
      <w:pPr>
        <w:ind w:left="720"/>
      </w:pPr>
    </w:p>
    <w:p w14:paraId="39C7E487" w14:textId="77777777" w:rsidR="00CD22D3" w:rsidRPr="00CD22D3" w:rsidRDefault="00CD22D3" w:rsidP="00CD22D3">
      <w:pPr>
        <w:numPr>
          <w:ilvl w:val="0"/>
          <w:numId w:val="48"/>
        </w:numPr>
        <w:tabs>
          <w:tab w:val="num" w:pos="720"/>
        </w:tabs>
      </w:pPr>
      <w:r w:rsidRPr="00CD22D3">
        <w:rPr>
          <w:b/>
          <w:bCs/>
          <w:u w:val="single"/>
        </w:rPr>
        <w:t>Support existing community coalitions and promoting cross-sector prevention work</w:t>
      </w:r>
    </w:p>
    <w:p w14:paraId="4496F386" w14:textId="77777777" w:rsidR="00CD22D3" w:rsidRPr="00CD22D3" w:rsidRDefault="00CD22D3" w:rsidP="00CD22D3">
      <w:pPr>
        <w:numPr>
          <w:ilvl w:val="1"/>
          <w:numId w:val="48"/>
        </w:numPr>
        <w:tabs>
          <w:tab w:val="num" w:pos="1440"/>
        </w:tabs>
      </w:pPr>
      <w:r w:rsidRPr="00CD22D3">
        <w:rPr>
          <w:u w:val="single"/>
        </w:rPr>
        <w:t>Focus:</w:t>
      </w:r>
      <w:r w:rsidRPr="00CD22D3">
        <w:t xml:space="preserve"> formation of social emotional learning and mental health technical assistance resources to support the work of community coalitions and upstream prevention.</w:t>
      </w:r>
    </w:p>
    <w:p w14:paraId="6E092568" w14:textId="77777777" w:rsidR="00CD22D3" w:rsidRDefault="00CD22D3" w:rsidP="00CD22D3">
      <w:pPr>
        <w:numPr>
          <w:ilvl w:val="1"/>
          <w:numId w:val="48"/>
        </w:numPr>
        <w:tabs>
          <w:tab w:val="num" w:pos="1440"/>
        </w:tabs>
      </w:pPr>
      <w:r w:rsidRPr="00CD22D3">
        <w:rPr>
          <w:u w:val="single"/>
        </w:rPr>
        <w:t>Members:</w:t>
      </w:r>
      <w:r w:rsidRPr="00CD22D3">
        <w:t xml:space="preserve"> Lissette Blondet, Kirsten Doherty, Carlene Pavlos, Lindsey Tucker, Jim Vetter</w:t>
      </w:r>
    </w:p>
    <w:p w14:paraId="3F4C482F" w14:textId="77777777" w:rsidR="00CD22D3" w:rsidRPr="00CD22D3" w:rsidRDefault="00CD22D3" w:rsidP="00CD22D3">
      <w:pPr>
        <w:ind w:left="1080"/>
      </w:pPr>
    </w:p>
    <w:p w14:paraId="6FECFCCA" w14:textId="77777777" w:rsidR="00CD22D3" w:rsidRPr="00CD22D3" w:rsidRDefault="00CD22D3" w:rsidP="00CD22D3">
      <w:pPr>
        <w:numPr>
          <w:ilvl w:val="0"/>
          <w:numId w:val="49"/>
        </w:numPr>
        <w:tabs>
          <w:tab w:val="num" w:pos="720"/>
        </w:tabs>
      </w:pPr>
      <w:r w:rsidRPr="00CD22D3">
        <w:rPr>
          <w:b/>
          <w:bCs/>
          <w:u w:val="single"/>
        </w:rPr>
        <w:t>Build resilience in populations with co-occurring substance use disorder, mental health needs, and history of trauma</w:t>
      </w:r>
    </w:p>
    <w:p w14:paraId="71AAD4E1" w14:textId="77777777" w:rsidR="00CD22D3" w:rsidRPr="00CD22D3" w:rsidRDefault="00CD22D3" w:rsidP="00CD22D3">
      <w:pPr>
        <w:numPr>
          <w:ilvl w:val="1"/>
          <w:numId w:val="49"/>
        </w:numPr>
        <w:tabs>
          <w:tab w:val="num" w:pos="1440"/>
        </w:tabs>
      </w:pPr>
      <w:r w:rsidRPr="00CD22D3">
        <w:rPr>
          <w:u w:val="single"/>
        </w:rPr>
        <w:t>Member:</w:t>
      </w:r>
      <w:r w:rsidRPr="00CD22D3">
        <w:t xml:space="preserve"> George Beilin</w:t>
      </w:r>
    </w:p>
    <w:p w14:paraId="316FD02B" w14:textId="5B74AC39" w:rsidR="00AF4867" w:rsidRDefault="00AF4867" w:rsidP="00AF4867"/>
    <w:p w14:paraId="25FFFBF9" w14:textId="68723D32" w:rsidR="00AF4867" w:rsidRDefault="00AF4867" w:rsidP="00AF4867"/>
    <w:p w14:paraId="24E2F130" w14:textId="77777777" w:rsidR="00CD22D3" w:rsidRDefault="00CD22D3" w:rsidP="00AF4867"/>
    <w:p w14:paraId="0D754F7D" w14:textId="77777777" w:rsidR="00CD22D3" w:rsidRDefault="00CD22D3">
      <w:r>
        <w:br w:type="page"/>
      </w:r>
    </w:p>
    <w:p w14:paraId="30AAE96D" w14:textId="6BF0BC51" w:rsidR="00CD22D3" w:rsidRDefault="00CD22D3" w:rsidP="00CD22D3">
      <w:r w:rsidRPr="00B93233">
        <w:lastRenderedPageBreak/>
        <w:t>Slid</w:t>
      </w:r>
      <w:r>
        <w:t>e 6</w:t>
      </w:r>
    </w:p>
    <w:p w14:paraId="27C9BD23" w14:textId="1F49C3FE" w:rsidR="00CD22D3" w:rsidRPr="005F0E38" w:rsidRDefault="00CD22D3" w:rsidP="00CD22D3">
      <w:pPr>
        <w:pStyle w:val="Heading2"/>
      </w:pPr>
      <w:r>
        <w:t>Review of Workgroup Proposals (cont.)</w:t>
      </w:r>
    </w:p>
    <w:p w14:paraId="0169A695" w14:textId="77777777" w:rsidR="00CD22D3" w:rsidRDefault="00CD22D3" w:rsidP="00CD22D3">
      <w:pPr>
        <w:rPr>
          <w:b/>
          <w:bCs/>
        </w:rPr>
      </w:pPr>
    </w:p>
    <w:p w14:paraId="0C3F0A00" w14:textId="77777777" w:rsidR="00CD22D3" w:rsidRPr="00CD22D3" w:rsidRDefault="00CD22D3" w:rsidP="00CD22D3">
      <w:pPr>
        <w:numPr>
          <w:ilvl w:val="0"/>
          <w:numId w:val="50"/>
        </w:numPr>
      </w:pPr>
      <w:r w:rsidRPr="00CD22D3">
        <w:rPr>
          <w:b/>
          <w:bCs/>
          <w:u w:val="single"/>
        </w:rPr>
        <w:t>Integrated medical and behavioral health focusing on young children and families, addressing both generational and family stress</w:t>
      </w:r>
    </w:p>
    <w:p w14:paraId="696F53FA" w14:textId="77777777" w:rsidR="00CD22D3" w:rsidRPr="00CD22D3" w:rsidRDefault="00CD22D3" w:rsidP="00CD22D3">
      <w:pPr>
        <w:numPr>
          <w:ilvl w:val="1"/>
          <w:numId w:val="50"/>
        </w:numPr>
      </w:pPr>
      <w:r w:rsidRPr="00CD22D3">
        <w:rPr>
          <w:u w:val="single"/>
        </w:rPr>
        <w:t>Focus:</w:t>
      </w:r>
      <w:r w:rsidRPr="00CD22D3">
        <w:t xml:space="preserve"> creating a center for integrated pediatric practice transformation, with the goal of providing pediatric practices with resources, tools, training, and consultation, similar in scope to Team Up, Launch My Child, and Children’s Hospital PPOC collaborative.</w:t>
      </w:r>
    </w:p>
    <w:p w14:paraId="6EF57D93" w14:textId="77777777" w:rsidR="00CD22D3" w:rsidRDefault="00CD22D3" w:rsidP="00CD22D3">
      <w:pPr>
        <w:numPr>
          <w:ilvl w:val="1"/>
          <w:numId w:val="50"/>
        </w:numPr>
      </w:pPr>
      <w:r w:rsidRPr="00CD22D3">
        <w:rPr>
          <w:u w:val="single"/>
        </w:rPr>
        <w:t>Members:</w:t>
      </w:r>
      <w:r w:rsidRPr="00CD22D3">
        <w:t xml:space="preserve"> Yaminette Diaz-Linhart, Danna Mauch, Mary McGeown</w:t>
      </w:r>
    </w:p>
    <w:p w14:paraId="65D788B8" w14:textId="77777777" w:rsidR="00CD22D3" w:rsidRPr="00CD22D3" w:rsidRDefault="00CD22D3" w:rsidP="00CD22D3">
      <w:pPr>
        <w:ind w:left="1080"/>
      </w:pPr>
    </w:p>
    <w:p w14:paraId="5ADF75D9" w14:textId="77777777" w:rsidR="00CD22D3" w:rsidRPr="00CD22D3" w:rsidRDefault="00CD22D3" w:rsidP="00CD22D3">
      <w:pPr>
        <w:numPr>
          <w:ilvl w:val="0"/>
          <w:numId w:val="51"/>
        </w:numPr>
        <w:tabs>
          <w:tab w:val="num" w:pos="720"/>
        </w:tabs>
      </w:pPr>
      <w:r w:rsidRPr="00CD22D3">
        <w:rPr>
          <w:b/>
          <w:bCs/>
          <w:u w:val="single"/>
        </w:rPr>
        <w:t>Promoting social emotional competency in schools</w:t>
      </w:r>
    </w:p>
    <w:p w14:paraId="49B8F301" w14:textId="77777777" w:rsidR="00CD22D3" w:rsidRPr="00CD22D3" w:rsidRDefault="00CD22D3" w:rsidP="00CD22D3">
      <w:pPr>
        <w:numPr>
          <w:ilvl w:val="1"/>
          <w:numId w:val="51"/>
        </w:numPr>
        <w:tabs>
          <w:tab w:val="num" w:pos="1440"/>
        </w:tabs>
      </w:pPr>
      <w:r w:rsidRPr="00CD22D3">
        <w:rPr>
          <w:u w:val="single"/>
        </w:rPr>
        <w:t>Focus:</w:t>
      </w:r>
      <w:r w:rsidRPr="00CD22D3">
        <w:t xml:space="preserve"> promotion of social emotional competency among adults within agencies and schools. Work would include the provision of trainings and resources that would be part of existing integrated resource centers and initiatives, such Network of Care.</w:t>
      </w:r>
    </w:p>
    <w:p w14:paraId="574F39CA" w14:textId="77777777" w:rsidR="00CD22D3" w:rsidRPr="00CD22D3" w:rsidRDefault="00CD22D3" w:rsidP="00CD22D3">
      <w:pPr>
        <w:numPr>
          <w:ilvl w:val="1"/>
          <w:numId w:val="51"/>
        </w:numPr>
        <w:tabs>
          <w:tab w:val="num" w:pos="1440"/>
        </w:tabs>
      </w:pPr>
      <w:r w:rsidRPr="00CD22D3">
        <w:rPr>
          <w:u w:val="single"/>
        </w:rPr>
        <w:t>Members:</w:t>
      </w:r>
      <w:r w:rsidRPr="00CD22D3">
        <w:t xml:space="preserve"> Margaret Hannah, Jessica LaRochelle, Jim Vetter</w:t>
      </w:r>
    </w:p>
    <w:p w14:paraId="21B072BB" w14:textId="68771CCA" w:rsidR="00CD22D3" w:rsidRDefault="00CD22D3" w:rsidP="00CD22D3"/>
    <w:p w14:paraId="092E35D8" w14:textId="77777777" w:rsidR="00CD22D3" w:rsidRPr="00CD22D3" w:rsidRDefault="00CD22D3" w:rsidP="00CD22D3">
      <w:pPr>
        <w:ind w:left="720"/>
      </w:pPr>
    </w:p>
    <w:p w14:paraId="39774BFD" w14:textId="77777777" w:rsidR="00CD22D3" w:rsidRDefault="00CD22D3" w:rsidP="00AF4867"/>
    <w:p w14:paraId="774164FD" w14:textId="77777777" w:rsidR="00CD22D3" w:rsidRDefault="00CD22D3">
      <w:r>
        <w:br w:type="page"/>
      </w:r>
    </w:p>
    <w:p w14:paraId="51DB5683" w14:textId="74D3AA83" w:rsidR="00CD22D3" w:rsidRDefault="00CD22D3" w:rsidP="00CD22D3">
      <w:r w:rsidRPr="00B93233">
        <w:lastRenderedPageBreak/>
        <w:t>Slid</w:t>
      </w:r>
      <w:r>
        <w:t>e 7</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9890" w:type="dxa"/>
        <w:tblCellMar>
          <w:left w:w="0" w:type="dxa"/>
          <w:right w:w="0" w:type="dxa"/>
        </w:tblCellMar>
        <w:tblLook w:val="0420" w:firstRow="1" w:lastRow="0" w:firstColumn="0" w:lastColumn="0" w:noHBand="0" w:noVBand="1"/>
      </w:tblPr>
      <w:tblGrid>
        <w:gridCol w:w="5840"/>
        <w:gridCol w:w="1980"/>
        <w:gridCol w:w="2070"/>
      </w:tblGrid>
      <w:tr w:rsidR="006A7B0B" w:rsidRPr="006A7B0B" w14:paraId="75D0F272" w14:textId="77777777" w:rsidTr="00D820B5">
        <w:trPr>
          <w:trHeight w:val="144"/>
          <w:tblHeader/>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6A7B0B" w:rsidRPr="006A7B0B" w:rsidRDefault="006A7B0B" w:rsidP="006A7B0B">
            <w:r w:rsidRPr="006A7B0B">
              <w:rPr>
                <w:b/>
                <w:bCs/>
              </w:rPr>
              <w:t>Date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CFB748" w14:textId="77777777" w:rsidR="006A7B0B" w:rsidRPr="006A7B0B" w:rsidRDefault="006A7B0B" w:rsidP="006A7B0B">
            <w:r w:rsidRPr="006A7B0B">
              <w:rPr>
                <w:b/>
                <w:bCs/>
              </w:rPr>
              <w:t>Time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B71C98" w14:textId="77777777" w:rsidR="006A7B0B" w:rsidRPr="006A7B0B" w:rsidRDefault="006A7B0B" w:rsidP="006A7B0B">
            <w:r w:rsidRPr="006A7B0B">
              <w:rPr>
                <w:b/>
                <w:bCs/>
              </w:rPr>
              <w:t>Location</w:t>
            </w:r>
          </w:p>
        </w:tc>
      </w:tr>
      <w:tr w:rsidR="008C7C83" w:rsidRPr="008C7C83" w14:paraId="75DB1934" w14:textId="77777777" w:rsidTr="008C7C83">
        <w:trPr>
          <w:trHeight w:val="792"/>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E463AF" w14:textId="77777777" w:rsidR="008C7C83" w:rsidRPr="008C7C83" w:rsidRDefault="008C7C83" w:rsidP="008C7C83">
            <w:r w:rsidRPr="008C7C83">
              <w:t>February 8,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D1058B" w14:textId="77777777" w:rsidR="008C7C83" w:rsidRPr="008C7C83"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CE7E95" w14:textId="77777777" w:rsidR="008C7C83" w:rsidRPr="008C7C83" w:rsidRDefault="008C7C83" w:rsidP="008C7C83">
            <w:r w:rsidRPr="008C7C83">
              <w:t>Virtual / Zoom</w:t>
            </w:r>
          </w:p>
        </w:tc>
      </w:tr>
      <w:tr w:rsidR="006A7B0B" w:rsidRPr="006A7B0B" w14:paraId="54CA792B"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8BA5FA" w14:textId="5F690DB6" w:rsidR="006A7B0B" w:rsidRPr="006A7B0B" w:rsidRDefault="008C7C83" w:rsidP="006A7B0B">
            <w:r w:rsidRPr="008C7C83">
              <w:t xml:space="preserve">March 1, 2024 – </w:t>
            </w:r>
            <w:r w:rsidRPr="008C7C83">
              <w:rPr>
                <w:i/>
                <w:iCs/>
              </w:rPr>
              <w:t>Submission of Annual Report to the Legislature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B1514" w14:textId="0B4345E0" w:rsidR="006A7B0B" w:rsidRPr="006A7B0B" w:rsidRDefault="00D820B5" w:rsidP="006A7B0B">
            <w:r>
              <w:t>N/A</w:t>
            </w:r>
          </w:p>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9BA30A" w14:textId="2EFFECC9" w:rsidR="006A7B0B" w:rsidRPr="006A7B0B" w:rsidRDefault="00D820B5" w:rsidP="006A7B0B">
            <w:r>
              <w:t>N/A</w:t>
            </w:r>
          </w:p>
        </w:tc>
      </w:tr>
      <w:tr w:rsidR="008C7C83" w:rsidRPr="006A7B0B" w14:paraId="70150C77"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974BD9" w14:textId="67625ED7" w:rsidR="008C7C83" w:rsidRPr="006A7B0B" w:rsidRDefault="008C7C83" w:rsidP="008C7C83">
            <w:r w:rsidRPr="008C7C83">
              <w:t>April 4,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45ACE2" w14:textId="5CBFDE2C"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06270D" w14:textId="47BB3499" w:rsidR="008C7C83" w:rsidRPr="006A7B0B" w:rsidRDefault="008C7C83" w:rsidP="008C7C83">
            <w:r w:rsidRPr="008C7C83">
              <w:t>Virtual / Zoom</w:t>
            </w:r>
          </w:p>
        </w:tc>
      </w:tr>
      <w:tr w:rsidR="008C7C83" w:rsidRPr="006A7B0B" w14:paraId="1678B367"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A3874E" w14:textId="43DD3D6A" w:rsidR="008C7C83" w:rsidRPr="006A7B0B" w:rsidRDefault="008C7C83" w:rsidP="008C7C83">
            <w:r w:rsidRPr="008C7C83">
              <w:t>June 6,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8AA775" w14:textId="73DDA520"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47118A" w14:textId="1914AAC6" w:rsidR="008C7C83" w:rsidRPr="006A7B0B" w:rsidRDefault="008C7C83" w:rsidP="008C7C83">
            <w:r w:rsidRPr="008C7C83">
              <w:t>Virtual / Zoom</w:t>
            </w:r>
          </w:p>
        </w:tc>
      </w:tr>
      <w:tr w:rsidR="008C7C83" w:rsidRPr="006A7B0B" w14:paraId="1B3D2833"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1397A2" w14:textId="1989E726" w:rsidR="008C7C83" w:rsidRPr="006A7B0B" w:rsidRDefault="008C7C83" w:rsidP="008C7C83">
            <w:r w:rsidRPr="008C7C83">
              <w:t>August 1,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ACE9A2" w14:textId="48E82201"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8BC623" w14:textId="0C6D636C" w:rsidR="008C7C83" w:rsidRPr="006A7B0B" w:rsidRDefault="008C7C83" w:rsidP="008C7C83">
            <w:r w:rsidRPr="008C7C83">
              <w:t>Virtual / Zoom</w:t>
            </w:r>
          </w:p>
        </w:tc>
      </w:tr>
      <w:tr w:rsidR="008C7C83" w:rsidRPr="006A7B0B" w14:paraId="276137DE"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5D9598" w14:textId="5A7555E6" w:rsidR="008C7C83" w:rsidRPr="006A7B0B" w:rsidRDefault="008C7C83" w:rsidP="008C7C83">
            <w:r w:rsidRPr="008C7C83">
              <w:t>October 3,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40B851" w14:textId="5B8BDEA7"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EBDBEF" w14:textId="1FE9A441" w:rsidR="008C7C83" w:rsidRPr="006A7B0B" w:rsidRDefault="008C7C83" w:rsidP="008C7C83">
            <w:r w:rsidRPr="008C7C83">
              <w:t>Virtual / Zoom</w:t>
            </w:r>
          </w:p>
        </w:tc>
      </w:tr>
      <w:tr w:rsidR="008C7C83" w:rsidRPr="006A7B0B" w14:paraId="647FE20D"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02B5C0" w14:textId="626D4220" w:rsidR="008C7C83" w:rsidRPr="006A7B0B" w:rsidRDefault="008C7C83" w:rsidP="008C7C83">
            <w:r w:rsidRPr="008C7C83">
              <w:t>December 12,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03391B" w14:textId="614F278E"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B276B0" w14:textId="34AD598A" w:rsidR="008C7C83" w:rsidRPr="006A7B0B" w:rsidRDefault="008C7C83" w:rsidP="008C7C83">
            <w:r w:rsidRPr="008C7C83">
              <w:t>Virtual / Zoom</w:t>
            </w:r>
          </w:p>
        </w:tc>
      </w:tr>
      <w:tr w:rsidR="008C7C83" w:rsidRPr="006A7B0B" w14:paraId="37769F41"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5188A4" w14:textId="148EC335" w:rsidR="008C7C83" w:rsidRPr="006A7B0B" w:rsidRDefault="008C7C83" w:rsidP="008C7C83">
            <w:r w:rsidRPr="008C7C83">
              <w:t>February 6, 2025</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F3C8D4" w14:textId="351603FD"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6C5145" w14:textId="160610B5" w:rsidR="008C7C83" w:rsidRPr="006A7B0B" w:rsidRDefault="008C7C83" w:rsidP="008C7C83">
            <w:r w:rsidRPr="008C7C83">
              <w:t>Virtual / Zoom</w:t>
            </w:r>
          </w:p>
        </w:tc>
      </w:tr>
      <w:tr w:rsidR="008C7C83" w:rsidRPr="006A7B0B" w14:paraId="0ED33455"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9D635" w14:textId="4CB44719" w:rsidR="008C7C83" w:rsidRPr="008C7C83" w:rsidRDefault="008C7C83" w:rsidP="008C7C83">
            <w:r w:rsidRPr="008C7C83">
              <w:t xml:space="preserve">February 28, 2025 – </w:t>
            </w:r>
            <w:r w:rsidRPr="008C7C83">
              <w:rPr>
                <w:i/>
                <w:iCs/>
              </w:rPr>
              <w:t>Submission of Annual Report to the Legislature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B9037" w14:textId="5431FBB0" w:rsidR="008C7C83" w:rsidRPr="008C7C83" w:rsidRDefault="00CB2C91" w:rsidP="008C7C83">
            <w:r>
              <w:t>N/A</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18431C" w14:textId="1C916B8D" w:rsidR="008C7C83" w:rsidRPr="008C7C83" w:rsidRDefault="00CB2C91" w:rsidP="008C7C83">
            <w:r>
              <w:t>N/A</w:t>
            </w:r>
          </w:p>
        </w:tc>
      </w:tr>
    </w:tbl>
    <w:p w14:paraId="768F7216" w14:textId="77777777" w:rsidR="006A7B0B" w:rsidRDefault="006A7B0B" w:rsidP="006A7B0B"/>
    <w:sectPr w:rsidR="006A7B0B" w:rsidSect="00FC1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6"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7"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8"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2"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7"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19"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2"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3"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45"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1"/>
  </w:num>
  <w:num w:numId="2" w16cid:durableId="137769343">
    <w:abstractNumId w:val="13"/>
  </w:num>
  <w:num w:numId="3" w16cid:durableId="1856646806">
    <w:abstractNumId w:val="22"/>
  </w:num>
  <w:num w:numId="4" w16cid:durableId="1912620646">
    <w:abstractNumId w:val="34"/>
  </w:num>
  <w:num w:numId="5" w16cid:durableId="193740200">
    <w:abstractNumId w:val="28"/>
  </w:num>
  <w:num w:numId="6" w16cid:durableId="1657416401">
    <w:abstractNumId w:val="40"/>
  </w:num>
  <w:num w:numId="7" w16cid:durableId="1739473480">
    <w:abstractNumId w:val="10"/>
  </w:num>
  <w:num w:numId="8" w16cid:durableId="1865745443">
    <w:abstractNumId w:val="14"/>
  </w:num>
  <w:num w:numId="9" w16cid:durableId="1927808265">
    <w:abstractNumId w:val="19"/>
  </w:num>
  <w:num w:numId="10" w16cid:durableId="798230040">
    <w:abstractNumId w:val="15"/>
  </w:num>
  <w:num w:numId="11" w16cid:durableId="616059253">
    <w:abstractNumId w:val="20"/>
  </w:num>
  <w:num w:numId="12" w16cid:durableId="1153133639">
    <w:abstractNumId w:val="29"/>
  </w:num>
  <w:num w:numId="13" w16cid:durableId="1023895284">
    <w:abstractNumId w:val="4"/>
  </w:num>
  <w:num w:numId="14" w16cid:durableId="1717118984">
    <w:abstractNumId w:val="25"/>
  </w:num>
  <w:num w:numId="15" w16cid:durableId="247156980">
    <w:abstractNumId w:val="6"/>
  </w:num>
  <w:num w:numId="16" w16cid:durableId="1851525081">
    <w:abstractNumId w:val="44"/>
  </w:num>
  <w:num w:numId="17" w16cid:durableId="1143547275">
    <w:abstractNumId w:val="9"/>
  </w:num>
  <w:num w:numId="18" w16cid:durableId="569272913">
    <w:abstractNumId w:val="16"/>
  </w:num>
  <w:num w:numId="19" w16cid:durableId="1049299354">
    <w:abstractNumId w:val="50"/>
  </w:num>
  <w:num w:numId="20" w16cid:durableId="2053648644">
    <w:abstractNumId w:val="26"/>
  </w:num>
  <w:num w:numId="21" w16cid:durableId="1412580554">
    <w:abstractNumId w:val="39"/>
  </w:num>
  <w:num w:numId="22" w16cid:durableId="1897278164">
    <w:abstractNumId w:val="23"/>
  </w:num>
  <w:num w:numId="23" w16cid:durableId="1149400780">
    <w:abstractNumId w:val="17"/>
  </w:num>
  <w:num w:numId="24" w16cid:durableId="1415393041">
    <w:abstractNumId w:val="47"/>
  </w:num>
  <w:num w:numId="25" w16cid:durableId="283393495">
    <w:abstractNumId w:val="49"/>
  </w:num>
  <w:num w:numId="26" w16cid:durableId="921793803">
    <w:abstractNumId w:val="27"/>
  </w:num>
  <w:num w:numId="27" w16cid:durableId="475411686">
    <w:abstractNumId w:val="30"/>
  </w:num>
  <w:num w:numId="28" w16cid:durableId="868953732">
    <w:abstractNumId w:val="38"/>
  </w:num>
  <w:num w:numId="29" w16cid:durableId="718019494">
    <w:abstractNumId w:val="0"/>
  </w:num>
  <w:num w:numId="30" w16cid:durableId="637614326">
    <w:abstractNumId w:val="2"/>
  </w:num>
  <w:num w:numId="31" w16cid:durableId="1572426260">
    <w:abstractNumId w:val="33"/>
  </w:num>
  <w:num w:numId="32" w16cid:durableId="77992166">
    <w:abstractNumId w:val="12"/>
  </w:num>
  <w:num w:numId="33" w16cid:durableId="114177750">
    <w:abstractNumId w:val="1"/>
  </w:num>
  <w:num w:numId="34" w16cid:durableId="1098060081">
    <w:abstractNumId w:val="31"/>
  </w:num>
  <w:num w:numId="35" w16cid:durableId="1703240681">
    <w:abstractNumId w:val="24"/>
  </w:num>
  <w:num w:numId="36" w16cid:durableId="1807161785">
    <w:abstractNumId w:val="5"/>
  </w:num>
  <w:num w:numId="37" w16cid:durableId="842938580">
    <w:abstractNumId w:val="35"/>
  </w:num>
  <w:num w:numId="38" w16cid:durableId="1546481650">
    <w:abstractNumId w:val="41"/>
  </w:num>
  <w:num w:numId="39" w16cid:durableId="1583373031">
    <w:abstractNumId w:val="43"/>
  </w:num>
  <w:num w:numId="40" w16cid:durableId="75131362">
    <w:abstractNumId w:val="32"/>
  </w:num>
  <w:num w:numId="41" w16cid:durableId="737364539">
    <w:abstractNumId w:val="37"/>
  </w:num>
  <w:num w:numId="42" w16cid:durableId="2038575247">
    <w:abstractNumId w:val="8"/>
  </w:num>
  <w:num w:numId="43" w16cid:durableId="463279068">
    <w:abstractNumId w:val="48"/>
  </w:num>
  <w:num w:numId="44" w16cid:durableId="31462249">
    <w:abstractNumId w:val="46"/>
  </w:num>
  <w:num w:numId="45" w16cid:durableId="1787919443">
    <w:abstractNumId w:val="45"/>
  </w:num>
  <w:num w:numId="46" w16cid:durableId="147020111">
    <w:abstractNumId w:val="36"/>
  </w:num>
  <w:num w:numId="47" w16cid:durableId="2135050976">
    <w:abstractNumId w:val="3"/>
  </w:num>
  <w:num w:numId="48" w16cid:durableId="1223254822">
    <w:abstractNumId w:val="18"/>
  </w:num>
  <w:num w:numId="49" w16cid:durableId="434130816">
    <w:abstractNumId w:val="42"/>
  </w:num>
  <w:num w:numId="50" w16cid:durableId="1900286568">
    <w:abstractNumId w:val="7"/>
  </w:num>
  <w:num w:numId="51" w16cid:durableId="207804655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77D44"/>
    <w:rsid w:val="001D3E09"/>
    <w:rsid w:val="001F4144"/>
    <w:rsid w:val="002014F3"/>
    <w:rsid w:val="00246547"/>
    <w:rsid w:val="002604A4"/>
    <w:rsid w:val="002823E6"/>
    <w:rsid w:val="002B7D99"/>
    <w:rsid w:val="002C620C"/>
    <w:rsid w:val="0031623E"/>
    <w:rsid w:val="0032612A"/>
    <w:rsid w:val="00394C71"/>
    <w:rsid w:val="00411DC9"/>
    <w:rsid w:val="0042258B"/>
    <w:rsid w:val="00520FA5"/>
    <w:rsid w:val="005257BF"/>
    <w:rsid w:val="005A0D34"/>
    <w:rsid w:val="005F0E38"/>
    <w:rsid w:val="00602E70"/>
    <w:rsid w:val="00611123"/>
    <w:rsid w:val="00647CF6"/>
    <w:rsid w:val="00676B78"/>
    <w:rsid w:val="006864D9"/>
    <w:rsid w:val="006A7B0B"/>
    <w:rsid w:val="006C25CE"/>
    <w:rsid w:val="006F374A"/>
    <w:rsid w:val="00704409"/>
    <w:rsid w:val="007636A5"/>
    <w:rsid w:val="00836B8C"/>
    <w:rsid w:val="00885CA1"/>
    <w:rsid w:val="00892C07"/>
    <w:rsid w:val="008938C6"/>
    <w:rsid w:val="008C7C83"/>
    <w:rsid w:val="008E7424"/>
    <w:rsid w:val="009932A8"/>
    <w:rsid w:val="00A14324"/>
    <w:rsid w:val="00AF40E0"/>
    <w:rsid w:val="00AF4867"/>
    <w:rsid w:val="00B713F3"/>
    <w:rsid w:val="00B93233"/>
    <w:rsid w:val="00BA6A2C"/>
    <w:rsid w:val="00BC3FC7"/>
    <w:rsid w:val="00BF2FEF"/>
    <w:rsid w:val="00C33DED"/>
    <w:rsid w:val="00C71B4C"/>
    <w:rsid w:val="00C76C20"/>
    <w:rsid w:val="00C862A3"/>
    <w:rsid w:val="00C9008D"/>
    <w:rsid w:val="00CA17CD"/>
    <w:rsid w:val="00CB0978"/>
    <w:rsid w:val="00CB2C91"/>
    <w:rsid w:val="00CB4FB0"/>
    <w:rsid w:val="00CC59BA"/>
    <w:rsid w:val="00CD229E"/>
    <w:rsid w:val="00CD22D3"/>
    <w:rsid w:val="00D006A9"/>
    <w:rsid w:val="00D23C6E"/>
    <w:rsid w:val="00D25605"/>
    <w:rsid w:val="00D27AED"/>
    <w:rsid w:val="00D57946"/>
    <w:rsid w:val="00D77767"/>
    <w:rsid w:val="00D820B5"/>
    <w:rsid w:val="00D861E5"/>
    <w:rsid w:val="00DE3863"/>
    <w:rsid w:val="00DF004E"/>
    <w:rsid w:val="00DF3247"/>
    <w:rsid w:val="00E60A77"/>
    <w:rsid w:val="00EB4EBA"/>
    <w:rsid w:val="00ED667D"/>
    <w:rsid w:val="00EF6269"/>
    <w:rsid w:val="00F44AA7"/>
    <w:rsid w:val="00F60E0F"/>
    <w:rsid w:val="00FC128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info-details/statu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541</Words>
  <Characters>3084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Leblanc, Donna M (EHS)</cp:lastModifiedBy>
  <cp:revision>7</cp:revision>
  <dcterms:created xsi:type="dcterms:W3CDTF">2024-02-13T15:58:00Z</dcterms:created>
  <dcterms:modified xsi:type="dcterms:W3CDTF">2024-02-13T16:44:00Z</dcterms:modified>
</cp:coreProperties>
</file>