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ACF" w:rsidRPr="00F96D6A" w:rsidRDefault="00F96D6A">
      <w:r>
        <w:t xml:space="preserve">Slide </w:t>
      </w:r>
      <w:r w:rsidRPr="00F96D6A">
        <w:t>1</w:t>
      </w:r>
    </w:p>
    <w:p w:rsidR="00F96D6A" w:rsidRPr="00F96D6A" w:rsidRDefault="00F96D6A">
      <w:pPr>
        <w:rPr>
          <w:iCs/>
        </w:rPr>
      </w:pPr>
      <w:r w:rsidRPr="00F96D6A">
        <w:rPr>
          <w:bCs/>
        </w:rPr>
        <w:t>Child Care Development Block Grant (CCDBG) Reauthorization and the Child Care Development Fund (CCDF) State Plan for Federal Fiscal Years 2016-2018</w:t>
      </w:r>
      <w:r w:rsidRPr="00F96D6A">
        <w:rPr>
          <w:bCs/>
        </w:rPr>
        <w:br/>
      </w:r>
      <w:r w:rsidRPr="00F96D6A">
        <w:rPr>
          <w:bCs/>
        </w:rPr>
        <w:br/>
      </w:r>
      <w:r w:rsidRPr="00F96D6A">
        <w:rPr>
          <w:iCs/>
        </w:rPr>
        <w:t xml:space="preserve"> Presentation to the Board of Early Education and Care</w:t>
      </w:r>
    </w:p>
    <w:p w:rsidR="00F96D6A" w:rsidRPr="00F96D6A" w:rsidRDefault="00F96D6A" w:rsidP="00F96D6A">
      <w:r w:rsidRPr="00F96D6A">
        <w:t>October 13, 2015</w:t>
      </w:r>
    </w:p>
    <w:p w:rsidR="00F96D6A" w:rsidRPr="00F96D6A" w:rsidRDefault="00F96D6A">
      <w:r w:rsidRPr="00F96D6A">
        <w:t>Slide 2</w:t>
      </w:r>
    </w:p>
    <w:p w:rsidR="00F96D6A" w:rsidRPr="00F96D6A" w:rsidRDefault="00F96D6A">
      <w:pPr>
        <w:rPr>
          <w:bCs/>
        </w:rPr>
      </w:pPr>
      <w:r w:rsidRPr="00F96D6A">
        <w:rPr>
          <w:bCs/>
        </w:rPr>
        <w:t>Outline</w:t>
      </w:r>
    </w:p>
    <w:p w:rsidR="00000000" w:rsidRPr="00F96D6A" w:rsidRDefault="001009D2" w:rsidP="00F96D6A">
      <w:pPr>
        <w:numPr>
          <w:ilvl w:val="0"/>
          <w:numId w:val="1"/>
        </w:numPr>
      </w:pPr>
      <w:r w:rsidRPr="00F96D6A">
        <w:rPr>
          <w:bCs/>
        </w:rPr>
        <w:t>Child Care Development Block Grant Reauthorization Overview</w:t>
      </w:r>
    </w:p>
    <w:p w:rsidR="00000000" w:rsidRPr="00F96D6A" w:rsidRDefault="001009D2" w:rsidP="00F96D6A">
      <w:pPr>
        <w:numPr>
          <w:ilvl w:val="0"/>
          <w:numId w:val="1"/>
        </w:numPr>
      </w:pPr>
      <w:r w:rsidRPr="00F96D6A">
        <w:rPr>
          <w:bCs/>
        </w:rPr>
        <w:t>Scope of Reauthorization</w:t>
      </w:r>
    </w:p>
    <w:p w:rsidR="00000000" w:rsidRPr="00F96D6A" w:rsidRDefault="001009D2" w:rsidP="00F96D6A">
      <w:pPr>
        <w:numPr>
          <w:ilvl w:val="0"/>
          <w:numId w:val="1"/>
        </w:numPr>
      </w:pPr>
      <w:r w:rsidRPr="00F96D6A">
        <w:rPr>
          <w:bCs/>
        </w:rPr>
        <w:t>Key Features of Reauthorization</w:t>
      </w:r>
    </w:p>
    <w:p w:rsidR="00000000" w:rsidRPr="00F96D6A" w:rsidRDefault="001009D2" w:rsidP="00F96D6A">
      <w:pPr>
        <w:numPr>
          <w:ilvl w:val="0"/>
          <w:numId w:val="1"/>
        </w:numPr>
      </w:pPr>
      <w:r w:rsidRPr="00F96D6A">
        <w:rPr>
          <w:bCs/>
        </w:rPr>
        <w:t xml:space="preserve">Reauthorization </w:t>
      </w:r>
      <w:r w:rsidRPr="00F96D6A">
        <w:rPr>
          <w:bCs/>
        </w:rPr>
        <w:t>Implementation and Effective Dates</w:t>
      </w:r>
    </w:p>
    <w:p w:rsidR="00000000" w:rsidRPr="00F96D6A" w:rsidRDefault="001009D2" w:rsidP="00F96D6A">
      <w:pPr>
        <w:numPr>
          <w:ilvl w:val="0"/>
          <w:numId w:val="1"/>
        </w:numPr>
      </w:pPr>
      <w:r w:rsidRPr="00F96D6A">
        <w:rPr>
          <w:bCs/>
        </w:rPr>
        <w:t>CCDF State Plan and Key Related Upcoming Activities</w:t>
      </w:r>
    </w:p>
    <w:p w:rsidR="00000000" w:rsidRPr="00F96D6A" w:rsidRDefault="001009D2" w:rsidP="00F96D6A">
      <w:pPr>
        <w:numPr>
          <w:ilvl w:val="0"/>
          <w:numId w:val="1"/>
        </w:numPr>
      </w:pPr>
      <w:r w:rsidRPr="00F96D6A">
        <w:rPr>
          <w:bCs/>
        </w:rPr>
        <w:t>Stakeholder Engagement in Development of the CCDF State Plan</w:t>
      </w:r>
    </w:p>
    <w:p w:rsidR="00000000" w:rsidRPr="00F96D6A" w:rsidRDefault="001009D2" w:rsidP="00F96D6A">
      <w:pPr>
        <w:numPr>
          <w:ilvl w:val="0"/>
          <w:numId w:val="1"/>
        </w:numPr>
      </w:pPr>
      <w:r w:rsidRPr="00F96D6A">
        <w:rPr>
          <w:bCs/>
        </w:rPr>
        <w:t>Timeline for Development &amp; Submission of CCDF State Plan</w:t>
      </w:r>
    </w:p>
    <w:p w:rsidR="00000000" w:rsidRPr="00F96D6A" w:rsidRDefault="001009D2" w:rsidP="00F96D6A">
      <w:pPr>
        <w:numPr>
          <w:ilvl w:val="0"/>
          <w:numId w:val="1"/>
        </w:numPr>
      </w:pPr>
      <w:r w:rsidRPr="00F96D6A">
        <w:rPr>
          <w:bCs/>
        </w:rPr>
        <w:t xml:space="preserve">Proposed Topics for Board </w:t>
      </w:r>
      <w:r w:rsidRPr="00F96D6A">
        <w:rPr>
          <w:bCs/>
        </w:rPr>
        <w:t>Discussion on the CCDF Plan</w:t>
      </w:r>
    </w:p>
    <w:p w:rsidR="00F96D6A" w:rsidRPr="00F96D6A" w:rsidRDefault="00F96D6A" w:rsidP="00F96D6A">
      <w:r w:rsidRPr="00F96D6A">
        <w:rPr>
          <w:bCs/>
        </w:rPr>
        <w:t xml:space="preserve">Note:  </w:t>
      </w:r>
      <w:r w:rsidRPr="00F96D6A">
        <w:rPr>
          <w:bCs/>
        </w:rPr>
        <w:tab/>
        <w:t xml:space="preserve">The key changes from the CCDBG Reauthorization that have the largest impact on </w:t>
      </w:r>
      <w:r w:rsidRPr="00F96D6A">
        <w:rPr>
          <w:bCs/>
        </w:rPr>
        <w:tab/>
        <w:t>MA are highlighted in red throughout this presentation.</w:t>
      </w:r>
    </w:p>
    <w:p w:rsidR="00F96D6A" w:rsidRPr="00F96D6A" w:rsidRDefault="00F96D6A">
      <w:r w:rsidRPr="00F96D6A">
        <w:t>Slide 3</w:t>
      </w:r>
    </w:p>
    <w:p w:rsidR="00F96D6A" w:rsidRPr="00F96D6A" w:rsidRDefault="00F96D6A">
      <w:pPr>
        <w:rPr>
          <w:bCs/>
        </w:rPr>
      </w:pPr>
      <w:r w:rsidRPr="00F96D6A">
        <w:rPr>
          <w:bCs/>
        </w:rPr>
        <w:t>CCDBG Reauthorization Overview</w:t>
      </w:r>
    </w:p>
    <w:p w:rsidR="00000000" w:rsidRPr="00F96D6A" w:rsidRDefault="001009D2" w:rsidP="00F96D6A">
      <w:pPr>
        <w:numPr>
          <w:ilvl w:val="0"/>
          <w:numId w:val="2"/>
        </w:numPr>
      </w:pPr>
      <w:r w:rsidRPr="00F96D6A">
        <w:t>The Child Care Development Block Grant (CCDBG) is a</w:t>
      </w:r>
      <w:r w:rsidRPr="00F96D6A">
        <w:t xml:space="preserve"> $5.3 billion block grant program that provides funding to States, Territories, and Tribes to provide access to child care services for low-income families and improve the quality of child care.</w:t>
      </w:r>
    </w:p>
    <w:p w:rsidR="00000000" w:rsidRPr="00F96D6A" w:rsidRDefault="001009D2" w:rsidP="00F96D6A">
      <w:pPr>
        <w:numPr>
          <w:ilvl w:val="1"/>
          <w:numId w:val="2"/>
        </w:numPr>
      </w:pPr>
      <w:r w:rsidRPr="00F96D6A">
        <w:t>For FY15, MA expended over $481M through CCDBG (or 92% of EE</w:t>
      </w:r>
      <w:r w:rsidRPr="00F96D6A">
        <w:t>C’s total state budget), including Maintenance of Effort, State Match and TANF related expenditures.</w:t>
      </w:r>
    </w:p>
    <w:p w:rsidR="00000000" w:rsidRPr="00F96D6A" w:rsidRDefault="001009D2" w:rsidP="00F96D6A">
      <w:pPr>
        <w:numPr>
          <w:ilvl w:val="0"/>
          <w:numId w:val="2"/>
        </w:numPr>
      </w:pPr>
      <w:r w:rsidRPr="00F96D6A">
        <w:t>President Obama signed the CCDBG Act of 2014 (P.L. 113-186) into law on November 19, 2014.</w:t>
      </w:r>
    </w:p>
    <w:p w:rsidR="00000000" w:rsidRPr="00F96D6A" w:rsidRDefault="001009D2" w:rsidP="00F96D6A">
      <w:pPr>
        <w:numPr>
          <w:ilvl w:val="1"/>
          <w:numId w:val="2"/>
        </w:numPr>
      </w:pPr>
      <w:r w:rsidRPr="00F96D6A">
        <w:t>Represents the 1</w:t>
      </w:r>
      <w:r w:rsidRPr="00F96D6A">
        <w:rPr>
          <w:vertAlign w:val="superscript"/>
        </w:rPr>
        <w:t>st</w:t>
      </w:r>
      <w:r w:rsidRPr="00F96D6A">
        <w:t xml:space="preserve"> time Congress has reauthorized CCDBG since </w:t>
      </w:r>
      <w:r w:rsidRPr="00F96D6A">
        <w:t xml:space="preserve">1996. </w:t>
      </w:r>
    </w:p>
    <w:p w:rsidR="00000000" w:rsidRPr="00F96D6A" w:rsidRDefault="001009D2" w:rsidP="00F96D6A">
      <w:pPr>
        <w:numPr>
          <w:ilvl w:val="0"/>
          <w:numId w:val="2"/>
        </w:numPr>
      </w:pPr>
      <w:r w:rsidRPr="00F96D6A">
        <w:t xml:space="preserve">The CCDBG Act of 2014 is focused on better balancing its </w:t>
      </w:r>
      <w:r w:rsidRPr="00F96D6A">
        <w:rPr>
          <w:bCs/>
        </w:rPr>
        <w:t>dual purposes:</w:t>
      </w:r>
    </w:p>
    <w:p w:rsidR="00000000" w:rsidRPr="00F96D6A" w:rsidRDefault="001009D2" w:rsidP="00F96D6A">
      <w:pPr>
        <w:numPr>
          <w:ilvl w:val="1"/>
          <w:numId w:val="2"/>
        </w:numPr>
      </w:pPr>
      <w:r w:rsidRPr="00F96D6A">
        <w:lastRenderedPageBreak/>
        <w:t xml:space="preserve">to promote economic self-sufficiency for low-income families, and </w:t>
      </w:r>
    </w:p>
    <w:p w:rsidR="00000000" w:rsidRPr="00F96D6A" w:rsidRDefault="001009D2" w:rsidP="00F96D6A">
      <w:pPr>
        <w:numPr>
          <w:ilvl w:val="1"/>
          <w:numId w:val="2"/>
        </w:numPr>
      </w:pPr>
      <w:r w:rsidRPr="00F96D6A">
        <w:t>to support healthy development and school readiness needs of children.</w:t>
      </w:r>
    </w:p>
    <w:p w:rsidR="00000000" w:rsidRPr="00F96D6A" w:rsidRDefault="001009D2" w:rsidP="00F96D6A">
      <w:pPr>
        <w:numPr>
          <w:ilvl w:val="0"/>
          <w:numId w:val="2"/>
        </w:numPr>
      </w:pPr>
      <w:r w:rsidRPr="00F96D6A">
        <w:t>The CCDBG Act of 2014 renews author</w:t>
      </w:r>
      <w:r w:rsidRPr="00F96D6A">
        <w:t xml:space="preserve">ity for CCDBG through FY 2020 and represents an historic re-envisioning of the program. </w:t>
      </w:r>
    </w:p>
    <w:p w:rsidR="00F96D6A" w:rsidRPr="00F96D6A" w:rsidRDefault="00F96D6A">
      <w:r w:rsidRPr="00F96D6A">
        <w:t>Slide 4</w:t>
      </w:r>
    </w:p>
    <w:p w:rsidR="00F96D6A" w:rsidRPr="00F96D6A" w:rsidRDefault="00F96D6A">
      <w:pPr>
        <w:rPr>
          <w:bCs/>
        </w:rPr>
      </w:pPr>
      <w:r w:rsidRPr="00F96D6A">
        <w:rPr>
          <w:bCs/>
        </w:rPr>
        <w:t>Scope of Reauthorization</w:t>
      </w:r>
    </w:p>
    <w:p w:rsidR="00000000" w:rsidRPr="00F96D6A" w:rsidRDefault="001009D2" w:rsidP="00F96D6A">
      <w:pPr>
        <w:numPr>
          <w:ilvl w:val="0"/>
          <w:numId w:val="3"/>
        </w:numPr>
      </w:pPr>
      <w:r w:rsidRPr="00F96D6A">
        <w:t>Reauthorization brings significant advancements to early education and care programs, including those that accept subsidies and those that d</w:t>
      </w:r>
      <w:r w:rsidRPr="00F96D6A">
        <w:t xml:space="preserve">o not: </w:t>
      </w:r>
    </w:p>
    <w:p w:rsidR="00000000" w:rsidRPr="00F96D6A" w:rsidRDefault="001009D2" w:rsidP="00F96D6A">
      <w:pPr>
        <w:numPr>
          <w:ilvl w:val="1"/>
          <w:numId w:val="3"/>
        </w:numPr>
      </w:pPr>
      <w:r w:rsidRPr="00F96D6A">
        <w:t>Makes child care safer by defining health and safety requirements for ALL child care providers, requiring background checks and annual inspection of facilities.</w:t>
      </w:r>
    </w:p>
    <w:p w:rsidR="00000000" w:rsidRPr="00F96D6A" w:rsidRDefault="001009D2" w:rsidP="00F96D6A">
      <w:pPr>
        <w:numPr>
          <w:ilvl w:val="1"/>
          <w:numId w:val="3"/>
        </w:numPr>
      </w:pPr>
      <w:r w:rsidRPr="00F96D6A">
        <w:t xml:space="preserve">Provides more stability for </w:t>
      </w:r>
      <w:r w:rsidRPr="00F96D6A">
        <w:t>parents and children through family-friendly subsidy eligibility policies.</w:t>
      </w:r>
    </w:p>
    <w:p w:rsidR="00000000" w:rsidRPr="00F96D6A" w:rsidRDefault="001009D2" w:rsidP="00F96D6A">
      <w:pPr>
        <w:numPr>
          <w:ilvl w:val="1"/>
          <w:numId w:val="3"/>
        </w:numPr>
      </w:pPr>
      <w:r w:rsidRPr="00F96D6A">
        <w:t xml:space="preserve">Helps parents better understand child care choices available to them by improving accessibility and transparency of information about ALL providers. </w:t>
      </w:r>
    </w:p>
    <w:p w:rsidR="00000000" w:rsidRPr="00F96D6A" w:rsidRDefault="001009D2" w:rsidP="00F96D6A">
      <w:pPr>
        <w:numPr>
          <w:ilvl w:val="0"/>
          <w:numId w:val="3"/>
        </w:numPr>
      </w:pPr>
      <w:r w:rsidRPr="00F96D6A">
        <w:t>Includes a significant number</w:t>
      </w:r>
      <w:r w:rsidRPr="00F96D6A">
        <w:t xml:space="preserve"> of changes, some of which are straightforward to implement, while others are complex and will be phased-in over several years. The key changes associated with Reauthorization are described in greater detail throughout this presentation.</w:t>
      </w:r>
    </w:p>
    <w:p w:rsidR="00000000" w:rsidRPr="00F96D6A" w:rsidRDefault="001009D2" w:rsidP="00F96D6A">
      <w:pPr>
        <w:numPr>
          <w:ilvl w:val="0"/>
          <w:numId w:val="3"/>
        </w:numPr>
      </w:pPr>
      <w:r w:rsidRPr="00F96D6A">
        <w:t xml:space="preserve">HHS is currently </w:t>
      </w:r>
      <w:r w:rsidRPr="00F96D6A">
        <w:t>working on implementing regulations for Reauthorization, which are anticipated to be released for public comment before the end of the calendar year.</w:t>
      </w:r>
    </w:p>
    <w:p w:rsidR="00F96D6A" w:rsidRPr="00F96D6A" w:rsidRDefault="00F96D6A">
      <w:r w:rsidRPr="00F96D6A">
        <w:t>Slide 5</w:t>
      </w:r>
    </w:p>
    <w:p w:rsidR="00F96D6A" w:rsidRPr="00F96D6A" w:rsidRDefault="00F96D6A">
      <w:pPr>
        <w:rPr>
          <w:bCs/>
          <w:vertAlign w:val="superscript"/>
        </w:rPr>
      </w:pPr>
      <w:r w:rsidRPr="00F96D6A">
        <w:rPr>
          <w:bCs/>
        </w:rPr>
        <w:t>Key Features of Reauthorization</w:t>
      </w:r>
      <w:r w:rsidRPr="00F96D6A">
        <w:rPr>
          <w:bCs/>
          <w:vertAlign w:val="superscript"/>
        </w:rPr>
        <w:t>1</w:t>
      </w:r>
    </w:p>
    <w:p w:rsidR="00000000" w:rsidRPr="00F96D6A" w:rsidRDefault="001009D2" w:rsidP="00F96D6A">
      <w:pPr>
        <w:numPr>
          <w:ilvl w:val="0"/>
          <w:numId w:val="4"/>
        </w:numPr>
      </w:pPr>
      <w:r w:rsidRPr="00F96D6A">
        <w:t>Health and Safety</w:t>
      </w:r>
    </w:p>
    <w:p w:rsidR="00000000" w:rsidRPr="00F96D6A" w:rsidRDefault="001009D2" w:rsidP="00F96D6A">
      <w:pPr>
        <w:numPr>
          <w:ilvl w:val="0"/>
          <w:numId w:val="4"/>
        </w:numPr>
      </w:pPr>
      <w:r w:rsidRPr="00F96D6A">
        <w:t>Criminal Background Checks</w:t>
      </w:r>
    </w:p>
    <w:p w:rsidR="00000000" w:rsidRPr="00F96D6A" w:rsidRDefault="001009D2" w:rsidP="00F96D6A">
      <w:pPr>
        <w:numPr>
          <w:ilvl w:val="0"/>
          <w:numId w:val="4"/>
        </w:numPr>
      </w:pPr>
      <w:r w:rsidRPr="00F96D6A">
        <w:t>Monitoring</w:t>
      </w:r>
    </w:p>
    <w:p w:rsidR="00000000" w:rsidRPr="00F96D6A" w:rsidRDefault="001009D2" w:rsidP="00F96D6A">
      <w:pPr>
        <w:numPr>
          <w:ilvl w:val="0"/>
          <w:numId w:val="4"/>
        </w:numPr>
      </w:pPr>
      <w:r w:rsidRPr="00F96D6A">
        <w:t>Training &amp; P</w:t>
      </w:r>
      <w:r w:rsidRPr="00F96D6A">
        <w:t>rofessional Development</w:t>
      </w:r>
    </w:p>
    <w:p w:rsidR="00000000" w:rsidRPr="00F96D6A" w:rsidRDefault="001009D2" w:rsidP="00F96D6A">
      <w:pPr>
        <w:numPr>
          <w:ilvl w:val="0"/>
          <w:numId w:val="4"/>
        </w:numPr>
      </w:pPr>
      <w:r w:rsidRPr="00F96D6A">
        <w:t>Eligibility Policies</w:t>
      </w:r>
    </w:p>
    <w:p w:rsidR="00000000" w:rsidRPr="00F96D6A" w:rsidRDefault="001009D2" w:rsidP="00F96D6A">
      <w:pPr>
        <w:numPr>
          <w:ilvl w:val="0"/>
          <w:numId w:val="4"/>
        </w:numPr>
      </w:pPr>
      <w:r w:rsidRPr="00F96D6A">
        <w:t>Consumer Education</w:t>
      </w:r>
    </w:p>
    <w:p w:rsidR="00000000" w:rsidRPr="00F96D6A" w:rsidRDefault="001009D2" w:rsidP="00F96D6A">
      <w:pPr>
        <w:numPr>
          <w:ilvl w:val="0"/>
          <w:numId w:val="4"/>
        </w:numPr>
      </w:pPr>
      <w:r w:rsidRPr="00F96D6A">
        <w:t>Family Engagement</w:t>
      </w:r>
    </w:p>
    <w:p w:rsidR="00000000" w:rsidRPr="00F96D6A" w:rsidRDefault="001009D2" w:rsidP="00F96D6A">
      <w:pPr>
        <w:numPr>
          <w:ilvl w:val="0"/>
          <w:numId w:val="4"/>
        </w:numPr>
      </w:pPr>
      <w:r w:rsidRPr="00F96D6A">
        <w:t>Increased Quality Spending</w:t>
      </w:r>
    </w:p>
    <w:p w:rsidR="00000000" w:rsidRPr="00F96D6A" w:rsidRDefault="001009D2" w:rsidP="00F96D6A">
      <w:pPr>
        <w:numPr>
          <w:ilvl w:val="0"/>
          <w:numId w:val="4"/>
        </w:numPr>
      </w:pPr>
      <w:r w:rsidRPr="00F96D6A">
        <w:lastRenderedPageBreak/>
        <w:t>Infants and Toddlers</w:t>
      </w:r>
    </w:p>
    <w:p w:rsidR="00000000" w:rsidRPr="00F96D6A" w:rsidRDefault="001009D2" w:rsidP="00F96D6A">
      <w:pPr>
        <w:numPr>
          <w:ilvl w:val="0"/>
          <w:numId w:val="4"/>
        </w:numPr>
      </w:pPr>
      <w:r w:rsidRPr="00F96D6A">
        <w:t>Payment Rates &amp; Provider Payment Practices</w:t>
      </w:r>
    </w:p>
    <w:p w:rsidR="00000000" w:rsidRPr="00F96D6A" w:rsidRDefault="001009D2" w:rsidP="00F96D6A">
      <w:pPr>
        <w:numPr>
          <w:ilvl w:val="0"/>
          <w:numId w:val="4"/>
        </w:numPr>
      </w:pPr>
      <w:r w:rsidRPr="00F96D6A">
        <w:t>Underserved Populations</w:t>
      </w:r>
    </w:p>
    <w:p w:rsidR="00000000" w:rsidRPr="00F96D6A" w:rsidRDefault="001009D2" w:rsidP="00F96D6A">
      <w:pPr>
        <w:numPr>
          <w:ilvl w:val="0"/>
          <w:numId w:val="4"/>
        </w:numPr>
      </w:pPr>
      <w:r w:rsidRPr="00F96D6A">
        <w:t>Tribal Provisions*</w:t>
      </w:r>
    </w:p>
    <w:p w:rsidR="00F96D6A" w:rsidRPr="00F96D6A" w:rsidRDefault="00F96D6A" w:rsidP="00F96D6A">
      <w:pPr>
        <w:rPr>
          <w:iCs/>
        </w:rPr>
      </w:pPr>
      <w:r w:rsidRPr="00F96D6A">
        <w:rPr>
          <w:iCs/>
        </w:rPr>
        <w:t>*These changes do not impact Massachusetts, so they are not included in this presentation.</w:t>
      </w:r>
    </w:p>
    <w:p w:rsidR="00F96D6A" w:rsidRPr="00F96D6A" w:rsidRDefault="00F96D6A" w:rsidP="00F96D6A">
      <w:r w:rsidRPr="00F96D6A">
        <w:rPr>
          <w:vertAlign w:val="superscript"/>
        </w:rPr>
        <w:t>1</w:t>
      </w:r>
      <w:r w:rsidRPr="00F96D6A">
        <w:t xml:space="preserve">For more information related the full scope of the CCDBG Reauthorization, please refer to ACF-OCC’s dedicated website: </w:t>
      </w:r>
      <w:hyperlink r:id="rId5" w:history="1">
        <w:r w:rsidRPr="00F96D6A">
          <w:rPr>
            <w:rStyle w:val="Hyperlink"/>
          </w:rPr>
          <w:t>http://www.acf.hhs.gov/programs/occ/ccdf-reauthorization</w:t>
        </w:r>
      </w:hyperlink>
      <w:r w:rsidRPr="00F96D6A">
        <w:t>. This resource includes an overview of the law, the full statutory text, and some Frequently Asked Questions to assist states in implementation of the law.</w:t>
      </w:r>
      <w:r w:rsidRPr="00F96D6A">
        <w:rPr>
          <w:vertAlign w:val="superscript"/>
        </w:rPr>
        <w:t xml:space="preserve"> </w:t>
      </w:r>
    </w:p>
    <w:p w:rsidR="00F96D6A" w:rsidRPr="00F96D6A" w:rsidRDefault="00F96D6A" w:rsidP="00F96D6A">
      <w:r w:rsidRPr="00F96D6A">
        <w:t>Slide 6</w:t>
      </w:r>
    </w:p>
    <w:p w:rsidR="00F96D6A" w:rsidRPr="00F96D6A" w:rsidRDefault="00F96D6A" w:rsidP="00F96D6A">
      <w:pPr>
        <w:rPr>
          <w:bCs/>
        </w:rPr>
      </w:pPr>
      <w:r w:rsidRPr="00F96D6A">
        <w:rPr>
          <w:bCs/>
        </w:rPr>
        <w:t>Health &amp; Safety: Training, Ratios, Screenings and License Exemptions – Compliance by 9/30/2016</w:t>
      </w:r>
    </w:p>
    <w:p w:rsidR="00000000" w:rsidRPr="00F96D6A" w:rsidRDefault="001009D2" w:rsidP="00F96D6A">
      <w:pPr>
        <w:numPr>
          <w:ilvl w:val="0"/>
          <w:numId w:val="6"/>
        </w:numPr>
      </w:pPr>
      <w:r w:rsidRPr="00F96D6A">
        <w:t>States must establish policies and provide pre-service orientations and periodic training in the following areas*: (Section 658E(c)(2)(I) of the CCDBG Act of 2014)</w:t>
      </w:r>
    </w:p>
    <w:p w:rsidR="00000000" w:rsidRPr="00F96D6A" w:rsidRDefault="001009D2" w:rsidP="00F96D6A">
      <w:pPr>
        <w:numPr>
          <w:ilvl w:val="0"/>
          <w:numId w:val="7"/>
        </w:numPr>
      </w:pPr>
      <w:r w:rsidRPr="00F96D6A">
        <w:t>Prevention and control of infectio</w:t>
      </w:r>
      <w:r w:rsidRPr="00F96D6A">
        <w:t>us diseases (including immunization);</w:t>
      </w:r>
    </w:p>
    <w:p w:rsidR="00000000" w:rsidRPr="00F96D6A" w:rsidRDefault="001009D2" w:rsidP="00F96D6A">
      <w:pPr>
        <w:numPr>
          <w:ilvl w:val="0"/>
          <w:numId w:val="7"/>
        </w:numPr>
      </w:pPr>
      <w:r w:rsidRPr="00F96D6A">
        <w:t>SIDS and safe sleep practices;</w:t>
      </w:r>
    </w:p>
    <w:p w:rsidR="00000000" w:rsidRPr="00F96D6A" w:rsidRDefault="001009D2" w:rsidP="00F96D6A">
      <w:pPr>
        <w:numPr>
          <w:ilvl w:val="0"/>
          <w:numId w:val="7"/>
        </w:numPr>
      </w:pPr>
      <w:r w:rsidRPr="00F96D6A">
        <w:t>Administration of medication;</w:t>
      </w:r>
    </w:p>
    <w:p w:rsidR="00000000" w:rsidRPr="00F96D6A" w:rsidRDefault="001009D2" w:rsidP="00F96D6A">
      <w:pPr>
        <w:numPr>
          <w:ilvl w:val="0"/>
          <w:numId w:val="7"/>
        </w:numPr>
      </w:pPr>
      <w:r w:rsidRPr="00F96D6A">
        <w:t>Prevention/response to food allergies;</w:t>
      </w:r>
    </w:p>
    <w:p w:rsidR="00000000" w:rsidRPr="00F96D6A" w:rsidRDefault="001009D2" w:rsidP="00F96D6A">
      <w:pPr>
        <w:numPr>
          <w:ilvl w:val="0"/>
          <w:numId w:val="7"/>
        </w:numPr>
      </w:pPr>
      <w:r w:rsidRPr="00F96D6A">
        <w:t xml:space="preserve">Building and physical premises safety, including </w:t>
      </w:r>
      <w:r w:rsidRPr="00F96D6A">
        <w:t>identifying electrical hazards, bodies of water, and vehicular traffic;</w:t>
      </w:r>
    </w:p>
    <w:p w:rsidR="00000000" w:rsidRPr="00F96D6A" w:rsidRDefault="001009D2" w:rsidP="00F96D6A">
      <w:pPr>
        <w:numPr>
          <w:ilvl w:val="0"/>
          <w:numId w:val="7"/>
        </w:numPr>
      </w:pPr>
      <w:r w:rsidRPr="00F96D6A">
        <w:t>Shaken baby syndrome and head trauma;</w:t>
      </w:r>
    </w:p>
    <w:p w:rsidR="00000000" w:rsidRPr="00F96D6A" w:rsidRDefault="001009D2" w:rsidP="00F96D6A">
      <w:pPr>
        <w:numPr>
          <w:ilvl w:val="0"/>
          <w:numId w:val="7"/>
        </w:numPr>
      </w:pPr>
      <w:r w:rsidRPr="00F96D6A">
        <w:t>Emergency preparedness and response planning, for natural or man-caused event;</w:t>
      </w:r>
    </w:p>
    <w:p w:rsidR="00000000" w:rsidRPr="00F96D6A" w:rsidRDefault="001009D2" w:rsidP="00F96D6A">
      <w:pPr>
        <w:numPr>
          <w:ilvl w:val="0"/>
          <w:numId w:val="7"/>
        </w:numPr>
      </w:pPr>
      <w:r w:rsidRPr="00F96D6A">
        <w:t>Storage of hazardous materials and bio contaminants;</w:t>
      </w:r>
    </w:p>
    <w:p w:rsidR="00F96D6A" w:rsidRPr="00F96D6A" w:rsidRDefault="001009D2" w:rsidP="00F96D6A">
      <w:pPr>
        <w:numPr>
          <w:ilvl w:val="0"/>
          <w:numId w:val="7"/>
        </w:numPr>
      </w:pPr>
      <w:r w:rsidRPr="00F96D6A">
        <w:t>If applicable, precautions in transporting children; and</w:t>
      </w:r>
    </w:p>
    <w:p w:rsidR="00F96D6A" w:rsidRPr="00F96D6A" w:rsidRDefault="00F96D6A" w:rsidP="00F96D6A">
      <w:pPr>
        <w:numPr>
          <w:ilvl w:val="0"/>
          <w:numId w:val="7"/>
        </w:numPr>
      </w:pPr>
      <w:r w:rsidRPr="00F96D6A">
        <w:t>First-aid and CPR.</w:t>
      </w:r>
    </w:p>
    <w:p w:rsidR="00000000" w:rsidRPr="00F96D6A" w:rsidRDefault="001009D2" w:rsidP="00F96D6A">
      <w:pPr>
        <w:numPr>
          <w:ilvl w:val="0"/>
          <w:numId w:val="7"/>
        </w:numPr>
      </w:pPr>
      <w:r w:rsidRPr="00F96D6A">
        <w:t>States must establish standards for group size limits and appropriate child-to-provider ratios. (Section 658E(c)(2)(H) of the CCDBG Act of 2014)</w:t>
      </w:r>
    </w:p>
    <w:p w:rsidR="00000000" w:rsidRPr="00F96D6A" w:rsidRDefault="001009D2" w:rsidP="00F96D6A">
      <w:pPr>
        <w:numPr>
          <w:ilvl w:val="0"/>
          <w:numId w:val="7"/>
        </w:numPr>
      </w:pPr>
      <w:r w:rsidRPr="00F96D6A">
        <w:t>States must provide parents info</w:t>
      </w:r>
      <w:r w:rsidRPr="00F96D6A">
        <w:t>rmation about access to developmental screening services. (Section 658E(c)(2)(E)(ii) of the CCDBG Act of 2014)</w:t>
      </w:r>
    </w:p>
    <w:p w:rsidR="00000000" w:rsidRPr="00F96D6A" w:rsidRDefault="001009D2" w:rsidP="00F96D6A">
      <w:pPr>
        <w:numPr>
          <w:ilvl w:val="0"/>
          <w:numId w:val="7"/>
        </w:numPr>
      </w:pPr>
      <w:r w:rsidRPr="00F96D6A">
        <w:lastRenderedPageBreak/>
        <w:t>Providers must comply with child abuse and neglect reporting. (Section 658E(c)(2)(L) of the CCDBG Act of 2014)</w:t>
      </w:r>
    </w:p>
    <w:p w:rsidR="00000000" w:rsidRPr="00F96D6A" w:rsidRDefault="001009D2" w:rsidP="00F96D6A">
      <w:pPr>
        <w:numPr>
          <w:ilvl w:val="0"/>
          <w:numId w:val="7"/>
        </w:numPr>
      </w:pPr>
      <w:r w:rsidRPr="00F96D6A">
        <w:t>MA must explain its reasoning fo</w:t>
      </w:r>
      <w:r w:rsidRPr="00F96D6A">
        <w:t>r any exemptions for CCDBG Providers (i.e., those that accept subsidy) to licensing and why exemptions do not endanger the health and safety of children in the care of such providers. (Section 658E(c)(2)(F)(ii) of the CCDBG Act of 2014)</w:t>
      </w:r>
      <w:r w:rsidRPr="00F96D6A">
        <w:t xml:space="preserve"> </w:t>
      </w:r>
    </w:p>
    <w:p w:rsidR="00F96D6A" w:rsidRPr="00F96D6A" w:rsidRDefault="00F96D6A" w:rsidP="00F96D6A">
      <w:pPr>
        <w:ind w:left="720"/>
      </w:pPr>
      <w:r w:rsidRPr="00F96D6A">
        <w:rPr>
          <w:u w:val="single"/>
        </w:rPr>
        <w:t>New for MA</w:t>
      </w:r>
      <w:r w:rsidRPr="00F96D6A">
        <w:t>: Applies to ALL licensed providers, plus any license exempt providers receiving CCDBG funds. MA has the option to continue exempting relative caregivers from CCDBG health and safety requirements.</w:t>
      </w:r>
    </w:p>
    <w:p w:rsidR="00F96D6A" w:rsidRPr="00F96D6A" w:rsidRDefault="00F96D6A" w:rsidP="00F96D6A">
      <w:r w:rsidRPr="00F96D6A">
        <w:t>Slide 7</w:t>
      </w:r>
    </w:p>
    <w:p w:rsidR="00F96D6A" w:rsidRPr="00F96D6A" w:rsidRDefault="00F96D6A" w:rsidP="00F96D6A">
      <w:pPr>
        <w:rPr>
          <w:bCs/>
        </w:rPr>
      </w:pPr>
      <w:r w:rsidRPr="00F96D6A">
        <w:rPr>
          <w:bCs/>
        </w:rPr>
        <w:t>Health &amp; Safety: Background Record Checks – Compliance by 9/30/2017</w:t>
      </w:r>
    </w:p>
    <w:p w:rsidR="00000000" w:rsidRPr="00F96D6A" w:rsidRDefault="001009D2" w:rsidP="00F96D6A">
      <w:pPr>
        <w:numPr>
          <w:ilvl w:val="0"/>
          <w:numId w:val="9"/>
        </w:numPr>
      </w:pPr>
      <w:r w:rsidRPr="00F96D6A">
        <w:t xml:space="preserve">Requires States to conduct criminal background checks on ALL early education and care providers and their staff members. Not limited to providers serving CCDBG subsidized children. Relative caregivers may be excluded. (Section 658H of the CCDBG Act of </w:t>
      </w:r>
      <w:r w:rsidRPr="00F96D6A">
        <w:t>2014)</w:t>
      </w:r>
    </w:p>
    <w:p w:rsidR="00000000" w:rsidRPr="00F96D6A" w:rsidRDefault="001009D2" w:rsidP="00F96D6A">
      <w:pPr>
        <w:numPr>
          <w:ilvl w:val="0"/>
          <w:numId w:val="9"/>
        </w:numPr>
      </w:pPr>
      <w:r w:rsidRPr="00F96D6A">
        <w:t>Includes child care staff members who don’t care directly for children but have unsupervised access to children.</w:t>
      </w:r>
    </w:p>
    <w:p w:rsidR="00000000" w:rsidRPr="00F96D6A" w:rsidRDefault="001009D2" w:rsidP="00F96D6A">
      <w:pPr>
        <w:numPr>
          <w:ilvl w:val="0"/>
          <w:numId w:val="9"/>
        </w:numPr>
      </w:pPr>
      <w:r w:rsidRPr="00F96D6A">
        <w:t>In addition to the CORI, DCF, SORI and FBI fingerprint checks already implemented, MA must incorporate the following into its backgroun</w:t>
      </w:r>
      <w:r w:rsidRPr="00F96D6A">
        <w:t>d record check requirements:</w:t>
      </w:r>
    </w:p>
    <w:p w:rsidR="00000000" w:rsidRPr="00F96D6A" w:rsidRDefault="001009D2" w:rsidP="00F96D6A">
      <w:pPr>
        <w:numPr>
          <w:ilvl w:val="1"/>
          <w:numId w:val="9"/>
        </w:numPr>
      </w:pPr>
      <w:r w:rsidRPr="00F96D6A">
        <w:t>State criminal and sex offender registry, including for all other states in which the applicant resided in the past 5 years;</w:t>
      </w:r>
    </w:p>
    <w:p w:rsidR="00000000" w:rsidRPr="00F96D6A" w:rsidRDefault="001009D2" w:rsidP="00F96D6A">
      <w:pPr>
        <w:numPr>
          <w:ilvl w:val="1"/>
          <w:numId w:val="9"/>
        </w:numPr>
      </w:pPr>
      <w:r w:rsidRPr="00F96D6A">
        <w:t xml:space="preserve">State child abuse and neglect registry, including for </w:t>
      </w:r>
      <w:r w:rsidRPr="00F96D6A">
        <w:t xml:space="preserve">all other states in which the applicant resided in the past 5 years; </w:t>
      </w:r>
    </w:p>
    <w:p w:rsidR="00000000" w:rsidRPr="00F96D6A" w:rsidRDefault="001009D2" w:rsidP="00F96D6A">
      <w:pPr>
        <w:numPr>
          <w:ilvl w:val="1"/>
          <w:numId w:val="9"/>
        </w:numPr>
      </w:pPr>
      <w:r w:rsidRPr="00F96D6A">
        <w:t>National Crime Information Center (operated by the FBI); and</w:t>
      </w:r>
    </w:p>
    <w:p w:rsidR="00000000" w:rsidRPr="00F96D6A" w:rsidRDefault="001009D2" w:rsidP="00F96D6A">
      <w:pPr>
        <w:numPr>
          <w:ilvl w:val="1"/>
          <w:numId w:val="9"/>
        </w:numPr>
      </w:pPr>
      <w:r w:rsidRPr="00F96D6A">
        <w:t>National Sex Offender Registry (operated by DOJ).</w:t>
      </w:r>
    </w:p>
    <w:p w:rsidR="00000000" w:rsidRPr="00F96D6A" w:rsidRDefault="001009D2" w:rsidP="00F96D6A">
      <w:pPr>
        <w:numPr>
          <w:ilvl w:val="0"/>
          <w:numId w:val="9"/>
        </w:numPr>
      </w:pPr>
      <w:r w:rsidRPr="00F96D6A">
        <w:t xml:space="preserve">Includes list of </w:t>
      </w:r>
      <w:r w:rsidRPr="00F96D6A">
        <w:t>mandatory disqualifying crimes</w:t>
      </w:r>
      <w:r w:rsidRPr="00F96D6A">
        <w:t>, allows State discretion</w:t>
      </w:r>
      <w:r w:rsidRPr="00F96D6A">
        <w:t xml:space="preserve"> to provide exceptions for felony drug offenses. Must have appeals process for providers.</w:t>
      </w:r>
    </w:p>
    <w:p w:rsidR="00000000" w:rsidRPr="00F96D6A" w:rsidRDefault="001009D2" w:rsidP="00F96D6A">
      <w:pPr>
        <w:numPr>
          <w:ilvl w:val="0"/>
          <w:numId w:val="9"/>
        </w:numPr>
      </w:pPr>
      <w:r w:rsidRPr="00F96D6A">
        <w:rPr>
          <w:bCs/>
        </w:rPr>
        <w:t xml:space="preserve">Penalty: HHS </w:t>
      </w:r>
      <w:r w:rsidRPr="00F96D6A">
        <w:rPr>
          <w:bCs/>
          <w:u w:val="single"/>
        </w:rPr>
        <w:t>shall</w:t>
      </w:r>
      <w:r w:rsidRPr="00F96D6A">
        <w:rPr>
          <w:bCs/>
        </w:rPr>
        <w:t xml:space="preserve"> withhold 5% of the State’s CCDBG funds if the State is unable to demonstrate “substantial compliance” with the enhanced background check requireme</w:t>
      </w:r>
      <w:r w:rsidRPr="00F96D6A">
        <w:rPr>
          <w:bCs/>
        </w:rPr>
        <w:t xml:space="preserve">nts. </w:t>
      </w:r>
    </w:p>
    <w:p w:rsidR="00F96D6A" w:rsidRPr="00F96D6A" w:rsidRDefault="00F96D6A" w:rsidP="00F96D6A">
      <w:r w:rsidRPr="00F96D6A">
        <w:t>Slide 8</w:t>
      </w:r>
    </w:p>
    <w:p w:rsidR="00F96D6A" w:rsidRPr="00F96D6A" w:rsidRDefault="00F96D6A" w:rsidP="00F96D6A">
      <w:pPr>
        <w:rPr>
          <w:bCs/>
        </w:rPr>
      </w:pPr>
      <w:r w:rsidRPr="00F96D6A">
        <w:rPr>
          <w:bCs/>
        </w:rPr>
        <w:t>Health &amp; Safety: Monitoring and Inspections – Compliance by November 19, 2016</w:t>
      </w:r>
    </w:p>
    <w:p w:rsidR="00000000" w:rsidRPr="00F96D6A" w:rsidRDefault="001009D2" w:rsidP="00F96D6A">
      <w:pPr>
        <w:numPr>
          <w:ilvl w:val="2"/>
          <w:numId w:val="10"/>
        </w:numPr>
      </w:pPr>
      <w:r w:rsidRPr="00F96D6A">
        <w:t xml:space="preserve">Licensor Qualifications &amp; Ratios: </w:t>
      </w:r>
      <w:r w:rsidRPr="00F96D6A">
        <w:t xml:space="preserve">States must ensure licensing inspectors are qualified and have received training in related health and safety requirements. </w:t>
      </w:r>
      <w:r w:rsidRPr="00F96D6A">
        <w:lastRenderedPageBreak/>
        <w:t>The ratio of</w:t>
      </w:r>
      <w:r w:rsidRPr="00F96D6A">
        <w:t xml:space="preserve"> inspectors to providers must be sufficient to ensure visits occur in a timely manner, but no specific ratio is established. Section 658E(c)(2)(K)(i)(I) and (III) of the CCDBG Act of 2014. </w:t>
      </w:r>
    </w:p>
    <w:p w:rsidR="00000000" w:rsidRPr="00F96D6A" w:rsidRDefault="001009D2" w:rsidP="00F96D6A">
      <w:pPr>
        <w:numPr>
          <w:ilvl w:val="0"/>
          <w:numId w:val="10"/>
        </w:numPr>
      </w:pPr>
      <w:r w:rsidRPr="00F96D6A">
        <w:t>Annual Monitoring:</w:t>
      </w:r>
      <w:r w:rsidRPr="00F96D6A">
        <w:t xml:space="preserve"> States must have </w:t>
      </w:r>
      <w:r w:rsidRPr="00F96D6A">
        <w:t>monitoring and inspection requirements for all CCDBG providers that include:</w:t>
      </w:r>
    </w:p>
    <w:p w:rsidR="00000000" w:rsidRPr="00F96D6A" w:rsidRDefault="001009D2" w:rsidP="00F96D6A">
      <w:pPr>
        <w:numPr>
          <w:ilvl w:val="1"/>
          <w:numId w:val="10"/>
        </w:numPr>
      </w:pPr>
      <w:r w:rsidRPr="00F96D6A">
        <w:t xml:space="preserve">For Licensed Providers (Section 658E(c)(2)(K)(i)(II) of the CCDBG Act of 2014): </w:t>
      </w:r>
    </w:p>
    <w:p w:rsidR="00000000" w:rsidRPr="00F96D6A" w:rsidRDefault="001009D2" w:rsidP="00F96D6A">
      <w:pPr>
        <w:numPr>
          <w:ilvl w:val="2"/>
          <w:numId w:val="10"/>
        </w:numPr>
      </w:pPr>
      <w:r w:rsidRPr="00F96D6A">
        <w:t>1 pre-licensure inspection for health, safety, and fire standards; and</w:t>
      </w:r>
    </w:p>
    <w:p w:rsidR="00000000" w:rsidRPr="00F96D6A" w:rsidRDefault="001009D2" w:rsidP="00F96D6A">
      <w:pPr>
        <w:numPr>
          <w:ilvl w:val="2"/>
          <w:numId w:val="10"/>
        </w:numPr>
      </w:pPr>
      <w:r w:rsidRPr="00F96D6A">
        <w:rPr>
          <w:bCs/>
        </w:rPr>
        <w:t>Annual, unannounced inspections – at this time differential licensing visits will satisfy the annual monitoring requirements.</w:t>
      </w:r>
    </w:p>
    <w:p w:rsidR="00000000" w:rsidRPr="00F96D6A" w:rsidRDefault="001009D2" w:rsidP="00F96D6A">
      <w:pPr>
        <w:numPr>
          <w:ilvl w:val="1"/>
          <w:numId w:val="10"/>
        </w:numPr>
      </w:pPr>
      <w:r w:rsidRPr="00F96D6A">
        <w:t>For License-Exempt CCDBG Providers, including summer camps, public and private schools, Friend/Family/Neighbor, etc. (Section 658</w:t>
      </w:r>
      <w:r w:rsidRPr="00F96D6A">
        <w:t xml:space="preserve">E(c)(2)(K)(i)(IV) of the CCDBG Act of 2014): </w:t>
      </w:r>
    </w:p>
    <w:p w:rsidR="00000000" w:rsidRPr="00F96D6A" w:rsidRDefault="001009D2" w:rsidP="00F96D6A">
      <w:pPr>
        <w:numPr>
          <w:ilvl w:val="2"/>
          <w:numId w:val="10"/>
        </w:numPr>
      </w:pPr>
      <w:r w:rsidRPr="00F96D6A">
        <w:rPr>
          <w:bCs/>
        </w:rPr>
        <w:t xml:space="preserve">Annual inspections for compliance with health, safety, and fire standards – license-exempt inspections may be announced. </w:t>
      </w:r>
    </w:p>
    <w:p w:rsidR="00F96D6A" w:rsidRPr="00F96D6A" w:rsidRDefault="00F96D6A" w:rsidP="00F96D6A">
      <w:r w:rsidRPr="00F96D6A">
        <w:t>Slide 9</w:t>
      </w:r>
    </w:p>
    <w:p w:rsidR="00F96D6A" w:rsidRPr="00F96D6A" w:rsidRDefault="00F96D6A" w:rsidP="00F96D6A">
      <w:pPr>
        <w:rPr>
          <w:bCs/>
        </w:rPr>
      </w:pPr>
      <w:r w:rsidRPr="00F96D6A">
        <w:rPr>
          <w:bCs/>
        </w:rPr>
        <w:t>Professional Development Pathway for Educators – Compliance by  9/30/2016</w:t>
      </w:r>
    </w:p>
    <w:p w:rsidR="00000000" w:rsidRPr="00F96D6A" w:rsidRDefault="001009D2" w:rsidP="00F96D6A">
      <w:pPr>
        <w:numPr>
          <w:ilvl w:val="0"/>
          <w:numId w:val="11"/>
        </w:numPr>
      </w:pPr>
      <w:r w:rsidRPr="00F96D6A">
        <w:t>Requires es</w:t>
      </w:r>
      <w:r w:rsidRPr="00F96D6A">
        <w:t xml:space="preserve">tablishment of professional development and training requirements to improve knowledge and skills </w:t>
      </w:r>
      <w:r w:rsidRPr="00F96D6A">
        <w:t>of all CCDBG providers and the entire child care workforce (includes both licensed and license-exempt)</w:t>
      </w:r>
      <w:r w:rsidRPr="00F96D6A">
        <w:t>.</w:t>
      </w:r>
    </w:p>
    <w:p w:rsidR="00000000" w:rsidRPr="00F96D6A" w:rsidRDefault="001009D2" w:rsidP="00F96D6A">
      <w:pPr>
        <w:numPr>
          <w:ilvl w:val="0"/>
          <w:numId w:val="11"/>
        </w:numPr>
      </w:pPr>
      <w:r w:rsidRPr="00F96D6A">
        <w:t>Professional development requirements should include:</w:t>
      </w:r>
    </w:p>
    <w:p w:rsidR="00000000" w:rsidRPr="00F96D6A" w:rsidRDefault="001009D2" w:rsidP="00F96D6A">
      <w:pPr>
        <w:numPr>
          <w:ilvl w:val="1"/>
          <w:numId w:val="11"/>
        </w:numPr>
      </w:pPr>
      <w:r w:rsidRPr="00F96D6A">
        <w:t>Ongoing, annual training and a progression of professional development (which may include post-secondary education); and</w:t>
      </w:r>
    </w:p>
    <w:p w:rsidR="00000000" w:rsidRPr="00F96D6A" w:rsidRDefault="001009D2" w:rsidP="00F96D6A">
      <w:pPr>
        <w:numPr>
          <w:ilvl w:val="1"/>
          <w:numId w:val="11"/>
        </w:numPr>
      </w:pPr>
      <w:r w:rsidRPr="00F96D6A">
        <w:t>Focus on social-emotional behavioral intervention models.</w:t>
      </w:r>
    </w:p>
    <w:p w:rsidR="00000000" w:rsidRPr="00F96D6A" w:rsidRDefault="001009D2" w:rsidP="00F96D6A">
      <w:pPr>
        <w:numPr>
          <w:ilvl w:val="0"/>
          <w:numId w:val="11"/>
        </w:numPr>
      </w:pPr>
      <w:r w:rsidRPr="00F96D6A">
        <w:t xml:space="preserve">Incorporate State’s Early </w:t>
      </w:r>
      <w:r w:rsidRPr="00F96D6A">
        <w:t>Learning and Development Guidelines describing what children should know and be able to do.</w:t>
      </w:r>
    </w:p>
    <w:p w:rsidR="00000000" w:rsidRPr="00F96D6A" w:rsidRDefault="001009D2" w:rsidP="00F96D6A">
      <w:pPr>
        <w:numPr>
          <w:ilvl w:val="0"/>
          <w:numId w:val="11"/>
        </w:numPr>
      </w:pPr>
      <w:r w:rsidRPr="00F96D6A">
        <w:t xml:space="preserve">CCDBG Reauthorization has updated the permissible quality activities to include professional development and provider accreditation. </w:t>
      </w:r>
    </w:p>
    <w:p w:rsidR="00000000" w:rsidRPr="00F96D6A" w:rsidRDefault="001009D2" w:rsidP="00F96D6A">
      <w:pPr>
        <w:numPr>
          <w:ilvl w:val="1"/>
          <w:numId w:val="11"/>
        </w:numPr>
      </w:pPr>
      <w:r w:rsidRPr="00F96D6A">
        <w:t>Professional Development opp</w:t>
      </w:r>
      <w:r w:rsidRPr="00F96D6A">
        <w:t>ortunities may be used to meet enhanced quality set-aside requirements, including the 3% infant and toddler set-aside.</w:t>
      </w:r>
    </w:p>
    <w:p w:rsidR="00F96D6A" w:rsidRPr="00F96D6A" w:rsidRDefault="00F96D6A" w:rsidP="00F96D6A">
      <w:r w:rsidRPr="00F96D6A">
        <w:t>Slide 10</w:t>
      </w:r>
    </w:p>
    <w:p w:rsidR="00F96D6A" w:rsidRPr="00F96D6A" w:rsidRDefault="00F96D6A" w:rsidP="00F96D6A">
      <w:pPr>
        <w:rPr>
          <w:bCs/>
        </w:rPr>
      </w:pPr>
      <w:r w:rsidRPr="00F96D6A">
        <w:rPr>
          <w:bCs/>
        </w:rPr>
        <w:t>Family Friendly Subsidy Eligibility Requirements – Compliance by 9/30/2016</w:t>
      </w:r>
    </w:p>
    <w:p w:rsidR="00000000" w:rsidRPr="00F96D6A" w:rsidRDefault="001009D2" w:rsidP="00F96D6A">
      <w:pPr>
        <w:numPr>
          <w:ilvl w:val="0"/>
          <w:numId w:val="12"/>
        </w:numPr>
      </w:pPr>
      <w:r w:rsidRPr="00F96D6A">
        <w:lastRenderedPageBreak/>
        <w:t xml:space="preserve">Establishes 12-month eligibility period – </w:t>
      </w:r>
      <w:r w:rsidRPr="00F96D6A">
        <w:rPr>
          <w:bCs/>
        </w:rPr>
        <w:t>May Require Regula</w:t>
      </w:r>
      <w:r w:rsidRPr="00F96D6A">
        <w:rPr>
          <w:bCs/>
        </w:rPr>
        <w:t>tory Change</w:t>
      </w:r>
      <w:r w:rsidRPr="00F96D6A">
        <w:t xml:space="preserve">: </w:t>
      </w:r>
    </w:p>
    <w:p w:rsidR="00000000" w:rsidRPr="00F96D6A" w:rsidRDefault="001009D2" w:rsidP="00F96D6A">
      <w:pPr>
        <w:numPr>
          <w:ilvl w:val="1"/>
          <w:numId w:val="12"/>
        </w:numPr>
      </w:pPr>
      <w:r w:rsidRPr="00F96D6A">
        <w:t xml:space="preserve">No requirement to conduct annual assessments: </w:t>
      </w:r>
      <w:r w:rsidRPr="00F96D6A">
        <w:t>CCDBG families shall remain eligible for at least 12-months, regardless of changes in income (as long as income remains below 85% SMI) or “temporary” changes in work, training, and/or education s</w:t>
      </w:r>
      <w:r w:rsidRPr="00F96D6A">
        <w:t>tatus.</w:t>
      </w:r>
    </w:p>
    <w:p w:rsidR="00000000" w:rsidRPr="00F96D6A" w:rsidRDefault="001009D2" w:rsidP="00F96D6A">
      <w:pPr>
        <w:numPr>
          <w:ilvl w:val="1"/>
          <w:numId w:val="12"/>
        </w:numPr>
      </w:pPr>
      <w:r w:rsidRPr="00F96D6A">
        <w:t>States shall not terminate families for breaks between semesters, medical leave, etc.</w:t>
      </w:r>
    </w:p>
    <w:p w:rsidR="00000000" w:rsidRPr="00F96D6A" w:rsidRDefault="001009D2" w:rsidP="00F96D6A">
      <w:pPr>
        <w:numPr>
          <w:ilvl w:val="0"/>
          <w:numId w:val="12"/>
        </w:numPr>
      </w:pPr>
      <w:r w:rsidRPr="00F96D6A">
        <w:t xml:space="preserve">Requires minimum </w:t>
      </w:r>
      <w:r w:rsidRPr="00F96D6A">
        <w:t xml:space="preserve">3-month period of job search – </w:t>
      </w:r>
      <w:r w:rsidRPr="00F96D6A">
        <w:rPr>
          <w:bCs/>
        </w:rPr>
        <w:t>Regulatory Change Required</w:t>
      </w:r>
      <w:r w:rsidRPr="00F96D6A">
        <w:t>:</w:t>
      </w:r>
    </w:p>
    <w:p w:rsidR="00000000" w:rsidRPr="00F96D6A" w:rsidRDefault="001009D2" w:rsidP="00F96D6A">
      <w:pPr>
        <w:numPr>
          <w:ilvl w:val="1"/>
          <w:numId w:val="12"/>
        </w:numPr>
      </w:pPr>
      <w:r w:rsidRPr="00F96D6A">
        <w:t xml:space="preserve">States have </w:t>
      </w:r>
      <w:r w:rsidRPr="00F96D6A">
        <w:t>option to terminate assistance prior to re-determination if a parent loses employment, but must allow for a 3-month period of job search.</w:t>
      </w:r>
    </w:p>
    <w:p w:rsidR="00000000" w:rsidRPr="00F96D6A" w:rsidRDefault="001009D2" w:rsidP="00F96D6A">
      <w:pPr>
        <w:numPr>
          <w:ilvl w:val="0"/>
          <w:numId w:val="12"/>
        </w:numPr>
      </w:pPr>
      <w:r w:rsidRPr="00F96D6A">
        <w:t>States must provide for a graduated phase-out of assistance for families whose income has increased, but remains belo</w:t>
      </w:r>
      <w:r w:rsidRPr="00F96D6A">
        <w:t>w the federal threshold.</w:t>
      </w:r>
    </w:p>
    <w:p w:rsidR="00000000" w:rsidRPr="00F96D6A" w:rsidRDefault="001009D2" w:rsidP="00F96D6A">
      <w:pPr>
        <w:numPr>
          <w:ilvl w:val="1"/>
          <w:numId w:val="12"/>
        </w:numPr>
      </w:pPr>
      <w:r w:rsidRPr="00F96D6A">
        <w:t xml:space="preserve">Not applicable in MA as families remain eligible up to CCDBG income cap of 85% of the SMI. </w:t>
      </w:r>
    </w:p>
    <w:p w:rsidR="00000000" w:rsidRPr="00F96D6A" w:rsidRDefault="001009D2" w:rsidP="00F96D6A">
      <w:pPr>
        <w:numPr>
          <w:ilvl w:val="0"/>
          <w:numId w:val="12"/>
        </w:numPr>
      </w:pPr>
      <w:r w:rsidRPr="00F96D6A">
        <w:t xml:space="preserve">Eligibility re-determination should not be unduly disruptive to parents. </w:t>
      </w:r>
    </w:p>
    <w:p w:rsidR="00000000" w:rsidRPr="00F96D6A" w:rsidRDefault="001009D2" w:rsidP="00F96D6A">
      <w:pPr>
        <w:numPr>
          <w:ilvl w:val="1"/>
          <w:numId w:val="12"/>
        </w:numPr>
      </w:pPr>
      <w:r w:rsidRPr="00F96D6A">
        <w:t>Encourages states to reduce burden on families seeking federal</w:t>
      </w:r>
      <w:r w:rsidRPr="00F96D6A">
        <w:t xml:space="preserve">ly funded child care subsidies resulting from in-person eligibility assessments and documentation submissions that require time off from work, education or training activities. </w:t>
      </w:r>
    </w:p>
    <w:p w:rsidR="00000000" w:rsidRPr="00F96D6A" w:rsidRDefault="001009D2" w:rsidP="00F96D6A">
      <w:pPr>
        <w:numPr>
          <w:ilvl w:val="0"/>
          <w:numId w:val="12"/>
        </w:numPr>
      </w:pPr>
      <w:r w:rsidRPr="00F96D6A">
        <w:t>Increased emphasis on Parent Choice – whenever a subsidy is offered States sh</w:t>
      </w:r>
      <w:r w:rsidRPr="00F96D6A">
        <w:t xml:space="preserve">all give parents the option to enroll with a program that holds a contract OR receive a voucher. </w:t>
      </w:r>
      <w:r w:rsidRPr="00F96D6A">
        <w:rPr>
          <w:iCs/>
        </w:rPr>
        <w:t>See</w:t>
      </w:r>
      <w:r w:rsidRPr="00F96D6A">
        <w:t xml:space="preserve"> 658E(c)(2)(A) of the CCDBG Act of 2014</w:t>
      </w:r>
    </w:p>
    <w:p w:rsidR="00000000" w:rsidRPr="00F96D6A" w:rsidRDefault="001009D2" w:rsidP="00F96D6A">
      <w:pPr>
        <w:numPr>
          <w:ilvl w:val="1"/>
          <w:numId w:val="12"/>
        </w:numPr>
      </w:pPr>
      <w:r w:rsidRPr="00F96D6A">
        <w:t xml:space="preserve">Establishes a Parental “Right” to a voucher. </w:t>
      </w:r>
      <w:r w:rsidRPr="00F96D6A">
        <w:rPr>
          <w:iCs/>
        </w:rPr>
        <w:t>See</w:t>
      </w:r>
      <w:r w:rsidRPr="00F96D6A">
        <w:t xml:space="preserve"> Section 658Q(b) of the CCDBG Act of 2014.</w:t>
      </w:r>
    </w:p>
    <w:p w:rsidR="00F96D6A" w:rsidRPr="00F96D6A" w:rsidRDefault="00F96D6A" w:rsidP="00F96D6A">
      <w:r w:rsidRPr="00F96D6A">
        <w:t>Slide 11</w:t>
      </w:r>
    </w:p>
    <w:p w:rsidR="00F96D6A" w:rsidRPr="00F96D6A" w:rsidRDefault="00F96D6A" w:rsidP="00F96D6A">
      <w:pPr>
        <w:rPr>
          <w:bCs/>
        </w:rPr>
      </w:pPr>
      <w:r w:rsidRPr="00F96D6A">
        <w:rPr>
          <w:bCs/>
        </w:rPr>
        <w:t>Consumer Education: Helping Families Find High Quality Programs</w:t>
      </w:r>
    </w:p>
    <w:p w:rsidR="00000000" w:rsidRPr="00F96D6A" w:rsidRDefault="001009D2" w:rsidP="00F96D6A">
      <w:pPr>
        <w:numPr>
          <w:ilvl w:val="0"/>
          <w:numId w:val="13"/>
        </w:numPr>
      </w:pPr>
      <w:r w:rsidRPr="00F96D6A">
        <w:t xml:space="preserve">States must have a </w:t>
      </w:r>
      <w:r w:rsidRPr="00F96D6A">
        <w:t>website describing licensing and monitoring requirements, and processes for background checks</w:t>
      </w:r>
      <w:r w:rsidRPr="00F96D6A">
        <w:t>, including offenses that prevent individuals from becoming providers.</w:t>
      </w:r>
    </w:p>
    <w:p w:rsidR="00000000" w:rsidRPr="00F96D6A" w:rsidRDefault="001009D2" w:rsidP="00F96D6A">
      <w:pPr>
        <w:numPr>
          <w:ilvl w:val="1"/>
          <w:numId w:val="13"/>
        </w:numPr>
      </w:pPr>
      <w:r w:rsidRPr="00F96D6A">
        <w:t>Compliance by September 30, 2016.</w:t>
      </w:r>
    </w:p>
    <w:p w:rsidR="00000000" w:rsidRPr="00F96D6A" w:rsidRDefault="001009D2" w:rsidP="00F96D6A">
      <w:pPr>
        <w:numPr>
          <w:ilvl w:val="0"/>
          <w:numId w:val="13"/>
        </w:numPr>
      </w:pPr>
      <w:r w:rsidRPr="00F96D6A">
        <w:t xml:space="preserve">States must make available by electronic means provider-specific information showing results of monitoring and inspection reports of all licensed, approved or funded programs. </w:t>
      </w:r>
    </w:p>
    <w:p w:rsidR="00000000" w:rsidRPr="00F96D6A" w:rsidRDefault="001009D2" w:rsidP="00F96D6A">
      <w:pPr>
        <w:numPr>
          <w:ilvl w:val="1"/>
          <w:numId w:val="13"/>
        </w:numPr>
      </w:pPr>
      <w:r w:rsidRPr="00F96D6A">
        <w:t>Compliance by November 19, 2017.</w:t>
      </w:r>
    </w:p>
    <w:p w:rsidR="00000000" w:rsidRPr="00F96D6A" w:rsidRDefault="001009D2" w:rsidP="00F96D6A">
      <w:pPr>
        <w:numPr>
          <w:ilvl w:val="0"/>
          <w:numId w:val="13"/>
        </w:numPr>
      </w:pPr>
      <w:r w:rsidRPr="00F96D6A">
        <w:t>In addition, an annual report on the number of deaths, serious injuries and instances of child abuse in all child care settings</w:t>
      </w:r>
      <w:r w:rsidRPr="00F96D6A">
        <w:t>, including license-exempt</w:t>
      </w:r>
      <w:r w:rsidRPr="00F96D6A">
        <w:t>.</w:t>
      </w:r>
    </w:p>
    <w:p w:rsidR="00000000" w:rsidRPr="00F96D6A" w:rsidRDefault="001009D2" w:rsidP="00F96D6A">
      <w:pPr>
        <w:numPr>
          <w:ilvl w:val="1"/>
          <w:numId w:val="13"/>
        </w:numPr>
      </w:pPr>
      <w:r w:rsidRPr="00F96D6A">
        <w:lastRenderedPageBreak/>
        <w:t xml:space="preserve">Compliance by November 19, 2017. </w:t>
      </w:r>
    </w:p>
    <w:p w:rsidR="00000000" w:rsidRPr="00F96D6A" w:rsidRDefault="001009D2" w:rsidP="00F96D6A">
      <w:pPr>
        <w:numPr>
          <w:ilvl w:val="0"/>
          <w:numId w:val="13"/>
        </w:numPr>
      </w:pPr>
      <w:r w:rsidRPr="00F96D6A">
        <w:rPr>
          <w:u w:val="single"/>
        </w:rPr>
        <w:t>Federal Requirement</w:t>
      </w:r>
      <w:r w:rsidRPr="00F96D6A">
        <w:t>: Sets aside up to $1.5 million for a national</w:t>
      </w:r>
      <w:r w:rsidRPr="00F96D6A">
        <w:t xml:space="preserve"> hotline and website to disseminate consumer education (searchable by zip code with referral to local child care providers) and for reporting of child abuse and neglect. (Section 658O(a)(3) of the CCDBG Act of 2014)</w:t>
      </w:r>
      <w:r w:rsidRPr="00F96D6A">
        <w:rPr>
          <w:bCs/>
        </w:rPr>
        <w:t xml:space="preserve"> </w:t>
      </w:r>
    </w:p>
    <w:p w:rsidR="00F96D6A" w:rsidRPr="00F96D6A" w:rsidRDefault="00F96D6A" w:rsidP="00F96D6A">
      <w:r w:rsidRPr="00F96D6A">
        <w:t>Slide 12</w:t>
      </w:r>
    </w:p>
    <w:p w:rsidR="00F96D6A" w:rsidRPr="00F96D6A" w:rsidRDefault="00F96D6A" w:rsidP="00F96D6A">
      <w:pPr>
        <w:rPr>
          <w:bCs/>
        </w:rPr>
      </w:pPr>
      <w:r w:rsidRPr="00F96D6A">
        <w:rPr>
          <w:bCs/>
        </w:rPr>
        <w:t>Partnering with Families and Other Sectors – Compliance by 9/30/2016</w:t>
      </w:r>
    </w:p>
    <w:p w:rsidR="00000000" w:rsidRPr="00F96D6A" w:rsidRDefault="001009D2" w:rsidP="00F96D6A">
      <w:pPr>
        <w:numPr>
          <w:ilvl w:val="0"/>
          <w:numId w:val="14"/>
        </w:numPr>
      </w:pPr>
      <w:r w:rsidRPr="00F96D6A">
        <w:rPr>
          <w:bCs/>
        </w:rPr>
        <w:t>Highlighting Family Engagement:</w:t>
      </w:r>
    </w:p>
    <w:p w:rsidR="00000000" w:rsidRPr="00F96D6A" w:rsidRDefault="001009D2" w:rsidP="00F96D6A">
      <w:pPr>
        <w:numPr>
          <w:ilvl w:val="1"/>
          <w:numId w:val="14"/>
        </w:numPr>
      </w:pPr>
      <w:r w:rsidRPr="00F96D6A">
        <w:t>Added purpose of CCDBG, “…to promote involvement by parents and family members in the development of their children in child care settings.” (Section 658A(b)(3) of the CCDBG Act of 2014)</w:t>
      </w:r>
    </w:p>
    <w:p w:rsidR="00000000" w:rsidRPr="00F96D6A" w:rsidRDefault="001009D2" w:rsidP="00F96D6A">
      <w:pPr>
        <w:numPr>
          <w:ilvl w:val="1"/>
          <w:numId w:val="14"/>
        </w:numPr>
      </w:pPr>
      <w:r w:rsidRPr="00F96D6A">
        <w:t>C</w:t>
      </w:r>
      <w:r w:rsidRPr="00F96D6A">
        <w:t xml:space="preserve">onsumer education must include dissemination of information regarding early childhood development and “meaningful parent and family engagement.” (Section 658E(c)(2)(E)(i)(VI) of the CCDBG Act of 2014) </w:t>
      </w:r>
    </w:p>
    <w:p w:rsidR="00000000" w:rsidRPr="00F96D6A" w:rsidRDefault="001009D2" w:rsidP="00F96D6A">
      <w:pPr>
        <w:numPr>
          <w:ilvl w:val="1"/>
          <w:numId w:val="14"/>
        </w:numPr>
      </w:pPr>
      <w:r w:rsidRPr="00F96D6A">
        <w:t>Quality funds for professional development should inc</w:t>
      </w:r>
      <w:r w:rsidRPr="00F96D6A">
        <w:t xml:space="preserve">lude, “providing training and outreach on engaging parents and families in culturally and linguistically appropriate ways…” (Section 658G(b)((1)(E) of the CCDBG Act of 2014) </w:t>
      </w:r>
    </w:p>
    <w:p w:rsidR="00000000" w:rsidRPr="00F96D6A" w:rsidRDefault="001009D2" w:rsidP="00F96D6A">
      <w:pPr>
        <w:numPr>
          <w:ilvl w:val="0"/>
          <w:numId w:val="14"/>
        </w:numPr>
      </w:pPr>
      <w:r w:rsidRPr="00F96D6A">
        <w:rPr>
          <w:bCs/>
        </w:rPr>
        <w:t>Coordination and Access to Services:</w:t>
      </w:r>
    </w:p>
    <w:p w:rsidR="00000000" w:rsidRPr="00F96D6A" w:rsidRDefault="001009D2" w:rsidP="00F96D6A">
      <w:pPr>
        <w:numPr>
          <w:ilvl w:val="1"/>
          <w:numId w:val="14"/>
        </w:numPr>
      </w:pPr>
      <w:r w:rsidRPr="00F96D6A">
        <w:t xml:space="preserve">Addressing </w:t>
      </w:r>
      <w:r w:rsidRPr="00F96D6A">
        <w:t xml:space="preserve">needs of whole families by coordinating with other programs and providing information as part of consumer education (e.g., TANF, Head Start, developmental screenings, IDEA services, etc.). (Section 658E(c)(2)(E)(i) of the CCDBG Act of 2014) </w:t>
      </w:r>
    </w:p>
    <w:p w:rsidR="00F96D6A" w:rsidRPr="00F96D6A" w:rsidRDefault="00F96D6A" w:rsidP="00F96D6A">
      <w:r w:rsidRPr="00F96D6A">
        <w:t>Slide 13</w:t>
      </w:r>
    </w:p>
    <w:p w:rsidR="00F96D6A" w:rsidRPr="00F96D6A" w:rsidRDefault="00F96D6A" w:rsidP="00F96D6A">
      <w:pPr>
        <w:rPr>
          <w:bCs/>
        </w:rPr>
      </w:pPr>
      <w:r w:rsidRPr="00F96D6A">
        <w:rPr>
          <w:bCs/>
        </w:rPr>
        <w:t>Increased Spending Requirements to Enhance Program</w:t>
      </w:r>
    </w:p>
    <w:p w:rsidR="00000000" w:rsidRPr="00F96D6A" w:rsidRDefault="001009D2" w:rsidP="00F96D6A">
      <w:pPr>
        <w:numPr>
          <w:ilvl w:val="0"/>
          <w:numId w:val="15"/>
        </w:numPr>
      </w:pPr>
      <w:r w:rsidRPr="00F96D6A">
        <w:t xml:space="preserve">Phases-in increased minimum quality set-aside from 4% to 9% over a 5-year period. </w:t>
      </w:r>
    </w:p>
    <w:p w:rsidR="00000000" w:rsidRPr="00F96D6A" w:rsidRDefault="001009D2" w:rsidP="00F96D6A">
      <w:pPr>
        <w:numPr>
          <w:ilvl w:val="1"/>
          <w:numId w:val="15"/>
        </w:numPr>
      </w:pPr>
      <w:r w:rsidRPr="00F96D6A">
        <w:t>MA quality set-aside for Quarter Ending 6/30/2015 was 15.4%</w:t>
      </w:r>
    </w:p>
    <w:p w:rsidR="00000000" w:rsidRPr="00F96D6A" w:rsidRDefault="001009D2" w:rsidP="00F96D6A">
      <w:pPr>
        <w:numPr>
          <w:ilvl w:val="0"/>
          <w:numId w:val="15"/>
        </w:numPr>
      </w:pPr>
      <w:r w:rsidRPr="00F96D6A">
        <w:t>Must establish outcome measures and evaluate progress of quality activit</w:t>
      </w:r>
      <w:r w:rsidRPr="00F96D6A">
        <w:t>ies.</w:t>
      </w:r>
    </w:p>
    <w:p w:rsidR="00000000" w:rsidRPr="00F96D6A" w:rsidRDefault="001009D2" w:rsidP="00F96D6A">
      <w:pPr>
        <w:numPr>
          <w:ilvl w:val="0"/>
          <w:numId w:val="15"/>
        </w:numPr>
      </w:pPr>
      <w:r w:rsidRPr="00F96D6A">
        <w:t xml:space="preserve">Must spend quality funds on at least 1 of 10 specified quality activities: </w:t>
      </w:r>
    </w:p>
    <w:p w:rsidR="00000000" w:rsidRPr="00F96D6A" w:rsidRDefault="001009D2" w:rsidP="00F96D6A">
      <w:pPr>
        <w:numPr>
          <w:ilvl w:val="1"/>
          <w:numId w:val="15"/>
        </w:numPr>
      </w:pPr>
      <w:r w:rsidRPr="00F96D6A">
        <w:t xml:space="preserve">Training and professional development; </w:t>
      </w:r>
    </w:p>
    <w:p w:rsidR="00000000" w:rsidRPr="00F96D6A" w:rsidRDefault="001009D2" w:rsidP="00F96D6A">
      <w:pPr>
        <w:numPr>
          <w:ilvl w:val="1"/>
          <w:numId w:val="15"/>
        </w:numPr>
      </w:pPr>
      <w:r w:rsidRPr="00F96D6A">
        <w:t>Early learning and development guidelines;</w:t>
      </w:r>
    </w:p>
    <w:p w:rsidR="00000000" w:rsidRPr="00F96D6A" w:rsidRDefault="001009D2" w:rsidP="00F96D6A">
      <w:pPr>
        <w:numPr>
          <w:ilvl w:val="1"/>
          <w:numId w:val="15"/>
        </w:numPr>
      </w:pPr>
      <w:r w:rsidRPr="00F96D6A">
        <w:t>Tiered quality rating system;</w:t>
      </w:r>
    </w:p>
    <w:p w:rsidR="00000000" w:rsidRPr="00F96D6A" w:rsidRDefault="001009D2" w:rsidP="00F96D6A">
      <w:pPr>
        <w:numPr>
          <w:ilvl w:val="1"/>
          <w:numId w:val="15"/>
        </w:numPr>
      </w:pPr>
      <w:r w:rsidRPr="00F96D6A">
        <w:lastRenderedPageBreak/>
        <w:t>Infants and toddlers;</w:t>
      </w:r>
    </w:p>
    <w:p w:rsidR="00000000" w:rsidRPr="00F96D6A" w:rsidRDefault="001009D2" w:rsidP="00F96D6A">
      <w:pPr>
        <w:numPr>
          <w:ilvl w:val="1"/>
          <w:numId w:val="15"/>
        </w:numPr>
      </w:pPr>
      <w:r w:rsidRPr="00F96D6A">
        <w:t>Child care resource &amp; referr</w:t>
      </w:r>
      <w:r w:rsidRPr="00F96D6A">
        <w:t xml:space="preserve">al services; </w:t>
      </w:r>
    </w:p>
    <w:p w:rsidR="00000000" w:rsidRPr="00F96D6A" w:rsidRDefault="001009D2" w:rsidP="00F96D6A">
      <w:pPr>
        <w:numPr>
          <w:ilvl w:val="1"/>
          <w:numId w:val="15"/>
        </w:numPr>
      </w:pPr>
      <w:r w:rsidRPr="00F96D6A">
        <w:t>Licensing and health and safety requirements;</w:t>
      </w:r>
    </w:p>
    <w:p w:rsidR="00000000" w:rsidRPr="00F96D6A" w:rsidRDefault="001009D2" w:rsidP="00F96D6A">
      <w:pPr>
        <w:numPr>
          <w:ilvl w:val="1"/>
          <w:numId w:val="15"/>
        </w:numPr>
      </w:pPr>
      <w:r w:rsidRPr="00F96D6A">
        <w:t xml:space="preserve">Quality evaluation; </w:t>
      </w:r>
    </w:p>
    <w:p w:rsidR="00000000" w:rsidRPr="00F96D6A" w:rsidRDefault="001009D2" w:rsidP="00F96D6A">
      <w:pPr>
        <w:numPr>
          <w:ilvl w:val="1"/>
          <w:numId w:val="15"/>
        </w:numPr>
      </w:pPr>
      <w:r w:rsidRPr="00F96D6A">
        <w:t xml:space="preserve">Accreditation; </w:t>
      </w:r>
    </w:p>
    <w:p w:rsidR="00000000" w:rsidRPr="00F96D6A" w:rsidRDefault="001009D2" w:rsidP="00F96D6A">
      <w:pPr>
        <w:numPr>
          <w:ilvl w:val="1"/>
          <w:numId w:val="15"/>
        </w:numPr>
      </w:pPr>
      <w:r w:rsidRPr="00F96D6A">
        <w:t xml:space="preserve">Program standards; and </w:t>
      </w:r>
    </w:p>
    <w:p w:rsidR="00000000" w:rsidRPr="00F96D6A" w:rsidRDefault="001009D2" w:rsidP="00F96D6A">
      <w:pPr>
        <w:numPr>
          <w:ilvl w:val="1"/>
          <w:numId w:val="15"/>
        </w:numPr>
      </w:pPr>
      <w:r w:rsidRPr="00F96D6A">
        <w:t xml:space="preserve">Other measurable quality activities as determined by the State. </w:t>
      </w:r>
    </w:p>
    <w:p w:rsidR="00F96D6A" w:rsidRPr="00F96D6A" w:rsidRDefault="00F96D6A" w:rsidP="00F96D6A">
      <w:r w:rsidRPr="00F96D6A">
        <w:t>Slide 14</w:t>
      </w:r>
    </w:p>
    <w:p w:rsidR="00F96D6A" w:rsidRPr="00F96D6A" w:rsidRDefault="00F96D6A" w:rsidP="00F96D6A">
      <w:pPr>
        <w:rPr>
          <w:bCs/>
        </w:rPr>
      </w:pPr>
      <w:r w:rsidRPr="00F96D6A">
        <w:rPr>
          <w:bCs/>
        </w:rPr>
        <w:t>Targeted Infant &amp; Toddler Program Improvements</w:t>
      </w:r>
    </w:p>
    <w:p w:rsidR="00000000" w:rsidRPr="00F96D6A" w:rsidRDefault="001009D2" w:rsidP="00F96D6A">
      <w:pPr>
        <w:numPr>
          <w:ilvl w:val="0"/>
          <w:numId w:val="16"/>
        </w:numPr>
      </w:pPr>
      <w:r w:rsidRPr="00F96D6A">
        <w:t>The CCDBG Reauthorization added several areas within the statute focused on infants and toddlers which require compliance by 9/30/16:</w:t>
      </w:r>
    </w:p>
    <w:p w:rsidR="00000000" w:rsidRPr="00F96D6A" w:rsidRDefault="001009D2" w:rsidP="00F96D6A">
      <w:pPr>
        <w:numPr>
          <w:ilvl w:val="1"/>
          <w:numId w:val="16"/>
        </w:numPr>
      </w:pPr>
      <w:r w:rsidRPr="00F96D6A">
        <w:rPr>
          <w:bCs/>
        </w:rPr>
        <w:t>Infant-Toddler Quality:</w:t>
      </w:r>
      <w:r w:rsidRPr="00F96D6A">
        <w:t xml:space="preserve"> 3% quality spending set-aside for infants and toddlers (Section 658G(a)(2)(B) of the CCDBG Act o</w:t>
      </w:r>
      <w:r w:rsidRPr="00F96D6A">
        <w:t xml:space="preserve">f 2014), including activities to improve the supply and quality of child care programs and services for infants and toddlers. (Section 658G(b)(4) of the CCDBG Act of 2014) </w:t>
      </w:r>
    </w:p>
    <w:p w:rsidR="00F96D6A" w:rsidRPr="00F96D6A" w:rsidRDefault="00F96D6A" w:rsidP="00F96D6A">
      <w:r w:rsidRPr="00F96D6A">
        <w:rPr>
          <w:bCs/>
        </w:rPr>
        <w:t>Coordination of Services to Infants and Toddlers:</w:t>
      </w:r>
      <w:r w:rsidRPr="00F96D6A">
        <w:t xml:space="preserve"> States must describe in their State Plan coordination with other programs, including early childhood programs serving infants and toddlers with disabilities. (Section 658E(c)(2)(O) of the CCDBG Act of 2014)</w:t>
      </w:r>
    </w:p>
    <w:p w:rsidR="00F96D6A" w:rsidRPr="00F96D6A" w:rsidRDefault="00F96D6A" w:rsidP="00F96D6A">
      <w:r w:rsidRPr="00F96D6A">
        <w:t>Slide 15</w:t>
      </w:r>
    </w:p>
    <w:p w:rsidR="00F96D6A" w:rsidRPr="00F96D6A" w:rsidRDefault="00F96D6A" w:rsidP="00F96D6A">
      <w:pPr>
        <w:rPr>
          <w:bCs/>
        </w:rPr>
      </w:pPr>
      <w:r w:rsidRPr="00F96D6A">
        <w:rPr>
          <w:bCs/>
        </w:rPr>
        <w:t>Program Friendly Payment Practices – Compliance by 9/30/2016</w:t>
      </w:r>
    </w:p>
    <w:p w:rsidR="00000000" w:rsidRPr="00F96D6A" w:rsidRDefault="001009D2" w:rsidP="00F96D6A">
      <w:pPr>
        <w:numPr>
          <w:ilvl w:val="0"/>
          <w:numId w:val="17"/>
        </w:numPr>
      </w:pPr>
      <w:r w:rsidRPr="00F96D6A">
        <w:t>Payment Practice</w:t>
      </w:r>
      <w:r w:rsidRPr="00F96D6A">
        <w:t>s (Section 658E(c)(2)(S) of the CCDBG Act of 2014):</w:t>
      </w:r>
    </w:p>
    <w:p w:rsidR="00000000" w:rsidRPr="00F96D6A" w:rsidRDefault="001009D2" w:rsidP="00F96D6A">
      <w:pPr>
        <w:numPr>
          <w:ilvl w:val="1"/>
          <w:numId w:val="17"/>
        </w:numPr>
      </w:pPr>
      <w:r w:rsidRPr="00F96D6A">
        <w:t>States must establish policies that reflect generally accepted payment practices for child care providers, including (to the extent practicable) paying for absence days, and timely reimbursement for chi</w:t>
      </w:r>
      <w:r w:rsidRPr="00F96D6A">
        <w:t>ld care services.</w:t>
      </w:r>
    </w:p>
    <w:p w:rsidR="00000000" w:rsidRPr="00F96D6A" w:rsidRDefault="001009D2" w:rsidP="00F96D6A">
      <w:pPr>
        <w:numPr>
          <w:ilvl w:val="0"/>
          <w:numId w:val="17"/>
        </w:numPr>
      </w:pPr>
      <w:r w:rsidRPr="00F96D6A">
        <w:t>Equal Access and Rates (Section 658E(c)(4) of the CCDBG Act of 2014):</w:t>
      </w:r>
    </w:p>
    <w:p w:rsidR="00000000" w:rsidRPr="00F96D6A" w:rsidRDefault="001009D2" w:rsidP="00F96D6A">
      <w:pPr>
        <w:numPr>
          <w:ilvl w:val="1"/>
          <w:numId w:val="17"/>
        </w:numPr>
      </w:pPr>
      <w:r w:rsidRPr="00F96D6A">
        <w:t xml:space="preserve">Requires States to conduct a market rate survey, or use an alternative methodology, such as a cost estimation model, and </w:t>
      </w:r>
      <w:r w:rsidRPr="00F96D6A">
        <w:t xml:space="preserve">describe how payment rates will be </w:t>
      </w:r>
      <w:r w:rsidRPr="00F96D6A">
        <w:t>established based on results of the survey or alternative methodology</w:t>
      </w:r>
      <w:r w:rsidRPr="00F96D6A">
        <w:t xml:space="preserve">, taking into account cost of providing higher quality services. </w:t>
      </w:r>
    </w:p>
    <w:p w:rsidR="00F96D6A" w:rsidRPr="00F96D6A" w:rsidRDefault="00F96D6A" w:rsidP="00F96D6A">
      <w:r w:rsidRPr="00F96D6A">
        <w:t>Slide 16</w:t>
      </w:r>
    </w:p>
    <w:p w:rsidR="00F96D6A" w:rsidRPr="00F96D6A" w:rsidRDefault="00F96D6A" w:rsidP="00F96D6A">
      <w:pPr>
        <w:rPr>
          <w:bCs/>
        </w:rPr>
      </w:pPr>
      <w:r w:rsidRPr="00F96D6A">
        <w:rPr>
          <w:bCs/>
        </w:rPr>
        <w:lastRenderedPageBreak/>
        <w:t>Improving Access to Underserved Populations – Compliance by 9/30/2016</w:t>
      </w:r>
    </w:p>
    <w:p w:rsidR="00000000" w:rsidRPr="00F96D6A" w:rsidRDefault="001009D2" w:rsidP="00F96D6A">
      <w:pPr>
        <w:numPr>
          <w:ilvl w:val="0"/>
          <w:numId w:val="18"/>
        </w:numPr>
      </w:pPr>
      <w:r w:rsidRPr="00F96D6A">
        <w:rPr>
          <w:bCs/>
          <w:u w:val="single"/>
        </w:rPr>
        <w:t>Reauthorization Priority Populations</w:t>
      </w:r>
      <w:r w:rsidRPr="00F96D6A">
        <w:rPr>
          <w:bCs/>
        </w:rPr>
        <w:t xml:space="preserve"> </w:t>
      </w:r>
      <w:r w:rsidRPr="00F96D6A">
        <w:t>– Requires S</w:t>
      </w:r>
      <w:r w:rsidRPr="00F96D6A">
        <w:t xml:space="preserve">tates to establish procedures for enrollment of homeless children pending completion of documentation, and use of CCDBG funds for training and outreach to </w:t>
      </w:r>
      <w:r w:rsidRPr="00F96D6A">
        <w:t xml:space="preserve">promote access to services for homeless families, as well as continued prioritization of services to </w:t>
      </w:r>
      <w:r w:rsidRPr="00F96D6A">
        <w:t>low-income and disabled children</w:t>
      </w:r>
      <w:r w:rsidRPr="00F96D6A">
        <w:t>. (Section 658E(c)(3)(B) of the CCDBG Act of 2014)</w:t>
      </w:r>
    </w:p>
    <w:p w:rsidR="00000000" w:rsidRPr="00F96D6A" w:rsidRDefault="001009D2" w:rsidP="00F96D6A">
      <w:pPr>
        <w:numPr>
          <w:ilvl w:val="1"/>
          <w:numId w:val="18"/>
        </w:numPr>
      </w:pPr>
      <w:r w:rsidRPr="00F96D6A">
        <w:t xml:space="preserve">States </w:t>
      </w:r>
      <w:r w:rsidRPr="00F96D6A">
        <w:rPr>
          <w:u w:val="single"/>
        </w:rPr>
        <w:t>shall</w:t>
      </w:r>
      <w:r w:rsidRPr="00F96D6A">
        <w:t xml:space="preserve"> be penalized up to 5% for failure to meet CCDBG priorities.</w:t>
      </w:r>
    </w:p>
    <w:p w:rsidR="00000000" w:rsidRPr="00F96D6A" w:rsidRDefault="001009D2" w:rsidP="00F96D6A">
      <w:pPr>
        <w:numPr>
          <w:ilvl w:val="0"/>
          <w:numId w:val="18"/>
        </w:numPr>
      </w:pPr>
      <w:r w:rsidRPr="00F96D6A">
        <w:rPr>
          <w:bCs/>
          <w:u w:val="single"/>
        </w:rPr>
        <w:t>Children with Disabilities</w:t>
      </w:r>
      <w:r w:rsidRPr="00F96D6A">
        <w:t xml:space="preserve"> – Establishes new statutory definition; </w:t>
      </w:r>
      <w:r w:rsidRPr="00F96D6A">
        <w:t>requires greater coordination a</w:t>
      </w:r>
      <w:r w:rsidRPr="00F96D6A">
        <w:t>nd providing parents with information about access to services (e.g., IDEA)</w:t>
      </w:r>
      <w:r w:rsidRPr="00F96D6A">
        <w:t>; must take into account when developing training and professional development requirements for CCDBG providers.</w:t>
      </w:r>
    </w:p>
    <w:p w:rsidR="00000000" w:rsidRPr="00F96D6A" w:rsidRDefault="001009D2" w:rsidP="00F96D6A">
      <w:pPr>
        <w:numPr>
          <w:ilvl w:val="0"/>
          <w:numId w:val="18"/>
        </w:numPr>
      </w:pPr>
      <w:r w:rsidRPr="00F96D6A">
        <w:rPr>
          <w:bCs/>
          <w:u w:val="single"/>
        </w:rPr>
        <w:t>Increase Access to and Quality of Programs</w:t>
      </w:r>
      <w:r w:rsidRPr="00F96D6A">
        <w:t xml:space="preserve"> – States must develop </w:t>
      </w:r>
      <w:r w:rsidRPr="00F96D6A">
        <w:t>st</w:t>
      </w:r>
      <w:r w:rsidRPr="00F96D6A">
        <w:t xml:space="preserve">rategies for increasing supply and quality of services for </w:t>
      </w:r>
      <w:r w:rsidRPr="00F96D6A">
        <w:rPr>
          <w:bCs/>
        </w:rPr>
        <w:t>children in underserved areas, infants and toddlers, children with disabilities, and children in non-traditional hour care</w:t>
      </w:r>
      <w:r w:rsidRPr="00F96D6A">
        <w:t xml:space="preserve">—which may include use of </w:t>
      </w:r>
      <w:r w:rsidRPr="00F96D6A">
        <w:t xml:space="preserve">grants/contracts and alternative reimbursement. (Section 658E(c)(2)(M) of the CCDBG Act of 2014) </w:t>
      </w:r>
    </w:p>
    <w:p w:rsidR="00F96D6A" w:rsidRPr="00F96D6A" w:rsidRDefault="00F96D6A" w:rsidP="00F96D6A">
      <w:r w:rsidRPr="00F96D6A">
        <w:t>Slide 17</w:t>
      </w:r>
    </w:p>
    <w:p w:rsidR="00F96D6A" w:rsidRPr="00F96D6A" w:rsidRDefault="00F96D6A" w:rsidP="00F96D6A">
      <w:pPr>
        <w:rPr>
          <w:bCs/>
        </w:rPr>
      </w:pPr>
      <w:r w:rsidRPr="00F96D6A">
        <w:rPr>
          <w:bCs/>
        </w:rPr>
        <w:t>Reauthorization Implementation and Effective Dates</w:t>
      </w:r>
    </w:p>
    <w:p w:rsidR="00F96D6A" w:rsidRPr="00F96D6A" w:rsidRDefault="00F96D6A" w:rsidP="00F96D6A">
      <w:pPr>
        <w:rPr>
          <w:bCs/>
        </w:rPr>
      </w:pPr>
      <w:r w:rsidRPr="00F96D6A">
        <w:rPr>
          <w:bCs/>
        </w:rPr>
        <w:t>Image depicting the Timeline of Effective dates for States and Territories: Child Care and Development Block Grant (CCDBG) Act of 2014</w:t>
      </w:r>
    </w:p>
    <w:p w:rsidR="00F96D6A" w:rsidRPr="00F96D6A" w:rsidRDefault="00F96D6A" w:rsidP="00F96D6A">
      <w:pPr>
        <w:rPr>
          <w:bCs/>
        </w:rPr>
      </w:pPr>
      <w:r w:rsidRPr="00F96D6A">
        <w:rPr>
          <w:bCs/>
        </w:rPr>
        <w:t>Slide 18</w:t>
      </w:r>
    </w:p>
    <w:p w:rsidR="00F96D6A" w:rsidRPr="00F96D6A" w:rsidRDefault="00F96D6A" w:rsidP="00F96D6A">
      <w:pPr>
        <w:rPr>
          <w:bCs/>
        </w:rPr>
      </w:pPr>
      <w:r w:rsidRPr="00F96D6A">
        <w:rPr>
          <w:bCs/>
        </w:rPr>
        <w:t>CCDF State Plan and Key Related Upcoming Activities</w:t>
      </w:r>
    </w:p>
    <w:p w:rsidR="00000000" w:rsidRPr="00F96D6A" w:rsidRDefault="001009D2" w:rsidP="00F96D6A">
      <w:pPr>
        <w:numPr>
          <w:ilvl w:val="0"/>
          <w:numId w:val="19"/>
        </w:numPr>
      </w:pPr>
      <w:r w:rsidRPr="00F96D6A">
        <w:t>ACF-OCC intentionally re-designed the FFY2016-2018 C</w:t>
      </w:r>
      <w:r w:rsidRPr="00F96D6A">
        <w:t xml:space="preserve">CDF State Plan to assist States and Territories in developing “implementation plans” to achieve full implementation of the changes made through the CCDBG Reauthorization. </w:t>
      </w:r>
    </w:p>
    <w:p w:rsidR="00000000" w:rsidRPr="00F96D6A" w:rsidRDefault="001009D2" w:rsidP="00F96D6A">
      <w:pPr>
        <w:numPr>
          <w:ilvl w:val="1"/>
          <w:numId w:val="19"/>
        </w:numPr>
      </w:pPr>
      <w:r w:rsidRPr="00F96D6A">
        <w:t>As the changes are phased in over the next couple of years, ACF-OCC will actively w</w:t>
      </w:r>
      <w:r w:rsidRPr="00F96D6A">
        <w:t>ork with States to ensure substantial compliance in a timely fashion.</w:t>
      </w:r>
    </w:p>
    <w:p w:rsidR="00000000" w:rsidRPr="00F96D6A" w:rsidRDefault="001009D2" w:rsidP="00F96D6A">
      <w:pPr>
        <w:numPr>
          <w:ilvl w:val="0"/>
          <w:numId w:val="19"/>
        </w:numPr>
      </w:pPr>
      <w:r w:rsidRPr="00F96D6A">
        <w:t>The changes contained in the Reauthorization, which have been described in the previous slides, represent an historic re-envisioning of the CCDF program by:</w:t>
      </w:r>
    </w:p>
    <w:p w:rsidR="00000000" w:rsidRPr="00F96D6A" w:rsidRDefault="001009D2" w:rsidP="00F96D6A">
      <w:pPr>
        <w:numPr>
          <w:ilvl w:val="1"/>
          <w:numId w:val="19"/>
        </w:numPr>
      </w:pPr>
      <w:r w:rsidRPr="00F96D6A">
        <w:t>making significant enhancem</w:t>
      </w:r>
      <w:r w:rsidRPr="00F96D6A">
        <w:t xml:space="preserve">ents to health and safety requirements, </w:t>
      </w:r>
    </w:p>
    <w:p w:rsidR="00000000" w:rsidRPr="00F96D6A" w:rsidRDefault="001009D2" w:rsidP="00F96D6A">
      <w:pPr>
        <w:numPr>
          <w:ilvl w:val="1"/>
          <w:numId w:val="19"/>
        </w:numPr>
      </w:pPr>
      <w:r w:rsidRPr="00F96D6A">
        <w:t xml:space="preserve">outlining family friendly/child focused policies, and </w:t>
      </w:r>
    </w:p>
    <w:p w:rsidR="00000000" w:rsidRPr="00F96D6A" w:rsidRDefault="001009D2" w:rsidP="00F96D6A">
      <w:pPr>
        <w:numPr>
          <w:ilvl w:val="1"/>
          <w:numId w:val="19"/>
        </w:numPr>
      </w:pPr>
      <w:r w:rsidRPr="00F96D6A">
        <w:lastRenderedPageBreak/>
        <w:t>improving transparency to allow parents and the general public to make informed child care choices.</w:t>
      </w:r>
    </w:p>
    <w:p w:rsidR="00000000" w:rsidRPr="00F96D6A" w:rsidRDefault="001009D2" w:rsidP="00F96D6A">
      <w:pPr>
        <w:numPr>
          <w:ilvl w:val="0"/>
          <w:numId w:val="19"/>
        </w:numPr>
      </w:pPr>
      <w:r w:rsidRPr="00F96D6A">
        <w:t>Over the next couple of years, there are several activiti</w:t>
      </w:r>
      <w:r w:rsidRPr="00F96D6A">
        <w:t>es that will afford EEC the opportunity to implement Reauthorization with the goal to improve the early childhood education system in Massachusetts in a manner that is family friendly, child focused and fair to providers; and aligned with the Strategic Pla</w:t>
      </w:r>
      <w:r w:rsidRPr="00F96D6A">
        <w:t>n of the Board.</w:t>
      </w:r>
    </w:p>
    <w:p w:rsidR="00F96D6A" w:rsidRPr="00F96D6A" w:rsidRDefault="00F96D6A" w:rsidP="00F96D6A">
      <w:r w:rsidRPr="00F96D6A">
        <w:t>Slide 19</w:t>
      </w:r>
    </w:p>
    <w:p w:rsidR="00F96D6A" w:rsidRPr="00F96D6A" w:rsidRDefault="00F96D6A" w:rsidP="00F96D6A">
      <w:pPr>
        <w:rPr>
          <w:bCs/>
        </w:rPr>
      </w:pPr>
      <w:r w:rsidRPr="00F96D6A">
        <w:rPr>
          <w:bCs/>
        </w:rPr>
        <w:t>CCDF State Plan and Key Related Upcoming Activities</w:t>
      </w:r>
    </w:p>
    <w:p w:rsidR="00000000" w:rsidRPr="00F96D6A" w:rsidRDefault="001009D2" w:rsidP="00F96D6A">
      <w:pPr>
        <w:numPr>
          <w:ilvl w:val="0"/>
          <w:numId w:val="20"/>
        </w:numPr>
      </w:pPr>
      <w:r w:rsidRPr="00F96D6A">
        <w:t>The CCDF State Plan will act as the primary vehicle to shape the future of the early childhood education system in the Commonwealth, as follows:</w:t>
      </w:r>
    </w:p>
    <w:p w:rsidR="00000000" w:rsidRPr="00F96D6A" w:rsidRDefault="001009D2" w:rsidP="00F96D6A">
      <w:pPr>
        <w:numPr>
          <w:ilvl w:val="1"/>
          <w:numId w:val="20"/>
        </w:numPr>
      </w:pPr>
      <w:r w:rsidRPr="00F96D6A">
        <w:rPr>
          <w:bCs/>
        </w:rPr>
        <w:t>Equal Access to Child Care</w:t>
      </w:r>
      <w:r w:rsidRPr="00F96D6A">
        <w:t xml:space="preserve"> </w:t>
      </w:r>
      <w:r w:rsidRPr="00F96D6A">
        <w:sym w:font="Wingdings" w:char="00E0"/>
      </w:r>
      <w:r w:rsidRPr="00F96D6A">
        <w:t xml:space="preserve"> </w:t>
      </w:r>
      <w:r w:rsidRPr="00F96D6A">
        <w:t>Use the Market Rate Study to improve subsidy rates</w:t>
      </w:r>
    </w:p>
    <w:p w:rsidR="00000000" w:rsidRPr="00F96D6A" w:rsidRDefault="001009D2" w:rsidP="00F96D6A">
      <w:pPr>
        <w:numPr>
          <w:ilvl w:val="1"/>
          <w:numId w:val="20"/>
        </w:numPr>
      </w:pPr>
      <w:r w:rsidRPr="00F96D6A">
        <w:rPr>
          <w:bCs/>
        </w:rPr>
        <w:t>Affordability</w:t>
      </w:r>
      <w:r w:rsidRPr="00F96D6A">
        <w:t xml:space="preserve"> </w:t>
      </w:r>
      <w:r w:rsidRPr="00F96D6A">
        <w:sym w:font="Wingdings" w:char="00E0"/>
      </w:r>
      <w:r w:rsidRPr="00F96D6A">
        <w:t xml:space="preserve"> Assess the existing parent fee structure to mitigate access impediments</w:t>
      </w:r>
    </w:p>
    <w:p w:rsidR="00000000" w:rsidRPr="00F96D6A" w:rsidRDefault="001009D2" w:rsidP="00F96D6A">
      <w:pPr>
        <w:numPr>
          <w:ilvl w:val="2"/>
          <w:numId w:val="20"/>
        </w:numPr>
      </w:pPr>
      <w:r w:rsidRPr="00F96D6A">
        <w:t>Consideration of parent fee waiver for priority populations and PEG</w:t>
      </w:r>
    </w:p>
    <w:p w:rsidR="00000000" w:rsidRPr="00F96D6A" w:rsidRDefault="001009D2" w:rsidP="00F96D6A">
      <w:pPr>
        <w:numPr>
          <w:ilvl w:val="1"/>
          <w:numId w:val="20"/>
        </w:numPr>
      </w:pPr>
      <w:r w:rsidRPr="00F96D6A">
        <w:rPr>
          <w:bCs/>
        </w:rPr>
        <w:t>Continuity of Care</w:t>
      </w:r>
      <w:r w:rsidRPr="00F96D6A">
        <w:t xml:space="preserve"> </w:t>
      </w:r>
      <w:r w:rsidRPr="00F96D6A">
        <w:sym w:font="Wingdings" w:char="00E0"/>
      </w:r>
      <w:r w:rsidRPr="00F96D6A">
        <w:t xml:space="preserve"> Ensure 12 month authoriza</w:t>
      </w:r>
      <w:r w:rsidRPr="00F96D6A">
        <w:t>tions for all families in a manner that is fair, equitable, and fiscally responsible</w:t>
      </w:r>
    </w:p>
    <w:p w:rsidR="00000000" w:rsidRPr="00F96D6A" w:rsidRDefault="001009D2" w:rsidP="00F96D6A">
      <w:pPr>
        <w:numPr>
          <w:ilvl w:val="2"/>
          <w:numId w:val="20"/>
        </w:numPr>
      </w:pPr>
      <w:r w:rsidRPr="00F96D6A">
        <w:t>Consider targeted populations for authorizations beyond 12 months to support other child care funding opportunities, including  the EHS-CC Partnerships, expansion of PEG,</w:t>
      </w:r>
      <w:r w:rsidRPr="00F96D6A">
        <w:t xml:space="preserve"> teen parents, etc.</w:t>
      </w:r>
    </w:p>
    <w:p w:rsidR="00000000" w:rsidRPr="00F96D6A" w:rsidRDefault="001009D2" w:rsidP="00F96D6A">
      <w:pPr>
        <w:numPr>
          <w:ilvl w:val="2"/>
          <w:numId w:val="20"/>
        </w:numPr>
      </w:pPr>
      <w:r w:rsidRPr="00F96D6A">
        <w:t xml:space="preserve"> Coordinate with other agencies to improve front end detection to mitigate fraud, waste and abuse</w:t>
      </w:r>
    </w:p>
    <w:p w:rsidR="00000000" w:rsidRPr="00F96D6A" w:rsidRDefault="001009D2" w:rsidP="00F96D6A">
      <w:pPr>
        <w:numPr>
          <w:ilvl w:val="1"/>
          <w:numId w:val="20"/>
        </w:numPr>
      </w:pPr>
      <w:r w:rsidRPr="00F96D6A">
        <w:rPr>
          <w:bCs/>
        </w:rPr>
        <w:t>Use of Contracts to Improve Access and Align Services</w:t>
      </w:r>
      <w:r w:rsidRPr="00F96D6A">
        <w:t xml:space="preserve"> </w:t>
      </w:r>
      <w:r w:rsidRPr="00F96D6A">
        <w:sym w:font="Wingdings" w:char="00E0"/>
      </w:r>
      <w:r w:rsidRPr="00F96D6A">
        <w:t xml:space="preserve"> Does current contract structure allow for parent choice and/or meet the needs of</w:t>
      </w:r>
      <w:r w:rsidRPr="00F96D6A">
        <w:t xml:space="preserve"> priority populations?</w:t>
      </w:r>
    </w:p>
    <w:p w:rsidR="00000000" w:rsidRPr="00F96D6A" w:rsidRDefault="001009D2" w:rsidP="00F96D6A">
      <w:pPr>
        <w:numPr>
          <w:ilvl w:val="2"/>
          <w:numId w:val="20"/>
        </w:numPr>
      </w:pPr>
      <w:r w:rsidRPr="00F96D6A">
        <w:t xml:space="preserve">Opportunity to better support full year, full day services – PEG, EHS, HS </w:t>
      </w:r>
    </w:p>
    <w:p w:rsidR="00000000" w:rsidRPr="00F96D6A" w:rsidRDefault="001009D2" w:rsidP="00F96D6A">
      <w:pPr>
        <w:numPr>
          <w:ilvl w:val="1"/>
          <w:numId w:val="20"/>
        </w:numPr>
      </w:pPr>
      <w:r w:rsidRPr="00F96D6A">
        <w:rPr>
          <w:bCs/>
        </w:rPr>
        <w:t>Review of Transportation Services</w:t>
      </w:r>
      <w:r w:rsidRPr="00F96D6A">
        <w:t xml:space="preserve"> </w:t>
      </w:r>
      <w:r w:rsidRPr="00F96D6A">
        <w:sym w:font="Wingdings" w:char="00E0"/>
      </w:r>
      <w:r w:rsidRPr="00F96D6A">
        <w:t xml:space="preserve"> Establish a Task Force to review use and funding of transportation in light of EEC’s mission and the significant changes</w:t>
      </w:r>
      <w:r w:rsidRPr="00F96D6A">
        <w:t xml:space="preserve"> to the CCDF Program</w:t>
      </w:r>
    </w:p>
    <w:p w:rsidR="00000000" w:rsidRPr="00F96D6A" w:rsidRDefault="001009D2" w:rsidP="00F96D6A">
      <w:pPr>
        <w:numPr>
          <w:ilvl w:val="1"/>
          <w:numId w:val="20"/>
        </w:numPr>
      </w:pPr>
      <w:r w:rsidRPr="00F96D6A">
        <w:rPr>
          <w:bCs/>
        </w:rPr>
        <w:t>Annual Health and Safety Monitoring</w:t>
      </w:r>
      <w:r w:rsidRPr="00F96D6A">
        <w:t xml:space="preserve"> </w:t>
      </w:r>
      <w:r w:rsidRPr="00F96D6A">
        <w:sym w:font="Wingdings" w:char="00E0"/>
      </w:r>
      <w:r w:rsidRPr="00F96D6A">
        <w:t xml:space="preserve"> Develop plan to ensure annual monitoring of both licensed and license-exempt programs and by whom (e.g., licensing staff, food programs, other agencies, etc.)</w:t>
      </w:r>
    </w:p>
    <w:p w:rsidR="00000000" w:rsidRPr="00F96D6A" w:rsidRDefault="001009D2" w:rsidP="00F96D6A">
      <w:pPr>
        <w:numPr>
          <w:ilvl w:val="1"/>
          <w:numId w:val="20"/>
        </w:numPr>
      </w:pPr>
      <w:r w:rsidRPr="00F96D6A">
        <w:rPr>
          <w:bCs/>
        </w:rPr>
        <w:t>Background Record Checks</w:t>
      </w:r>
      <w:r w:rsidRPr="00F96D6A">
        <w:t xml:space="preserve"> </w:t>
      </w:r>
      <w:r w:rsidRPr="00F96D6A">
        <w:sym w:font="Wingdings" w:char="00E0"/>
      </w:r>
      <w:r w:rsidRPr="00F96D6A">
        <w:t xml:space="preserve"> Work with</w:t>
      </w:r>
      <w:r w:rsidRPr="00F96D6A">
        <w:t xml:space="preserve"> federal and state agencies to achieve substantial compliance with enhanced BRC requirements, including license-exempt providers receiving CCDF funds:</w:t>
      </w:r>
    </w:p>
    <w:p w:rsidR="00000000" w:rsidRPr="00F96D6A" w:rsidRDefault="001009D2" w:rsidP="00F96D6A">
      <w:pPr>
        <w:numPr>
          <w:ilvl w:val="2"/>
          <w:numId w:val="20"/>
        </w:numPr>
      </w:pPr>
      <w:r w:rsidRPr="00F96D6A">
        <w:lastRenderedPageBreak/>
        <w:t>Summer camps</w:t>
      </w:r>
    </w:p>
    <w:p w:rsidR="00000000" w:rsidRPr="00F96D6A" w:rsidRDefault="001009D2" w:rsidP="00F96D6A">
      <w:pPr>
        <w:numPr>
          <w:ilvl w:val="2"/>
          <w:numId w:val="20"/>
        </w:numPr>
      </w:pPr>
      <w:r w:rsidRPr="00F96D6A">
        <w:t>Informal Child Care (e.g., Friend, Family and Neighbor care) – non-relative (may exempt re</w:t>
      </w:r>
      <w:r w:rsidRPr="00F96D6A">
        <w:t>latives)</w:t>
      </w:r>
    </w:p>
    <w:p w:rsidR="00000000" w:rsidRPr="00F96D6A" w:rsidRDefault="001009D2" w:rsidP="00F96D6A">
      <w:pPr>
        <w:numPr>
          <w:ilvl w:val="2"/>
          <w:numId w:val="20"/>
        </w:numPr>
      </w:pPr>
      <w:r w:rsidRPr="00F96D6A">
        <w:t>Public and Private schools exempt from licensure</w:t>
      </w:r>
    </w:p>
    <w:p w:rsidR="00F96D6A" w:rsidRPr="00F96D6A" w:rsidRDefault="00F96D6A" w:rsidP="00F96D6A">
      <w:r w:rsidRPr="00F96D6A">
        <w:t>Slide 20</w:t>
      </w:r>
    </w:p>
    <w:p w:rsidR="00F96D6A" w:rsidRPr="00F96D6A" w:rsidRDefault="00F96D6A" w:rsidP="00F96D6A">
      <w:pPr>
        <w:rPr>
          <w:bCs/>
        </w:rPr>
      </w:pPr>
      <w:r w:rsidRPr="00F96D6A">
        <w:rPr>
          <w:bCs/>
        </w:rPr>
        <w:t>Stakeholder Engagement in Developing the CCDF State Plan</w:t>
      </w:r>
    </w:p>
    <w:p w:rsidR="00000000" w:rsidRPr="00F96D6A" w:rsidRDefault="001009D2" w:rsidP="00F96D6A">
      <w:pPr>
        <w:numPr>
          <w:ilvl w:val="0"/>
          <w:numId w:val="21"/>
        </w:numPr>
      </w:pPr>
      <w:r w:rsidRPr="00F96D6A">
        <w:t>EEC has identified key staff to facilitate the completion of each section of the CCDF State Plan:</w:t>
      </w:r>
    </w:p>
    <w:p w:rsidR="00000000" w:rsidRPr="00F96D6A" w:rsidRDefault="001009D2" w:rsidP="00F96D6A">
      <w:pPr>
        <w:numPr>
          <w:ilvl w:val="1"/>
          <w:numId w:val="21"/>
        </w:numPr>
      </w:pPr>
      <w:r w:rsidRPr="00F96D6A">
        <w:t xml:space="preserve">CCDF Leadership and Coordination </w:t>
      </w:r>
      <w:r w:rsidRPr="00F96D6A">
        <w:t>with Relevant Systems</w:t>
      </w:r>
    </w:p>
    <w:p w:rsidR="00000000" w:rsidRPr="00F96D6A" w:rsidRDefault="001009D2" w:rsidP="00F96D6A">
      <w:pPr>
        <w:numPr>
          <w:ilvl w:val="1"/>
          <w:numId w:val="21"/>
        </w:numPr>
      </w:pPr>
      <w:r w:rsidRPr="00F96D6A">
        <w:t>Family Engagement and Consumer Education</w:t>
      </w:r>
    </w:p>
    <w:p w:rsidR="00000000" w:rsidRPr="00F96D6A" w:rsidRDefault="001009D2" w:rsidP="00F96D6A">
      <w:pPr>
        <w:numPr>
          <w:ilvl w:val="1"/>
          <w:numId w:val="21"/>
        </w:numPr>
      </w:pPr>
      <w:r w:rsidRPr="00F96D6A">
        <w:t>Child Care Subsidy Laws and Policies</w:t>
      </w:r>
    </w:p>
    <w:p w:rsidR="00000000" w:rsidRPr="00F96D6A" w:rsidRDefault="001009D2" w:rsidP="00F96D6A">
      <w:pPr>
        <w:numPr>
          <w:ilvl w:val="1"/>
          <w:numId w:val="21"/>
        </w:numPr>
      </w:pPr>
      <w:r w:rsidRPr="00F96D6A">
        <w:t>Equal Access to High Quality Child Care</w:t>
      </w:r>
    </w:p>
    <w:p w:rsidR="00000000" w:rsidRPr="00F96D6A" w:rsidRDefault="001009D2" w:rsidP="00F96D6A">
      <w:pPr>
        <w:numPr>
          <w:ilvl w:val="1"/>
          <w:numId w:val="21"/>
        </w:numPr>
      </w:pPr>
      <w:r w:rsidRPr="00F96D6A">
        <w:t>Health and Safety Standards and Monitoring</w:t>
      </w:r>
    </w:p>
    <w:p w:rsidR="00000000" w:rsidRPr="00F96D6A" w:rsidRDefault="001009D2" w:rsidP="00F96D6A">
      <w:pPr>
        <w:numPr>
          <w:ilvl w:val="1"/>
          <w:numId w:val="21"/>
        </w:numPr>
      </w:pPr>
      <w:r w:rsidRPr="00F96D6A">
        <w:t>Workforce and Professional Development</w:t>
      </w:r>
    </w:p>
    <w:p w:rsidR="00000000" w:rsidRPr="00F96D6A" w:rsidRDefault="001009D2" w:rsidP="00F96D6A">
      <w:pPr>
        <w:numPr>
          <w:ilvl w:val="1"/>
          <w:numId w:val="21"/>
        </w:numPr>
      </w:pPr>
      <w:r w:rsidRPr="00F96D6A">
        <w:t>Continuous Quality Improveme</w:t>
      </w:r>
      <w:r w:rsidRPr="00F96D6A">
        <w:t>nt</w:t>
      </w:r>
    </w:p>
    <w:p w:rsidR="00000000" w:rsidRPr="00F96D6A" w:rsidRDefault="001009D2" w:rsidP="00F96D6A">
      <w:pPr>
        <w:numPr>
          <w:ilvl w:val="1"/>
          <w:numId w:val="21"/>
        </w:numPr>
      </w:pPr>
      <w:r w:rsidRPr="00F96D6A">
        <w:t>Program Integrity and Accountability</w:t>
      </w:r>
    </w:p>
    <w:p w:rsidR="00000000" w:rsidRPr="00F96D6A" w:rsidRDefault="001009D2" w:rsidP="00F96D6A">
      <w:pPr>
        <w:numPr>
          <w:ilvl w:val="0"/>
          <w:numId w:val="21"/>
        </w:numPr>
      </w:pPr>
      <w:r w:rsidRPr="00F96D6A">
        <w:t>In mid-October 2015, EEC will also invite external stakeholders to participate in a Stakeholder Advisory Group that will focus on each of the CCDF State Plan topics (as outlined above).</w:t>
      </w:r>
    </w:p>
    <w:p w:rsidR="00000000" w:rsidRPr="00F96D6A" w:rsidRDefault="001009D2" w:rsidP="00F96D6A">
      <w:pPr>
        <w:numPr>
          <w:ilvl w:val="1"/>
          <w:numId w:val="21"/>
        </w:numPr>
      </w:pPr>
      <w:r w:rsidRPr="00F96D6A">
        <w:t>EEC anticipates that the St</w:t>
      </w:r>
      <w:r w:rsidRPr="00F96D6A">
        <w:t>akeholder Advisory Group will convene 3-4 times between October 19</w:t>
      </w:r>
      <w:r w:rsidRPr="00F96D6A">
        <w:rPr>
          <w:vertAlign w:val="superscript"/>
        </w:rPr>
        <w:t>th</w:t>
      </w:r>
      <w:r w:rsidRPr="00F96D6A">
        <w:t xml:space="preserve"> and December 4th to facilitate the development of the initial draft of EEC’s CCDF State Plan for an initial Board vote in December 2015.</w:t>
      </w:r>
    </w:p>
    <w:p w:rsidR="00F96D6A" w:rsidRPr="00F96D6A" w:rsidRDefault="00F96D6A" w:rsidP="00F96D6A">
      <w:r w:rsidRPr="00F96D6A">
        <w:t>Slide 21</w:t>
      </w:r>
    </w:p>
    <w:p w:rsidR="00F96D6A" w:rsidRPr="00F96D6A" w:rsidRDefault="00F96D6A" w:rsidP="00F96D6A">
      <w:pPr>
        <w:rPr>
          <w:bCs/>
        </w:rPr>
      </w:pPr>
      <w:r w:rsidRPr="00F96D6A">
        <w:rPr>
          <w:bCs/>
        </w:rPr>
        <w:t>Timeline for Development &amp; Submission of CCDF State Plan</w:t>
      </w:r>
    </w:p>
    <w:tbl>
      <w:tblPr>
        <w:tblStyle w:val="TableGrid"/>
        <w:tblW w:w="0" w:type="auto"/>
        <w:tblLook w:val="04A0"/>
      </w:tblPr>
      <w:tblGrid>
        <w:gridCol w:w="4788"/>
        <w:gridCol w:w="4788"/>
      </w:tblGrid>
      <w:tr w:rsidR="00F96D6A" w:rsidRPr="00F96D6A" w:rsidTr="00F96D6A">
        <w:trPr>
          <w:trHeight w:val="610"/>
        </w:trPr>
        <w:tc>
          <w:tcPr>
            <w:tcW w:w="4788" w:type="dxa"/>
            <w:hideMark/>
          </w:tcPr>
          <w:p w:rsidR="00F96D6A" w:rsidRPr="00F96D6A" w:rsidRDefault="00F96D6A" w:rsidP="00F96D6A">
            <w:pPr>
              <w:jc w:val="center"/>
              <w:rPr>
                <w:rFonts w:eastAsia="Times New Roman" w:cs="Arial"/>
              </w:rPr>
            </w:pPr>
            <w:r w:rsidRPr="00F96D6A">
              <w:rPr>
                <w:rFonts w:eastAsia="Times New Roman" w:cs="Arial"/>
                <w:bCs/>
                <w:color w:val="000000"/>
                <w:kern w:val="24"/>
              </w:rPr>
              <w:t xml:space="preserve">Tasks </w:t>
            </w:r>
          </w:p>
        </w:tc>
        <w:tc>
          <w:tcPr>
            <w:tcW w:w="4788" w:type="dxa"/>
            <w:hideMark/>
          </w:tcPr>
          <w:p w:rsidR="00F96D6A" w:rsidRPr="00F96D6A" w:rsidRDefault="00F96D6A" w:rsidP="00F96D6A">
            <w:pPr>
              <w:jc w:val="center"/>
              <w:rPr>
                <w:rFonts w:eastAsia="Times New Roman" w:cs="Arial"/>
              </w:rPr>
            </w:pPr>
            <w:r w:rsidRPr="00F96D6A">
              <w:rPr>
                <w:rFonts w:eastAsia="Times New Roman" w:cs="Arial"/>
                <w:bCs/>
                <w:color w:val="000000"/>
                <w:kern w:val="24"/>
              </w:rPr>
              <w:t xml:space="preserve">Timeline </w:t>
            </w:r>
          </w:p>
        </w:tc>
      </w:tr>
      <w:tr w:rsidR="00F96D6A" w:rsidRPr="00F96D6A" w:rsidTr="00F96D6A">
        <w:trPr>
          <w:trHeight w:val="856"/>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t xml:space="preserve">Stakeholder Advisory – Internal &amp; External – to Develop Initial Draft of the CCDF State Plan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October 19, 2015 – December 4, 2015 </w:t>
            </w:r>
          </w:p>
        </w:tc>
      </w:tr>
      <w:tr w:rsidR="00F96D6A" w:rsidRPr="00F96D6A" w:rsidTr="00F96D6A">
        <w:trPr>
          <w:trHeight w:val="1261"/>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lastRenderedPageBreak/>
              <w:t xml:space="preserve">Present Draft of CCDF State Plan to Oversight and PRC Committees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December 7, 2015 </w:t>
            </w:r>
          </w:p>
        </w:tc>
      </w:tr>
      <w:tr w:rsidR="00F96D6A" w:rsidRPr="00F96D6A" w:rsidTr="00F96D6A">
        <w:trPr>
          <w:trHeight w:val="1219"/>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t xml:space="preserve">Present to Full Board for Vote to Release CCDF State Plan for Public Comment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December 8, 2015 </w:t>
            </w:r>
          </w:p>
        </w:tc>
      </w:tr>
      <w:tr w:rsidR="00F96D6A" w:rsidRPr="00F96D6A" w:rsidTr="00F96D6A">
        <w:trPr>
          <w:trHeight w:val="856"/>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t xml:space="preserve">Present to EEC Advisory Council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December 11, 2015 </w:t>
            </w:r>
          </w:p>
        </w:tc>
      </w:tr>
      <w:tr w:rsidR="00F96D6A" w:rsidRPr="00F96D6A" w:rsidTr="00F96D6A">
        <w:trPr>
          <w:trHeight w:val="856"/>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t xml:space="preserve">Hold Public Hearings in Western MA, Central MA and Boston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January 2016 </w:t>
            </w:r>
          </w:p>
        </w:tc>
      </w:tr>
      <w:tr w:rsidR="00F96D6A" w:rsidRPr="00F96D6A" w:rsidTr="00F96D6A">
        <w:trPr>
          <w:trHeight w:val="856"/>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t xml:space="preserve">Close of Public Comment Period and Revisions to CCDF State Plan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January 25, 2016 - February 5, 2016 </w:t>
            </w:r>
          </w:p>
        </w:tc>
      </w:tr>
      <w:tr w:rsidR="00F96D6A" w:rsidRPr="00F96D6A" w:rsidTr="00F96D6A">
        <w:trPr>
          <w:trHeight w:val="856"/>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t xml:space="preserve">Present to Full Board for Vote to Approve and Submit Final CCDF State Plan to ACF-OCC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February 9, 2016 </w:t>
            </w:r>
          </w:p>
        </w:tc>
      </w:tr>
      <w:tr w:rsidR="00F96D6A" w:rsidRPr="00F96D6A" w:rsidTr="00F96D6A">
        <w:trPr>
          <w:trHeight w:val="856"/>
        </w:trPr>
        <w:tc>
          <w:tcPr>
            <w:tcW w:w="4788" w:type="dxa"/>
            <w:hideMark/>
          </w:tcPr>
          <w:p w:rsidR="00F96D6A" w:rsidRPr="00F96D6A" w:rsidRDefault="00F96D6A" w:rsidP="00F96D6A">
            <w:pPr>
              <w:rPr>
                <w:rFonts w:eastAsia="Times New Roman" w:cs="Arial"/>
              </w:rPr>
            </w:pPr>
            <w:r w:rsidRPr="00F96D6A">
              <w:rPr>
                <w:rFonts w:eastAsia="Times New Roman" w:cs="Arial"/>
                <w:color w:val="000000"/>
                <w:kern w:val="24"/>
              </w:rPr>
              <w:t xml:space="preserve">Submit Final CCDF State Plan </w:t>
            </w:r>
          </w:p>
        </w:tc>
        <w:tc>
          <w:tcPr>
            <w:tcW w:w="4788" w:type="dxa"/>
            <w:hideMark/>
          </w:tcPr>
          <w:p w:rsidR="00F96D6A" w:rsidRPr="00F96D6A" w:rsidRDefault="00F96D6A" w:rsidP="00F96D6A">
            <w:pPr>
              <w:jc w:val="center"/>
              <w:rPr>
                <w:rFonts w:eastAsia="Times New Roman" w:cs="Arial"/>
              </w:rPr>
            </w:pPr>
            <w:r w:rsidRPr="00F96D6A">
              <w:rPr>
                <w:rFonts w:eastAsia="Times New Roman" w:cs="Arial"/>
                <w:color w:val="000000"/>
                <w:kern w:val="24"/>
              </w:rPr>
              <w:t xml:space="preserve">No later than March 1, 2016 </w:t>
            </w:r>
          </w:p>
        </w:tc>
      </w:tr>
    </w:tbl>
    <w:p w:rsidR="00F96D6A" w:rsidRPr="00F96D6A" w:rsidRDefault="00F96D6A" w:rsidP="00F96D6A"/>
    <w:p w:rsidR="00F96D6A" w:rsidRPr="00F96D6A" w:rsidRDefault="00F96D6A" w:rsidP="00F96D6A">
      <w:r w:rsidRPr="00F96D6A">
        <w:t>Slide 22</w:t>
      </w:r>
    </w:p>
    <w:p w:rsidR="00F96D6A" w:rsidRPr="00F96D6A" w:rsidRDefault="00F96D6A" w:rsidP="00F96D6A">
      <w:pPr>
        <w:rPr>
          <w:bCs/>
        </w:rPr>
      </w:pPr>
      <w:r w:rsidRPr="00F96D6A">
        <w:rPr>
          <w:bCs/>
        </w:rPr>
        <w:t>Proposed Topics for Board Discussion on the CCDF Plan</w:t>
      </w:r>
    </w:p>
    <w:p w:rsidR="00000000" w:rsidRPr="00F96D6A" w:rsidRDefault="001009D2" w:rsidP="00F96D6A">
      <w:pPr>
        <w:numPr>
          <w:ilvl w:val="0"/>
          <w:numId w:val="22"/>
        </w:numPr>
      </w:pPr>
      <w:r w:rsidRPr="00F96D6A">
        <w:t xml:space="preserve">As noted throughout this </w:t>
      </w:r>
      <w:r w:rsidRPr="00F96D6A">
        <w:t>presentation, the CCDBG Act of 2014 presents significant compliance challenges for the Department, as well as windows of opportunity to improve health and safety, consistency in early education and care placements, and transparency for families seeking edu</w:t>
      </w:r>
      <w:r w:rsidRPr="00F96D6A">
        <w:t>cational opportunities for their children.</w:t>
      </w:r>
    </w:p>
    <w:p w:rsidR="00000000" w:rsidRPr="00F96D6A" w:rsidRDefault="001009D2" w:rsidP="00F96D6A">
      <w:pPr>
        <w:numPr>
          <w:ilvl w:val="0"/>
          <w:numId w:val="22"/>
        </w:numPr>
      </w:pPr>
      <w:r w:rsidRPr="00F96D6A">
        <w:t>To assist EEC in developing its responses for the CCDF Plan, the Department proposes the following topics for discussion by the Board:</w:t>
      </w:r>
    </w:p>
    <w:p w:rsidR="00000000" w:rsidRPr="00F96D6A" w:rsidRDefault="001009D2" w:rsidP="00F96D6A">
      <w:pPr>
        <w:numPr>
          <w:ilvl w:val="1"/>
          <w:numId w:val="22"/>
        </w:numPr>
      </w:pPr>
      <w:r w:rsidRPr="00F96D6A">
        <w:t>Given that the CCDBG Act of 2014 mirrors EEC’s dual purpose to both support</w:t>
      </w:r>
      <w:r w:rsidRPr="00F96D6A">
        <w:t xml:space="preserve"> the economic self-sufficiency of low-income/at risk families and to foster school readiness for children, what types of changes do you think Reauthorization suggests for the Commonwealth?</w:t>
      </w:r>
    </w:p>
    <w:p w:rsidR="00000000" w:rsidRPr="00F96D6A" w:rsidRDefault="001009D2" w:rsidP="00F96D6A">
      <w:pPr>
        <w:numPr>
          <w:ilvl w:val="1"/>
          <w:numId w:val="22"/>
        </w:numPr>
      </w:pPr>
      <w:r w:rsidRPr="00F96D6A">
        <w:t>What challenges and opportunities do these changes present?</w:t>
      </w:r>
    </w:p>
    <w:p w:rsidR="00000000" w:rsidRPr="00F96D6A" w:rsidRDefault="001009D2" w:rsidP="00F96D6A">
      <w:pPr>
        <w:numPr>
          <w:ilvl w:val="1"/>
          <w:numId w:val="22"/>
        </w:numPr>
      </w:pPr>
      <w:r w:rsidRPr="00F96D6A">
        <w:lastRenderedPageBreak/>
        <w:t>What is important to you in shaping a process to address both the challenges and opportunities before the Board and the Department?</w:t>
      </w:r>
    </w:p>
    <w:p w:rsidR="00000000" w:rsidRPr="00F96D6A" w:rsidRDefault="001009D2" w:rsidP="00F96D6A">
      <w:pPr>
        <w:numPr>
          <w:ilvl w:val="1"/>
          <w:numId w:val="22"/>
        </w:numPr>
      </w:pPr>
      <w:r w:rsidRPr="00F96D6A">
        <w:t>Other questions or discussion points to help guide the development of the CCDF Plan?</w:t>
      </w:r>
    </w:p>
    <w:p w:rsidR="00F96D6A" w:rsidRDefault="00F96D6A" w:rsidP="00F96D6A"/>
    <w:p w:rsidR="00F96D6A" w:rsidRDefault="00F96D6A" w:rsidP="00F96D6A">
      <w:pPr>
        <w:ind w:left="720"/>
      </w:pPr>
    </w:p>
    <w:sectPr w:rsidR="00F96D6A" w:rsidSect="00723A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044"/>
    <w:multiLevelType w:val="hybridMultilevel"/>
    <w:tmpl w:val="BAFCD4E8"/>
    <w:lvl w:ilvl="0" w:tplc="4FB2DBBC">
      <w:start w:val="1"/>
      <w:numFmt w:val="bullet"/>
      <w:lvlText w:val="•"/>
      <w:lvlJc w:val="left"/>
      <w:pPr>
        <w:tabs>
          <w:tab w:val="num" w:pos="720"/>
        </w:tabs>
        <w:ind w:left="720" w:hanging="360"/>
      </w:pPr>
      <w:rPr>
        <w:rFonts w:ascii="Times New Roman" w:hAnsi="Times New Roman" w:hint="default"/>
      </w:rPr>
    </w:lvl>
    <w:lvl w:ilvl="1" w:tplc="6E681B00">
      <w:start w:val="1476"/>
      <w:numFmt w:val="bullet"/>
      <w:lvlText w:val="–"/>
      <w:lvlJc w:val="left"/>
      <w:pPr>
        <w:tabs>
          <w:tab w:val="num" w:pos="1440"/>
        </w:tabs>
        <w:ind w:left="1440" w:hanging="360"/>
      </w:pPr>
      <w:rPr>
        <w:rFonts w:ascii="Arial" w:hAnsi="Arial" w:hint="default"/>
      </w:rPr>
    </w:lvl>
    <w:lvl w:ilvl="2" w:tplc="28300DD8">
      <w:start w:val="1"/>
      <w:numFmt w:val="bullet"/>
      <w:lvlText w:val="•"/>
      <w:lvlJc w:val="left"/>
      <w:pPr>
        <w:tabs>
          <w:tab w:val="num" w:pos="2160"/>
        </w:tabs>
        <w:ind w:left="2160" w:hanging="360"/>
      </w:pPr>
      <w:rPr>
        <w:rFonts w:ascii="Times New Roman" w:hAnsi="Times New Roman" w:hint="default"/>
      </w:rPr>
    </w:lvl>
    <w:lvl w:ilvl="3" w:tplc="56185C3C" w:tentative="1">
      <w:start w:val="1"/>
      <w:numFmt w:val="bullet"/>
      <w:lvlText w:val="•"/>
      <w:lvlJc w:val="left"/>
      <w:pPr>
        <w:tabs>
          <w:tab w:val="num" w:pos="2880"/>
        </w:tabs>
        <w:ind w:left="2880" w:hanging="360"/>
      </w:pPr>
      <w:rPr>
        <w:rFonts w:ascii="Times New Roman" w:hAnsi="Times New Roman" w:hint="default"/>
      </w:rPr>
    </w:lvl>
    <w:lvl w:ilvl="4" w:tplc="F7620C4A" w:tentative="1">
      <w:start w:val="1"/>
      <w:numFmt w:val="bullet"/>
      <w:lvlText w:val="•"/>
      <w:lvlJc w:val="left"/>
      <w:pPr>
        <w:tabs>
          <w:tab w:val="num" w:pos="3600"/>
        </w:tabs>
        <w:ind w:left="3600" w:hanging="360"/>
      </w:pPr>
      <w:rPr>
        <w:rFonts w:ascii="Times New Roman" w:hAnsi="Times New Roman" w:hint="default"/>
      </w:rPr>
    </w:lvl>
    <w:lvl w:ilvl="5" w:tplc="D8B4FC80" w:tentative="1">
      <w:start w:val="1"/>
      <w:numFmt w:val="bullet"/>
      <w:lvlText w:val="•"/>
      <w:lvlJc w:val="left"/>
      <w:pPr>
        <w:tabs>
          <w:tab w:val="num" w:pos="4320"/>
        </w:tabs>
        <w:ind w:left="4320" w:hanging="360"/>
      </w:pPr>
      <w:rPr>
        <w:rFonts w:ascii="Times New Roman" w:hAnsi="Times New Roman" w:hint="default"/>
      </w:rPr>
    </w:lvl>
    <w:lvl w:ilvl="6" w:tplc="42C608DC" w:tentative="1">
      <w:start w:val="1"/>
      <w:numFmt w:val="bullet"/>
      <w:lvlText w:val="•"/>
      <w:lvlJc w:val="left"/>
      <w:pPr>
        <w:tabs>
          <w:tab w:val="num" w:pos="5040"/>
        </w:tabs>
        <w:ind w:left="5040" w:hanging="360"/>
      </w:pPr>
      <w:rPr>
        <w:rFonts w:ascii="Times New Roman" w:hAnsi="Times New Roman" w:hint="default"/>
      </w:rPr>
    </w:lvl>
    <w:lvl w:ilvl="7" w:tplc="1C9E4576" w:tentative="1">
      <w:start w:val="1"/>
      <w:numFmt w:val="bullet"/>
      <w:lvlText w:val="•"/>
      <w:lvlJc w:val="left"/>
      <w:pPr>
        <w:tabs>
          <w:tab w:val="num" w:pos="5760"/>
        </w:tabs>
        <w:ind w:left="5760" w:hanging="360"/>
      </w:pPr>
      <w:rPr>
        <w:rFonts w:ascii="Times New Roman" w:hAnsi="Times New Roman" w:hint="default"/>
      </w:rPr>
    </w:lvl>
    <w:lvl w:ilvl="8" w:tplc="0BC01B5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BD7E4B"/>
    <w:multiLevelType w:val="hybridMultilevel"/>
    <w:tmpl w:val="C3C6162C"/>
    <w:lvl w:ilvl="0" w:tplc="1876EFB4">
      <w:start w:val="1"/>
      <w:numFmt w:val="bullet"/>
      <w:lvlText w:val="•"/>
      <w:lvlJc w:val="left"/>
      <w:pPr>
        <w:tabs>
          <w:tab w:val="num" w:pos="720"/>
        </w:tabs>
        <w:ind w:left="720" w:hanging="360"/>
      </w:pPr>
      <w:rPr>
        <w:rFonts w:ascii="Times New Roman" w:hAnsi="Times New Roman" w:hint="default"/>
      </w:rPr>
    </w:lvl>
    <w:lvl w:ilvl="1" w:tplc="79203C0E">
      <w:start w:val="1474"/>
      <w:numFmt w:val="bullet"/>
      <w:lvlText w:val="–"/>
      <w:lvlJc w:val="left"/>
      <w:pPr>
        <w:tabs>
          <w:tab w:val="num" w:pos="1440"/>
        </w:tabs>
        <w:ind w:left="1440" w:hanging="360"/>
      </w:pPr>
      <w:rPr>
        <w:rFonts w:ascii="Arial" w:hAnsi="Arial" w:hint="default"/>
      </w:rPr>
    </w:lvl>
    <w:lvl w:ilvl="2" w:tplc="501240D0" w:tentative="1">
      <w:start w:val="1"/>
      <w:numFmt w:val="bullet"/>
      <w:lvlText w:val="•"/>
      <w:lvlJc w:val="left"/>
      <w:pPr>
        <w:tabs>
          <w:tab w:val="num" w:pos="2160"/>
        </w:tabs>
        <w:ind w:left="2160" w:hanging="360"/>
      </w:pPr>
      <w:rPr>
        <w:rFonts w:ascii="Times New Roman" w:hAnsi="Times New Roman" w:hint="default"/>
      </w:rPr>
    </w:lvl>
    <w:lvl w:ilvl="3" w:tplc="BCAA4964" w:tentative="1">
      <w:start w:val="1"/>
      <w:numFmt w:val="bullet"/>
      <w:lvlText w:val="•"/>
      <w:lvlJc w:val="left"/>
      <w:pPr>
        <w:tabs>
          <w:tab w:val="num" w:pos="2880"/>
        </w:tabs>
        <w:ind w:left="2880" w:hanging="360"/>
      </w:pPr>
      <w:rPr>
        <w:rFonts w:ascii="Times New Roman" w:hAnsi="Times New Roman" w:hint="default"/>
      </w:rPr>
    </w:lvl>
    <w:lvl w:ilvl="4" w:tplc="13CA7640" w:tentative="1">
      <w:start w:val="1"/>
      <w:numFmt w:val="bullet"/>
      <w:lvlText w:val="•"/>
      <w:lvlJc w:val="left"/>
      <w:pPr>
        <w:tabs>
          <w:tab w:val="num" w:pos="3600"/>
        </w:tabs>
        <w:ind w:left="3600" w:hanging="360"/>
      </w:pPr>
      <w:rPr>
        <w:rFonts w:ascii="Times New Roman" w:hAnsi="Times New Roman" w:hint="default"/>
      </w:rPr>
    </w:lvl>
    <w:lvl w:ilvl="5" w:tplc="D794D33A" w:tentative="1">
      <w:start w:val="1"/>
      <w:numFmt w:val="bullet"/>
      <w:lvlText w:val="•"/>
      <w:lvlJc w:val="left"/>
      <w:pPr>
        <w:tabs>
          <w:tab w:val="num" w:pos="4320"/>
        </w:tabs>
        <w:ind w:left="4320" w:hanging="360"/>
      </w:pPr>
      <w:rPr>
        <w:rFonts w:ascii="Times New Roman" w:hAnsi="Times New Roman" w:hint="default"/>
      </w:rPr>
    </w:lvl>
    <w:lvl w:ilvl="6" w:tplc="12F0D088" w:tentative="1">
      <w:start w:val="1"/>
      <w:numFmt w:val="bullet"/>
      <w:lvlText w:val="•"/>
      <w:lvlJc w:val="left"/>
      <w:pPr>
        <w:tabs>
          <w:tab w:val="num" w:pos="5040"/>
        </w:tabs>
        <w:ind w:left="5040" w:hanging="360"/>
      </w:pPr>
      <w:rPr>
        <w:rFonts w:ascii="Times New Roman" w:hAnsi="Times New Roman" w:hint="default"/>
      </w:rPr>
    </w:lvl>
    <w:lvl w:ilvl="7" w:tplc="72BAE79A" w:tentative="1">
      <w:start w:val="1"/>
      <w:numFmt w:val="bullet"/>
      <w:lvlText w:val="•"/>
      <w:lvlJc w:val="left"/>
      <w:pPr>
        <w:tabs>
          <w:tab w:val="num" w:pos="5760"/>
        </w:tabs>
        <w:ind w:left="5760" w:hanging="360"/>
      </w:pPr>
      <w:rPr>
        <w:rFonts w:ascii="Times New Roman" w:hAnsi="Times New Roman" w:hint="default"/>
      </w:rPr>
    </w:lvl>
    <w:lvl w:ilvl="8" w:tplc="B302C27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6A5C91"/>
    <w:multiLevelType w:val="hybridMultilevel"/>
    <w:tmpl w:val="C9BA5C46"/>
    <w:lvl w:ilvl="0" w:tplc="67327132">
      <w:start w:val="1"/>
      <w:numFmt w:val="bullet"/>
      <w:lvlText w:val="•"/>
      <w:lvlJc w:val="left"/>
      <w:pPr>
        <w:tabs>
          <w:tab w:val="num" w:pos="720"/>
        </w:tabs>
        <w:ind w:left="720" w:hanging="360"/>
      </w:pPr>
      <w:rPr>
        <w:rFonts w:ascii="Times New Roman" w:hAnsi="Times New Roman" w:hint="default"/>
      </w:rPr>
    </w:lvl>
    <w:lvl w:ilvl="1" w:tplc="14DECF92">
      <w:start w:val="1474"/>
      <w:numFmt w:val="bullet"/>
      <w:lvlText w:val="–"/>
      <w:lvlJc w:val="left"/>
      <w:pPr>
        <w:tabs>
          <w:tab w:val="num" w:pos="1440"/>
        </w:tabs>
        <w:ind w:left="1440" w:hanging="360"/>
      </w:pPr>
      <w:rPr>
        <w:rFonts w:ascii="Arial" w:hAnsi="Arial" w:hint="default"/>
      </w:rPr>
    </w:lvl>
    <w:lvl w:ilvl="2" w:tplc="95984C28" w:tentative="1">
      <w:start w:val="1"/>
      <w:numFmt w:val="bullet"/>
      <w:lvlText w:val="•"/>
      <w:lvlJc w:val="left"/>
      <w:pPr>
        <w:tabs>
          <w:tab w:val="num" w:pos="2160"/>
        </w:tabs>
        <w:ind w:left="2160" w:hanging="360"/>
      </w:pPr>
      <w:rPr>
        <w:rFonts w:ascii="Times New Roman" w:hAnsi="Times New Roman" w:hint="default"/>
      </w:rPr>
    </w:lvl>
    <w:lvl w:ilvl="3" w:tplc="33E6585A" w:tentative="1">
      <w:start w:val="1"/>
      <w:numFmt w:val="bullet"/>
      <w:lvlText w:val="•"/>
      <w:lvlJc w:val="left"/>
      <w:pPr>
        <w:tabs>
          <w:tab w:val="num" w:pos="2880"/>
        </w:tabs>
        <w:ind w:left="2880" w:hanging="360"/>
      </w:pPr>
      <w:rPr>
        <w:rFonts w:ascii="Times New Roman" w:hAnsi="Times New Roman" w:hint="default"/>
      </w:rPr>
    </w:lvl>
    <w:lvl w:ilvl="4" w:tplc="CC6CD0A4" w:tentative="1">
      <w:start w:val="1"/>
      <w:numFmt w:val="bullet"/>
      <w:lvlText w:val="•"/>
      <w:lvlJc w:val="left"/>
      <w:pPr>
        <w:tabs>
          <w:tab w:val="num" w:pos="3600"/>
        </w:tabs>
        <w:ind w:left="3600" w:hanging="360"/>
      </w:pPr>
      <w:rPr>
        <w:rFonts w:ascii="Times New Roman" w:hAnsi="Times New Roman" w:hint="default"/>
      </w:rPr>
    </w:lvl>
    <w:lvl w:ilvl="5" w:tplc="A7ECA096" w:tentative="1">
      <w:start w:val="1"/>
      <w:numFmt w:val="bullet"/>
      <w:lvlText w:val="•"/>
      <w:lvlJc w:val="left"/>
      <w:pPr>
        <w:tabs>
          <w:tab w:val="num" w:pos="4320"/>
        </w:tabs>
        <w:ind w:left="4320" w:hanging="360"/>
      </w:pPr>
      <w:rPr>
        <w:rFonts w:ascii="Times New Roman" w:hAnsi="Times New Roman" w:hint="default"/>
      </w:rPr>
    </w:lvl>
    <w:lvl w:ilvl="6" w:tplc="2C54FA28" w:tentative="1">
      <w:start w:val="1"/>
      <w:numFmt w:val="bullet"/>
      <w:lvlText w:val="•"/>
      <w:lvlJc w:val="left"/>
      <w:pPr>
        <w:tabs>
          <w:tab w:val="num" w:pos="5040"/>
        </w:tabs>
        <w:ind w:left="5040" w:hanging="360"/>
      </w:pPr>
      <w:rPr>
        <w:rFonts w:ascii="Times New Roman" w:hAnsi="Times New Roman" w:hint="default"/>
      </w:rPr>
    </w:lvl>
    <w:lvl w:ilvl="7" w:tplc="657C9E1E" w:tentative="1">
      <w:start w:val="1"/>
      <w:numFmt w:val="bullet"/>
      <w:lvlText w:val="•"/>
      <w:lvlJc w:val="left"/>
      <w:pPr>
        <w:tabs>
          <w:tab w:val="num" w:pos="5760"/>
        </w:tabs>
        <w:ind w:left="5760" w:hanging="360"/>
      </w:pPr>
      <w:rPr>
        <w:rFonts w:ascii="Times New Roman" w:hAnsi="Times New Roman" w:hint="default"/>
      </w:rPr>
    </w:lvl>
    <w:lvl w:ilvl="8" w:tplc="4E06B28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A1F71E2"/>
    <w:multiLevelType w:val="hybridMultilevel"/>
    <w:tmpl w:val="7D3A93B2"/>
    <w:lvl w:ilvl="0" w:tplc="AE18445E">
      <w:start w:val="1"/>
      <w:numFmt w:val="bullet"/>
      <w:lvlText w:val="•"/>
      <w:lvlJc w:val="left"/>
      <w:pPr>
        <w:tabs>
          <w:tab w:val="num" w:pos="720"/>
        </w:tabs>
        <w:ind w:left="720" w:hanging="360"/>
      </w:pPr>
      <w:rPr>
        <w:rFonts w:ascii="Times New Roman" w:hAnsi="Times New Roman" w:hint="default"/>
      </w:rPr>
    </w:lvl>
    <w:lvl w:ilvl="1" w:tplc="3FA64192" w:tentative="1">
      <w:start w:val="1"/>
      <w:numFmt w:val="bullet"/>
      <w:lvlText w:val="•"/>
      <w:lvlJc w:val="left"/>
      <w:pPr>
        <w:tabs>
          <w:tab w:val="num" w:pos="1440"/>
        </w:tabs>
        <w:ind w:left="1440" w:hanging="360"/>
      </w:pPr>
      <w:rPr>
        <w:rFonts w:ascii="Times New Roman" w:hAnsi="Times New Roman" w:hint="default"/>
      </w:rPr>
    </w:lvl>
    <w:lvl w:ilvl="2" w:tplc="0D5252D0" w:tentative="1">
      <w:start w:val="1"/>
      <w:numFmt w:val="bullet"/>
      <w:lvlText w:val="•"/>
      <w:lvlJc w:val="left"/>
      <w:pPr>
        <w:tabs>
          <w:tab w:val="num" w:pos="2160"/>
        </w:tabs>
        <w:ind w:left="2160" w:hanging="360"/>
      </w:pPr>
      <w:rPr>
        <w:rFonts w:ascii="Times New Roman" w:hAnsi="Times New Roman" w:hint="default"/>
      </w:rPr>
    </w:lvl>
    <w:lvl w:ilvl="3" w:tplc="85466402" w:tentative="1">
      <w:start w:val="1"/>
      <w:numFmt w:val="bullet"/>
      <w:lvlText w:val="•"/>
      <w:lvlJc w:val="left"/>
      <w:pPr>
        <w:tabs>
          <w:tab w:val="num" w:pos="2880"/>
        </w:tabs>
        <w:ind w:left="2880" w:hanging="360"/>
      </w:pPr>
      <w:rPr>
        <w:rFonts w:ascii="Times New Roman" w:hAnsi="Times New Roman" w:hint="default"/>
      </w:rPr>
    </w:lvl>
    <w:lvl w:ilvl="4" w:tplc="F7540D54" w:tentative="1">
      <w:start w:val="1"/>
      <w:numFmt w:val="bullet"/>
      <w:lvlText w:val="•"/>
      <w:lvlJc w:val="left"/>
      <w:pPr>
        <w:tabs>
          <w:tab w:val="num" w:pos="3600"/>
        </w:tabs>
        <w:ind w:left="3600" w:hanging="360"/>
      </w:pPr>
      <w:rPr>
        <w:rFonts w:ascii="Times New Roman" w:hAnsi="Times New Roman" w:hint="default"/>
      </w:rPr>
    </w:lvl>
    <w:lvl w:ilvl="5" w:tplc="9FA65580" w:tentative="1">
      <w:start w:val="1"/>
      <w:numFmt w:val="bullet"/>
      <w:lvlText w:val="•"/>
      <w:lvlJc w:val="left"/>
      <w:pPr>
        <w:tabs>
          <w:tab w:val="num" w:pos="4320"/>
        </w:tabs>
        <w:ind w:left="4320" w:hanging="360"/>
      </w:pPr>
      <w:rPr>
        <w:rFonts w:ascii="Times New Roman" w:hAnsi="Times New Roman" w:hint="default"/>
      </w:rPr>
    </w:lvl>
    <w:lvl w:ilvl="6" w:tplc="A9B4D00C" w:tentative="1">
      <w:start w:val="1"/>
      <w:numFmt w:val="bullet"/>
      <w:lvlText w:val="•"/>
      <w:lvlJc w:val="left"/>
      <w:pPr>
        <w:tabs>
          <w:tab w:val="num" w:pos="5040"/>
        </w:tabs>
        <w:ind w:left="5040" w:hanging="360"/>
      </w:pPr>
      <w:rPr>
        <w:rFonts w:ascii="Times New Roman" w:hAnsi="Times New Roman" w:hint="default"/>
      </w:rPr>
    </w:lvl>
    <w:lvl w:ilvl="7" w:tplc="F9A4D0C6" w:tentative="1">
      <w:start w:val="1"/>
      <w:numFmt w:val="bullet"/>
      <w:lvlText w:val="•"/>
      <w:lvlJc w:val="left"/>
      <w:pPr>
        <w:tabs>
          <w:tab w:val="num" w:pos="5760"/>
        </w:tabs>
        <w:ind w:left="5760" w:hanging="360"/>
      </w:pPr>
      <w:rPr>
        <w:rFonts w:ascii="Times New Roman" w:hAnsi="Times New Roman" w:hint="default"/>
      </w:rPr>
    </w:lvl>
    <w:lvl w:ilvl="8" w:tplc="C6E4AC4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F20FE8"/>
    <w:multiLevelType w:val="hybridMultilevel"/>
    <w:tmpl w:val="BA98CC78"/>
    <w:lvl w:ilvl="0" w:tplc="C9D8FF92">
      <w:start w:val="1"/>
      <w:numFmt w:val="bullet"/>
      <w:lvlText w:val="•"/>
      <w:lvlJc w:val="left"/>
      <w:pPr>
        <w:tabs>
          <w:tab w:val="num" w:pos="720"/>
        </w:tabs>
        <w:ind w:left="720" w:hanging="360"/>
      </w:pPr>
      <w:rPr>
        <w:rFonts w:ascii="Times New Roman" w:hAnsi="Times New Roman" w:hint="default"/>
      </w:rPr>
    </w:lvl>
    <w:lvl w:ilvl="1" w:tplc="2F427A6E">
      <w:start w:val="1474"/>
      <w:numFmt w:val="bullet"/>
      <w:lvlText w:val="–"/>
      <w:lvlJc w:val="left"/>
      <w:pPr>
        <w:tabs>
          <w:tab w:val="num" w:pos="1440"/>
        </w:tabs>
        <w:ind w:left="1440" w:hanging="360"/>
      </w:pPr>
      <w:rPr>
        <w:rFonts w:ascii="Arial" w:hAnsi="Arial" w:hint="default"/>
      </w:rPr>
    </w:lvl>
    <w:lvl w:ilvl="2" w:tplc="62361AC2" w:tentative="1">
      <w:start w:val="1"/>
      <w:numFmt w:val="bullet"/>
      <w:lvlText w:val="•"/>
      <w:lvlJc w:val="left"/>
      <w:pPr>
        <w:tabs>
          <w:tab w:val="num" w:pos="2160"/>
        </w:tabs>
        <w:ind w:left="2160" w:hanging="360"/>
      </w:pPr>
      <w:rPr>
        <w:rFonts w:ascii="Times New Roman" w:hAnsi="Times New Roman" w:hint="default"/>
      </w:rPr>
    </w:lvl>
    <w:lvl w:ilvl="3" w:tplc="D6F86E7E" w:tentative="1">
      <w:start w:val="1"/>
      <w:numFmt w:val="bullet"/>
      <w:lvlText w:val="•"/>
      <w:lvlJc w:val="left"/>
      <w:pPr>
        <w:tabs>
          <w:tab w:val="num" w:pos="2880"/>
        </w:tabs>
        <w:ind w:left="2880" w:hanging="360"/>
      </w:pPr>
      <w:rPr>
        <w:rFonts w:ascii="Times New Roman" w:hAnsi="Times New Roman" w:hint="default"/>
      </w:rPr>
    </w:lvl>
    <w:lvl w:ilvl="4" w:tplc="6736E4B8" w:tentative="1">
      <w:start w:val="1"/>
      <w:numFmt w:val="bullet"/>
      <w:lvlText w:val="•"/>
      <w:lvlJc w:val="left"/>
      <w:pPr>
        <w:tabs>
          <w:tab w:val="num" w:pos="3600"/>
        </w:tabs>
        <w:ind w:left="3600" w:hanging="360"/>
      </w:pPr>
      <w:rPr>
        <w:rFonts w:ascii="Times New Roman" w:hAnsi="Times New Roman" w:hint="default"/>
      </w:rPr>
    </w:lvl>
    <w:lvl w:ilvl="5" w:tplc="F2986DFE" w:tentative="1">
      <w:start w:val="1"/>
      <w:numFmt w:val="bullet"/>
      <w:lvlText w:val="•"/>
      <w:lvlJc w:val="left"/>
      <w:pPr>
        <w:tabs>
          <w:tab w:val="num" w:pos="4320"/>
        </w:tabs>
        <w:ind w:left="4320" w:hanging="360"/>
      </w:pPr>
      <w:rPr>
        <w:rFonts w:ascii="Times New Roman" w:hAnsi="Times New Roman" w:hint="default"/>
      </w:rPr>
    </w:lvl>
    <w:lvl w:ilvl="6" w:tplc="05805FA8" w:tentative="1">
      <w:start w:val="1"/>
      <w:numFmt w:val="bullet"/>
      <w:lvlText w:val="•"/>
      <w:lvlJc w:val="left"/>
      <w:pPr>
        <w:tabs>
          <w:tab w:val="num" w:pos="5040"/>
        </w:tabs>
        <w:ind w:left="5040" w:hanging="360"/>
      </w:pPr>
      <w:rPr>
        <w:rFonts w:ascii="Times New Roman" w:hAnsi="Times New Roman" w:hint="default"/>
      </w:rPr>
    </w:lvl>
    <w:lvl w:ilvl="7" w:tplc="243ED298" w:tentative="1">
      <w:start w:val="1"/>
      <w:numFmt w:val="bullet"/>
      <w:lvlText w:val="•"/>
      <w:lvlJc w:val="left"/>
      <w:pPr>
        <w:tabs>
          <w:tab w:val="num" w:pos="5760"/>
        </w:tabs>
        <w:ind w:left="5760" w:hanging="360"/>
      </w:pPr>
      <w:rPr>
        <w:rFonts w:ascii="Times New Roman" w:hAnsi="Times New Roman" w:hint="default"/>
      </w:rPr>
    </w:lvl>
    <w:lvl w:ilvl="8" w:tplc="B266A49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45535DE"/>
    <w:multiLevelType w:val="hybridMultilevel"/>
    <w:tmpl w:val="A0242E12"/>
    <w:lvl w:ilvl="0" w:tplc="CF34A006">
      <w:start w:val="1"/>
      <w:numFmt w:val="bullet"/>
      <w:lvlText w:val="•"/>
      <w:lvlJc w:val="left"/>
      <w:pPr>
        <w:tabs>
          <w:tab w:val="num" w:pos="720"/>
        </w:tabs>
        <w:ind w:left="720" w:hanging="360"/>
      </w:pPr>
      <w:rPr>
        <w:rFonts w:ascii="Times New Roman" w:hAnsi="Times New Roman" w:hint="default"/>
      </w:rPr>
    </w:lvl>
    <w:lvl w:ilvl="1" w:tplc="80FE1CFA">
      <w:start w:val="1445"/>
      <w:numFmt w:val="bullet"/>
      <w:lvlText w:val="–"/>
      <w:lvlJc w:val="left"/>
      <w:pPr>
        <w:tabs>
          <w:tab w:val="num" w:pos="1440"/>
        </w:tabs>
        <w:ind w:left="1440" w:hanging="360"/>
      </w:pPr>
      <w:rPr>
        <w:rFonts w:ascii="Arial" w:hAnsi="Arial" w:hint="default"/>
      </w:rPr>
    </w:lvl>
    <w:lvl w:ilvl="2" w:tplc="1536130C" w:tentative="1">
      <w:start w:val="1"/>
      <w:numFmt w:val="bullet"/>
      <w:lvlText w:val="•"/>
      <w:lvlJc w:val="left"/>
      <w:pPr>
        <w:tabs>
          <w:tab w:val="num" w:pos="2160"/>
        </w:tabs>
        <w:ind w:left="2160" w:hanging="360"/>
      </w:pPr>
      <w:rPr>
        <w:rFonts w:ascii="Times New Roman" w:hAnsi="Times New Roman" w:hint="default"/>
      </w:rPr>
    </w:lvl>
    <w:lvl w:ilvl="3" w:tplc="FFAE7AFA" w:tentative="1">
      <w:start w:val="1"/>
      <w:numFmt w:val="bullet"/>
      <w:lvlText w:val="•"/>
      <w:lvlJc w:val="left"/>
      <w:pPr>
        <w:tabs>
          <w:tab w:val="num" w:pos="2880"/>
        </w:tabs>
        <w:ind w:left="2880" w:hanging="360"/>
      </w:pPr>
      <w:rPr>
        <w:rFonts w:ascii="Times New Roman" w:hAnsi="Times New Roman" w:hint="default"/>
      </w:rPr>
    </w:lvl>
    <w:lvl w:ilvl="4" w:tplc="6C127B7A" w:tentative="1">
      <w:start w:val="1"/>
      <w:numFmt w:val="bullet"/>
      <w:lvlText w:val="•"/>
      <w:lvlJc w:val="left"/>
      <w:pPr>
        <w:tabs>
          <w:tab w:val="num" w:pos="3600"/>
        </w:tabs>
        <w:ind w:left="3600" w:hanging="360"/>
      </w:pPr>
      <w:rPr>
        <w:rFonts w:ascii="Times New Roman" w:hAnsi="Times New Roman" w:hint="default"/>
      </w:rPr>
    </w:lvl>
    <w:lvl w:ilvl="5" w:tplc="8F8691A2" w:tentative="1">
      <w:start w:val="1"/>
      <w:numFmt w:val="bullet"/>
      <w:lvlText w:val="•"/>
      <w:lvlJc w:val="left"/>
      <w:pPr>
        <w:tabs>
          <w:tab w:val="num" w:pos="4320"/>
        </w:tabs>
        <w:ind w:left="4320" w:hanging="360"/>
      </w:pPr>
      <w:rPr>
        <w:rFonts w:ascii="Times New Roman" w:hAnsi="Times New Roman" w:hint="default"/>
      </w:rPr>
    </w:lvl>
    <w:lvl w:ilvl="6" w:tplc="5C12B4BC" w:tentative="1">
      <w:start w:val="1"/>
      <w:numFmt w:val="bullet"/>
      <w:lvlText w:val="•"/>
      <w:lvlJc w:val="left"/>
      <w:pPr>
        <w:tabs>
          <w:tab w:val="num" w:pos="5040"/>
        </w:tabs>
        <w:ind w:left="5040" w:hanging="360"/>
      </w:pPr>
      <w:rPr>
        <w:rFonts w:ascii="Times New Roman" w:hAnsi="Times New Roman" w:hint="default"/>
      </w:rPr>
    </w:lvl>
    <w:lvl w:ilvl="7" w:tplc="21C84D7E" w:tentative="1">
      <w:start w:val="1"/>
      <w:numFmt w:val="bullet"/>
      <w:lvlText w:val="•"/>
      <w:lvlJc w:val="left"/>
      <w:pPr>
        <w:tabs>
          <w:tab w:val="num" w:pos="5760"/>
        </w:tabs>
        <w:ind w:left="5760" w:hanging="360"/>
      </w:pPr>
      <w:rPr>
        <w:rFonts w:ascii="Times New Roman" w:hAnsi="Times New Roman" w:hint="default"/>
      </w:rPr>
    </w:lvl>
    <w:lvl w:ilvl="8" w:tplc="41B8B5D2" w:tentative="1">
      <w:start w:val="1"/>
      <w:numFmt w:val="bullet"/>
      <w:lvlText w:val="•"/>
      <w:lvlJc w:val="left"/>
      <w:pPr>
        <w:tabs>
          <w:tab w:val="num" w:pos="6480"/>
        </w:tabs>
        <w:ind w:left="6480" w:hanging="360"/>
      </w:pPr>
      <w:rPr>
        <w:rFonts w:ascii="Times New Roman" w:hAnsi="Times New Roman" w:hint="default"/>
      </w:rPr>
    </w:lvl>
  </w:abstractNum>
  <w:abstractNum w:abstractNumId="6">
    <w:nsid w:val="14E53E04"/>
    <w:multiLevelType w:val="hybridMultilevel"/>
    <w:tmpl w:val="CB86514A"/>
    <w:lvl w:ilvl="0" w:tplc="E6A27A0E">
      <w:start w:val="1"/>
      <w:numFmt w:val="bullet"/>
      <w:lvlText w:val="•"/>
      <w:lvlJc w:val="left"/>
      <w:pPr>
        <w:tabs>
          <w:tab w:val="num" w:pos="720"/>
        </w:tabs>
        <w:ind w:left="720" w:hanging="360"/>
      </w:pPr>
      <w:rPr>
        <w:rFonts w:ascii="Times New Roman" w:hAnsi="Times New Roman" w:hint="default"/>
      </w:rPr>
    </w:lvl>
    <w:lvl w:ilvl="1" w:tplc="F1C225DC">
      <w:start w:val="1073"/>
      <w:numFmt w:val="bullet"/>
      <w:lvlText w:val="–"/>
      <w:lvlJc w:val="left"/>
      <w:pPr>
        <w:tabs>
          <w:tab w:val="num" w:pos="1440"/>
        </w:tabs>
        <w:ind w:left="1440" w:hanging="360"/>
      </w:pPr>
      <w:rPr>
        <w:rFonts w:ascii="Arial" w:hAnsi="Arial" w:hint="default"/>
      </w:rPr>
    </w:lvl>
    <w:lvl w:ilvl="2" w:tplc="F4B8DEB0" w:tentative="1">
      <w:start w:val="1"/>
      <w:numFmt w:val="bullet"/>
      <w:lvlText w:val="•"/>
      <w:lvlJc w:val="left"/>
      <w:pPr>
        <w:tabs>
          <w:tab w:val="num" w:pos="2160"/>
        </w:tabs>
        <w:ind w:left="2160" w:hanging="360"/>
      </w:pPr>
      <w:rPr>
        <w:rFonts w:ascii="Times New Roman" w:hAnsi="Times New Roman" w:hint="default"/>
      </w:rPr>
    </w:lvl>
    <w:lvl w:ilvl="3" w:tplc="B7A85FEA" w:tentative="1">
      <w:start w:val="1"/>
      <w:numFmt w:val="bullet"/>
      <w:lvlText w:val="•"/>
      <w:lvlJc w:val="left"/>
      <w:pPr>
        <w:tabs>
          <w:tab w:val="num" w:pos="2880"/>
        </w:tabs>
        <w:ind w:left="2880" w:hanging="360"/>
      </w:pPr>
      <w:rPr>
        <w:rFonts w:ascii="Times New Roman" w:hAnsi="Times New Roman" w:hint="default"/>
      </w:rPr>
    </w:lvl>
    <w:lvl w:ilvl="4" w:tplc="052A5636" w:tentative="1">
      <w:start w:val="1"/>
      <w:numFmt w:val="bullet"/>
      <w:lvlText w:val="•"/>
      <w:lvlJc w:val="left"/>
      <w:pPr>
        <w:tabs>
          <w:tab w:val="num" w:pos="3600"/>
        </w:tabs>
        <w:ind w:left="3600" w:hanging="360"/>
      </w:pPr>
      <w:rPr>
        <w:rFonts w:ascii="Times New Roman" w:hAnsi="Times New Roman" w:hint="default"/>
      </w:rPr>
    </w:lvl>
    <w:lvl w:ilvl="5" w:tplc="A6C423A6" w:tentative="1">
      <w:start w:val="1"/>
      <w:numFmt w:val="bullet"/>
      <w:lvlText w:val="•"/>
      <w:lvlJc w:val="left"/>
      <w:pPr>
        <w:tabs>
          <w:tab w:val="num" w:pos="4320"/>
        </w:tabs>
        <w:ind w:left="4320" w:hanging="360"/>
      </w:pPr>
      <w:rPr>
        <w:rFonts w:ascii="Times New Roman" w:hAnsi="Times New Roman" w:hint="default"/>
      </w:rPr>
    </w:lvl>
    <w:lvl w:ilvl="6" w:tplc="DF6484E4" w:tentative="1">
      <w:start w:val="1"/>
      <w:numFmt w:val="bullet"/>
      <w:lvlText w:val="•"/>
      <w:lvlJc w:val="left"/>
      <w:pPr>
        <w:tabs>
          <w:tab w:val="num" w:pos="5040"/>
        </w:tabs>
        <w:ind w:left="5040" w:hanging="360"/>
      </w:pPr>
      <w:rPr>
        <w:rFonts w:ascii="Times New Roman" w:hAnsi="Times New Roman" w:hint="default"/>
      </w:rPr>
    </w:lvl>
    <w:lvl w:ilvl="7" w:tplc="94EA53FE" w:tentative="1">
      <w:start w:val="1"/>
      <w:numFmt w:val="bullet"/>
      <w:lvlText w:val="•"/>
      <w:lvlJc w:val="left"/>
      <w:pPr>
        <w:tabs>
          <w:tab w:val="num" w:pos="5760"/>
        </w:tabs>
        <w:ind w:left="5760" w:hanging="360"/>
      </w:pPr>
      <w:rPr>
        <w:rFonts w:ascii="Times New Roman" w:hAnsi="Times New Roman" w:hint="default"/>
      </w:rPr>
    </w:lvl>
    <w:lvl w:ilvl="8" w:tplc="BF943FF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5B32CEC"/>
    <w:multiLevelType w:val="hybridMultilevel"/>
    <w:tmpl w:val="2DD6C51E"/>
    <w:lvl w:ilvl="0" w:tplc="C678A050">
      <w:start w:val="1"/>
      <w:numFmt w:val="bullet"/>
      <w:lvlText w:val="•"/>
      <w:lvlJc w:val="left"/>
      <w:pPr>
        <w:tabs>
          <w:tab w:val="num" w:pos="720"/>
        </w:tabs>
        <w:ind w:left="720" w:hanging="360"/>
      </w:pPr>
      <w:rPr>
        <w:rFonts w:ascii="Times New Roman" w:hAnsi="Times New Roman" w:hint="default"/>
      </w:rPr>
    </w:lvl>
    <w:lvl w:ilvl="1" w:tplc="92A65042">
      <w:start w:val="1073"/>
      <w:numFmt w:val="bullet"/>
      <w:lvlText w:val="–"/>
      <w:lvlJc w:val="left"/>
      <w:pPr>
        <w:tabs>
          <w:tab w:val="num" w:pos="1440"/>
        </w:tabs>
        <w:ind w:left="1440" w:hanging="360"/>
      </w:pPr>
      <w:rPr>
        <w:rFonts w:ascii="Arial" w:hAnsi="Arial" w:hint="default"/>
      </w:rPr>
    </w:lvl>
    <w:lvl w:ilvl="2" w:tplc="87EE3A9A" w:tentative="1">
      <w:start w:val="1"/>
      <w:numFmt w:val="bullet"/>
      <w:lvlText w:val="•"/>
      <w:lvlJc w:val="left"/>
      <w:pPr>
        <w:tabs>
          <w:tab w:val="num" w:pos="2160"/>
        </w:tabs>
        <w:ind w:left="2160" w:hanging="360"/>
      </w:pPr>
      <w:rPr>
        <w:rFonts w:ascii="Times New Roman" w:hAnsi="Times New Roman" w:hint="default"/>
      </w:rPr>
    </w:lvl>
    <w:lvl w:ilvl="3" w:tplc="7536271A" w:tentative="1">
      <w:start w:val="1"/>
      <w:numFmt w:val="bullet"/>
      <w:lvlText w:val="•"/>
      <w:lvlJc w:val="left"/>
      <w:pPr>
        <w:tabs>
          <w:tab w:val="num" w:pos="2880"/>
        </w:tabs>
        <w:ind w:left="2880" w:hanging="360"/>
      </w:pPr>
      <w:rPr>
        <w:rFonts w:ascii="Times New Roman" w:hAnsi="Times New Roman" w:hint="default"/>
      </w:rPr>
    </w:lvl>
    <w:lvl w:ilvl="4" w:tplc="855A3E7C" w:tentative="1">
      <w:start w:val="1"/>
      <w:numFmt w:val="bullet"/>
      <w:lvlText w:val="•"/>
      <w:lvlJc w:val="left"/>
      <w:pPr>
        <w:tabs>
          <w:tab w:val="num" w:pos="3600"/>
        </w:tabs>
        <w:ind w:left="3600" w:hanging="360"/>
      </w:pPr>
      <w:rPr>
        <w:rFonts w:ascii="Times New Roman" w:hAnsi="Times New Roman" w:hint="default"/>
      </w:rPr>
    </w:lvl>
    <w:lvl w:ilvl="5" w:tplc="6F2A0EBA" w:tentative="1">
      <w:start w:val="1"/>
      <w:numFmt w:val="bullet"/>
      <w:lvlText w:val="•"/>
      <w:lvlJc w:val="left"/>
      <w:pPr>
        <w:tabs>
          <w:tab w:val="num" w:pos="4320"/>
        </w:tabs>
        <w:ind w:left="4320" w:hanging="360"/>
      </w:pPr>
      <w:rPr>
        <w:rFonts w:ascii="Times New Roman" w:hAnsi="Times New Roman" w:hint="default"/>
      </w:rPr>
    </w:lvl>
    <w:lvl w:ilvl="6" w:tplc="373EB0AC" w:tentative="1">
      <w:start w:val="1"/>
      <w:numFmt w:val="bullet"/>
      <w:lvlText w:val="•"/>
      <w:lvlJc w:val="left"/>
      <w:pPr>
        <w:tabs>
          <w:tab w:val="num" w:pos="5040"/>
        </w:tabs>
        <w:ind w:left="5040" w:hanging="360"/>
      </w:pPr>
      <w:rPr>
        <w:rFonts w:ascii="Times New Roman" w:hAnsi="Times New Roman" w:hint="default"/>
      </w:rPr>
    </w:lvl>
    <w:lvl w:ilvl="7" w:tplc="409E80A6" w:tentative="1">
      <w:start w:val="1"/>
      <w:numFmt w:val="bullet"/>
      <w:lvlText w:val="•"/>
      <w:lvlJc w:val="left"/>
      <w:pPr>
        <w:tabs>
          <w:tab w:val="num" w:pos="5760"/>
        </w:tabs>
        <w:ind w:left="5760" w:hanging="360"/>
      </w:pPr>
      <w:rPr>
        <w:rFonts w:ascii="Times New Roman" w:hAnsi="Times New Roman" w:hint="default"/>
      </w:rPr>
    </w:lvl>
    <w:lvl w:ilvl="8" w:tplc="FCF4A08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F64DAD"/>
    <w:multiLevelType w:val="hybridMultilevel"/>
    <w:tmpl w:val="5D02B3DA"/>
    <w:lvl w:ilvl="0" w:tplc="53E279B8">
      <w:start w:val="1"/>
      <w:numFmt w:val="bullet"/>
      <w:lvlText w:val="•"/>
      <w:lvlJc w:val="left"/>
      <w:pPr>
        <w:tabs>
          <w:tab w:val="num" w:pos="720"/>
        </w:tabs>
        <w:ind w:left="720" w:hanging="360"/>
      </w:pPr>
      <w:rPr>
        <w:rFonts w:ascii="Times New Roman" w:hAnsi="Times New Roman" w:hint="default"/>
      </w:rPr>
    </w:lvl>
    <w:lvl w:ilvl="1" w:tplc="29588716">
      <w:start w:val="1474"/>
      <w:numFmt w:val="bullet"/>
      <w:lvlText w:val="–"/>
      <w:lvlJc w:val="left"/>
      <w:pPr>
        <w:tabs>
          <w:tab w:val="num" w:pos="1440"/>
        </w:tabs>
        <w:ind w:left="1440" w:hanging="360"/>
      </w:pPr>
      <w:rPr>
        <w:rFonts w:ascii="Arial" w:hAnsi="Arial" w:hint="default"/>
      </w:rPr>
    </w:lvl>
    <w:lvl w:ilvl="2" w:tplc="BD6EB58A" w:tentative="1">
      <w:start w:val="1"/>
      <w:numFmt w:val="bullet"/>
      <w:lvlText w:val="•"/>
      <w:lvlJc w:val="left"/>
      <w:pPr>
        <w:tabs>
          <w:tab w:val="num" w:pos="2160"/>
        </w:tabs>
        <w:ind w:left="2160" w:hanging="360"/>
      </w:pPr>
      <w:rPr>
        <w:rFonts w:ascii="Times New Roman" w:hAnsi="Times New Roman" w:hint="default"/>
      </w:rPr>
    </w:lvl>
    <w:lvl w:ilvl="3" w:tplc="02CA492A" w:tentative="1">
      <w:start w:val="1"/>
      <w:numFmt w:val="bullet"/>
      <w:lvlText w:val="•"/>
      <w:lvlJc w:val="left"/>
      <w:pPr>
        <w:tabs>
          <w:tab w:val="num" w:pos="2880"/>
        </w:tabs>
        <w:ind w:left="2880" w:hanging="360"/>
      </w:pPr>
      <w:rPr>
        <w:rFonts w:ascii="Times New Roman" w:hAnsi="Times New Roman" w:hint="default"/>
      </w:rPr>
    </w:lvl>
    <w:lvl w:ilvl="4" w:tplc="2CD06E34" w:tentative="1">
      <w:start w:val="1"/>
      <w:numFmt w:val="bullet"/>
      <w:lvlText w:val="•"/>
      <w:lvlJc w:val="left"/>
      <w:pPr>
        <w:tabs>
          <w:tab w:val="num" w:pos="3600"/>
        </w:tabs>
        <w:ind w:left="3600" w:hanging="360"/>
      </w:pPr>
      <w:rPr>
        <w:rFonts w:ascii="Times New Roman" w:hAnsi="Times New Roman" w:hint="default"/>
      </w:rPr>
    </w:lvl>
    <w:lvl w:ilvl="5" w:tplc="3544D53E" w:tentative="1">
      <w:start w:val="1"/>
      <w:numFmt w:val="bullet"/>
      <w:lvlText w:val="•"/>
      <w:lvlJc w:val="left"/>
      <w:pPr>
        <w:tabs>
          <w:tab w:val="num" w:pos="4320"/>
        </w:tabs>
        <w:ind w:left="4320" w:hanging="360"/>
      </w:pPr>
      <w:rPr>
        <w:rFonts w:ascii="Times New Roman" w:hAnsi="Times New Roman" w:hint="default"/>
      </w:rPr>
    </w:lvl>
    <w:lvl w:ilvl="6" w:tplc="4AAC2A3A" w:tentative="1">
      <w:start w:val="1"/>
      <w:numFmt w:val="bullet"/>
      <w:lvlText w:val="•"/>
      <w:lvlJc w:val="left"/>
      <w:pPr>
        <w:tabs>
          <w:tab w:val="num" w:pos="5040"/>
        </w:tabs>
        <w:ind w:left="5040" w:hanging="360"/>
      </w:pPr>
      <w:rPr>
        <w:rFonts w:ascii="Times New Roman" w:hAnsi="Times New Roman" w:hint="default"/>
      </w:rPr>
    </w:lvl>
    <w:lvl w:ilvl="7" w:tplc="4A063114" w:tentative="1">
      <w:start w:val="1"/>
      <w:numFmt w:val="bullet"/>
      <w:lvlText w:val="•"/>
      <w:lvlJc w:val="left"/>
      <w:pPr>
        <w:tabs>
          <w:tab w:val="num" w:pos="5760"/>
        </w:tabs>
        <w:ind w:left="5760" w:hanging="360"/>
      </w:pPr>
      <w:rPr>
        <w:rFonts w:ascii="Times New Roman" w:hAnsi="Times New Roman" w:hint="default"/>
      </w:rPr>
    </w:lvl>
    <w:lvl w:ilvl="8" w:tplc="34FC11A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93075A0"/>
    <w:multiLevelType w:val="hybridMultilevel"/>
    <w:tmpl w:val="B15A5EEE"/>
    <w:lvl w:ilvl="0" w:tplc="23A0FB7A">
      <w:start w:val="1"/>
      <w:numFmt w:val="bullet"/>
      <w:lvlText w:val="•"/>
      <w:lvlJc w:val="left"/>
      <w:pPr>
        <w:tabs>
          <w:tab w:val="num" w:pos="720"/>
        </w:tabs>
        <w:ind w:left="720" w:hanging="360"/>
      </w:pPr>
      <w:rPr>
        <w:rFonts w:ascii="Times New Roman" w:hAnsi="Times New Roman" w:hint="default"/>
      </w:rPr>
    </w:lvl>
    <w:lvl w:ilvl="1" w:tplc="39C83DF0">
      <w:start w:val="1474"/>
      <w:numFmt w:val="bullet"/>
      <w:lvlText w:val="–"/>
      <w:lvlJc w:val="left"/>
      <w:pPr>
        <w:tabs>
          <w:tab w:val="num" w:pos="1440"/>
        </w:tabs>
        <w:ind w:left="1440" w:hanging="360"/>
      </w:pPr>
      <w:rPr>
        <w:rFonts w:ascii="Arial" w:hAnsi="Arial" w:hint="default"/>
      </w:rPr>
    </w:lvl>
    <w:lvl w:ilvl="2" w:tplc="7AF4489E" w:tentative="1">
      <w:start w:val="1"/>
      <w:numFmt w:val="bullet"/>
      <w:lvlText w:val="•"/>
      <w:lvlJc w:val="left"/>
      <w:pPr>
        <w:tabs>
          <w:tab w:val="num" w:pos="2160"/>
        </w:tabs>
        <w:ind w:left="2160" w:hanging="360"/>
      </w:pPr>
      <w:rPr>
        <w:rFonts w:ascii="Times New Roman" w:hAnsi="Times New Roman" w:hint="default"/>
      </w:rPr>
    </w:lvl>
    <w:lvl w:ilvl="3" w:tplc="5D30608E" w:tentative="1">
      <w:start w:val="1"/>
      <w:numFmt w:val="bullet"/>
      <w:lvlText w:val="•"/>
      <w:lvlJc w:val="left"/>
      <w:pPr>
        <w:tabs>
          <w:tab w:val="num" w:pos="2880"/>
        </w:tabs>
        <w:ind w:left="2880" w:hanging="360"/>
      </w:pPr>
      <w:rPr>
        <w:rFonts w:ascii="Times New Roman" w:hAnsi="Times New Roman" w:hint="default"/>
      </w:rPr>
    </w:lvl>
    <w:lvl w:ilvl="4" w:tplc="A2C6361E" w:tentative="1">
      <w:start w:val="1"/>
      <w:numFmt w:val="bullet"/>
      <w:lvlText w:val="•"/>
      <w:lvlJc w:val="left"/>
      <w:pPr>
        <w:tabs>
          <w:tab w:val="num" w:pos="3600"/>
        </w:tabs>
        <w:ind w:left="3600" w:hanging="360"/>
      </w:pPr>
      <w:rPr>
        <w:rFonts w:ascii="Times New Roman" w:hAnsi="Times New Roman" w:hint="default"/>
      </w:rPr>
    </w:lvl>
    <w:lvl w:ilvl="5" w:tplc="A0DA4CAE" w:tentative="1">
      <w:start w:val="1"/>
      <w:numFmt w:val="bullet"/>
      <w:lvlText w:val="•"/>
      <w:lvlJc w:val="left"/>
      <w:pPr>
        <w:tabs>
          <w:tab w:val="num" w:pos="4320"/>
        </w:tabs>
        <w:ind w:left="4320" w:hanging="360"/>
      </w:pPr>
      <w:rPr>
        <w:rFonts w:ascii="Times New Roman" w:hAnsi="Times New Roman" w:hint="default"/>
      </w:rPr>
    </w:lvl>
    <w:lvl w:ilvl="6" w:tplc="451C9282" w:tentative="1">
      <w:start w:val="1"/>
      <w:numFmt w:val="bullet"/>
      <w:lvlText w:val="•"/>
      <w:lvlJc w:val="left"/>
      <w:pPr>
        <w:tabs>
          <w:tab w:val="num" w:pos="5040"/>
        </w:tabs>
        <w:ind w:left="5040" w:hanging="360"/>
      </w:pPr>
      <w:rPr>
        <w:rFonts w:ascii="Times New Roman" w:hAnsi="Times New Roman" w:hint="default"/>
      </w:rPr>
    </w:lvl>
    <w:lvl w:ilvl="7" w:tplc="2F984C5A" w:tentative="1">
      <w:start w:val="1"/>
      <w:numFmt w:val="bullet"/>
      <w:lvlText w:val="•"/>
      <w:lvlJc w:val="left"/>
      <w:pPr>
        <w:tabs>
          <w:tab w:val="num" w:pos="5760"/>
        </w:tabs>
        <w:ind w:left="5760" w:hanging="360"/>
      </w:pPr>
      <w:rPr>
        <w:rFonts w:ascii="Times New Roman" w:hAnsi="Times New Roman" w:hint="default"/>
      </w:rPr>
    </w:lvl>
    <w:lvl w:ilvl="8" w:tplc="6B923C8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D0A3B94"/>
    <w:multiLevelType w:val="hybridMultilevel"/>
    <w:tmpl w:val="A2288688"/>
    <w:lvl w:ilvl="0" w:tplc="6E16A61C">
      <w:start w:val="1"/>
      <w:numFmt w:val="bullet"/>
      <w:lvlText w:val="•"/>
      <w:lvlJc w:val="left"/>
      <w:pPr>
        <w:tabs>
          <w:tab w:val="num" w:pos="720"/>
        </w:tabs>
        <w:ind w:left="720" w:hanging="360"/>
      </w:pPr>
      <w:rPr>
        <w:rFonts w:ascii="Times New Roman" w:hAnsi="Times New Roman" w:hint="default"/>
      </w:rPr>
    </w:lvl>
    <w:lvl w:ilvl="1" w:tplc="0D3070B8" w:tentative="1">
      <w:start w:val="1"/>
      <w:numFmt w:val="bullet"/>
      <w:lvlText w:val="•"/>
      <w:lvlJc w:val="left"/>
      <w:pPr>
        <w:tabs>
          <w:tab w:val="num" w:pos="1440"/>
        </w:tabs>
        <w:ind w:left="1440" w:hanging="360"/>
      </w:pPr>
      <w:rPr>
        <w:rFonts w:ascii="Times New Roman" w:hAnsi="Times New Roman" w:hint="default"/>
      </w:rPr>
    </w:lvl>
    <w:lvl w:ilvl="2" w:tplc="D7C68A28" w:tentative="1">
      <w:start w:val="1"/>
      <w:numFmt w:val="bullet"/>
      <w:lvlText w:val="•"/>
      <w:lvlJc w:val="left"/>
      <w:pPr>
        <w:tabs>
          <w:tab w:val="num" w:pos="2160"/>
        </w:tabs>
        <w:ind w:left="2160" w:hanging="360"/>
      </w:pPr>
      <w:rPr>
        <w:rFonts w:ascii="Times New Roman" w:hAnsi="Times New Roman" w:hint="default"/>
      </w:rPr>
    </w:lvl>
    <w:lvl w:ilvl="3" w:tplc="B14E8F08" w:tentative="1">
      <w:start w:val="1"/>
      <w:numFmt w:val="bullet"/>
      <w:lvlText w:val="•"/>
      <w:lvlJc w:val="left"/>
      <w:pPr>
        <w:tabs>
          <w:tab w:val="num" w:pos="2880"/>
        </w:tabs>
        <w:ind w:left="2880" w:hanging="360"/>
      </w:pPr>
      <w:rPr>
        <w:rFonts w:ascii="Times New Roman" w:hAnsi="Times New Roman" w:hint="default"/>
      </w:rPr>
    </w:lvl>
    <w:lvl w:ilvl="4" w:tplc="B448BF02" w:tentative="1">
      <w:start w:val="1"/>
      <w:numFmt w:val="bullet"/>
      <w:lvlText w:val="•"/>
      <w:lvlJc w:val="left"/>
      <w:pPr>
        <w:tabs>
          <w:tab w:val="num" w:pos="3600"/>
        </w:tabs>
        <w:ind w:left="3600" w:hanging="360"/>
      </w:pPr>
      <w:rPr>
        <w:rFonts w:ascii="Times New Roman" w:hAnsi="Times New Roman" w:hint="default"/>
      </w:rPr>
    </w:lvl>
    <w:lvl w:ilvl="5" w:tplc="233899F4" w:tentative="1">
      <w:start w:val="1"/>
      <w:numFmt w:val="bullet"/>
      <w:lvlText w:val="•"/>
      <w:lvlJc w:val="left"/>
      <w:pPr>
        <w:tabs>
          <w:tab w:val="num" w:pos="4320"/>
        </w:tabs>
        <w:ind w:left="4320" w:hanging="360"/>
      </w:pPr>
      <w:rPr>
        <w:rFonts w:ascii="Times New Roman" w:hAnsi="Times New Roman" w:hint="default"/>
      </w:rPr>
    </w:lvl>
    <w:lvl w:ilvl="6" w:tplc="B0EE38D0" w:tentative="1">
      <w:start w:val="1"/>
      <w:numFmt w:val="bullet"/>
      <w:lvlText w:val="•"/>
      <w:lvlJc w:val="left"/>
      <w:pPr>
        <w:tabs>
          <w:tab w:val="num" w:pos="5040"/>
        </w:tabs>
        <w:ind w:left="5040" w:hanging="360"/>
      </w:pPr>
      <w:rPr>
        <w:rFonts w:ascii="Times New Roman" w:hAnsi="Times New Roman" w:hint="default"/>
      </w:rPr>
    </w:lvl>
    <w:lvl w:ilvl="7" w:tplc="F454BC4E" w:tentative="1">
      <w:start w:val="1"/>
      <w:numFmt w:val="bullet"/>
      <w:lvlText w:val="•"/>
      <w:lvlJc w:val="left"/>
      <w:pPr>
        <w:tabs>
          <w:tab w:val="num" w:pos="5760"/>
        </w:tabs>
        <w:ind w:left="5760" w:hanging="360"/>
      </w:pPr>
      <w:rPr>
        <w:rFonts w:ascii="Times New Roman" w:hAnsi="Times New Roman" w:hint="default"/>
      </w:rPr>
    </w:lvl>
    <w:lvl w:ilvl="8" w:tplc="785A824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E474176"/>
    <w:multiLevelType w:val="hybridMultilevel"/>
    <w:tmpl w:val="146CF6AE"/>
    <w:lvl w:ilvl="0" w:tplc="079C45AC">
      <w:start w:val="1"/>
      <w:numFmt w:val="bullet"/>
      <w:lvlText w:val="•"/>
      <w:lvlJc w:val="left"/>
      <w:pPr>
        <w:tabs>
          <w:tab w:val="num" w:pos="720"/>
        </w:tabs>
        <w:ind w:left="720" w:hanging="360"/>
      </w:pPr>
      <w:rPr>
        <w:rFonts w:ascii="Times New Roman" w:hAnsi="Times New Roman" w:hint="default"/>
      </w:rPr>
    </w:lvl>
    <w:lvl w:ilvl="1" w:tplc="425051DA">
      <w:start w:val="1474"/>
      <w:numFmt w:val="bullet"/>
      <w:lvlText w:val="–"/>
      <w:lvlJc w:val="left"/>
      <w:pPr>
        <w:tabs>
          <w:tab w:val="num" w:pos="1440"/>
        </w:tabs>
        <w:ind w:left="1440" w:hanging="360"/>
      </w:pPr>
      <w:rPr>
        <w:rFonts w:ascii="Arial" w:hAnsi="Arial" w:hint="default"/>
      </w:rPr>
    </w:lvl>
    <w:lvl w:ilvl="2" w:tplc="81B45406" w:tentative="1">
      <w:start w:val="1"/>
      <w:numFmt w:val="bullet"/>
      <w:lvlText w:val="•"/>
      <w:lvlJc w:val="left"/>
      <w:pPr>
        <w:tabs>
          <w:tab w:val="num" w:pos="2160"/>
        </w:tabs>
        <w:ind w:left="2160" w:hanging="360"/>
      </w:pPr>
      <w:rPr>
        <w:rFonts w:ascii="Times New Roman" w:hAnsi="Times New Roman" w:hint="default"/>
      </w:rPr>
    </w:lvl>
    <w:lvl w:ilvl="3" w:tplc="B98E18CE" w:tentative="1">
      <w:start w:val="1"/>
      <w:numFmt w:val="bullet"/>
      <w:lvlText w:val="•"/>
      <w:lvlJc w:val="left"/>
      <w:pPr>
        <w:tabs>
          <w:tab w:val="num" w:pos="2880"/>
        </w:tabs>
        <w:ind w:left="2880" w:hanging="360"/>
      </w:pPr>
      <w:rPr>
        <w:rFonts w:ascii="Times New Roman" w:hAnsi="Times New Roman" w:hint="default"/>
      </w:rPr>
    </w:lvl>
    <w:lvl w:ilvl="4" w:tplc="0DD2ADD8" w:tentative="1">
      <w:start w:val="1"/>
      <w:numFmt w:val="bullet"/>
      <w:lvlText w:val="•"/>
      <w:lvlJc w:val="left"/>
      <w:pPr>
        <w:tabs>
          <w:tab w:val="num" w:pos="3600"/>
        </w:tabs>
        <w:ind w:left="3600" w:hanging="360"/>
      </w:pPr>
      <w:rPr>
        <w:rFonts w:ascii="Times New Roman" w:hAnsi="Times New Roman" w:hint="default"/>
      </w:rPr>
    </w:lvl>
    <w:lvl w:ilvl="5" w:tplc="E18C38FE" w:tentative="1">
      <w:start w:val="1"/>
      <w:numFmt w:val="bullet"/>
      <w:lvlText w:val="•"/>
      <w:lvlJc w:val="left"/>
      <w:pPr>
        <w:tabs>
          <w:tab w:val="num" w:pos="4320"/>
        </w:tabs>
        <w:ind w:left="4320" w:hanging="360"/>
      </w:pPr>
      <w:rPr>
        <w:rFonts w:ascii="Times New Roman" w:hAnsi="Times New Roman" w:hint="default"/>
      </w:rPr>
    </w:lvl>
    <w:lvl w:ilvl="6" w:tplc="F68C224C" w:tentative="1">
      <w:start w:val="1"/>
      <w:numFmt w:val="bullet"/>
      <w:lvlText w:val="•"/>
      <w:lvlJc w:val="left"/>
      <w:pPr>
        <w:tabs>
          <w:tab w:val="num" w:pos="5040"/>
        </w:tabs>
        <w:ind w:left="5040" w:hanging="360"/>
      </w:pPr>
      <w:rPr>
        <w:rFonts w:ascii="Times New Roman" w:hAnsi="Times New Roman" w:hint="default"/>
      </w:rPr>
    </w:lvl>
    <w:lvl w:ilvl="7" w:tplc="3DC4D37E" w:tentative="1">
      <w:start w:val="1"/>
      <w:numFmt w:val="bullet"/>
      <w:lvlText w:val="•"/>
      <w:lvlJc w:val="left"/>
      <w:pPr>
        <w:tabs>
          <w:tab w:val="num" w:pos="5760"/>
        </w:tabs>
        <w:ind w:left="5760" w:hanging="360"/>
      </w:pPr>
      <w:rPr>
        <w:rFonts w:ascii="Times New Roman" w:hAnsi="Times New Roman" w:hint="default"/>
      </w:rPr>
    </w:lvl>
    <w:lvl w:ilvl="8" w:tplc="2C50726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6019F9"/>
    <w:multiLevelType w:val="hybridMultilevel"/>
    <w:tmpl w:val="5B5AF0C4"/>
    <w:lvl w:ilvl="0" w:tplc="11D2FE80">
      <w:start w:val="1"/>
      <w:numFmt w:val="bullet"/>
      <w:lvlText w:val="•"/>
      <w:lvlJc w:val="left"/>
      <w:pPr>
        <w:tabs>
          <w:tab w:val="num" w:pos="720"/>
        </w:tabs>
        <w:ind w:left="720" w:hanging="360"/>
      </w:pPr>
      <w:rPr>
        <w:rFonts w:ascii="Times New Roman" w:hAnsi="Times New Roman" w:hint="default"/>
      </w:rPr>
    </w:lvl>
    <w:lvl w:ilvl="1" w:tplc="0E52CF2A">
      <w:start w:val="1474"/>
      <w:numFmt w:val="bullet"/>
      <w:lvlText w:val="–"/>
      <w:lvlJc w:val="left"/>
      <w:pPr>
        <w:tabs>
          <w:tab w:val="num" w:pos="1440"/>
        </w:tabs>
        <w:ind w:left="1440" w:hanging="360"/>
      </w:pPr>
      <w:rPr>
        <w:rFonts w:ascii="Arial" w:hAnsi="Arial" w:hint="default"/>
      </w:rPr>
    </w:lvl>
    <w:lvl w:ilvl="2" w:tplc="1B9A40D6" w:tentative="1">
      <w:start w:val="1"/>
      <w:numFmt w:val="bullet"/>
      <w:lvlText w:val="•"/>
      <w:lvlJc w:val="left"/>
      <w:pPr>
        <w:tabs>
          <w:tab w:val="num" w:pos="2160"/>
        </w:tabs>
        <w:ind w:left="2160" w:hanging="360"/>
      </w:pPr>
      <w:rPr>
        <w:rFonts w:ascii="Times New Roman" w:hAnsi="Times New Roman" w:hint="default"/>
      </w:rPr>
    </w:lvl>
    <w:lvl w:ilvl="3" w:tplc="C6565136" w:tentative="1">
      <w:start w:val="1"/>
      <w:numFmt w:val="bullet"/>
      <w:lvlText w:val="•"/>
      <w:lvlJc w:val="left"/>
      <w:pPr>
        <w:tabs>
          <w:tab w:val="num" w:pos="2880"/>
        </w:tabs>
        <w:ind w:left="2880" w:hanging="360"/>
      </w:pPr>
      <w:rPr>
        <w:rFonts w:ascii="Times New Roman" w:hAnsi="Times New Roman" w:hint="default"/>
      </w:rPr>
    </w:lvl>
    <w:lvl w:ilvl="4" w:tplc="E7F2C97C" w:tentative="1">
      <w:start w:val="1"/>
      <w:numFmt w:val="bullet"/>
      <w:lvlText w:val="•"/>
      <w:lvlJc w:val="left"/>
      <w:pPr>
        <w:tabs>
          <w:tab w:val="num" w:pos="3600"/>
        </w:tabs>
        <w:ind w:left="3600" w:hanging="360"/>
      </w:pPr>
      <w:rPr>
        <w:rFonts w:ascii="Times New Roman" w:hAnsi="Times New Roman" w:hint="default"/>
      </w:rPr>
    </w:lvl>
    <w:lvl w:ilvl="5" w:tplc="2B8050F4" w:tentative="1">
      <w:start w:val="1"/>
      <w:numFmt w:val="bullet"/>
      <w:lvlText w:val="•"/>
      <w:lvlJc w:val="left"/>
      <w:pPr>
        <w:tabs>
          <w:tab w:val="num" w:pos="4320"/>
        </w:tabs>
        <w:ind w:left="4320" w:hanging="360"/>
      </w:pPr>
      <w:rPr>
        <w:rFonts w:ascii="Times New Roman" w:hAnsi="Times New Roman" w:hint="default"/>
      </w:rPr>
    </w:lvl>
    <w:lvl w:ilvl="6" w:tplc="2806D0C0" w:tentative="1">
      <w:start w:val="1"/>
      <w:numFmt w:val="bullet"/>
      <w:lvlText w:val="•"/>
      <w:lvlJc w:val="left"/>
      <w:pPr>
        <w:tabs>
          <w:tab w:val="num" w:pos="5040"/>
        </w:tabs>
        <w:ind w:left="5040" w:hanging="360"/>
      </w:pPr>
      <w:rPr>
        <w:rFonts w:ascii="Times New Roman" w:hAnsi="Times New Roman" w:hint="default"/>
      </w:rPr>
    </w:lvl>
    <w:lvl w:ilvl="7" w:tplc="F3F6CFE0" w:tentative="1">
      <w:start w:val="1"/>
      <w:numFmt w:val="bullet"/>
      <w:lvlText w:val="•"/>
      <w:lvlJc w:val="left"/>
      <w:pPr>
        <w:tabs>
          <w:tab w:val="num" w:pos="5760"/>
        </w:tabs>
        <w:ind w:left="5760" w:hanging="360"/>
      </w:pPr>
      <w:rPr>
        <w:rFonts w:ascii="Times New Roman" w:hAnsi="Times New Roman" w:hint="default"/>
      </w:rPr>
    </w:lvl>
    <w:lvl w:ilvl="8" w:tplc="4F7CBCE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AB469AB"/>
    <w:multiLevelType w:val="hybridMultilevel"/>
    <w:tmpl w:val="1CC4F5D6"/>
    <w:lvl w:ilvl="0" w:tplc="97F8AD86">
      <w:start w:val="1"/>
      <w:numFmt w:val="bullet"/>
      <w:lvlText w:val="•"/>
      <w:lvlJc w:val="left"/>
      <w:pPr>
        <w:tabs>
          <w:tab w:val="num" w:pos="720"/>
        </w:tabs>
        <w:ind w:left="720" w:hanging="360"/>
      </w:pPr>
      <w:rPr>
        <w:rFonts w:ascii="Times New Roman" w:hAnsi="Times New Roman" w:hint="default"/>
      </w:rPr>
    </w:lvl>
    <w:lvl w:ilvl="1" w:tplc="7336438E">
      <w:start w:val="1656"/>
      <w:numFmt w:val="bullet"/>
      <w:lvlText w:val="–"/>
      <w:lvlJc w:val="left"/>
      <w:pPr>
        <w:tabs>
          <w:tab w:val="num" w:pos="1440"/>
        </w:tabs>
        <w:ind w:left="1440" w:hanging="360"/>
      </w:pPr>
      <w:rPr>
        <w:rFonts w:ascii="Arial" w:hAnsi="Arial" w:hint="default"/>
      </w:rPr>
    </w:lvl>
    <w:lvl w:ilvl="2" w:tplc="20A0E834" w:tentative="1">
      <w:start w:val="1"/>
      <w:numFmt w:val="bullet"/>
      <w:lvlText w:val="•"/>
      <w:lvlJc w:val="left"/>
      <w:pPr>
        <w:tabs>
          <w:tab w:val="num" w:pos="2160"/>
        </w:tabs>
        <w:ind w:left="2160" w:hanging="360"/>
      </w:pPr>
      <w:rPr>
        <w:rFonts w:ascii="Times New Roman" w:hAnsi="Times New Roman" w:hint="default"/>
      </w:rPr>
    </w:lvl>
    <w:lvl w:ilvl="3" w:tplc="D1146CEC" w:tentative="1">
      <w:start w:val="1"/>
      <w:numFmt w:val="bullet"/>
      <w:lvlText w:val="•"/>
      <w:lvlJc w:val="left"/>
      <w:pPr>
        <w:tabs>
          <w:tab w:val="num" w:pos="2880"/>
        </w:tabs>
        <w:ind w:left="2880" w:hanging="360"/>
      </w:pPr>
      <w:rPr>
        <w:rFonts w:ascii="Times New Roman" w:hAnsi="Times New Roman" w:hint="default"/>
      </w:rPr>
    </w:lvl>
    <w:lvl w:ilvl="4" w:tplc="18A025C2" w:tentative="1">
      <w:start w:val="1"/>
      <w:numFmt w:val="bullet"/>
      <w:lvlText w:val="•"/>
      <w:lvlJc w:val="left"/>
      <w:pPr>
        <w:tabs>
          <w:tab w:val="num" w:pos="3600"/>
        </w:tabs>
        <w:ind w:left="3600" w:hanging="360"/>
      </w:pPr>
      <w:rPr>
        <w:rFonts w:ascii="Times New Roman" w:hAnsi="Times New Roman" w:hint="default"/>
      </w:rPr>
    </w:lvl>
    <w:lvl w:ilvl="5" w:tplc="F3849B00" w:tentative="1">
      <w:start w:val="1"/>
      <w:numFmt w:val="bullet"/>
      <w:lvlText w:val="•"/>
      <w:lvlJc w:val="left"/>
      <w:pPr>
        <w:tabs>
          <w:tab w:val="num" w:pos="4320"/>
        </w:tabs>
        <w:ind w:left="4320" w:hanging="360"/>
      </w:pPr>
      <w:rPr>
        <w:rFonts w:ascii="Times New Roman" w:hAnsi="Times New Roman" w:hint="default"/>
      </w:rPr>
    </w:lvl>
    <w:lvl w:ilvl="6" w:tplc="D76CFA10" w:tentative="1">
      <w:start w:val="1"/>
      <w:numFmt w:val="bullet"/>
      <w:lvlText w:val="•"/>
      <w:lvlJc w:val="left"/>
      <w:pPr>
        <w:tabs>
          <w:tab w:val="num" w:pos="5040"/>
        </w:tabs>
        <w:ind w:left="5040" w:hanging="360"/>
      </w:pPr>
      <w:rPr>
        <w:rFonts w:ascii="Times New Roman" w:hAnsi="Times New Roman" w:hint="default"/>
      </w:rPr>
    </w:lvl>
    <w:lvl w:ilvl="7" w:tplc="BF5E2F98" w:tentative="1">
      <w:start w:val="1"/>
      <w:numFmt w:val="bullet"/>
      <w:lvlText w:val="•"/>
      <w:lvlJc w:val="left"/>
      <w:pPr>
        <w:tabs>
          <w:tab w:val="num" w:pos="5760"/>
        </w:tabs>
        <w:ind w:left="5760" w:hanging="360"/>
      </w:pPr>
      <w:rPr>
        <w:rFonts w:ascii="Times New Roman" w:hAnsi="Times New Roman" w:hint="default"/>
      </w:rPr>
    </w:lvl>
    <w:lvl w:ilvl="8" w:tplc="5CF0F84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AC16E1D"/>
    <w:multiLevelType w:val="hybridMultilevel"/>
    <w:tmpl w:val="3EAA8C8C"/>
    <w:lvl w:ilvl="0" w:tplc="55564E04">
      <w:start w:val="1"/>
      <w:numFmt w:val="bullet"/>
      <w:lvlText w:val="•"/>
      <w:lvlJc w:val="left"/>
      <w:pPr>
        <w:tabs>
          <w:tab w:val="num" w:pos="720"/>
        </w:tabs>
        <w:ind w:left="720" w:hanging="360"/>
      </w:pPr>
      <w:rPr>
        <w:rFonts w:ascii="Times New Roman" w:hAnsi="Times New Roman" w:hint="default"/>
      </w:rPr>
    </w:lvl>
    <w:lvl w:ilvl="1" w:tplc="4AC26D04">
      <w:start w:val="1547"/>
      <w:numFmt w:val="bullet"/>
      <w:lvlText w:val="–"/>
      <w:lvlJc w:val="left"/>
      <w:pPr>
        <w:tabs>
          <w:tab w:val="num" w:pos="1440"/>
        </w:tabs>
        <w:ind w:left="1440" w:hanging="360"/>
      </w:pPr>
      <w:rPr>
        <w:rFonts w:ascii="Arial" w:hAnsi="Arial" w:hint="default"/>
      </w:rPr>
    </w:lvl>
    <w:lvl w:ilvl="2" w:tplc="B960288A" w:tentative="1">
      <w:start w:val="1"/>
      <w:numFmt w:val="bullet"/>
      <w:lvlText w:val="•"/>
      <w:lvlJc w:val="left"/>
      <w:pPr>
        <w:tabs>
          <w:tab w:val="num" w:pos="2160"/>
        </w:tabs>
        <w:ind w:left="2160" w:hanging="360"/>
      </w:pPr>
      <w:rPr>
        <w:rFonts w:ascii="Times New Roman" w:hAnsi="Times New Roman" w:hint="default"/>
      </w:rPr>
    </w:lvl>
    <w:lvl w:ilvl="3" w:tplc="BB2C116C" w:tentative="1">
      <w:start w:val="1"/>
      <w:numFmt w:val="bullet"/>
      <w:lvlText w:val="•"/>
      <w:lvlJc w:val="left"/>
      <w:pPr>
        <w:tabs>
          <w:tab w:val="num" w:pos="2880"/>
        </w:tabs>
        <w:ind w:left="2880" w:hanging="360"/>
      </w:pPr>
      <w:rPr>
        <w:rFonts w:ascii="Times New Roman" w:hAnsi="Times New Roman" w:hint="default"/>
      </w:rPr>
    </w:lvl>
    <w:lvl w:ilvl="4" w:tplc="D624DCFA" w:tentative="1">
      <w:start w:val="1"/>
      <w:numFmt w:val="bullet"/>
      <w:lvlText w:val="•"/>
      <w:lvlJc w:val="left"/>
      <w:pPr>
        <w:tabs>
          <w:tab w:val="num" w:pos="3600"/>
        </w:tabs>
        <w:ind w:left="3600" w:hanging="360"/>
      </w:pPr>
      <w:rPr>
        <w:rFonts w:ascii="Times New Roman" w:hAnsi="Times New Roman" w:hint="default"/>
      </w:rPr>
    </w:lvl>
    <w:lvl w:ilvl="5" w:tplc="EE0AAAE0" w:tentative="1">
      <w:start w:val="1"/>
      <w:numFmt w:val="bullet"/>
      <w:lvlText w:val="•"/>
      <w:lvlJc w:val="left"/>
      <w:pPr>
        <w:tabs>
          <w:tab w:val="num" w:pos="4320"/>
        </w:tabs>
        <w:ind w:left="4320" w:hanging="360"/>
      </w:pPr>
      <w:rPr>
        <w:rFonts w:ascii="Times New Roman" w:hAnsi="Times New Roman" w:hint="default"/>
      </w:rPr>
    </w:lvl>
    <w:lvl w:ilvl="6" w:tplc="D8CCB1D2" w:tentative="1">
      <w:start w:val="1"/>
      <w:numFmt w:val="bullet"/>
      <w:lvlText w:val="•"/>
      <w:lvlJc w:val="left"/>
      <w:pPr>
        <w:tabs>
          <w:tab w:val="num" w:pos="5040"/>
        </w:tabs>
        <w:ind w:left="5040" w:hanging="360"/>
      </w:pPr>
      <w:rPr>
        <w:rFonts w:ascii="Times New Roman" w:hAnsi="Times New Roman" w:hint="default"/>
      </w:rPr>
    </w:lvl>
    <w:lvl w:ilvl="7" w:tplc="4A2619E8" w:tentative="1">
      <w:start w:val="1"/>
      <w:numFmt w:val="bullet"/>
      <w:lvlText w:val="•"/>
      <w:lvlJc w:val="left"/>
      <w:pPr>
        <w:tabs>
          <w:tab w:val="num" w:pos="5760"/>
        </w:tabs>
        <w:ind w:left="5760" w:hanging="360"/>
      </w:pPr>
      <w:rPr>
        <w:rFonts w:ascii="Times New Roman" w:hAnsi="Times New Roman" w:hint="default"/>
      </w:rPr>
    </w:lvl>
    <w:lvl w:ilvl="8" w:tplc="39EA294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ACA209C"/>
    <w:multiLevelType w:val="hybridMultilevel"/>
    <w:tmpl w:val="79B0BB86"/>
    <w:lvl w:ilvl="0" w:tplc="81587AC4">
      <w:start w:val="1"/>
      <w:numFmt w:val="bullet"/>
      <w:lvlText w:val="•"/>
      <w:lvlJc w:val="left"/>
      <w:pPr>
        <w:tabs>
          <w:tab w:val="num" w:pos="720"/>
        </w:tabs>
        <w:ind w:left="720" w:hanging="360"/>
      </w:pPr>
      <w:rPr>
        <w:rFonts w:ascii="Times New Roman" w:hAnsi="Times New Roman" w:hint="default"/>
      </w:rPr>
    </w:lvl>
    <w:lvl w:ilvl="1" w:tplc="3D0EC9C0" w:tentative="1">
      <w:start w:val="1"/>
      <w:numFmt w:val="bullet"/>
      <w:lvlText w:val="•"/>
      <w:lvlJc w:val="left"/>
      <w:pPr>
        <w:tabs>
          <w:tab w:val="num" w:pos="1440"/>
        </w:tabs>
        <w:ind w:left="1440" w:hanging="360"/>
      </w:pPr>
      <w:rPr>
        <w:rFonts w:ascii="Times New Roman" w:hAnsi="Times New Roman" w:hint="default"/>
      </w:rPr>
    </w:lvl>
    <w:lvl w:ilvl="2" w:tplc="443E5796" w:tentative="1">
      <w:start w:val="1"/>
      <w:numFmt w:val="bullet"/>
      <w:lvlText w:val="•"/>
      <w:lvlJc w:val="left"/>
      <w:pPr>
        <w:tabs>
          <w:tab w:val="num" w:pos="2160"/>
        </w:tabs>
        <w:ind w:left="2160" w:hanging="360"/>
      </w:pPr>
      <w:rPr>
        <w:rFonts w:ascii="Times New Roman" w:hAnsi="Times New Roman" w:hint="default"/>
      </w:rPr>
    </w:lvl>
    <w:lvl w:ilvl="3" w:tplc="8656112C" w:tentative="1">
      <w:start w:val="1"/>
      <w:numFmt w:val="bullet"/>
      <w:lvlText w:val="•"/>
      <w:lvlJc w:val="left"/>
      <w:pPr>
        <w:tabs>
          <w:tab w:val="num" w:pos="2880"/>
        </w:tabs>
        <w:ind w:left="2880" w:hanging="360"/>
      </w:pPr>
      <w:rPr>
        <w:rFonts w:ascii="Times New Roman" w:hAnsi="Times New Roman" w:hint="default"/>
      </w:rPr>
    </w:lvl>
    <w:lvl w:ilvl="4" w:tplc="13807E12" w:tentative="1">
      <w:start w:val="1"/>
      <w:numFmt w:val="bullet"/>
      <w:lvlText w:val="•"/>
      <w:lvlJc w:val="left"/>
      <w:pPr>
        <w:tabs>
          <w:tab w:val="num" w:pos="3600"/>
        </w:tabs>
        <w:ind w:left="3600" w:hanging="360"/>
      </w:pPr>
      <w:rPr>
        <w:rFonts w:ascii="Times New Roman" w:hAnsi="Times New Roman" w:hint="default"/>
      </w:rPr>
    </w:lvl>
    <w:lvl w:ilvl="5" w:tplc="DDFA7210" w:tentative="1">
      <w:start w:val="1"/>
      <w:numFmt w:val="bullet"/>
      <w:lvlText w:val="•"/>
      <w:lvlJc w:val="left"/>
      <w:pPr>
        <w:tabs>
          <w:tab w:val="num" w:pos="4320"/>
        </w:tabs>
        <w:ind w:left="4320" w:hanging="360"/>
      </w:pPr>
      <w:rPr>
        <w:rFonts w:ascii="Times New Roman" w:hAnsi="Times New Roman" w:hint="default"/>
      </w:rPr>
    </w:lvl>
    <w:lvl w:ilvl="6" w:tplc="36FAA680" w:tentative="1">
      <w:start w:val="1"/>
      <w:numFmt w:val="bullet"/>
      <w:lvlText w:val="•"/>
      <w:lvlJc w:val="left"/>
      <w:pPr>
        <w:tabs>
          <w:tab w:val="num" w:pos="5040"/>
        </w:tabs>
        <w:ind w:left="5040" w:hanging="360"/>
      </w:pPr>
      <w:rPr>
        <w:rFonts w:ascii="Times New Roman" w:hAnsi="Times New Roman" w:hint="default"/>
      </w:rPr>
    </w:lvl>
    <w:lvl w:ilvl="7" w:tplc="29AC16B0" w:tentative="1">
      <w:start w:val="1"/>
      <w:numFmt w:val="bullet"/>
      <w:lvlText w:val="•"/>
      <w:lvlJc w:val="left"/>
      <w:pPr>
        <w:tabs>
          <w:tab w:val="num" w:pos="5760"/>
        </w:tabs>
        <w:ind w:left="5760" w:hanging="360"/>
      </w:pPr>
      <w:rPr>
        <w:rFonts w:ascii="Times New Roman" w:hAnsi="Times New Roman" w:hint="default"/>
      </w:rPr>
    </w:lvl>
    <w:lvl w:ilvl="8" w:tplc="BC36D2C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CF546CC"/>
    <w:multiLevelType w:val="hybridMultilevel"/>
    <w:tmpl w:val="72967A8E"/>
    <w:lvl w:ilvl="0" w:tplc="39445272">
      <w:start w:val="1"/>
      <w:numFmt w:val="decimal"/>
      <w:lvlText w:val="%1."/>
      <w:lvlJc w:val="left"/>
      <w:pPr>
        <w:tabs>
          <w:tab w:val="num" w:pos="720"/>
        </w:tabs>
        <w:ind w:left="720" w:hanging="360"/>
      </w:pPr>
    </w:lvl>
    <w:lvl w:ilvl="1" w:tplc="77EE87F0" w:tentative="1">
      <w:start w:val="1"/>
      <w:numFmt w:val="decimal"/>
      <w:lvlText w:val="%2."/>
      <w:lvlJc w:val="left"/>
      <w:pPr>
        <w:tabs>
          <w:tab w:val="num" w:pos="1440"/>
        </w:tabs>
        <w:ind w:left="1440" w:hanging="360"/>
      </w:pPr>
    </w:lvl>
    <w:lvl w:ilvl="2" w:tplc="63647700" w:tentative="1">
      <w:start w:val="1"/>
      <w:numFmt w:val="decimal"/>
      <w:lvlText w:val="%3."/>
      <w:lvlJc w:val="left"/>
      <w:pPr>
        <w:tabs>
          <w:tab w:val="num" w:pos="2160"/>
        </w:tabs>
        <w:ind w:left="2160" w:hanging="360"/>
      </w:pPr>
    </w:lvl>
    <w:lvl w:ilvl="3" w:tplc="C1C6734C" w:tentative="1">
      <w:start w:val="1"/>
      <w:numFmt w:val="decimal"/>
      <w:lvlText w:val="%4."/>
      <w:lvlJc w:val="left"/>
      <w:pPr>
        <w:tabs>
          <w:tab w:val="num" w:pos="2880"/>
        </w:tabs>
        <w:ind w:left="2880" w:hanging="360"/>
      </w:pPr>
    </w:lvl>
    <w:lvl w:ilvl="4" w:tplc="9040760A" w:tentative="1">
      <w:start w:val="1"/>
      <w:numFmt w:val="decimal"/>
      <w:lvlText w:val="%5."/>
      <w:lvlJc w:val="left"/>
      <w:pPr>
        <w:tabs>
          <w:tab w:val="num" w:pos="3600"/>
        </w:tabs>
        <w:ind w:left="3600" w:hanging="360"/>
      </w:pPr>
    </w:lvl>
    <w:lvl w:ilvl="5" w:tplc="DB8E62DC" w:tentative="1">
      <w:start w:val="1"/>
      <w:numFmt w:val="decimal"/>
      <w:lvlText w:val="%6."/>
      <w:lvlJc w:val="left"/>
      <w:pPr>
        <w:tabs>
          <w:tab w:val="num" w:pos="4320"/>
        </w:tabs>
        <w:ind w:left="4320" w:hanging="360"/>
      </w:pPr>
    </w:lvl>
    <w:lvl w:ilvl="6" w:tplc="2F8A3EA4" w:tentative="1">
      <w:start w:val="1"/>
      <w:numFmt w:val="decimal"/>
      <w:lvlText w:val="%7."/>
      <w:lvlJc w:val="left"/>
      <w:pPr>
        <w:tabs>
          <w:tab w:val="num" w:pos="5040"/>
        </w:tabs>
        <w:ind w:left="5040" w:hanging="360"/>
      </w:pPr>
    </w:lvl>
    <w:lvl w:ilvl="7" w:tplc="A1A6F6E0" w:tentative="1">
      <w:start w:val="1"/>
      <w:numFmt w:val="decimal"/>
      <w:lvlText w:val="%8."/>
      <w:lvlJc w:val="left"/>
      <w:pPr>
        <w:tabs>
          <w:tab w:val="num" w:pos="5760"/>
        </w:tabs>
        <w:ind w:left="5760" w:hanging="360"/>
      </w:pPr>
    </w:lvl>
    <w:lvl w:ilvl="8" w:tplc="9730BA04" w:tentative="1">
      <w:start w:val="1"/>
      <w:numFmt w:val="decimal"/>
      <w:lvlText w:val="%9."/>
      <w:lvlJc w:val="left"/>
      <w:pPr>
        <w:tabs>
          <w:tab w:val="num" w:pos="6480"/>
        </w:tabs>
        <w:ind w:left="6480" w:hanging="360"/>
      </w:pPr>
    </w:lvl>
  </w:abstractNum>
  <w:abstractNum w:abstractNumId="17">
    <w:nsid w:val="44D446D1"/>
    <w:multiLevelType w:val="hybridMultilevel"/>
    <w:tmpl w:val="2140D926"/>
    <w:lvl w:ilvl="0" w:tplc="401CCEB8">
      <w:start w:val="1"/>
      <w:numFmt w:val="bullet"/>
      <w:lvlText w:val="•"/>
      <w:lvlJc w:val="left"/>
      <w:pPr>
        <w:tabs>
          <w:tab w:val="num" w:pos="720"/>
        </w:tabs>
        <w:ind w:left="720" w:hanging="360"/>
      </w:pPr>
      <w:rPr>
        <w:rFonts w:ascii="Times New Roman" w:hAnsi="Times New Roman" w:hint="default"/>
      </w:rPr>
    </w:lvl>
    <w:lvl w:ilvl="1" w:tplc="090A02A8">
      <w:start w:val="1073"/>
      <w:numFmt w:val="bullet"/>
      <w:lvlText w:val="–"/>
      <w:lvlJc w:val="left"/>
      <w:pPr>
        <w:tabs>
          <w:tab w:val="num" w:pos="1440"/>
        </w:tabs>
        <w:ind w:left="1440" w:hanging="360"/>
      </w:pPr>
      <w:rPr>
        <w:rFonts w:ascii="Arial" w:hAnsi="Arial" w:hint="default"/>
      </w:rPr>
    </w:lvl>
    <w:lvl w:ilvl="2" w:tplc="46CEBDB4">
      <w:start w:val="1073"/>
      <w:numFmt w:val="bullet"/>
      <w:lvlText w:val="•"/>
      <w:lvlJc w:val="left"/>
      <w:pPr>
        <w:tabs>
          <w:tab w:val="num" w:pos="2160"/>
        </w:tabs>
        <w:ind w:left="2160" w:hanging="360"/>
      </w:pPr>
      <w:rPr>
        <w:rFonts w:ascii="Times New Roman" w:hAnsi="Times New Roman" w:hint="default"/>
      </w:rPr>
    </w:lvl>
    <w:lvl w:ilvl="3" w:tplc="5B6EFC8C" w:tentative="1">
      <w:start w:val="1"/>
      <w:numFmt w:val="bullet"/>
      <w:lvlText w:val="•"/>
      <w:lvlJc w:val="left"/>
      <w:pPr>
        <w:tabs>
          <w:tab w:val="num" w:pos="2880"/>
        </w:tabs>
        <w:ind w:left="2880" w:hanging="360"/>
      </w:pPr>
      <w:rPr>
        <w:rFonts w:ascii="Times New Roman" w:hAnsi="Times New Roman" w:hint="default"/>
      </w:rPr>
    </w:lvl>
    <w:lvl w:ilvl="4" w:tplc="3260F266" w:tentative="1">
      <w:start w:val="1"/>
      <w:numFmt w:val="bullet"/>
      <w:lvlText w:val="•"/>
      <w:lvlJc w:val="left"/>
      <w:pPr>
        <w:tabs>
          <w:tab w:val="num" w:pos="3600"/>
        </w:tabs>
        <w:ind w:left="3600" w:hanging="360"/>
      </w:pPr>
      <w:rPr>
        <w:rFonts w:ascii="Times New Roman" w:hAnsi="Times New Roman" w:hint="default"/>
      </w:rPr>
    </w:lvl>
    <w:lvl w:ilvl="5" w:tplc="BAAE270E" w:tentative="1">
      <w:start w:val="1"/>
      <w:numFmt w:val="bullet"/>
      <w:lvlText w:val="•"/>
      <w:lvlJc w:val="left"/>
      <w:pPr>
        <w:tabs>
          <w:tab w:val="num" w:pos="4320"/>
        </w:tabs>
        <w:ind w:left="4320" w:hanging="360"/>
      </w:pPr>
      <w:rPr>
        <w:rFonts w:ascii="Times New Roman" w:hAnsi="Times New Roman" w:hint="default"/>
      </w:rPr>
    </w:lvl>
    <w:lvl w:ilvl="6" w:tplc="B5841F3A" w:tentative="1">
      <w:start w:val="1"/>
      <w:numFmt w:val="bullet"/>
      <w:lvlText w:val="•"/>
      <w:lvlJc w:val="left"/>
      <w:pPr>
        <w:tabs>
          <w:tab w:val="num" w:pos="5040"/>
        </w:tabs>
        <w:ind w:left="5040" w:hanging="360"/>
      </w:pPr>
      <w:rPr>
        <w:rFonts w:ascii="Times New Roman" w:hAnsi="Times New Roman" w:hint="default"/>
      </w:rPr>
    </w:lvl>
    <w:lvl w:ilvl="7" w:tplc="463E4CE8" w:tentative="1">
      <w:start w:val="1"/>
      <w:numFmt w:val="bullet"/>
      <w:lvlText w:val="•"/>
      <w:lvlJc w:val="left"/>
      <w:pPr>
        <w:tabs>
          <w:tab w:val="num" w:pos="5760"/>
        </w:tabs>
        <w:ind w:left="5760" w:hanging="360"/>
      </w:pPr>
      <w:rPr>
        <w:rFonts w:ascii="Times New Roman" w:hAnsi="Times New Roman" w:hint="default"/>
      </w:rPr>
    </w:lvl>
    <w:lvl w:ilvl="8" w:tplc="D8CA7E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9AD4614"/>
    <w:multiLevelType w:val="hybridMultilevel"/>
    <w:tmpl w:val="62583256"/>
    <w:lvl w:ilvl="0" w:tplc="8A148E6E">
      <w:start w:val="1"/>
      <w:numFmt w:val="bullet"/>
      <w:lvlText w:val="•"/>
      <w:lvlJc w:val="left"/>
      <w:pPr>
        <w:tabs>
          <w:tab w:val="num" w:pos="720"/>
        </w:tabs>
        <w:ind w:left="720" w:hanging="360"/>
      </w:pPr>
      <w:rPr>
        <w:rFonts w:ascii="Times New Roman" w:hAnsi="Times New Roman" w:hint="default"/>
      </w:rPr>
    </w:lvl>
    <w:lvl w:ilvl="1" w:tplc="752231F4">
      <w:start w:val="1003"/>
      <w:numFmt w:val="bullet"/>
      <w:lvlText w:val="–"/>
      <w:lvlJc w:val="left"/>
      <w:pPr>
        <w:tabs>
          <w:tab w:val="num" w:pos="1440"/>
        </w:tabs>
        <w:ind w:left="1440" w:hanging="360"/>
      </w:pPr>
      <w:rPr>
        <w:rFonts w:ascii="Arial" w:hAnsi="Arial" w:hint="default"/>
      </w:rPr>
    </w:lvl>
    <w:lvl w:ilvl="2" w:tplc="A74EE3CE" w:tentative="1">
      <w:start w:val="1"/>
      <w:numFmt w:val="bullet"/>
      <w:lvlText w:val="•"/>
      <w:lvlJc w:val="left"/>
      <w:pPr>
        <w:tabs>
          <w:tab w:val="num" w:pos="2160"/>
        </w:tabs>
        <w:ind w:left="2160" w:hanging="360"/>
      </w:pPr>
      <w:rPr>
        <w:rFonts w:ascii="Times New Roman" w:hAnsi="Times New Roman" w:hint="default"/>
      </w:rPr>
    </w:lvl>
    <w:lvl w:ilvl="3" w:tplc="11A07EBC" w:tentative="1">
      <w:start w:val="1"/>
      <w:numFmt w:val="bullet"/>
      <w:lvlText w:val="•"/>
      <w:lvlJc w:val="left"/>
      <w:pPr>
        <w:tabs>
          <w:tab w:val="num" w:pos="2880"/>
        </w:tabs>
        <w:ind w:left="2880" w:hanging="360"/>
      </w:pPr>
      <w:rPr>
        <w:rFonts w:ascii="Times New Roman" w:hAnsi="Times New Roman" w:hint="default"/>
      </w:rPr>
    </w:lvl>
    <w:lvl w:ilvl="4" w:tplc="8880255E" w:tentative="1">
      <w:start w:val="1"/>
      <w:numFmt w:val="bullet"/>
      <w:lvlText w:val="•"/>
      <w:lvlJc w:val="left"/>
      <w:pPr>
        <w:tabs>
          <w:tab w:val="num" w:pos="3600"/>
        </w:tabs>
        <w:ind w:left="3600" w:hanging="360"/>
      </w:pPr>
      <w:rPr>
        <w:rFonts w:ascii="Times New Roman" w:hAnsi="Times New Roman" w:hint="default"/>
      </w:rPr>
    </w:lvl>
    <w:lvl w:ilvl="5" w:tplc="D228FBF4" w:tentative="1">
      <w:start w:val="1"/>
      <w:numFmt w:val="bullet"/>
      <w:lvlText w:val="•"/>
      <w:lvlJc w:val="left"/>
      <w:pPr>
        <w:tabs>
          <w:tab w:val="num" w:pos="4320"/>
        </w:tabs>
        <w:ind w:left="4320" w:hanging="360"/>
      </w:pPr>
      <w:rPr>
        <w:rFonts w:ascii="Times New Roman" w:hAnsi="Times New Roman" w:hint="default"/>
      </w:rPr>
    </w:lvl>
    <w:lvl w:ilvl="6" w:tplc="87E6E94C" w:tentative="1">
      <w:start w:val="1"/>
      <w:numFmt w:val="bullet"/>
      <w:lvlText w:val="•"/>
      <w:lvlJc w:val="left"/>
      <w:pPr>
        <w:tabs>
          <w:tab w:val="num" w:pos="5040"/>
        </w:tabs>
        <w:ind w:left="5040" w:hanging="360"/>
      </w:pPr>
      <w:rPr>
        <w:rFonts w:ascii="Times New Roman" w:hAnsi="Times New Roman" w:hint="default"/>
      </w:rPr>
    </w:lvl>
    <w:lvl w:ilvl="7" w:tplc="9C98F280" w:tentative="1">
      <w:start w:val="1"/>
      <w:numFmt w:val="bullet"/>
      <w:lvlText w:val="•"/>
      <w:lvlJc w:val="left"/>
      <w:pPr>
        <w:tabs>
          <w:tab w:val="num" w:pos="5760"/>
        </w:tabs>
        <w:ind w:left="5760" w:hanging="360"/>
      </w:pPr>
      <w:rPr>
        <w:rFonts w:ascii="Times New Roman" w:hAnsi="Times New Roman" w:hint="default"/>
      </w:rPr>
    </w:lvl>
    <w:lvl w:ilvl="8" w:tplc="D92E43F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A8B7ABE"/>
    <w:multiLevelType w:val="hybridMultilevel"/>
    <w:tmpl w:val="250A44C6"/>
    <w:lvl w:ilvl="0" w:tplc="D45EC3F8">
      <w:start w:val="1"/>
      <w:numFmt w:val="bullet"/>
      <w:lvlText w:val="•"/>
      <w:lvlJc w:val="left"/>
      <w:pPr>
        <w:tabs>
          <w:tab w:val="num" w:pos="720"/>
        </w:tabs>
        <w:ind w:left="720" w:hanging="360"/>
      </w:pPr>
      <w:rPr>
        <w:rFonts w:ascii="Times New Roman" w:hAnsi="Times New Roman" w:hint="default"/>
      </w:rPr>
    </w:lvl>
    <w:lvl w:ilvl="1" w:tplc="B728EC5C" w:tentative="1">
      <w:start w:val="1"/>
      <w:numFmt w:val="bullet"/>
      <w:lvlText w:val="•"/>
      <w:lvlJc w:val="left"/>
      <w:pPr>
        <w:tabs>
          <w:tab w:val="num" w:pos="1440"/>
        </w:tabs>
        <w:ind w:left="1440" w:hanging="360"/>
      </w:pPr>
      <w:rPr>
        <w:rFonts w:ascii="Times New Roman" w:hAnsi="Times New Roman" w:hint="default"/>
      </w:rPr>
    </w:lvl>
    <w:lvl w:ilvl="2" w:tplc="1ED404F8" w:tentative="1">
      <w:start w:val="1"/>
      <w:numFmt w:val="bullet"/>
      <w:lvlText w:val="•"/>
      <w:lvlJc w:val="left"/>
      <w:pPr>
        <w:tabs>
          <w:tab w:val="num" w:pos="2160"/>
        </w:tabs>
        <w:ind w:left="2160" w:hanging="360"/>
      </w:pPr>
      <w:rPr>
        <w:rFonts w:ascii="Times New Roman" w:hAnsi="Times New Roman" w:hint="default"/>
      </w:rPr>
    </w:lvl>
    <w:lvl w:ilvl="3" w:tplc="FEC2E01C" w:tentative="1">
      <w:start w:val="1"/>
      <w:numFmt w:val="bullet"/>
      <w:lvlText w:val="•"/>
      <w:lvlJc w:val="left"/>
      <w:pPr>
        <w:tabs>
          <w:tab w:val="num" w:pos="2880"/>
        </w:tabs>
        <w:ind w:left="2880" w:hanging="360"/>
      </w:pPr>
      <w:rPr>
        <w:rFonts w:ascii="Times New Roman" w:hAnsi="Times New Roman" w:hint="default"/>
      </w:rPr>
    </w:lvl>
    <w:lvl w:ilvl="4" w:tplc="22E4020E" w:tentative="1">
      <w:start w:val="1"/>
      <w:numFmt w:val="bullet"/>
      <w:lvlText w:val="•"/>
      <w:lvlJc w:val="left"/>
      <w:pPr>
        <w:tabs>
          <w:tab w:val="num" w:pos="3600"/>
        </w:tabs>
        <w:ind w:left="3600" w:hanging="360"/>
      </w:pPr>
      <w:rPr>
        <w:rFonts w:ascii="Times New Roman" w:hAnsi="Times New Roman" w:hint="default"/>
      </w:rPr>
    </w:lvl>
    <w:lvl w:ilvl="5" w:tplc="1808395E" w:tentative="1">
      <w:start w:val="1"/>
      <w:numFmt w:val="bullet"/>
      <w:lvlText w:val="•"/>
      <w:lvlJc w:val="left"/>
      <w:pPr>
        <w:tabs>
          <w:tab w:val="num" w:pos="4320"/>
        </w:tabs>
        <w:ind w:left="4320" w:hanging="360"/>
      </w:pPr>
      <w:rPr>
        <w:rFonts w:ascii="Times New Roman" w:hAnsi="Times New Roman" w:hint="default"/>
      </w:rPr>
    </w:lvl>
    <w:lvl w:ilvl="6" w:tplc="3E8613FC" w:tentative="1">
      <w:start w:val="1"/>
      <w:numFmt w:val="bullet"/>
      <w:lvlText w:val="•"/>
      <w:lvlJc w:val="left"/>
      <w:pPr>
        <w:tabs>
          <w:tab w:val="num" w:pos="5040"/>
        </w:tabs>
        <w:ind w:left="5040" w:hanging="360"/>
      </w:pPr>
      <w:rPr>
        <w:rFonts w:ascii="Times New Roman" w:hAnsi="Times New Roman" w:hint="default"/>
      </w:rPr>
    </w:lvl>
    <w:lvl w:ilvl="7" w:tplc="F8380964" w:tentative="1">
      <w:start w:val="1"/>
      <w:numFmt w:val="bullet"/>
      <w:lvlText w:val="•"/>
      <w:lvlJc w:val="left"/>
      <w:pPr>
        <w:tabs>
          <w:tab w:val="num" w:pos="5760"/>
        </w:tabs>
        <w:ind w:left="5760" w:hanging="360"/>
      </w:pPr>
      <w:rPr>
        <w:rFonts w:ascii="Times New Roman" w:hAnsi="Times New Roman" w:hint="default"/>
      </w:rPr>
    </w:lvl>
    <w:lvl w:ilvl="8" w:tplc="B23C2AB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1DB02D2"/>
    <w:multiLevelType w:val="hybridMultilevel"/>
    <w:tmpl w:val="B44080E8"/>
    <w:lvl w:ilvl="0" w:tplc="A1EEAA7C">
      <w:start w:val="1"/>
      <w:numFmt w:val="bullet"/>
      <w:lvlText w:val="•"/>
      <w:lvlJc w:val="left"/>
      <w:pPr>
        <w:tabs>
          <w:tab w:val="num" w:pos="720"/>
        </w:tabs>
        <w:ind w:left="720" w:hanging="360"/>
      </w:pPr>
      <w:rPr>
        <w:rFonts w:ascii="Times New Roman" w:hAnsi="Times New Roman" w:hint="default"/>
      </w:rPr>
    </w:lvl>
    <w:lvl w:ilvl="1" w:tplc="E4EA83B6">
      <w:start w:val="1474"/>
      <w:numFmt w:val="bullet"/>
      <w:lvlText w:val="–"/>
      <w:lvlJc w:val="left"/>
      <w:pPr>
        <w:tabs>
          <w:tab w:val="num" w:pos="1440"/>
        </w:tabs>
        <w:ind w:left="1440" w:hanging="360"/>
      </w:pPr>
      <w:rPr>
        <w:rFonts w:ascii="Arial" w:hAnsi="Arial" w:hint="default"/>
      </w:rPr>
    </w:lvl>
    <w:lvl w:ilvl="2" w:tplc="80CA6898" w:tentative="1">
      <w:start w:val="1"/>
      <w:numFmt w:val="bullet"/>
      <w:lvlText w:val="•"/>
      <w:lvlJc w:val="left"/>
      <w:pPr>
        <w:tabs>
          <w:tab w:val="num" w:pos="2160"/>
        </w:tabs>
        <w:ind w:left="2160" w:hanging="360"/>
      </w:pPr>
      <w:rPr>
        <w:rFonts w:ascii="Times New Roman" w:hAnsi="Times New Roman" w:hint="default"/>
      </w:rPr>
    </w:lvl>
    <w:lvl w:ilvl="3" w:tplc="F15AB29C" w:tentative="1">
      <w:start w:val="1"/>
      <w:numFmt w:val="bullet"/>
      <w:lvlText w:val="•"/>
      <w:lvlJc w:val="left"/>
      <w:pPr>
        <w:tabs>
          <w:tab w:val="num" w:pos="2880"/>
        </w:tabs>
        <w:ind w:left="2880" w:hanging="360"/>
      </w:pPr>
      <w:rPr>
        <w:rFonts w:ascii="Times New Roman" w:hAnsi="Times New Roman" w:hint="default"/>
      </w:rPr>
    </w:lvl>
    <w:lvl w:ilvl="4" w:tplc="B93E2C94" w:tentative="1">
      <w:start w:val="1"/>
      <w:numFmt w:val="bullet"/>
      <w:lvlText w:val="•"/>
      <w:lvlJc w:val="left"/>
      <w:pPr>
        <w:tabs>
          <w:tab w:val="num" w:pos="3600"/>
        </w:tabs>
        <w:ind w:left="3600" w:hanging="360"/>
      </w:pPr>
      <w:rPr>
        <w:rFonts w:ascii="Times New Roman" w:hAnsi="Times New Roman" w:hint="default"/>
      </w:rPr>
    </w:lvl>
    <w:lvl w:ilvl="5" w:tplc="B36A8774" w:tentative="1">
      <w:start w:val="1"/>
      <w:numFmt w:val="bullet"/>
      <w:lvlText w:val="•"/>
      <w:lvlJc w:val="left"/>
      <w:pPr>
        <w:tabs>
          <w:tab w:val="num" w:pos="4320"/>
        </w:tabs>
        <w:ind w:left="4320" w:hanging="360"/>
      </w:pPr>
      <w:rPr>
        <w:rFonts w:ascii="Times New Roman" w:hAnsi="Times New Roman" w:hint="default"/>
      </w:rPr>
    </w:lvl>
    <w:lvl w:ilvl="6" w:tplc="01D252C6" w:tentative="1">
      <w:start w:val="1"/>
      <w:numFmt w:val="bullet"/>
      <w:lvlText w:val="•"/>
      <w:lvlJc w:val="left"/>
      <w:pPr>
        <w:tabs>
          <w:tab w:val="num" w:pos="5040"/>
        </w:tabs>
        <w:ind w:left="5040" w:hanging="360"/>
      </w:pPr>
      <w:rPr>
        <w:rFonts w:ascii="Times New Roman" w:hAnsi="Times New Roman" w:hint="default"/>
      </w:rPr>
    </w:lvl>
    <w:lvl w:ilvl="7" w:tplc="DAA6A9D4" w:tentative="1">
      <w:start w:val="1"/>
      <w:numFmt w:val="bullet"/>
      <w:lvlText w:val="•"/>
      <w:lvlJc w:val="left"/>
      <w:pPr>
        <w:tabs>
          <w:tab w:val="num" w:pos="5760"/>
        </w:tabs>
        <w:ind w:left="5760" w:hanging="360"/>
      </w:pPr>
      <w:rPr>
        <w:rFonts w:ascii="Times New Roman" w:hAnsi="Times New Roman" w:hint="default"/>
      </w:rPr>
    </w:lvl>
    <w:lvl w:ilvl="8" w:tplc="95FA3B6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C812829"/>
    <w:multiLevelType w:val="hybridMultilevel"/>
    <w:tmpl w:val="BA9C6664"/>
    <w:lvl w:ilvl="0" w:tplc="6596862E">
      <w:start w:val="1"/>
      <w:numFmt w:val="bullet"/>
      <w:lvlText w:val="•"/>
      <w:lvlJc w:val="left"/>
      <w:pPr>
        <w:tabs>
          <w:tab w:val="num" w:pos="720"/>
        </w:tabs>
        <w:ind w:left="720" w:hanging="360"/>
      </w:pPr>
      <w:rPr>
        <w:rFonts w:ascii="Times New Roman" w:hAnsi="Times New Roman" w:hint="default"/>
      </w:rPr>
    </w:lvl>
    <w:lvl w:ilvl="1" w:tplc="FEF83A84" w:tentative="1">
      <w:start w:val="1"/>
      <w:numFmt w:val="bullet"/>
      <w:lvlText w:val="•"/>
      <w:lvlJc w:val="left"/>
      <w:pPr>
        <w:tabs>
          <w:tab w:val="num" w:pos="1440"/>
        </w:tabs>
        <w:ind w:left="1440" w:hanging="360"/>
      </w:pPr>
      <w:rPr>
        <w:rFonts w:ascii="Times New Roman" w:hAnsi="Times New Roman" w:hint="default"/>
      </w:rPr>
    </w:lvl>
    <w:lvl w:ilvl="2" w:tplc="6A54834A" w:tentative="1">
      <w:start w:val="1"/>
      <w:numFmt w:val="bullet"/>
      <w:lvlText w:val="•"/>
      <w:lvlJc w:val="left"/>
      <w:pPr>
        <w:tabs>
          <w:tab w:val="num" w:pos="2160"/>
        </w:tabs>
        <w:ind w:left="2160" w:hanging="360"/>
      </w:pPr>
      <w:rPr>
        <w:rFonts w:ascii="Times New Roman" w:hAnsi="Times New Roman" w:hint="default"/>
      </w:rPr>
    </w:lvl>
    <w:lvl w:ilvl="3" w:tplc="0E565F44" w:tentative="1">
      <w:start w:val="1"/>
      <w:numFmt w:val="bullet"/>
      <w:lvlText w:val="•"/>
      <w:lvlJc w:val="left"/>
      <w:pPr>
        <w:tabs>
          <w:tab w:val="num" w:pos="2880"/>
        </w:tabs>
        <w:ind w:left="2880" w:hanging="360"/>
      </w:pPr>
      <w:rPr>
        <w:rFonts w:ascii="Times New Roman" w:hAnsi="Times New Roman" w:hint="default"/>
      </w:rPr>
    </w:lvl>
    <w:lvl w:ilvl="4" w:tplc="1CC2A18E" w:tentative="1">
      <w:start w:val="1"/>
      <w:numFmt w:val="bullet"/>
      <w:lvlText w:val="•"/>
      <w:lvlJc w:val="left"/>
      <w:pPr>
        <w:tabs>
          <w:tab w:val="num" w:pos="3600"/>
        </w:tabs>
        <w:ind w:left="3600" w:hanging="360"/>
      </w:pPr>
      <w:rPr>
        <w:rFonts w:ascii="Times New Roman" w:hAnsi="Times New Roman" w:hint="default"/>
      </w:rPr>
    </w:lvl>
    <w:lvl w:ilvl="5" w:tplc="53A44B56" w:tentative="1">
      <w:start w:val="1"/>
      <w:numFmt w:val="bullet"/>
      <w:lvlText w:val="•"/>
      <w:lvlJc w:val="left"/>
      <w:pPr>
        <w:tabs>
          <w:tab w:val="num" w:pos="4320"/>
        </w:tabs>
        <w:ind w:left="4320" w:hanging="360"/>
      </w:pPr>
      <w:rPr>
        <w:rFonts w:ascii="Times New Roman" w:hAnsi="Times New Roman" w:hint="default"/>
      </w:rPr>
    </w:lvl>
    <w:lvl w:ilvl="6" w:tplc="89807120" w:tentative="1">
      <w:start w:val="1"/>
      <w:numFmt w:val="bullet"/>
      <w:lvlText w:val="•"/>
      <w:lvlJc w:val="left"/>
      <w:pPr>
        <w:tabs>
          <w:tab w:val="num" w:pos="5040"/>
        </w:tabs>
        <w:ind w:left="5040" w:hanging="360"/>
      </w:pPr>
      <w:rPr>
        <w:rFonts w:ascii="Times New Roman" w:hAnsi="Times New Roman" w:hint="default"/>
      </w:rPr>
    </w:lvl>
    <w:lvl w:ilvl="7" w:tplc="5E9C05F0" w:tentative="1">
      <w:start w:val="1"/>
      <w:numFmt w:val="bullet"/>
      <w:lvlText w:val="•"/>
      <w:lvlJc w:val="left"/>
      <w:pPr>
        <w:tabs>
          <w:tab w:val="num" w:pos="5760"/>
        </w:tabs>
        <w:ind w:left="5760" w:hanging="360"/>
      </w:pPr>
      <w:rPr>
        <w:rFonts w:ascii="Times New Roman" w:hAnsi="Times New Roman" w:hint="default"/>
      </w:rPr>
    </w:lvl>
    <w:lvl w:ilvl="8" w:tplc="1E1EB3FC"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1"/>
  </w:num>
  <w:num w:numId="3">
    <w:abstractNumId w:val="5"/>
  </w:num>
  <w:num w:numId="4">
    <w:abstractNumId w:val="3"/>
  </w:num>
  <w:num w:numId="5">
    <w:abstractNumId w:val="21"/>
  </w:num>
  <w:num w:numId="6">
    <w:abstractNumId w:val="10"/>
  </w:num>
  <w:num w:numId="7">
    <w:abstractNumId w:val="16"/>
  </w:num>
  <w:num w:numId="8">
    <w:abstractNumId w:val="15"/>
  </w:num>
  <w:num w:numId="9">
    <w:abstractNumId w:val="20"/>
  </w:num>
  <w:num w:numId="10">
    <w:abstractNumId w:val="0"/>
  </w:num>
  <w:num w:numId="11">
    <w:abstractNumId w:val="8"/>
  </w:num>
  <w:num w:numId="12">
    <w:abstractNumId w:val="12"/>
  </w:num>
  <w:num w:numId="13">
    <w:abstractNumId w:val="13"/>
  </w:num>
  <w:num w:numId="14">
    <w:abstractNumId w:val="14"/>
  </w:num>
  <w:num w:numId="15">
    <w:abstractNumId w:val="11"/>
  </w:num>
  <w:num w:numId="16">
    <w:abstractNumId w:val="9"/>
  </w:num>
  <w:num w:numId="17">
    <w:abstractNumId w:val="4"/>
  </w:num>
  <w:num w:numId="18">
    <w:abstractNumId w:val="2"/>
  </w:num>
  <w:num w:numId="19">
    <w:abstractNumId w:val="7"/>
  </w:num>
  <w:num w:numId="20">
    <w:abstractNumId w:val="17"/>
  </w:num>
  <w:num w:numId="21">
    <w:abstractNumId w:val="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96D6A"/>
    <w:rsid w:val="001009D2"/>
    <w:rsid w:val="001C1F9A"/>
    <w:rsid w:val="002270B5"/>
    <w:rsid w:val="0028171C"/>
    <w:rsid w:val="002F6D5F"/>
    <w:rsid w:val="00345B12"/>
    <w:rsid w:val="003610AD"/>
    <w:rsid w:val="004968EC"/>
    <w:rsid w:val="00723ACF"/>
    <w:rsid w:val="00873B13"/>
    <w:rsid w:val="009F2810"/>
    <w:rsid w:val="00A01418"/>
    <w:rsid w:val="00A33CBF"/>
    <w:rsid w:val="00AC5B8E"/>
    <w:rsid w:val="00C26C54"/>
    <w:rsid w:val="00CC444A"/>
    <w:rsid w:val="00CF0B1D"/>
    <w:rsid w:val="00DC6B7B"/>
    <w:rsid w:val="00E5414D"/>
    <w:rsid w:val="00E851D6"/>
    <w:rsid w:val="00E92A33"/>
    <w:rsid w:val="00F96D6A"/>
    <w:rsid w:val="00FF1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C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D6A"/>
    <w:rPr>
      <w:color w:val="0000FF" w:themeColor="hyperlink"/>
      <w:u w:val="single"/>
    </w:rPr>
  </w:style>
  <w:style w:type="table" w:styleId="TableGrid">
    <w:name w:val="Table Grid"/>
    <w:basedOn w:val="TableNormal"/>
    <w:uiPriority w:val="59"/>
    <w:rsid w:val="00F96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96D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748192">
      <w:bodyDiv w:val="1"/>
      <w:marLeft w:val="0"/>
      <w:marRight w:val="0"/>
      <w:marTop w:val="0"/>
      <w:marBottom w:val="0"/>
      <w:divBdr>
        <w:top w:val="none" w:sz="0" w:space="0" w:color="auto"/>
        <w:left w:val="none" w:sz="0" w:space="0" w:color="auto"/>
        <w:bottom w:val="none" w:sz="0" w:space="0" w:color="auto"/>
        <w:right w:val="none" w:sz="0" w:space="0" w:color="auto"/>
      </w:divBdr>
      <w:divsChild>
        <w:div w:id="373965879">
          <w:marLeft w:val="360"/>
          <w:marRight w:val="0"/>
          <w:marTop w:val="480"/>
          <w:marBottom w:val="0"/>
          <w:divBdr>
            <w:top w:val="none" w:sz="0" w:space="0" w:color="auto"/>
            <w:left w:val="none" w:sz="0" w:space="0" w:color="auto"/>
            <w:bottom w:val="none" w:sz="0" w:space="0" w:color="auto"/>
            <w:right w:val="none" w:sz="0" w:space="0" w:color="auto"/>
          </w:divBdr>
        </w:div>
        <w:div w:id="65223814">
          <w:marLeft w:val="907"/>
          <w:marRight w:val="0"/>
          <w:marTop w:val="86"/>
          <w:marBottom w:val="0"/>
          <w:divBdr>
            <w:top w:val="none" w:sz="0" w:space="0" w:color="auto"/>
            <w:left w:val="none" w:sz="0" w:space="0" w:color="auto"/>
            <w:bottom w:val="none" w:sz="0" w:space="0" w:color="auto"/>
            <w:right w:val="none" w:sz="0" w:space="0" w:color="auto"/>
          </w:divBdr>
        </w:div>
        <w:div w:id="2090343925">
          <w:marLeft w:val="360"/>
          <w:marRight w:val="0"/>
          <w:marTop w:val="480"/>
          <w:marBottom w:val="0"/>
          <w:divBdr>
            <w:top w:val="none" w:sz="0" w:space="0" w:color="auto"/>
            <w:left w:val="none" w:sz="0" w:space="0" w:color="auto"/>
            <w:bottom w:val="none" w:sz="0" w:space="0" w:color="auto"/>
            <w:right w:val="none" w:sz="0" w:space="0" w:color="auto"/>
          </w:divBdr>
        </w:div>
        <w:div w:id="1461605670">
          <w:marLeft w:val="907"/>
          <w:marRight w:val="0"/>
          <w:marTop w:val="86"/>
          <w:marBottom w:val="0"/>
          <w:divBdr>
            <w:top w:val="none" w:sz="0" w:space="0" w:color="auto"/>
            <w:left w:val="none" w:sz="0" w:space="0" w:color="auto"/>
            <w:bottom w:val="none" w:sz="0" w:space="0" w:color="auto"/>
            <w:right w:val="none" w:sz="0" w:space="0" w:color="auto"/>
          </w:divBdr>
        </w:div>
        <w:div w:id="1070150205">
          <w:marLeft w:val="360"/>
          <w:marRight w:val="0"/>
          <w:marTop w:val="480"/>
          <w:marBottom w:val="0"/>
          <w:divBdr>
            <w:top w:val="none" w:sz="0" w:space="0" w:color="auto"/>
            <w:left w:val="none" w:sz="0" w:space="0" w:color="auto"/>
            <w:bottom w:val="none" w:sz="0" w:space="0" w:color="auto"/>
            <w:right w:val="none" w:sz="0" w:space="0" w:color="auto"/>
          </w:divBdr>
        </w:div>
        <w:div w:id="1502545218">
          <w:marLeft w:val="907"/>
          <w:marRight w:val="0"/>
          <w:marTop w:val="86"/>
          <w:marBottom w:val="0"/>
          <w:divBdr>
            <w:top w:val="none" w:sz="0" w:space="0" w:color="auto"/>
            <w:left w:val="none" w:sz="0" w:space="0" w:color="auto"/>
            <w:bottom w:val="none" w:sz="0" w:space="0" w:color="auto"/>
            <w:right w:val="none" w:sz="0" w:space="0" w:color="auto"/>
          </w:divBdr>
        </w:div>
        <w:div w:id="1284578683">
          <w:marLeft w:val="360"/>
          <w:marRight w:val="0"/>
          <w:marTop w:val="480"/>
          <w:marBottom w:val="0"/>
          <w:divBdr>
            <w:top w:val="none" w:sz="0" w:space="0" w:color="auto"/>
            <w:left w:val="none" w:sz="0" w:space="0" w:color="auto"/>
            <w:bottom w:val="none" w:sz="0" w:space="0" w:color="auto"/>
            <w:right w:val="none" w:sz="0" w:space="0" w:color="auto"/>
          </w:divBdr>
        </w:div>
      </w:divsChild>
    </w:div>
    <w:div w:id="82142561">
      <w:bodyDiv w:val="1"/>
      <w:marLeft w:val="0"/>
      <w:marRight w:val="0"/>
      <w:marTop w:val="0"/>
      <w:marBottom w:val="0"/>
      <w:divBdr>
        <w:top w:val="none" w:sz="0" w:space="0" w:color="auto"/>
        <w:left w:val="none" w:sz="0" w:space="0" w:color="auto"/>
        <w:bottom w:val="none" w:sz="0" w:space="0" w:color="auto"/>
        <w:right w:val="none" w:sz="0" w:space="0" w:color="auto"/>
      </w:divBdr>
      <w:divsChild>
        <w:div w:id="338847325">
          <w:marLeft w:val="360"/>
          <w:marRight w:val="0"/>
          <w:marTop w:val="480"/>
          <w:marBottom w:val="0"/>
          <w:divBdr>
            <w:top w:val="none" w:sz="0" w:space="0" w:color="auto"/>
            <w:left w:val="none" w:sz="0" w:space="0" w:color="auto"/>
            <w:bottom w:val="none" w:sz="0" w:space="0" w:color="auto"/>
            <w:right w:val="none" w:sz="0" w:space="0" w:color="auto"/>
          </w:divBdr>
        </w:div>
        <w:div w:id="419762038">
          <w:marLeft w:val="907"/>
          <w:marRight w:val="0"/>
          <w:marTop w:val="86"/>
          <w:marBottom w:val="0"/>
          <w:divBdr>
            <w:top w:val="none" w:sz="0" w:space="0" w:color="auto"/>
            <w:left w:val="none" w:sz="0" w:space="0" w:color="auto"/>
            <w:bottom w:val="none" w:sz="0" w:space="0" w:color="auto"/>
            <w:right w:val="none" w:sz="0" w:space="0" w:color="auto"/>
          </w:divBdr>
        </w:div>
        <w:div w:id="503782665">
          <w:marLeft w:val="360"/>
          <w:marRight w:val="0"/>
          <w:marTop w:val="480"/>
          <w:marBottom w:val="0"/>
          <w:divBdr>
            <w:top w:val="none" w:sz="0" w:space="0" w:color="auto"/>
            <w:left w:val="none" w:sz="0" w:space="0" w:color="auto"/>
            <w:bottom w:val="none" w:sz="0" w:space="0" w:color="auto"/>
            <w:right w:val="none" w:sz="0" w:space="0" w:color="auto"/>
          </w:divBdr>
        </w:div>
        <w:div w:id="2079327970">
          <w:marLeft w:val="907"/>
          <w:marRight w:val="0"/>
          <w:marTop w:val="86"/>
          <w:marBottom w:val="0"/>
          <w:divBdr>
            <w:top w:val="none" w:sz="0" w:space="0" w:color="auto"/>
            <w:left w:val="none" w:sz="0" w:space="0" w:color="auto"/>
            <w:bottom w:val="none" w:sz="0" w:space="0" w:color="auto"/>
            <w:right w:val="none" w:sz="0" w:space="0" w:color="auto"/>
          </w:divBdr>
        </w:div>
      </w:divsChild>
    </w:div>
    <w:div w:id="83964085">
      <w:bodyDiv w:val="1"/>
      <w:marLeft w:val="0"/>
      <w:marRight w:val="0"/>
      <w:marTop w:val="0"/>
      <w:marBottom w:val="0"/>
      <w:divBdr>
        <w:top w:val="none" w:sz="0" w:space="0" w:color="auto"/>
        <w:left w:val="none" w:sz="0" w:space="0" w:color="auto"/>
        <w:bottom w:val="none" w:sz="0" w:space="0" w:color="auto"/>
        <w:right w:val="none" w:sz="0" w:space="0" w:color="auto"/>
      </w:divBdr>
      <w:divsChild>
        <w:div w:id="1548175874">
          <w:marLeft w:val="360"/>
          <w:marRight w:val="0"/>
          <w:marTop w:val="384"/>
          <w:marBottom w:val="0"/>
          <w:divBdr>
            <w:top w:val="none" w:sz="0" w:space="0" w:color="auto"/>
            <w:left w:val="none" w:sz="0" w:space="0" w:color="auto"/>
            <w:bottom w:val="none" w:sz="0" w:space="0" w:color="auto"/>
            <w:right w:val="none" w:sz="0" w:space="0" w:color="auto"/>
          </w:divBdr>
        </w:div>
        <w:div w:id="1302154725">
          <w:marLeft w:val="360"/>
          <w:marRight w:val="0"/>
          <w:marTop w:val="384"/>
          <w:marBottom w:val="0"/>
          <w:divBdr>
            <w:top w:val="none" w:sz="0" w:space="0" w:color="auto"/>
            <w:left w:val="none" w:sz="0" w:space="0" w:color="auto"/>
            <w:bottom w:val="none" w:sz="0" w:space="0" w:color="auto"/>
            <w:right w:val="none" w:sz="0" w:space="0" w:color="auto"/>
          </w:divBdr>
        </w:div>
        <w:div w:id="1955597813">
          <w:marLeft w:val="360"/>
          <w:marRight w:val="0"/>
          <w:marTop w:val="384"/>
          <w:marBottom w:val="0"/>
          <w:divBdr>
            <w:top w:val="none" w:sz="0" w:space="0" w:color="auto"/>
            <w:left w:val="none" w:sz="0" w:space="0" w:color="auto"/>
            <w:bottom w:val="none" w:sz="0" w:space="0" w:color="auto"/>
            <w:right w:val="none" w:sz="0" w:space="0" w:color="auto"/>
          </w:divBdr>
        </w:div>
        <w:div w:id="1929458726">
          <w:marLeft w:val="907"/>
          <w:marRight w:val="0"/>
          <w:marTop w:val="67"/>
          <w:marBottom w:val="0"/>
          <w:divBdr>
            <w:top w:val="none" w:sz="0" w:space="0" w:color="auto"/>
            <w:left w:val="none" w:sz="0" w:space="0" w:color="auto"/>
            <w:bottom w:val="none" w:sz="0" w:space="0" w:color="auto"/>
            <w:right w:val="none" w:sz="0" w:space="0" w:color="auto"/>
          </w:divBdr>
        </w:div>
        <w:div w:id="882912259">
          <w:marLeft w:val="907"/>
          <w:marRight w:val="0"/>
          <w:marTop w:val="67"/>
          <w:marBottom w:val="0"/>
          <w:divBdr>
            <w:top w:val="none" w:sz="0" w:space="0" w:color="auto"/>
            <w:left w:val="none" w:sz="0" w:space="0" w:color="auto"/>
            <w:bottom w:val="none" w:sz="0" w:space="0" w:color="auto"/>
            <w:right w:val="none" w:sz="0" w:space="0" w:color="auto"/>
          </w:divBdr>
        </w:div>
        <w:div w:id="2977732">
          <w:marLeft w:val="907"/>
          <w:marRight w:val="0"/>
          <w:marTop w:val="67"/>
          <w:marBottom w:val="0"/>
          <w:divBdr>
            <w:top w:val="none" w:sz="0" w:space="0" w:color="auto"/>
            <w:left w:val="none" w:sz="0" w:space="0" w:color="auto"/>
            <w:bottom w:val="none" w:sz="0" w:space="0" w:color="auto"/>
            <w:right w:val="none" w:sz="0" w:space="0" w:color="auto"/>
          </w:divBdr>
        </w:div>
        <w:div w:id="1534538015">
          <w:marLeft w:val="907"/>
          <w:marRight w:val="0"/>
          <w:marTop w:val="67"/>
          <w:marBottom w:val="0"/>
          <w:divBdr>
            <w:top w:val="none" w:sz="0" w:space="0" w:color="auto"/>
            <w:left w:val="none" w:sz="0" w:space="0" w:color="auto"/>
            <w:bottom w:val="none" w:sz="0" w:space="0" w:color="auto"/>
            <w:right w:val="none" w:sz="0" w:space="0" w:color="auto"/>
          </w:divBdr>
        </w:div>
        <w:div w:id="66415447">
          <w:marLeft w:val="360"/>
          <w:marRight w:val="0"/>
          <w:marTop w:val="384"/>
          <w:marBottom w:val="0"/>
          <w:divBdr>
            <w:top w:val="none" w:sz="0" w:space="0" w:color="auto"/>
            <w:left w:val="none" w:sz="0" w:space="0" w:color="auto"/>
            <w:bottom w:val="none" w:sz="0" w:space="0" w:color="auto"/>
            <w:right w:val="none" w:sz="0" w:space="0" w:color="auto"/>
          </w:divBdr>
        </w:div>
        <w:div w:id="2140418652">
          <w:marLeft w:val="360"/>
          <w:marRight w:val="0"/>
          <w:marTop w:val="384"/>
          <w:marBottom w:val="0"/>
          <w:divBdr>
            <w:top w:val="none" w:sz="0" w:space="0" w:color="auto"/>
            <w:left w:val="none" w:sz="0" w:space="0" w:color="auto"/>
            <w:bottom w:val="none" w:sz="0" w:space="0" w:color="auto"/>
            <w:right w:val="none" w:sz="0" w:space="0" w:color="auto"/>
          </w:divBdr>
        </w:div>
      </w:divsChild>
    </w:div>
    <w:div w:id="102577950">
      <w:bodyDiv w:val="1"/>
      <w:marLeft w:val="0"/>
      <w:marRight w:val="0"/>
      <w:marTop w:val="0"/>
      <w:marBottom w:val="0"/>
      <w:divBdr>
        <w:top w:val="none" w:sz="0" w:space="0" w:color="auto"/>
        <w:left w:val="none" w:sz="0" w:space="0" w:color="auto"/>
        <w:bottom w:val="none" w:sz="0" w:space="0" w:color="auto"/>
        <w:right w:val="none" w:sz="0" w:space="0" w:color="auto"/>
      </w:divBdr>
      <w:divsChild>
        <w:div w:id="1241257102">
          <w:marLeft w:val="360"/>
          <w:marRight w:val="0"/>
          <w:marTop w:val="480"/>
          <w:marBottom w:val="0"/>
          <w:divBdr>
            <w:top w:val="none" w:sz="0" w:space="0" w:color="auto"/>
            <w:left w:val="none" w:sz="0" w:space="0" w:color="auto"/>
            <w:bottom w:val="none" w:sz="0" w:space="0" w:color="auto"/>
            <w:right w:val="none" w:sz="0" w:space="0" w:color="auto"/>
          </w:divBdr>
        </w:div>
        <w:div w:id="171527230">
          <w:marLeft w:val="907"/>
          <w:marRight w:val="0"/>
          <w:marTop w:val="86"/>
          <w:marBottom w:val="0"/>
          <w:divBdr>
            <w:top w:val="none" w:sz="0" w:space="0" w:color="auto"/>
            <w:left w:val="none" w:sz="0" w:space="0" w:color="auto"/>
            <w:bottom w:val="none" w:sz="0" w:space="0" w:color="auto"/>
            <w:right w:val="none" w:sz="0" w:space="0" w:color="auto"/>
          </w:divBdr>
        </w:div>
        <w:div w:id="380986057">
          <w:marLeft w:val="907"/>
          <w:marRight w:val="0"/>
          <w:marTop w:val="86"/>
          <w:marBottom w:val="0"/>
          <w:divBdr>
            <w:top w:val="none" w:sz="0" w:space="0" w:color="auto"/>
            <w:left w:val="none" w:sz="0" w:space="0" w:color="auto"/>
            <w:bottom w:val="none" w:sz="0" w:space="0" w:color="auto"/>
            <w:right w:val="none" w:sz="0" w:space="0" w:color="auto"/>
          </w:divBdr>
        </w:div>
        <w:div w:id="1468007346">
          <w:marLeft w:val="907"/>
          <w:marRight w:val="0"/>
          <w:marTop w:val="86"/>
          <w:marBottom w:val="0"/>
          <w:divBdr>
            <w:top w:val="none" w:sz="0" w:space="0" w:color="auto"/>
            <w:left w:val="none" w:sz="0" w:space="0" w:color="auto"/>
            <w:bottom w:val="none" w:sz="0" w:space="0" w:color="auto"/>
            <w:right w:val="none" w:sz="0" w:space="0" w:color="auto"/>
          </w:divBdr>
        </w:div>
        <w:div w:id="1291520742">
          <w:marLeft w:val="907"/>
          <w:marRight w:val="0"/>
          <w:marTop w:val="86"/>
          <w:marBottom w:val="0"/>
          <w:divBdr>
            <w:top w:val="none" w:sz="0" w:space="0" w:color="auto"/>
            <w:left w:val="none" w:sz="0" w:space="0" w:color="auto"/>
            <w:bottom w:val="none" w:sz="0" w:space="0" w:color="auto"/>
            <w:right w:val="none" w:sz="0" w:space="0" w:color="auto"/>
          </w:divBdr>
        </w:div>
        <w:div w:id="671642053">
          <w:marLeft w:val="907"/>
          <w:marRight w:val="0"/>
          <w:marTop w:val="86"/>
          <w:marBottom w:val="0"/>
          <w:divBdr>
            <w:top w:val="none" w:sz="0" w:space="0" w:color="auto"/>
            <w:left w:val="none" w:sz="0" w:space="0" w:color="auto"/>
            <w:bottom w:val="none" w:sz="0" w:space="0" w:color="auto"/>
            <w:right w:val="none" w:sz="0" w:space="0" w:color="auto"/>
          </w:divBdr>
        </w:div>
        <w:div w:id="1145245291">
          <w:marLeft w:val="907"/>
          <w:marRight w:val="0"/>
          <w:marTop w:val="86"/>
          <w:marBottom w:val="0"/>
          <w:divBdr>
            <w:top w:val="none" w:sz="0" w:space="0" w:color="auto"/>
            <w:left w:val="none" w:sz="0" w:space="0" w:color="auto"/>
            <w:bottom w:val="none" w:sz="0" w:space="0" w:color="auto"/>
            <w:right w:val="none" w:sz="0" w:space="0" w:color="auto"/>
          </w:divBdr>
        </w:div>
        <w:div w:id="735317222">
          <w:marLeft w:val="907"/>
          <w:marRight w:val="0"/>
          <w:marTop w:val="86"/>
          <w:marBottom w:val="0"/>
          <w:divBdr>
            <w:top w:val="none" w:sz="0" w:space="0" w:color="auto"/>
            <w:left w:val="none" w:sz="0" w:space="0" w:color="auto"/>
            <w:bottom w:val="none" w:sz="0" w:space="0" w:color="auto"/>
            <w:right w:val="none" w:sz="0" w:space="0" w:color="auto"/>
          </w:divBdr>
        </w:div>
        <w:div w:id="1538155078">
          <w:marLeft w:val="907"/>
          <w:marRight w:val="0"/>
          <w:marTop w:val="86"/>
          <w:marBottom w:val="0"/>
          <w:divBdr>
            <w:top w:val="none" w:sz="0" w:space="0" w:color="auto"/>
            <w:left w:val="none" w:sz="0" w:space="0" w:color="auto"/>
            <w:bottom w:val="none" w:sz="0" w:space="0" w:color="auto"/>
            <w:right w:val="none" w:sz="0" w:space="0" w:color="auto"/>
          </w:divBdr>
        </w:div>
        <w:div w:id="1020593635">
          <w:marLeft w:val="360"/>
          <w:marRight w:val="0"/>
          <w:marTop w:val="480"/>
          <w:marBottom w:val="0"/>
          <w:divBdr>
            <w:top w:val="none" w:sz="0" w:space="0" w:color="auto"/>
            <w:left w:val="none" w:sz="0" w:space="0" w:color="auto"/>
            <w:bottom w:val="none" w:sz="0" w:space="0" w:color="auto"/>
            <w:right w:val="none" w:sz="0" w:space="0" w:color="auto"/>
          </w:divBdr>
        </w:div>
        <w:div w:id="1910268855">
          <w:marLeft w:val="907"/>
          <w:marRight w:val="0"/>
          <w:marTop w:val="86"/>
          <w:marBottom w:val="0"/>
          <w:divBdr>
            <w:top w:val="none" w:sz="0" w:space="0" w:color="auto"/>
            <w:left w:val="none" w:sz="0" w:space="0" w:color="auto"/>
            <w:bottom w:val="none" w:sz="0" w:space="0" w:color="auto"/>
            <w:right w:val="none" w:sz="0" w:space="0" w:color="auto"/>
          </w:divBdr>
        </w:div>
      </w:divsChild>
    </w:div>
    <w:div w:id="301422241">
      <w:bodyDiv w:val="1"/>
      <w:marLeft w:val="0"/>
      <w:marRight w:val="0"/>
      <w:marTop w:val="0"/>
      <w:marBottom w:val="0"/>
      <w:divBdr>
        <w:top w:val="none" w:sz="0" w:space="0" w:color="auto"/>
        <w:left w:val="none" w:sz="0" w:space="0" w:color="auto"/>
        <w:bottom w:val="none" w:sz="0" w:space="0" w:color="auto"/>
        <w:right w:val="none" w:sz="0" w:space="0" w:color="auto"/>
      </w:divBdr>
      <w:divsChild>
        <w:div w:id="1808358047">
          <w:marLeft w:val="360"/>
          <w:marRight w:val="0"/>
          <w:marTop w:val="432"/>
          <w:marBottom w:val="0"/>
          <w:divBdr>
            <w:top w:val="none" w:sz="0" w:space="0" w:color="auto"/>
            <w:left w:val="none" w:sz="0" w:space="0" w:color="auto"/>
            <w:bottom w:val="none" w:sz="0" w:space="0" w:color="auto"/>
            <w:right w:val="none" w:sz="0" w:space="0" w:color="auto"/>
          </w:divBdr>
        </w:div>
        <w:div w:id="527720869">
          <w:marLeft w:val="907"/>
          <w:marRight w:val="0"/>
          <w:marTop w:val="77"/>
          <w:marBottom w:val="0"/>
          <w:divBdr>
            <w:top w:val="none" w:sz="0" w:space="0" w:color="auto"/>
            <w:left w:val="none" w:sz="0" w:space="0" w:color="auto"/>
            <w:bottom w:val="none" w:sz="0" w:space="0" w:color="auto"/>
            <w:right w:val="none" w:sz="0" w:space="0" w:color="auto"/>
          </w:divBdr>
        </w:div>
        <w:div w:id="787160086">
          <w:marLeft w:val="360"/>
          <w:marRight w:val="0"/>
          <w:marTop w:val="432"/>
          <w:marBottom w:val="0"/>
          <w:divBdr>
            <w:top w:val="none" w:sz="0" w:space="0" w:color="auto"/>
            <w:left w:val="none" w:sz="0" w:space="0" w:color="auto"/>
            <w:bottom w:val="none" w:sz="0" w:space="0" w:color="auto"/>
            <w:right w:val="none" w:sz="0" w:space="0" w:color="auto"/>
          </w:divBdr>
        </w:div>
        <w:div w:id="2134128573">
          <w:marLeft w:val="360"/>
          <w:marRight w:val="0"/>
          <w:marTop w:val="432"/>
          <w:marBottom w:val="0"/>
          <w:divBdr>
            <w:top w:val="none" w:sz="0" w:space="0" w:color="auto"/>
            <w:left w:val="none" w:sz="0" w:space="0" w:color="auto"/>
            <w:bottom w:val="none" w:sz="0" w:space="0" w:color="auto"/>
            <w:right w:val="none" w:sz="0" w:space="0" w:color="auto"/>
          </w:divBdr>
        </w:div>
        <w:div w:id="1973947270">
          <w:marLeft w:val="1080"/>
          <w:marRight w:val="0"/>
          <w:marTop w:val="77"/>
          <w:marBottom w:val="0"/>
          <w:divBdr>
            <w:top w:val="none" w:sz="0" w:space="0" w:color="auto"/>
            <w:left w:val="none" w:sz="0" w:space="0" w:color="auto"/>
            <w:bottom w:val="none" w:sz="0" w:space="0" w:color="auto"/>
            <w:right w:val="none" w:sz="0" w:space="0" w:color="auto"/>
          </w:divBdr>
        </w:div>
        <w:div w:id="574970199">
          <w:marLeft w:val="1080"/>
          <w:marRight w:val="0"/>
          <w:marTop w:val="77"/>
          <w:marBottom w:val="0"/>
          <w:divBdr>
            <w:top w:val="none" w:sz="0" w:space="0" w:color="auto"/>
            <w:left w:val="none" w:sz="0" w:space="0" w:color="auto"/>
            <w:bottom w:val="none" w:sz="0" w:space="0" w:color="auto"/>
            <w:right w:val="none" w:sz="0" w:space="0" w:color="auto"/>
          </w:divBdr>
        </w:div>
        <w:div w:id="178663357">
          <w:marLeft w:val="1080"/>
          <w:marRight w:val="0"/>
          <w:marTop w:val="77"/>
          <w:marBottom w:val="0"/>
          <w:divBdr>
            <w:top w:val="none" w:sz="0" w:space="0" w:color="auto"/>
            <w:left w:val="none" w:sz="0" w:space="0" w:color="auto"/>
            <w:bottom w:val="none" w:sz="0" w:space="0" w:color="auto"/>
            <w:right w:val="none" w:sz="0" w:space="0" w:color="auto"/>
          </w:divBdr>
        </w:div>
        <w:div w:id="2131194390">
          <w:marLeft w:val="1080"/>
          <w:marRight w:val="0"/>
          <w:marTop w:val="77"/>
          <w:marBottom w:val="0"/>
          <w:divBdr>
            <w:top w:val="none" w:sz="0" w:space="0" w:color="auto"/>
            <w:left w:val="none" w:sz="0" w:space="0" w:color="auto"/>
            <w:bottom w:val="none" w:sz="0" w:space="0" w:color="auto"/>
            <w:right w:val="none" w:sz="0" w:space="0" w:color="auto"/>
          </w:divBdr>
        </w:div>
        <w:div w:id="1835873719">
          <w:marLeft w:val="1080"/>
          <w:marRight w:val="0"/>
          <w:marTop w:val="77"/>
          <w:marBottom w:val="0"/>
          <w:divBdr>
            <w:top w:val="none" w:sz="0" w:space="0" w:color="auto"/>
            <w:left w:val="none" w:sz="0" w:space="0" w:color="auto"/>
            <w:bottom w:val="none" w:sz="0" w:space="0" w:color="auto"/>
            <w:right w:val="none" w:sz="0" w:space="0" w:color="auto"/>
          </w:divBdr>
        </w:div>
        <w:div w:id="1248081368">
          <w:marLeft w:val="1080"/>
          <w:marRight w:val="0"/>
          <w:marTop w:val="77"/>
          <w:marBottom w:val="0"/>
          <w:divBdr>
            <w:top w:val="none" w:sz="0" w:space="0" w:color="auto"/>
            <w:left w:val="none" w:sz="0" w:space="0" w:color="auto"/>
            <w:bottom w:val="none" w:sz="0" w:space="0" w:color="auto"/>
            <w:right w:val="none" w:sz="0" w:space="0" w:color="auto"/>
          </w:divBdr>
        </w:div>
        <w:div w:id="865102563">
          <w:marLeft w:val="1080"/>
          <w:marRight w:val="0"/>
          <w:marTop w:val="77"/>
          <w:marBottom w:val="0"/>
          <w:divBdr>
            <w:top w:val="none" w:sz="0" w:space="0" w:color="auto"/>
            <w:left w:val="none" w:sz="0" w:space="0" w:color="auto"/>
            <w:bottom w:val="none" w:sz="0" w:space="0" w:color="auto"/>
            <w:right w:val="none" w:sz="0" w:space="0" w:color="auto"/>
          </w:divBdr>
        </w:div>
        <w:div w:id="882403496">
          <w:marLeft w:val="1080"/>
          <w:marRight w:val="0"/>
          <w:marTop w:val="77"/>
          <w:marBottom w:val="0"/>
          <w:divBdr>
            <w:top w:val="none" w:sz="0" w:space="0" w:color="auto"/>
            <w:left w:val="none" w:sz="0" w:space="0" w:color="auto"/>
            <w:bottom w:val="none" w:sz="0" w:space="0" w:color="auto"/>
            <w:right w:val="none" w:sz="0" w:space="0" w:color="auto"/>
          </w:divBdr>
        </w:div>
        <w:div w:id="466048326">
          <w:marLeft w:val="1080"/>
          <w:marRight w:val="0"/>
          <w:marTop w:val="77"/>
          <w:marBottom w:val="0"/>
          <w:divBdr>
            <w:top w:val="none" w:sz="0" w:space="0" w:color="auto"/>
            <w:left w:val="none" w:sz="0" w:space="0" w:color="auto"/>
            <w:bottom w:val="none" w:sz="0" w:space="0" w:color="auto"/>
            <w:right w:val="none" w:sz="0" w:space="0" w:color="auto"/>
          </w:divBdr>
        </w:div>
        <w:div w:id="2029214236">
          <w:marLeft w:val="1080"/>
          <w:marRight w:val="0"/>
          <w:marTop w:val="77"/>
          <w:marBottom w:val="0"/>
          <w:divBdr>
            <w:top w:val="none" w:sz="0" w:space="0" w:color="auto"/>
            <w:left w:val="none" w:sz="0" w:space="0" w:color="auto"/>
            <w:bottom w:val="none" w:sz="0" w:space="0" w:color="auto"/>
            <w:right w:val="none" w:sz="0" w:space="0" w:color="auto"/>
          </w:divBdr>
        </w:div>
      </w:divsChild>
    </w:div>
    <w:div w:id="333340144">
      <w:bodyDiv w:val="1"/>
      <w:marLeft w:val="0"/>
      <w:marRight w:val="0"/>
      <w:marTop w:val="0"/>
      <w:marBottom w:val="0"/>
      <w:divBdr>
        <w:top w:val="none" w:sz="0" w:space="0" w:color="auto"/>
        <w:left w:val="none" w:sz="0" w:space="0" w:color="auto"/>
        <w:bottom w:val="none" w:sz="0" w:space="0" w:color="auto"/>
        <w:right w:val="none" w:sz="0" w:space="0" w:color="auto"/>
      </w:divBdr>
      <w:divsChild>
        <w:div w:id="40904936">
          <w:marLeft w:val="360"/>
          <w:marRight w:val="0"/>
          <w:marTop w:val="384"/>
          <w:marBottom w:val="0"/>
          <w:divBdr>
            <w:top w:val="none" w:sz="0" w:space="0" w:color="auto"/>
            <w:left w:val="none" w:sz="0" w:space="0" w:color="auto"/>
            <w:bottom w:val="none" w:sz="0" w:space="0" w:color="auto"/>
            <w:right w:val="none" w:sz="0" w:space="0" w:color="auto"/>
          </w:divBdr>
        </w:div>
        <w:div w:id="1624920754">
          <w:marLeft w:val="907"/>
          <w:marRight w:val="0"/>
          <w:marTop w:val="67"/>
          <w:marBottom w:val="0"/>
          <w:divBdr>
            <w:top w:val="none" w:sz="0" w:space="0" w:color="auto"/>
            <w:left w:val="none" w:sz="0" w:space="0" w:color="auto"/>
            <w:bottom w:val="none" w:sz="0" w:space="0" w:color="auto"/>
            <w:right w:val="none" w:sz="0" w:space="0" w:color="auto"/>
          </w:divBdr>
        </w:div>
        <w:div w:id="380325340">
          <w:marLeft w:val="907"/>
          <w:marRight w:val="0"/>
          <w:marTop w:val="67"/>
          <w:marBottom w:val="0"/>
          <w:divBdr>
            <w:top w:val="none" w:sz="0" w:space="0" w:color="auto"/>
            <w:left w:val="none" w:sz="0" w:space="0" w:color="auto"/>
            <w:bottom w:val="none" w:sz="0" w:space="0" w:color="auto"/>
            <w:right w:val="none" w:sz="0" w:space="0" w:color="auto"/>
          </w:divBdr>
        </w:div>
        <w:div w:id="197668733">
          <w:marLeft w:val="360"/>
          <w:marRight w:val="0"/>
          <w:marTop w:val="384"/>
          <w:marBottom w:val="0"/>
          <w:divBdr>
            <w:top w:val="none" w:sz="0" w:space="0" w:color="auto"/>
            <w:left w:val="none" w:sz="0" w:space="0" w:color="auto"/>
            <w:bottom w:val="none" w:sz="0" w:space="0" w:color="auto"/>
            <w:right w:val="none" w:sz="0" w:space="0" w:color="auto"/>
          </w:divBdr>
        </w:div>
        <w:div w:id="1458331539">
          <w:marLeft w:val="907"/>
          <w:marRight w:val="0"/>
          <w:marTop w:val="67"/>
          <w:marBottom w:val="0"/>
          <w:divBdr>
            <w:top w:val="none" w:sz="0" w:space="0" w:color="auto"/>
            <w:left w:val="none" w:sz="0" w:space="0" w:color="auto"/>
            <w:bottom w:val="none" w:sz="0" w:space="0" w:color="auto"/>
            <w:right w:val="none" w:sz="0" w:space="0" w:color="auto"/>
          </w:divBdr>
        </w:div>
        <w:div w:id="1095828085">
          <w:marLeft w:val="360"/>
          <w:marRight w:val="0"/>
          <w:marTop w:val="384"/>
          <w:marBottom w:val="0"/>
          <w:divBdr>
            <w:top w:val="none" w:sz="0" w:space="0" w:color="auto"/>
            <w:left w:val="none" w:sz="0" w:space="0" w:color="auto"/>
            <w:bottom w:val="none" w:sz="0" w:space="0" w:color="auto"/>
            <w:right w:val="none" w:sz="0" w:space="0" w:color="auto"/>
          </w:divBdr>
        </w:div>
        <w:div w:id="1221747991">
          <w:marLeft w:val="907"/>
          <w:marRight w:val="0"/>
          <w:marTop w:val="67"/>
          <w:marBottom w:val="0"/>
          <w:divBdr>
            <w:top w:val="none" w:sz="0" w:space="0" w:color="auto"/>
            <w:left w:val="none" w:sz="0" w:space="0" w:color="auto"/>
            <w:bottom w:val="none" w:sz="0" w:space="0" w:color="auto"/>
            <w:right w:val="none" w:sz="0" w:space="0" w:color="auto"/>
          </w:divBdr>
        </w:div>
        <w:div w:id="1170946960">
          <w:marLeft w:val="360"/>
          <w:marRight w:val="0"/>
          <w:marTop w:val="384"/>
          <w:marBottom w:val="0"/>
          <w:divBdr>
            <w:top w:val="none" w:sz="0" w:space="0" w:color="auto"/>
            <w:left w:val="none" w:sz="0" w:space="0" w:color="auto"/>
            <w:bottom w:val="none" w:sz="0" w:space="0" w:color="auto"/>
            <w:right w:val="none" w:sz="0" w:space="0" w:color="auto"/>
          </w:divBdr>
        </w:div>
        <w:div w:id="764613146">
          <w:marLeft w:val="907"/>
          <w:marRight w:val="0"/>
          <w:marTop w:val="67"/>
          <w:marBottom w:val="0"/>
          <w:divBdr>
            <w:top w:val="none" w:sz="0" w:space="0" w:color="auto"/>
            <w:left w:val="none" w:sz="0" w:space="0" w:color="auto"/>
            <w:bottom w:val="none" w:sz="0" w:space="0" w:color="auto"/>
            <w:right w:val="none" w:sz="0" w:space="0" w:color="auto"/>
          </w:divBdr>
        </w:div>
        <w:div w:id="2045596651">
          <w:marLeft w:val="360"/>
          <w:marRight w:val="0"/>
          <w:marTop w:val="384"/>
          <w:marBottom w:val="0"/>
          <w:divBdr>
            <w:top w:val="none" w:sz="0" w:space="0" w:color="auto"/>
            <w:left w:val="none" w:sz="0" w:space="0" w:color="auto"/>
            <w:bottom w:val="none" w:sz="0" w:space="0" w:color="auto"/>
            <w:right w:val="none" w:sz="0" w:space="0" w:color="auto"/>
          </w:divBdr>
        </w:div>
        <w:div w:id="2143845589">
          <w:marLeft w:val="907"/>
          <w:marRight w:val="0"/>
          <w:marTop w:val="67"/>
          <w:marBottom w:val="0"/>
          <w:divBdr>
            <w:top w:val="none" w:sz="0" w:space="0" w:color="auto"/>
            <w:left w:val="none" w:sz="0" w:space="0" w:color="auto"/>
            <w:bottom w:val="none" w:sz="0" w:space="0" w:color="auto"/>
            <w:right w:val="none" w:sz="0" w:space="0" w:color="auto"/>
          </w:divBdr>
        </w:div>
      </w:divsChild>
    </w:div>
    <w:div w:id="460654474">
      <w:bodyDiv w:val="1"/>
      <w:marLeft w:val="0"/>
      <w:marRight w:val="0"/>
      <w:marTop w:val="0"/>
      <w:marBottom w:val="0"/>
      <w:divBdr>
        <w:top w:val="none" w:sz="0" w:space="0" w:color="auto"/>
        <w:left w:val="none" w:sz="0" w:space="0" w:color="auto"/>
        <w:bottom w:val="none" w:sz="0" w:space="0" w:color="auto"/>
        <w:right w:val="none" w:sz="0" w:space="0" w:color="auto"/>
      </w:divBdr>
    </w:div>
    <w:div w:id="489448637">
      <w:bodyDiv w:val="1"/>
      <w:marLeft w:val="0"/>
      <w:marRight w:val="0"/>
      <w:marTop w:val="0"/>
      <w:marBottom w:val="0"/>
      <w:divBdr>
        <w:top w:val="none" w:sz="0" w:space="0" w:color="auto"/>
        <w:left w:val="none" w:sz="0" w:space="0" w:color="auto"/>
        <w:bottom w:val="none" w:sz="0" w:space="0" w:color="auto"/>
        <w:right w:val="none" w:sz="0" w:space="0" w:color="auto"/>
      </w:divBdr>
    </w:div>
    <w:div w:id="513031095">
      <w:bodyDiv w:val="1"/>
      <w:marLeft w:val="0"/>
      <w:marRight w:val="0"/>
      <w:marTop w:val="0"/>
      <w:marBottom w:val="0"/>
      <w:divBdr>
        <w:top w:val="none" w:sz="0" w:space="0" w:color="auto"/>
        <w:left w:val="none" w:sz="0" w:space="0" w:color="auto"/>
        <w:bottom w:val="none" w:sz="0" w:space="0" w:color="auto"/>
        <w:right w:val="none" w:sz="0" w:space="0" w:color="auto"/>
      </w:divBdr>
    </w:div>
    <w:div w:id="515191660">
      <w:bodyDiv w:val="1"/>
      <w:marLeft w:val="0"/>
      <w:marRight w:val="0"/>
      <w:marTop w:val="0"/>
      <w:marBottom w:val="0"/>
      <w:divBdr>
        <w:top w:val="none" w:sz="0" w:space="0" w:color="auto"/>
        <w:left w:val="none" w:sz="0" w:space="0" w:color="auto"/>
        <w:bottom w:val="none" w:sz="0" w:space="0" w:color="auto"/>
        <w:right w:val="none" w:sz="0" w:space="0" w:color="auto"/>
      </w:divBdr>
    </w:div>
    <w:div w:id="605119183">
      <w:bodyDiv w:val="1"/>
      <w:marLeft w:val="0"/>
      <w:marRight w:val="0"/>
      <w:marTop w:val="0"/>
      <w:marBottom w:val="0"/>
      <w:divBdr>
        <w:top w:val="none" w:sz="0" w:space="0" w:color="auto"/>
        <w:left w:val="none" w:sz="0" w:space="0" w:color="auto"/>
        <w:bottom w:val="none" w:sz="0" w:space="0" w:color="auto"/>
        <w:right w:val="none" w:sz="0" w:space="0" w:color="auto"/>
      </w:divBdr>
      <w:divsChild>
        <w:div w:id="779254783">
          <w:marLeft w:val="360"/>
          <w:marRight w:val="0"/>
          <w:marTop w:val="432"/>
          <w:marBottom w:val="0"/>
          <w:divBdr>
            <w:top w:val="none" w:sz="0" w:space="0" w:color="auto"/>
            <w:left w:val="none" w:sz="0" w:space="0" w:color="auto"/>
            <w:bottom w:val="none" w:sz="0" w:space="0" w:color="auto"/>
            <w:right w:val="none" w:sz="0" w:space="0" w:color="auto"/>
          </w:divBdr>
        </w:div>
        <w:div w:id="517042809">
          <w:marLeft w:val="360"/>
          <w:marRight w:val="0"/>
          <w:marTop w:val="432"/>
          <w:marBottom w:val="0"/>
          <w:divBdr>
            <w:top w:val="none" w:sz="0" w:space="0" w:color="auto"/>
            <w:left w:val="none" w:sz="0" w:space="0" w:color="auto"/>
            <w:bottom w:val="none" w:sz="0" w:space="0" w:color="auto"/>
            <w:right w:val="none" w:sz="0" w:space="0" w:color="auto"/>
          </w:divBdr>
        </w:div>
        <w:div w:id="956181927">
          <w:marLeft w:val="907"/>
          <w:marRight w:val="0"/>
          <w:marTop w:val="77"/>
          <w:marBottom w:val="0"/>
          <w:divBdr>
            <w:top w:val="none" w:sz="0" w:space="0" w:color="auto"/>
            <w:left w:val="none" w:sz="0" w:space="0" w:color="auto"/>
            <w:bottom w:val="none" w:sz="0" w:space="0" w:color="auto"/>
            <w:right w:val="none" w:sz="0" w:space="0" w:color="auto"/>
          </w:divBdr>
        </w:div>
        <w:div w:id="1963342630">
          <w:marLeft w:val="1440"/>
          <w:marRight w:val="0"/>
          <w:marTop w:val="77"/>
          <w:marBottom w:val="0"/>
          <w:divBdr>
            <w:top w:val="none" w:sz="0" w:space="0" w:color="auto"/>
            <w:left w:val="none" w:sz="0" w:space="0" w:color="auto"/>
            <w:bottom w:val="none" w:sz="0" w:space="0" w:color="auto"/>
            <w:right w:val="none" w:sz="0" w:space="0" w:color="auto"/>
          </w:divBdr>
        </w:div>
        <w:div w:id="797143993">
          <w:marLeft w:val="1440"/>
          <w:marRight w:val="0"/>
          <w:marTop w:val="77"/>
          <w:marBottom w:val="0"/>
          <w:divBdr>
            <w:top w:val="none" w:sz="0" w:space="0" w:color="auto"/>
            <w:left w:val="none" w:sz="0" w:space="0" w:color="auto"/>
            <w:bottom w:val="none" w:sz="0" w:space="0" w:color="auto"/>
            <w:right w:val="none" w:sz="0" w:space="0" w:color="auto"/>
          </w:divBdr>
        </w:div>
        <w:div w:id="1026567379">
          <w:marLeft w:val="907"/>
          <w:marRight w:val="0"/>
          <w:marTop w:val="77"/>
          <w:marBottom w:val="0"/>
          <w:divBdr>
            <w:top w:val="none" w:sz="0" w:space="0" w:color="auto"/>
            <w:left w:val="none" w:sz="0" w:space="0" w:color="auto"/>
            <w:bottom w:val="none" w:sz="0" w:space="0" w:color="auto"/>
            <w:right w:val="none" w:sz="0" w:space="0" w:color="auto"/>
          </w:divBdr>
        </w:div>
        <w:div w:id="661738489">
          <w:marLeft w:val="1440"/>
          <w:marRight w:val="0"/>
          <w:marTop w:val="77"/>
          <w:marBottom w:val="0"/>
          <w:divBdr>
            <w:top w:val="none" w:sz="0" w:space="0" w:color="auto"/>
            <w:left w:val="none" w:sz="0" w:space="0" w:color="auto"/>
            <w:bottom w:val="none" w:sz="0" w:space="0" w:color="auto"/>
            <w:right w:val="none" w:sz="0" w:space="0" w:color="auto"/>
          </w:divBdr>
        </w:div>
      </w:divsChild>
    </w:div>
    <w:div w:id="606351080">
      <w:bodyDiv w:val="1"/>
      <w:marLeft w:val="0"/>
      <w:marRight w:val="0"/>
      <w:marTop w:val="0"/>
      <w:marBottom w:val="0"/>
      <w:divBdr>
        <w:top w:val="none" w:sz="0" w:space="0" w:color="auto"/>
        <w:left w:val="none" w:sz="0" w:space="0" w:color="auto"/>
        <w:bottom w:val="none" w:sz="0" w:space="0" w:color="auto"/>
        <w:right w:val="none" w:sz="0" w:space="0" w:color="auto"/>
      </w:divBdr>
      <w:divsChild>
        <w:div w:id="1298297938">
          <w:marLeft w:val="360"/>
          <w:marRight w:val="0"/>
          <w:marTop w:val="480"/>
          <w:marBottom w:val="0"/>
          <w:divBdr>
            <w:top w:val="none" w:sz="0" w:space="0" w:color="auto"/>
            <w:left w:val="none" w:sz="0" w:space="0" w:color="auto"/>
            <w:bottom w:val="none" w:sz="0" w:space="0" w:color="auto"/>
            <w:right w:val="none" w:sz="0" w:space="0" w:color="auto"/>
          </w:divBdr>
        </w:div>
        <w:div w:id="383531391">
          <w:marLeft w:val="907"/>
          <w:marRight w:val="0"/>
          <w:marTop w:val="86"/>
          <w:marBottom w:val="0"/>
          <w:divBdr>
            <w:top w:val="none" w:sz="0" w:space="0" w:color="auto"/>
            <w:left w:val="none" w:sz="0" w:space="0" w:color="auto"/>
            <w:bottom w:val="none" w:sz="0" w:space="0" w:color="auto"/>
            <w:right w:val="none" w:sz="0" w:space="0" w:color="auto"/>
          </w:divBdr>
        </w:div>
        <w:div w:id="1522933798">
          <w:marLeft w:val="360"/>
          <w:marRight w:val="0"/>
          <w:marTop w:val="480"/>
          <w:marBottom w:val="0"/>
          <w:divBdr>
            <w:top w:val="none" w:sz="0" w:space="0" w:color="auto"/>
            <w:left w:val="none" w:sz="0" w:space="0" w:color="auto"/>
            <w:bottom w:val="none" w:sz="0" w:space="0" w:color="auto"/>
            <w:right w:val="none" w:sz="0" w:space="0" w:color="auto"/>
          </w:divBdr>
        </w:div>
        <w:div w:id="1740515043">
          <w:marLeft w:val="907"/>
          <w:marRight w:val="0"/>
          <w:marTop w:val="86"/>
          <w:marBottom w:val="0"/>
          <w:divBdr>
            <w:top w:val="none" w:sz="0" w:space="0" w:color="auto"/>
            <w:left w:val="none" w:sz="0" w:space="0" w:color="auto"/>
            <w:bottom w:val="none" w:sz="0" w:space="0" w:color="auto"/>
            <w:right w:val="none" w:sz="0" w:space="0" w:color="auto"/>
          </w:divBdr>
        </w:div>
        <w:div w:id="1531339889">
          <w:marLeft w:val="360"/>
          <w:marRight w:val="0"/>
          <w:marTop w:val="480"/>
          <w:marBottom w:val="0"/>
          <w:divBdr>
            <w:top w:val="none" w:sz="0" w:space="0" w:color="auto"/>
            <w:left w:val="none" w:sz="0" w:space="0" w:color="auto"/>
            <w:bottom w:val="none" w:sz="0" w:space="0" w:color="auto"/>
            <w:right w:val="none" w:sz="0" w:space="0" w:color="auto"/>
          </w:divBdr>
        </w:div>
        <w:div w:id="1831825675">
          <w:marLeft w:val="907"/>
          <w:marRight w:val="0"/>
          <w:marTop w:val="86"/>
          <w:marBottom w:val="0"/>
          <w:divBdr>
            <w:top w:val="none" w:sz="0" w:space="0" w:color="auto"/>
            <w:left w:val="none" w:sz="0" w:space="0" w:color="auto"/>
            <w:bottom w:val="none" w:sz="0" w:space="0" w:color="auto"/>
            <w:right w:val="none" w:sz="0" w:space="0" w:color="auto"/>
          </w:divBdr>
        </w:div>
        <w:div w:id="1421440937">
          <w:marLeft w:val="907"/>
          <w:marRight w:val="0"/>
          <w:marTop w:val="86"/>
          <w:marBottom w:val="0"/>
          <w:divBdr>
            <w:top w:val="none" w:sz="0" w:space="0" w:color="auto"/>
            <w:left w:val="none" w:sz="0" w:space="0" w:color="auto"/>
            <w:bottom w:val="none" w:sz="0" w:space="0" w:color="auto"/>
            <w:right w:val="none" w:sz="0" w:space="0" w:color="auto"/>
          </w:divBdr>
        </w:div>
        <w:div w:id="678846598">
          <w:marLeft w:val="360"/>
          <w:marRight w:val="0"/>
          <w:marTop w:val="480"/>
          <w:marBottom w:val="0"/>
          <w:divBdr>
            <w:top w:val="none" w:sz="0" w:space="0" w:color="auto"/>
            <w:left w:val="none" w:sz="0" w:space="0" w:color="auto"/>
            <w:bottom w:val="none" w:sz="0" w:space="0" w:color="auto"/>
            <w:right w:val="none" w:sz="0" w:space="0" w:color="auto"/>
          </w:divBdr>
        </w:div>
      </w:divsChild>
    </w:div>
    <w:div w:id="636495272">
      <w:bodyDiv w:val="1"/>
      <w:marLeft w:val="0"/>
      <w:marRight w:val="0"/>
      <w:marTop w:val="0"/>
      <w:marBottom w:val="0"/>
      <w:divBdr>
        <w:top w:val="none" w:sz="0" w:space="0" w:color="auto"/>
        <w:left w:val="none" w:sz="0" w:space="0" w:color="auto"/>
        <w:bottom w:val="none" w:sz="0" w:space="0" w:color="auto"/>
        <w:right w:val="none" w:sz="0" w:space="0" w:color="auto"/>
      </w:divBdr>
      <w:divsChild>
        <w:div w:id="1731882288">
          <w:marLeft w:val="360"/>
          <w:marRight w:val="0"/>
          <w:marTop w:val="432"/>
          <w:marBottom w:val="0"/>
          <w:divBdr>
            <w:top w:val="none" w:sz="0" w:space="0" w:color="auto"/>
            <w:left w:val="none" w:sz="0" w:space="0" w:color="auto"/>
            <w:bottom w:val="none" w:sz="0" w:space="0" w:color="auto"/>
            <w:right w:val="none" w:sz="0" w:space="0" w:color="auto"/>
          </w:divBdr>
        </w:div>
        <w:div w:id="2010064027">
          <w:marLeft w:val="360"/>
          <w:marRight w:val="0"/>
          <w:marTop w:val="432"/>
          <w:marBottom w:val="0"/>
          <w:divBdr>
            <w:top w:val="none" w:sz="0" w:space="0" w:color="auto"/>
            <w:left w:val="none" w:sz="0" w:space="0" w:color="auto"/>
            <w:bottom w:val="none" w:sz="0" w:space="0" w:color="auto"/>
            <w:right w:val="none" w:sz="0" w:space="0" w:color="auto"/>
          </w:divBdr>
        </w:div>
        <w:div w:id="1860773813">
          <w:marLeft w:val="907"/>
          <w:marRight w:val="0"/>
          <w:marTop w:val="77"/>
          <w:marBottom w:val="0"/>
          <w:divBdr>
            <w:top w:val="none" w:sz="0" w:space="0" w:color="auto"/>
            <w:left w:val="none" w:sz="0" w:space="0" w:color="auto"/>
            <w:bottom w:val="none" w:sz="0" w:space="0" w:color="auto"/>
            <w:right w:val="none" w:sz="0" w:space="0" w:color="auto"/>
          </w:divBdr>
        </w:div>
        <w:div w:id="1542791175">
          <w:marLeft w:val="907"/>
          <w:marRight w:val="0"/>
          <w:marTop w:val="77"/>
          <w:marBottom w:val="0"/>
          <w:divBdr>
            <w:top w:val="none" w:sz="0" w:space="0" w:color="auto"/>
            <w:left w:val="none" w:sz="0" w:space="0" w:color="auto"/>
            <w:bottom w:val="none" w:sz="0" w:space="0" w:color="auto"/>
            <w:right w:val="none" w:sz="0" w:space="0" w:color="auto"/>
          </w:divBdr>
        </w:div>
        <w:div w:id="888300005">
          <w:marLeft w:val="907"/>
          <w:marRight w:val="0"/>
          <w:marTop w:val="77"/>
          <w:marBottom w:val="0"/>
          <w:divBdr>
            <w:top w:val="none" w:sz="0" w:space="0" w:color="auto"/>
            <w:left w:val="none" w:sz="0" w:space="0" w:color="auto"/>
            <w:bottom w:val="none" w:sz="0" w:space="0" w:color="auto"/>
            <w:right w:val="none" w:sz="0" w:space="0" w:color="auto"/>
          </w:divBdr>
        </w:div>
        <w:div w:id="931864773">
          <w:marLeft w:val="907"/>
          <w:marRight w:val="0"/>
          <w:marTop w:val="77"/>
          <w:marBottom w:val="0"/>
          <w:divBdr>
            <w:top w:val="none" w:sz="0" w:space="0" w:color="auto"/>
            <w:left w:val="none" w:sz="0" w:space="0" w:color="auto"/>
            <w:bottom w:val="none" w:sz="0" w:space="0" w:color="auto"/>
            <w:right w:val="none" w:sz="0" w:space="0" w:color="auto"/>
          </w:divBdr>
        </w:div>
      </w:divsChild>
    </w:div>
    <w:div w:id="662779296">
      <w:bodyDiv w:val="1"/>
      <w:marLeft w:val="0"/>
      <w:marRight w:val="0"/>
      <w:marTop w:val="0"/>
      <w:marBottom w:val="0"/>
      <w:divBdr>
        <w:top w:val="none" w:sz="0" w:space="0" w:color="auto"/>
        <w:left w:val="none" w:sz="0" w:space="0" w:color="auto"/>
        <w:bottom w:val="none" w:sz="0" w:space="0" w:color="auto"/>
        <w:right w:val="none" w:sz="0" w:space="0" w:color="auto"/>
      </w:divBdr>
      <w:divsChild>
        <w:div w:id="1727950642">
          <w:marLeft w:val="360"/>
          <w:marRight w:val="0"/>
          <w:marTop w:val="480"/>
          <w:marBottom w:val="0"/>
          <w:divBdr>
            <w:top w:val="none" w:sz="0" w:space="0" w:color="auto"/>
            <w:left w:val="none" w:sz="0" w:space="0" w:color="auto"/>
            <w:bottom w:val="none" w:sz="0" w:space="0" w:color="auto"/>
            <w:right w:val="none" w:sz="0" w:space="0" w:color="auto"/>
          </w:divBdr>
        </w:div>
        <w:div w:id="2072077778">
          <w:marLeft w:val="360"/>
          <w:marRight w:val="0"/>
          <w:marTop w:val="480"/>
          <w:marBottom w:val="0"/>
          <w:divBdr>
            <w:top w:val="none" w:sz="0" w:space="0" w:color="auto"/>
            <w:left w:val="none" w:sz="0" w:space="0" w:color="auto"/>
            <w:bottom w:val="none" w:sz="0" w:space="0" w:color="auto"/>
            <w:right w:val="none" w:sz="0" w:space="0" w:color="auto"/>
          </w:divBdr>
        </w:div>
        <w:div w:id="1228491873">
          <w:marLeft w:val="907"/>
          <w:marRight w:val="0"/>
          <w:marTop w:val="86"/>
          <w:marBottom w:val="0"/>
          <w:divBdr>
            <w:top w:val="none" w:sz="0" w:space="0" w:color="auto"/>
            <w:left w:val="none" w:sz="0" w:space="0" w:color="auto"/>
            <w:bottom w:val="none" w:sz="0" w:space="0" w:color="auto"/>
            <w:right w:val="none" w:sz="0" w:space="0" w:color="auto"/>
          </w:divBdr>
        </w:div>
        <w:div w:id="985937470">
          <w:marLeft w:val="907"/>
          <w:marRight w:val="0"/>
          <w:marTop w:val="86"/>
          <w:marBottom w:val="0"/>
          <w:divBdr>
            <w:top w:val="none" w:sz="0" w:space="0" w:color="auto"/>
            <w:left w:val="none" w:sz="0" w:space="0" w:color="auto"/>
            <w:bottom w:val="none" w:sz="0" w:space="0" w:color="auto"/>
            <w:right w:val="none" w:sz="0" w:space="0" w:color="auto"/>
          </w:divBdr>
        </w:div>
        <w:div w:id="240876437">
          <w:marLeft w:val="360"/>
          <w:marRight w:val="0"/>
          <w:marTop w:val="480"/>
          <w:marBottom w:val="0"/>
          <w:divBdr>
            <w:top w:val="none" w:sz="0" w:space="0" w:color="auto"/>
            <w:left w:val="none" w:sz="0" w:space="0" w:color="auto"/>
            <w:bottom w:val="none" w:sz="0" w:space="0" w:color="auto"/>
            <w:right w:val="none" w:sz="0" w:space="0" w:color="auto"/>
          </w:divBdr>
        </w:div>
        <w:div w:id="1046761828">
          <w:marLeft w:val="360"/>
          <w:marRight w:val="0"/>
          <w:marTop w:val="480"/>
          <w:marBottom w:val="0"/>
          <w:divBdr>
            <w:top w:val="none" w:sz="0" w:space="0" w:color="auto"/>
            <w:left w:val="none" w:sz="0" w:space="0" w:color="auto"/>
            <w:bottom w:val="none" w:sz="0" w:space="0" w:color="auto"/>
            <w:right w:val="none" w:sz="0" w:space="0" w:color="auto"/>
          </w:divBdr>
        </w:div>
        <w:div w:id="212276540">
          <w:marLeft w:val="907"/>
          <w:marRight w:val="0"/>
          <w:marTop w:val="86"/>
          <w:marBottom w:val="0"/>
          <w:divBdr>
            <w:top w:val="none" w:sz="0" w:space="0" w:color="auto"/>
            <w:left w:val="none" w:sz="0" w:space="0" w:color="auto"/>
            <w:bottom w:val="none" w:sz="0" w:space="0" w:color="auto"/>
            <w:right w:val="none" w:sz="0" w:space="0" w:color="auto"/>
          </w:divBdr>
        </w:div>
      </w:divsChild>
    </w:div>
    <w:div w:id="723137928">
      <w:bodyDiv w:val="1"/>
      <w:marLeft w:val="0"/>
      <w:marRight w:val="0"/>
      <w:marTop w:val="0"/>
      <w:marBottom w:val="0"/>
      <w:divBdr>
        <w:top w:val="none" w:sz="0" w:space="0" w:color="auto"/>
        <w:left w:val="none" w:sz="0" w:space="0" w:color="auto"/>
        <w:bottom w:val="none" w:sz="0" w:space="0" w:color="auto"/>
        <w:right w:val="none" w:sz="0" w:space="0" w:color="auto"/>
      </w:divBdr>
      <w:divsChild>
        <w:div w:id="1036543757">
          <w:marLeft w:val="360"/>
          <w:marRight w:val="0"/>
          <w:marTop w:val="576"/>
          <w:marBottom w:val="0"/>
          <w:divBdr>
            <w:top w:val="none" w:sz="0" w:space="0" w:color="auto"/>
            <w:left w:val="none" w:sz="0" w:space="0" w:color="auto"/>
            <w:bottom w:val="none" w:sz="0" w:space="0" w:color="auto"/>
            <w:right w:val="none" w:sz="0" w:space="0" w:color="auto"/>
          </w:divBdr>
        </w:div>
        <w:div w:id="35277310">
          <w:marLeft w:val="907"/>
          <w:marRight w:val="0"/>
          <w:marTop w:val="96"/>
          <w:marBottom w:val="0"/>
          <w:divBdr>
            <w:top w:val="none" w:sz="0" w:space="0" w:color="auto"/>
            <w:left w:val="none" w:sz="0" w:space="0" w:color="auto"/>
            <w:bottom w:val="none" w:sz="0" w:space="0" w:color="auto"/>
            <w:right w:val="none" w:sz="0" w:space="0" w:color="auto"/>
          </w:divBdr>
        </w:div>
      </w:divsChild>
    </w:div>
    <w:div w:id="807090357">
      <w:bodyDiv w:val="1"/>
      <w:marLeft w:val="0"/>
      <w:marRight w:val="0"/>
      <w:marTop w:val="0"/>
      <w:marBottom w:val="0"/>
      <w:divBdr>
        <w:top w:val="none" w:sz="0" w:space="0" w:color="auto"/>
        <w:left w:val="none" w:sz="0" w:space="0" w:color="auto"/>
        <w:bottom w:val="none" w:sz="0" w:space="0" w:color="auto"/>
        <w:right w:val="none" w:sz="0" w:space="0" w:color="auto"/>
      </w:divBdr>
      <w:divsChild>
        <w:div w:id="1627539512">
          <w:marLeft w:val="360"/>
          <w:marRight w:val="0"/>
          <w:marTop w:val="384"/>
          <w:marBottom w:val="0"/>
          <w:divBdr>
            <w:top w:val="none" w:sz="0" w:space="0" w:color="auto"/>
            <w:left w:val="none" w:sz="0" w:space="0" w:color="auto"/>
            <w:bottom w:val="none" w:sz="0" w:space="0" w:color="auto"/>
            <w:right w:val="none" w:sz="0" w:space="0" w:color="auto"/>
          </w:divBdr>
        </w:div>
        <w:div w:id="1502744489">
          <w:marLeft w:val="1080"/>
          <w:marRight w:val="0"/>
          <w:marTop w:val="312"/>
          <w:marBottom w:val="0"/>
          <w:divBdr>
            <w:top w:val="none" w:sz="0" w:space="0" w:color="auto"/>
            <w:left w:val="none" w:sz="0" w:space="0" w:color="auto"/>
            <w:bottom w:val="none" w:sz="0" w:space="0" w:color="auto"/>
            <w:right w:val="none" w:sz="0" w:space="0" w:color="auto"/>
          </w:divBdr>
        </w:div>
        <w:div w:id="1218932611">
          <w:marLeft w:val="1080"/>
          <w:marRight w:val="0"/>
          <w:marTop w:val="312"/>
          <w:marBottom w:val="0"/>
          <w:divBdr>
            <w:top w:val="none" w:sz="0" w:space="0" w:color="auto"/>
            <w:left w:val="none" w:sz="0" w:space="0" w:color="auto"/>
            <w:bottom w:val="none" w:sz="0" w:space="0" w:color="auto"/>
            <w:right w:val="none" w:sz="0" w:space="0" w:color="auto"/>
          </w:divBdr>
        </w:div>
        <w:div w:id="699891000">
          <w:marLeft w:val="1080"/>
          <w:marRight w:val="0"/>
          <w:marTop w:val="312"/>
          <w:marBottom w:val="0"/>
          <w:divBdr>
            <w:top w:val="none" w:sz="0" w:space="0" w:color="auto"/>
            <w:left w:val="none" w:sz="0" w:space="0" w:color="auto"/>
            <w:bottom w:val="none" w:sz="0" w:space="0" w:color="auto"/>
            <w:right w:val="none" w:sz="0" w:space="0" w:color="auto"/>
          </w:divBdr>
        </w:div>
        <w:div w:id="2053117686">
          <w:marLeft w:val="1080"/>
          <w:marRight w:val="0"/>
          <w:marTop w:val="312"/>
          <w:marBottom w:val="0"/>
          <w:divBdr>
            <w:top w:val="none" w:sz="0" w:space="0" w:color="auto"/>
            <w:left w:val="none" w:sz="0" w:space="0" w:color="auto"/>
            <w:bottom w:val="none" w:sz="0" w:space="0" w:color="auto"/>
            <w:right w:val="none" w:sz="0" w:space="0" w:color="auto"/>
          </w:divBdr>
        </w:div>
        <w:div w:id="1848985018">
          <w:marLeft w:val="1080"/>
          <w:marRight w:val="0"/>
          <w:marTop w:val="312"/>
          <w:marBottom w:val="0"/>
          <w:divBdr>
            <w:top w:val="none" w:sz="0" w:space="0" w:color="auto"/>
            <w:left w:val="none" w:sz="0" w:space="0" w:color="auto"/>
            <w:bottom w:val="none" w:sz="0" w:space="0" w:color="auto"/>
            <w:right w:val="none" w:sz="0" w:space="0" w:color="auto"/>
          </w:divBdr>
        </w:div>
        <w:div w:id="273251367">
          <w:marLeft w:val="1080"/>
          <w:marRight w:val="0"/>
          <w:marTop w:val="312"/>
          <w:marBottom w:val="0"/>
          <w:divBdr>
            <w:top w:val="none" w:sz="0" w:space="0" w:color="auto"/>
            <w:left w:val="none" w:sz="0" w:space="0" w:color="auto"/>
            <w:bottom w:val="none" w:sz="0" w:space="0" w:color="auto"/>
            <w:right w:val="none" w:sz="0" w:space="0" w:color="auto"/>
          </w:divBdr>
        </w:div>
        <w:div w:id="185481723">
          <w:marLeft w:val="1080"/>
          <w:marRight w:val="0"/>
          <w:marTop w:val="312"/>
          <w:marBottom w:val="0"/>
          <w:divBdr>
            <w:top w:val="none" w:sz="0" w:space="0" w:color="auto"/>
            <w:left w:val="none" w:sz="0" w:space="0" w:color="auto"/>
            <w:bottom w:val="none" w:sz="0" w:space="0" w:color="auto"/>
            <w:right w:val="none" w:sz="0" w:space="0" w:color="auto"/>
          </w:divBdr>
        </w:div>
        <w:div w:id="2018846308">
          <w:marLeft w:val="1080"/>
          <w:marRight w:val="0"/>
          <w:marTop w:val="312"/>
          <w:marBottom w:val="0"/>
          <w:divBdr>
            <w:top w:val="none" w:sz="0" w:space="0" w:color="auto"/>
            <w:left w:val="none" w:sz="0" w:space="0" w:color="auto"/>
            <w:bottom w:val="none" w:sz="0" w:space="0" w:color="auto"/>
            <w:right w:val="none" w:sz="0" w:space="0" w:color="auto"/>
          </w:divBdr>
        </w:div>
        <w:div w:id="1369404856">
          <w:marLeft w:val="1080"/>
          <w:marRight w:val="0"/>
          <w:marTop w:val="312"/>
          <w:marBottom w:val="0"/>
          <w:divBdr>
            <w:top w:val="none" w:sz="0" w:space="0" w:color="auto"/>
            <w:left w:val="none" w:sz="0" w:space="0" w:color="auto"/>
            <w:bottom w:val="none" w:sz="0" w:space="0" w:color="auto"/>
            <w:right w:val="none" w:sz="0" w:space="0" w:color="auto"/>
          </w:divBdr>
        </w:div>
      </w:divsChild>
    </w:div>
    <w:div w:id="917057349">
      <w:bodyDiv w:val="1"/>
      <w:marLeft w:val="0"/>
      <w:marRight w:val="0"/>
      <w:marTop w:val="0"/>
      <w:marBottom w:val="0"/>
      <w:divBdr>
        <w:top w:val="none" w:sz="0" w:space="0" w:color="auto"/>
        <w:left w:val="none" w:sz="0" w:space="0" w:color="auto"/>
        <w:bottom w:val="none" w:sz="0" w:space="0" w:color="auto"/>
        <w:right w:val="none" w:sz="0" w:space="0" w:color="auto"/>
      </w:divBdr>
      <w:divsChild>
        <w:div w:id="549804281">
          <w:marLeft w:val="360"/>
          <w:marRight w:val="0"/>
          <w:marTop w:val="480"/>
          <w:marBottom w:val="0"/>
          <w:divBdr>
            <w:top w:val="none" w:sz="0" w:space="0" w:color="auto"/>
            <w:left w:val="none" w:sz="0" w:space="0" w:color="auto"/>
            <w:bottom w:val="none" w:sz="0" w:space="0" w:color="auto"/>
            <w:right w:val="none" w:sz="0" w:space="0" w:color="auto"/>
          </w:divBdr>
        </w:div>
        <w:div w:id="1846361990">
          <w:marLeft w:val="360"/>
          <w:marRight w:val="0"/>
          <w:marTop w:val="480"/>
          <w:marBottom w:val="0"/>
          <w:divBdr>
            <w:top w:val="none" w:sz="0" w:space="0" w:color="auto"/>
            <w:left w:val="none" w:sz="0" w:space="0" w:color="auto"/>
            <w:bottom w:val="none" w:sz="0" w:space="0" w:color="auto"/>
            <w:right w:val="none" w:sz="0" w:space="0" w:color="auto"/>
          </w:divBdr>
        </w:div>
        <w:div w:id="371074758">
          <w:marLeft w:val="360"/>
          <w:marRight w:val="0"/>
          <w:marTop w:val="480"/>
          <w:marBottom w:val="0"/>
          <w:divBdr>
            <w:top w:val="none" w:sz="0" w:space="0" w:color="auto"/>
            <w:left w:val="none" w:sz="0" w:space="0" w:color="auto"/>
            <w:bottom w:val="none" w:sz="0" w:space="0" w:color="auto"/>
            <w:right w:val="none" w:sz="0" w:space="0" w:color="auto"/>
          </w:divBdr>
        </w:div>
        <w:div w:id="196240285">
          <w:marLeft w:val="360"/>
          <w:marRight w:val="0"/>
          <w:marTop w:val="480"/>
          <w:marBottom w:val="0"/>
          <w:divBdr>
            <w:top w:val="none" w:sz="0" w:space="0" w:color="auto"/>
            <w:left w:val="none" w:sz="0" w:space="0" w:color="auto"/>
            <w:bottom w:val="none" w:sz="0" w:space="0" w:color="auto"/>
            <w:right w:val="none" w:sz="0" w:space="0" w:color="auto"/>
          </w:divBdr>
        </w:div>
        <w:div w:id="423184120">
          <w:marLeft w:val="360"/>
          <w:marRight w:val="0"/>
          <w:marTop w:val="480"/>
          <w:marBottom w:val="0"/>
          <w:divBdr>
            <w:top w:val="none" w:sz="0" w:space="0" w:color="auto"/>
            <w:left w:val="none" w:sz="0" w:space="0" w:color="auto"/>
            <w:bottom w:val="none" w:sz="0" w:space="0" w:color="auto"/>
            <w:right w:val="none" w:sz="0" w:space="0" w:color="auto"/>
          </w:divBdr>
        </w:div>
        <w:div w:id="1117794052">
          <w:marLeft w:val="360"/>
          <w:marRight w:val="0"/>
          <w:marTop w:val="480"/>
          <w:marBottom w:val="0"/>
          <w:divBdr>
            <w:top w:val="none" w:sz="0" w:space="0" w:color="auto"/>
            <w:left w:val="none" w:sz="0" w:space="0" w:color="auto"/>
            <w:bottom w:val="none" w:sz="0" w:space="0" w:color="auto"/>
            <w:right w:val="none" w:sz="0" w:space="0" w:color="auto"/>
          </w:divBdr>
        </w:div>
      </w:divsChild>
    </w:div>
    <w:div w:id="927813126">
      <w:bodyDiv w:val="1"/>
      <w:marLeft w:val="0"/>
      <w:marRight w:val="0"/>
      <w:marTop w:val="0"/>
      <w:marBottom w:val="0"/>
      <w:divBdr>
        <w:top w:val="none" w:sz="0" w:space="0" w:color="auto"/>
        <w:left w:val="none" w:sz="0" w:space="0" w:color="auto"/>
        <w:bottom w:val="none" w:sz="0" w:space="0" w:color="auto"/>
        <w:right w:val="none" w:sz="0" w:space="0" w:color="auto"/>
      </w:divBdr>
      <w:divsChild>
        <w:div w:id="782260949">
          <w:marLeft w:val="360"/>
          <w:marRight w:val="0"/>
          <w:marTop w:val="432"/>
          <w:marBottom w:val="0"/>
          <w:divBdr>
            <w:top w:val="none" w:sz="0" w:space="0" w:color="auto"/>
            <w:left w:val="none" w:sz="0" w:space="0" w:color="auto"/>
            <w:bottom w:val="none" w:sz="0" w:space="0" w:color="auto"/>
            <w:right w:val="none" w:sz="0" w:space="0" w:color="auto"/>
          </w:divBdr>
        </w:div>
        <w:div w:id="1160580088">
          <w:marLeft w:val="907"/>
          <w:marRight w:val="0"/>
          <w:marTop w:val="77"/>
          <w:marBottom w:val="0"/>
          <w:divBdr>
            <w:top w:val="none" w:sz="0" w:space="0" w:color="auto"/>
            <w:left w:val="none" w:sz="0" w:space="0" w:color="auto"/>
            <w:bottom w:val="none" w:sz="0" w:space="0" w:color="auto"/>
            <w:right w:val="none" w:sz="0" w:space="0" w:color="auto"/>
          </w:divBdr>
        </w:div>
        <w:div w:id="1098061455">
          <w:marLeft w:val="360"/>
          <w:marRight w:val="0"/>
          <w:marTop w:val="432"/>
          <w:marBottom w:val="0"/>
          <w:divBdr>
            <w:top w:val="none" w:sz="0" w:space="0" w:color="auto"/>
            <w:left w:val="none" w:sz="0" w:space="0" w:color="auto"/>
            <w:bottom w:val="none" w:sz="0" w:space="0" w:color="auto"/>
            <w:right w:val="none" w:sz="0" w:space="0" w:color="auto"/>
          </w:divBdr>
        </w:div>
        <w:div w:id="1934782679">
          <w:marLeft w:val="907"/>
          <w:marRight w:val="0"/>
          <w:marTop w:val="77"/>
          <w:marBottom w:val="0"/>
          <w:divBdr>
            <w:top w:val="none" w:sz="0" w:space="0" w:color="auto"/>
            <w:left w:val="none" w:sz="0" w:space="0" w:color="auto"/>
            <w:bottom w:val="none" w:sz="0" w:space="0" w:color="auto"/>
            <w:right w:val="none" w:sz="0" w:space="0" w:color="auto"/>
          </w:divBdr>
        </w:div>
        <w:div w:id="260726938">
          <w:marLeft w:val="907"/>
          <w:marRight w:val="0"/>
          <w:marTop w:val="77"/>
          <w:marBottom w:val="0"/>
          <w:divBdr>
            <w:top w:val="none" w:sz="0" w:space="0" w:color="auto"/>
            <w:left w:val="none" w:sz="0" w:space="0" w:color="auto"/>
            <w:bottom w:val="none" w:sz="0" w:space="0" w:color="auto"/>
            <w:right w:val="none" w:sz="0" w:space="0" w:color="auto"/>
          </w:divBdr>
        </w:div>
        <w:div w:id="618070292">
          <w:marLeft w:val="907"/>
          <w:marRight w:val="0"/>
          <w:marTop w:val="77"/>
          <w:marBottom w:val="0"/>
          <w:divBdr>
            <w:top w:val="none" w:sz="0" w:space="0" w:color="auto"/>
            <w:left w:val="none" w:sz="0" w:space="0" w:color="auto"/>
            <w:bottom w:val="none" w:sz="0" w:space="0" w:color="auto"/>
            <w:right w:val="none" w:sz="0" w:space="0" w:color="auto"/>
          </w:divBdr>
        </w:div>
        <w:div w:id="1876772253">
          <w:marLeft w:val="360"/>
          <w:marRight w:val="0"/>
          <w:marTop w:val="432"/>
          <w:marBottom w:val="0"/>
          <w:divBdr>
            <w:top w:val="none" w:sz="0" w:space="0" w:color="auto"/>
            <w:left w:val="none" w:sz="0" w:space="0" w:color="auto"/>
            <w:bottom w:val="none" w:sz="0" w:space="0" w:color="auto"/>
            <w:right w:val="none" w:sz="0" w:space="0" w:color="auto"/>
          </w:divBdr>
        </w:div>
      </w:divsChild>
    </w:div>
    <w:div w:id="1137143352">
      <w:bodyDiv w:val="1"/>
      <w:marLeft w:val="0"/>
      <w:marRight w:val="0"/>
      <w:marTop w:val="0"/>
      <w:marBottom w:val="0"/>
      <w:divBdr>
        <w:top w:val="none" w:sz="0" w:space="0" w:color="auto"/>
        <w:left w:val="none" w:sz="0" w:space="0" w:color="auto"/>
        <w:bottom w:val="none" w:sz="0" w:space="0" w:color="auto"/>
        <w:right w:val="none" w:sz="0" w:space="0" w:color="auto"/>
      </w:divBdr>
      <w:divsChild>
        <w:div w:id="343870213">
          <w:marLeft w:val="360"/>
          <w:marRight w:val="0"/>
          <w:marTop w:val="480"/>
          <w:marBottom w:val="0"/>
          <w:divBdr>
            <w:top w:val="none" w:sz="0" w:space="0" w:color="auto"/>
            <w:left w:val="none" w:sz="0" w:space="0" w:color="auto"/>
            <w:bottom w:val="none" w:sz="0" w:space="0" w:color="auto"/>
            <w:right w:val="none" w:sz="0" w:space="0" w:color="auto"/>
          </w:divBdr>
        </w:div>
        <w:div w:id="1182278540">
          <w:marLeft w:val="360"/>
          <w:marRight w:val="0"/>
          <w:marTop w:val="480"/>
          <w:marBottom w:val="0"/>
          <w:divBdr>
            <w:top w:val="none" w:sz="0" w:space="0" w:color="auto"/>
            <w:left w:val="none" w:sz="0" w:space="0" w:color="auto"/>
            <w:bottom w:val="none" w:sz="0" w:space="0" w:color="auto"/>
            <w:right w:val="none" w:sz="0" w:space="0" w:color="auto"/>
          </w:divBdr>
        </w:div>
        <w:div w:id="978414670">
          <w:marLeft w:val="360"/>
          <w:marRight w:val="0"/>
          <w:marTop w:val="480"/>
          <w:marBottom w:val="0"/>
          <w:divBdr>
            <w:top w:val="none" w:sz="0" w:space="0" w:color="auto"/>
            <w:left w:val="none" w:sz="0" w:space="0" w:color="auto"/>
            <w:bottom w:val="none" w:sz="0" w:space="0" w:color="auto"/>
            <w:right w:val="none" w:sz="0" w:space="0" w:color="auto"/>
          </w:divBdr>
        </w:div>
        <w:div w:id="26488764">
          <w:marLeft w:val="360"/>
          <w:marRight w:val="0"/>
          <w:marTop w:val="480"/>
          <w:marBottom w:val="0"/>
          <w:divBdr>
            <w:top w:val="none" w:sz="0" w:space="0" w:color="auto"/>
            <w:left w:val="none" w:sz="0" w:space="0" w:color="auto"/>
            <w:bottom w:val="none" w:sz="0" w:space="0" w:color="auto"/>
            <w:right w:val="none" w:sz="0" w:space="0" w:color="auto"/>
          </w:divBdr>
        </w:div>
        <w:div w:id="1658605712">
          <w:marLeft w:val="360"/>
          <w:marRight w:val="0"/>
          <w:marTop w:val="480"/>
          <w:marBottom w:val="0"/>
          <w:divBdr>
            <w:top w:val="none" w:sz="0" w:space="0" w:color="auto"/>
            <w:left w:val="none" w:sz="0" w:space="0" w:color="auto"/>
            <w:bottom w:val="none" w:sz="0" w:space="0" w:color="auto"/>
            <w:right w:val="none" w:sz="0" w:space="0" w:color="auto"/>
          </w:divBdr>
        </w:div>
        <w:div w:id="894313169">
          <w:marLeft w:val="360"/>
          <w:marRight w:val="0"/>
          <w:marTop w:val="480"/>
          <w:marBottom w:val="0"/>
          <w:divBdr>
            <w:top w:val="none" w:sz="0" w:space="0" w:color="auto"/>
            <w:left w:val="none" w:sz="0" w:space="0" w:color="auto"/>
            <w:bottom w:val="none" w:sz="0" w:space="0" w:color="auto"/>
            <w:right w:val="none" w:sz="0" w:space="0" w:color="auto"/>
          </w:divBdr>
        </w:div>
      </w:divsChild>
    </w:div>
    <w:div w:id="146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0058411">
          <w:marLeft w:val="360"/>
          <w:marRight w:val="0"/>
          <w:marTop w:val="480"/>
          <w:marBottom w:val="0"/>
          <w:divBdr>
            <w:top w:val="none" w:sz="0" w:space="0" w:color="auto"/>
            <w:left w:val="none" w:sz="0" w:space="0" w:color="auto"/>
            <w:bottom w:val="none" w:sz="0" w:space="0" w:color="auto"/>
            <w:right w:val="none" w:sz="0" w:space="0" w:color="auto"/>
          </w:divBdr>
        </w:div>
        <w:div w:id="1155998693">
          <w:marLeft w:val="907"/>
          <w:marRight w:val="0"/>
          <w:marTop w:val="86"/>
          <w:marBottom w:val="0"/>
          <w:divBdr>
            <w:top w:val="none" w:sz="0" w:space="0" w:color="auto"/>
            <w:left w:val="none" w:sz="0" w:space="0" w:color="auto"/>
            <w:bottom w:val="none" w:sz="0" w:space="0" w:color="auto"/>
            <w:right w:val="none" w:sz="0" w:space="0" w:color="auto"/>
          </w:divBdr>
        </w:div>
        <w:div w:id="356002533">
          <w:marLeft w:val="360"/>
          <w:marRight w:val="0"/>
          <w:marTop w:val="480"/>
          <w:marBottom w:val="0"/>
          <w:divBdr>
            <w:top w:val="none" w:sz="0" w:space="0" w:color="auto"/>
            <w:left w:val="none" w:sz="0" w:space="0" w:color="auto"/>
            <w:bottom w:val="none" w:sz="0" w:space="0" w:color="auto"/>
            <w:right w:val="none" w:sz="0" w:space="0" w:color="auto"/>
          </w:divBdr>
        </w:div>
        <w:div w:id="350255902">
          <w:marLeft w:val="360"/>
          <w:marRight w:val="0"/>
          <w:marTop w:val="480"/>
          <w:marBottom w:val="0"/>
          <w:divBdr>
            <w:top w:val="none" w:sz="0" w:space="0" w:color="auto"/>
            <w:left w:val="none" w:sz="0" w:space="0" w:color="auto"/>
            <w:bottom w:val="none" w:sz="0" w:space="0" w:color="auto"/>
            <w:right w:val="none" w:sz="0" w:space="0" w:color="auto"/>
          </w:divBdr>
        </w:div>
      </w:divsChild>
    </w:div>
    <w:div w:id="1543132474">
      <w:bodyDiv w:val="1"/>
      <w:marLeft w:val="0"/>
      <w:marRight w:val="0"/>
      <w:marTop w:val="0"/>
      <w:marBottom w:val="0"/>
      <w:divBdr>
        <w:top w:val="none" w:sz="0" w:space="0" w:color="auto"/>
        <w:left w:val="none" w:sz="0" w:space="0" w:color="auto"/>
        <w:bottom w:val="none" w:sz="0" w:space="0" w:color="auto"/>
        <w:right w:val="none" w:sz="0" w:space="0" w:color="auto"/>
      </w:divBdr>
      <w:divsChild>
        <w:div w:id="1560707046">
          <w:marLeft w:val="360"/>
          <w:marRight w:val="0"/>
          <w:marTop w:val="384"/>
          <w:marBottom w:val="0"/>
          <w:divBdr>
            <w:top w:val="none" w:sz="0" w:space="0" w:color="auto"/>
            <w:left w:val="none" w:sz="0" w:space="0" w:color="auto"/>
            <w:bottom w:val="none" w:sz="0" w:space="0" w:color="auto"/>
            <w:right w:val="none" w:sz="0" w:space="0" w:color="auto"/>
          </w:divBdr>
        </w:div>
        <w:div w:id="1061245654">
          <w:marLeft w:val="907"/>
          <w:marRight w:val="0"/>
          <w:marTop w:val="67"/>
          <w:marBottom w:val="0"/>
          <w:divBdr>
            <w:top w:val="none" w:sz="0" w:space="0" w:color="auto"/>
            <w:left w:val="none" w:sz="0" w:space="0" w:color="auto"/>
            <w:bottom w:val="none" w:sz="0" w:space="0" w:color="auto"/>
            <w:right w:val="none" w:sz="0" w:space="0" w:color="auto"/>
          </w:divBdr>
        </w:div>
        <w:div w:id="78604933">
          <w:marLeft w:val="907"/>
          <w:marRight w:val="0"/>
          <w:marTop w:val="67"/>
          <w:marBottom w:val="0"/>
          <w:divBdr>
            <w:top w:val="none" w:sz="0" w:space="0" w:color="auto"/>
            <w:left w:val="none" w:sz="0" w:space="0" w:color="auto"/>
            <w:bottom w:val="none" w:sz="0" w:space="0" w:color="auto"/>
            <w:right w:val="none" w:sz="0" w:space="0" w:color="auto"/>
          </w:divBdr>
        </w:div>
        <w:div w:id="559824382">
          <w:marLeft w:val="1440"/>
          <w:marRight w:val="0"/>
          <w:marTop w:val="67"/>
          <w:marBottom w:val="0"/>
          <w:divBdr>
            <w:top w:val="none" w:sz="0" w:space="0" w:color="auto"/>
            <w:left w:val="none" w:sz="0" w:space="0" w:color="auto"/>
            <w:bottom w:val="none" w:sz="0" w:space="0" w:color="auto"/>
            <w:right w:val="none" w:sz="0" w:space="0" w:color="auto"/>
          </w:divBdr>
        </w:div>
        <w:div w:id="1396471797">
          <w:marLeft w:val="907"/>
          <w:marRight w:val="0"/>
          <w:marTop w:val="67"/>
          <w:marBottom w:val="0"/>
          <w:divBdr>
            <w:top w:val="none" w:sz="0" w:space="0" w:color="auto"/>
            <w:left w:val="none" w:sz="0" w:space="0" w:color="auto"/>
            <w:bottom w:val="none" w:sz="0" w:space="0" w:color="auto"/>
            <w:right w:val="none" w:sz="0" w:space="0" w:color="auto"/>
          </w:divBdr>
        </w:div>
        <w:div w:id="390273922">
          <w:marLeft w:val="1440"/>
          <w:marRight w:val="0"/>
          <w:marTop w:val="67"/>
          <w:marBottom w:val="0"/>
          <w:divBdr>
            <w:top w:val="none" w:sz="0" w:space="0" w:color="auto"/>
            <w:left w:val="none" w:sz="0" w:space="0" w:color="auto"/>
            <w:bottom w:val="none" w:sz="0" w:space="0" w:color="auto"/>
            <w:right w:val="none" w:sz="0" w:space="0" w:color="auto"/>
          </w:divBdr>
        </w:div>
        <w:div w:id="1533113458">
          <w:marLeft w:val="1440"/>
          <w:marRight w:val="0"/>
          <w:marTop w:val="67"/>
          <w:marBottom w:val="0"/>
          <w:divBdr>
            <w:top w:val="none" w:sz="0" w:space="0" w:color="auto"/>
            <w:left w:val="none" w:sz="0" w:space="0" w:color="auto"/>
            <w:bottom w:val="none" w:sz="0" w:space="0" w:color="auto"/>
            <w:right w:val="none" w:sz="0" w:space="0" w:color="auto"/>
          </w:divBdr>
        </w:div>
        <w:div w:id="1724985864">
          <w:marLeft w:val="907"/>
          <w:marRight w:val="0"/>
          <w:marTop w:val="67"/>
          <w:marBottom w:val="0"/>
          <w:divBdr>
            <w:top w:val="none" w:sz="0" w:space="0" w:color="auto"/>
            <w:left w:val="none" w:sz="0" w:space="0" w:color="auto"/>
            <w:bottom w:val="none" w:sz="0" w:space="0" w:color="auto"/>
            <w:right w:val="none" w:sz="0" w:space="0" w:color="auto"/>
          </w:divBdr>
        </w:div>
        <w:div w:id="48387926">
          <w:marLeft w:val="1440"/>
          <w:marRight w:val="0"/>
          <w:marTop w:val="67"/>
          <w:marBottom w:val="0"/>
          <w:divBdr>
            <w:top w:val="none" w:sz="0" w:space="0" w:color="auto"/>
            <w:left w:val="none" w:sz="0" w:space="0" w:color="auto"/>
            <w:bottom w:val="none" w:sz="0" w:space="0" w:color="auto"/>
            <w:right w:val="none" w:sz="0" w:space="0" w:color="auto"/>
          </w:divBdr>
        </w:div>
        <w:div w:id="425033427">
          <w:marLeft w:val="907"/>
          <w:marRight w:val="0"/>
          <w:marTop w:val="67"/>
          <w:marBottom w:val="0"/>
          <w:divBdr>
            <w:top w:val="none" w:sz="0" w:space="0" w:color="auto"/>
            <w:left w:val="none" w:sz="0" w:space="0" w:color="auto"/>
            <w:bottom w:val="none" w:sz="0" w:space="0" w:color="auto"/>
            <w:right w:val="none" w:sz="0" w:space="0" w:color="auto"/>
          </w:divBdr>
        </w:div>
        <w:div w:id="3174456">
          <w:marLeft w:val="907"/>
          <w:marRight w:val="0"/>
          <w:marTop w:val="67"/>
          <w:marBottom w:val="0"/>
          <w:divBdr>
            <w:top w:val="none" w:sz="0" w:space="0" w:color="auto"/>
            <w:left w:val="none" w:sz="0" w:space="0" w:color="auto"/>
            <w:bottom w:val="none" w:sz="0" w:space="0" w:color="auto"/>
            <w:right w:val="none" w:sz="0" w:space="0" w:color="auto"/>
          </w:divBdr>
        </w:div>
        <w:div w:id="944506850">
          <w:marLeft w:val="907"/>
          <w:marRight w:val="0"/>
          <w:marTop w:val="67"/>
          <w:marBottom w:val="0"/>
          <w:divBdr>
            <w:top w:val="none" w:sz="0" w:space="0" w:color="auto"/>
            <w:left w:val="none" w:sz="0" w:space="0" w:color="auto"/>
            <w:bottom w:val="none" w:sz="0" w:space="0" w:color="auto"/>
            <w:right w:val="none" w:sz="0" w:space="0" w:color="auto"/>
          </w:divBdr>
        </w:div>
        <w:div w:id="1757745654">
          <w:marLeft w:val="1440"/>
          <w:marRight w:val="0"/>
          <w:marTop w:val="67"/>
          <w:marBottom w:val="0"/>
          <w:divBdr>
            <w:top w:val="none" w:sz="0" w:space="0" w:color="auto"/>
            <w:left w:val="none" w:sz="0" w:space="0" w:color="auto"/>
            <w:bottom w:val="none" w:sz="0" w:space="0" w:color="auto"/>
            <w:right w:val="none" w:sz="0" w:space="0" w:color="auto"/>
          </w:divBdr>
        </w:div>
        <w:div w:id="695274438">
          <w:marLeft w:val="1440"/>
          <w:marRight w:val="0"/>
          <w:marTop w:val="67"/>
          <w:marBottom w:val="0"/>
          <w:divBdr>
            <w:top w:val="none" w:sz="0" w:space="0" w:color="auto"/>
            <w:left w:val="none" w:sz="0" w:space="0" w:color="auto"/>
            <w:bottom w:val="none" w:sz="0" w:space="0" w:color="auto"/>
            <w:right w:val="none" w:sz="0" w:space="0" w:color="auto"/>
          </w:divBdr>
        </w:div>
        <w:div w:id="802578077">
          <w:marLeft w:val="1440"/>
          <w:marRight w:val="0"/>
          <w:marTop w:val="67"/>
          <w:marBottom w:val="0"/>
          <w:divBdr>
            <w:top w:val="none" w:sz="0" w:space="0" w:color="auto"/>
            <w:left w:val="none" w:sz="0" w:space="0" w:color="auto"/>
            <w:bottom w:val="none" w:sz="0" w:space="0" w:color="auto"/>
            <w:right w:val="none" w:sz="0" w:space="0" w:color="auto"/>
          </w:divBdr>
        </w:div>
      </w:divsChild>
    </w:div>
    <w:div w:id="1597907335">
      <w:bodyDiv w:val="1"/>
      <w:marLeft w:val="0"/>
      <w:marRight w:val="0"/>
      <w:marTop w:val="0"/>
      <w:marBottom w:val="0"/>
      <w:divBdr>
        <w:top w:val="none" w:sz="0" w:space="0" w:color="auto"/>
        <w:left w:val="none" w:sz="0" w:space="0" w:color="auto"/>
        <w:bottom w:val="none" w:sz="0" w:space="0" w:color="auto"/>
        <w:right w:val="none" w:sz="0" w:space="0" w:color="auto"/>
      </w:divBdr>
      <w:divsChild>
        <w:div w:id="1830948818">
          <w:marLeft w:val="360"/>
          <w:marRight w:val="0"/>
          <w:marTop w:val="480"/>
          <w:marBottom w:val="0"/>
          <w:divBdr>
            <w:top w:val="none" w:sz="0" w:space="0" w:color="auto"/>
            <w:left w:val="none" w:sz="0" w:space="0" w:color="auto"/>
            <w:bottom w:val="none" w:sz="0" w:space="0" w:color="auto"/>
            <w:right w:val="none" w:sz="0" w:space="0" w:color="auto"/>
          </w:divBdr>
        </w:div>
        <w:div w:id="1747872246">
          <w:marLeft w:val="907"/>
          <w:marRight w:val="0"/>
          <w:marTop w:val="86"/>
          <w:marBottom w:val="0"/>
          <w:divBdr>
            <w:top w:val="none" w:sz="0" w:space="0" w:color="auto"/>
            <w:left w:val="none" w:sz="0" w:space="0" w:color="auto"/>
            <w:bottom w:val="none" w:sz="0" w:space="0" w:color="auto"/>
            <w:right w:val="none" w:sz="0" w:space="0" w:color="auto"/>
          </w:divBdr>
        </w:div>
        <w:div w:id="805010848">
          <w:marLeft w:val="907"/>
          <w:marRight w:val="0"/>
          <w:marTop w:val="86"/>
          <w:marBottom w:val="0"/>
          <w:divBdr>
            <w:top w:val="none" w:sz="0" w:space="0" w:color="auto"/>
            <w:left w:val="none" w:sz="0" w:space="0" w:color="auto"/>
            <w:bottom w:val="none" w:sz="0" w:space="0" w:color="auto"/>
            <w:right w:val="none" w:sz="0" w:space="0" w:color="auto"/>
          </w:divBdr>
        </w:div>
        <w:div w:id="76247405">
          <w:marLeft w:val="907"/>
          <w:marRight w:val="0"/>
          <w:marTop w:val="86"/>
          <w:marBottom w:val="0"/>
          <w:divBdr>
            <w:top w:val="none" w:sz="0" w:space="0" w:color="auto"/>
            <w:left w:val="none" w:sz="0" w:space="0" w:color="auto"/>
            <w:bottom w:val="none" w:sz="0" w:space="0" w:color="auto"/>
            <w:right w:val="none" w:sz="0" w:space="0" w:color="auto"/>
          </w:divBdr>
        </w:div>
        <w:div w:id="35400626">
          <w:marLeft w:val="360"/>
          <w:marRight w:val="0"/>
          <w:marTop w:val="480"/>
          <w:marBottom w:val="0"/>
          <w:divBdr>
            <w:top w:val="none" w:sz="0" w:space="0" w:color="auto"/>
            <w:left w:val="none" w:sz="0" w:space="0" w:color="auto"/>
            <w:bottom w:val="none" w:sz="0" w:space="0" w:color="auto"/>
            <w:right w:val="none" w:sz="0" w:space="0" w:color="auto"/>
          </w:divBdr>
        </w:div>
        <w:div w:id="1408458671">
          <w:marLeft w:val="360"/>
          <w:marRight w:val="0"/>
          <w:marTop w:val="480"/>
          <w:marBottom w:val="0"/>
          <w:divBdr>
            <w:top w:val="none" w:sz="0" w:space="0" w:color="auto"/>
            <w:left w:val="none" w:sz="0" w:space="0" w:color="auto"/>
            <w:bottom w:val="none" w:sz="0" w:space="0" w:color="auto"/>
            <w:right w:val="none" w:sz="0" w:space="0" w:color="auto"/>
          </w:divBdr>
        </w:div>
      </w:divsChild>
    </w:div>
    <w:div w:id="1609387295">
      <w:bodyDiv w:val="1"/>
      <w:marLeft w:val="0"/>
      <w:marRight w:val="0"/>
      <w:marTop w:val="0"/>
      <w:marBottom w:val="0"/>
      <w:divBdr>
        <w:top w:val="none" w:sz="0" w:space="0" w:color="auto"/>
        <w:left w:val="none" w:sz="0" w:space="0" w:color="auto"/>
        <w:bottom w:val="none" w:sz="0" w:space="0" w:color="auto"/>
        <w:right w:val="none" w:sz="0" w:space="0" w:color="auto"/>
      </w:divBdr>
      <w:divsChild>
        <w:div w:id="1402562076">
          <w:marLeft w:val="360"/>
          <w:marRight w:val="0"/>
          <w:marTop w:val="480"/>
          <w:marBottom w:val="0"/>
          <w:divBdr>
            <w:top w:val="none" w:sz="0" w:space="0" w:color="auto"/>
            <w:left w:val="none" w:sz="0" w:space="0" w:color="auto"/>
            <w:bottom w:val="none" w:sz="0" w:space="0" w:color="auto"/>
            <w:right w:val="none" w:sz="0" w:space="0" w:color="auto"/>
          </w:divBdr>
        </w:div>
        <w:div w:id="1565294052">
          <w:marLeft w:val="907"/>
          <w:marRight w:val="0"/>
          <w:marTop w:val="86"/>
          <w:marBottom w:val="0"/>
          <w:divBdr>
            <w:top w:val="none" w:sz="0" w:space="0" w:color="auto"/>
            <w:left w:val="none" w:sz="0" w:space="0" w:color="auto"/>
            <w:bottom w:val="none" w:sz="0" w:space="0" w:color="auto"/>
            <w:right w:val="none" w:sz="0" w:space="0" w:color="auto"/>
          </w:divBdr>
        </w:div>
        <w:div w:id="1056396682">
          <w:marLeft w:val="907"/>
          <w:marRight w:val="0"/>
          <w:marTop w:val="86"/>
          <w:marBottom w:val="0"/>
          <w:divBdr>
            <w:top w:val="none" w:sz="0" w:space="0" w:color="auto"/>
            <w:left w:val="none" w:sz="0" w:space="0" w:color="auto"/>
            <w:bottom w:val="none" w:sz="0" w:space="0" w:color="auto"/>
            <w:right w:val="none" w:sz="0" w:space="0" w:color="auto"/>
          </w:divBdr>
        </w:div>
        <w:div w:id="881945222">
          <w:marLeft w:val="907"/>
          <w:marRight w:val="0"/>
          <w:marTop w:val="86"/>
          <w:marBottom w:val="0"/>
          <w:divBdr>
            <w:top w:val="none" w:sz="0" w:space="0" w:color="auto"/>
            <w:left w:val="none" w:sz="0" w:space="0" w:color="auto"/>
            <w:bottom w:val="none" w:sz="0" w:space="0" w:color="auto"/>
            <w:right w:val="none" w:sz="0" w:space="0" w:color="auto"/>
          </w:divBdr>
        </w:div>
        <w:div w:id="1057582980">
          <w:marLeft w:val="360"/>
          <w:marRight w:val="0"/>
          <w:marTop w:val="480"/>
          <w:marBottom w:val="0"/>
          <w:divBdr>
            <w:top w:val="none" w:sz="0" w:space="0" w:color="auto"/>
            <w:left w:val="none" w:sz="0" w:space="0" w:color="auto"/>
            <w:bottom w:val="none" w:sz="0" w:space="0" w:color="auto"/>
            <w:right w:val="none" w:sz="0" w:space="0" w:color="auto"/>
          </w:divBdr>
        </w:div>
        <w:div w:id="1008484472">
          <w:marLeft w:val="907"/>
          <w:marRight w:val="0"/>
          <w:marTop w:val="86"/>
          <w:marBottom w:val="0"/>
          <w:divBdr>
            <w:top w:val="none" w:sz="0" w:space="0" w:color="auto"/>
            <w:left w:val="none" w:sz="0" w:space="0" w:color="auto"/>
            <w:bottom w:val="none" w:sz="0" w:space="0" w:color="auto"/>
            <w:right w:val="none" w:sz="0" w:space="0" w:color="auto"/>
          </w:divBdr>
        </w:div>
      </w:divsChild>
    </w:div>
    <w:div w:id="1902056134">
      <w:bodyDiv w:val="1"/>
      <w:marLeft w:val="0"/>
      <w:marRight w:val="0"/>
      <w:marTop w:val="0"/>
      <w:marBottom w:val="0"/>
      <w:divBdr>
        <w:top w:val="none" w:sz="0" w:space="0" w:color="auto"/>
        <w:left w:val="none" w:sz="0" w:space="0" w:color="auto"/>
        <w:bottom w:val="none" w:sz="0" w:space="0" w:color="auto"/>
        <w:right w:val="none" w:sz="0" w:space="0" w:color="auto"/>
      </w:divBdr>
      <w:divsChild>
        <w:div w:id="513350377">
          <w:marLeft w:val="360"/>
          <w:marRight w:val="0"/>
          <w:marTop w:val="480"/>
          <w:marBottom w:val="0"/>
          <w:divBdr>
            <w:top w:val="none" w:sz="0" w:space="0" w:color="auto"/>
            <w:left w:val="none" w:sz="0" w:space="0" w:color="auto"/>
            <w:bottom w:val="none" w:sz="0" w:space="0" w:color="auto"/>
            <w:right w:val="none" w:sz="0" w:space="0" w:color="auto"/>
          </w:divBdr>
        </w:div>
        <w:div w:id="2126150327">
          <w:marLeft w:val="360"/>
          <w:marRight w:val="0"/>
          <w:marTop w:val="480"/>
          <w:marBottom w:val="0"/>
          <w:divBdr>
            <w:top w:val="none" w:sz="0" w:space="0" w:color="auto"/>
            <w:left w:val="none" w:sz="0" w:space="0" w:color="auto"/>
            <w:bottom w:val="none" w:sz="0" w:space="0" w:color="auto"/>
            <w:right w:val="none" w:sz="0" w:space="0" w:color="auto"/>
          </w:divBdr>
        </w:div>
        <w:div w:id="1957370187">
          <w:marLeft w:val="360"/>
          <w:marRight w:val="0"/>
          <w:marTop w:val="480"/>
          <w:marBottom w:val="0"/>
          <w:divBdr>
            <w:top w:val="none" w:sz="0" w:space="0" w:color="auto"/>
            <w:left w:val="none" w:sz="0" w:space="0" w:color="auto"/>
            <w:bottom w:val="none" w:sz="0" w:space="0" w:color="auto"/>
            <w:right w:val="none" w:sz="0" w:space="0" w:color="auto"/>
          </w:divBdr>
        </w:div>
        <w:div w:id="1517572305">
          <w:marLeft w:val="360"/>
          <w:marRight w:val="0"/>
          <w:marTop w:val="480"/>
          <w:marBottom w:val="0"/>
          <w:divBdr>
            <w:top w:val="none" w:sz="0" w:space="0" w:color="auto"/>
            <w:left w:val="none" w:sz="0" w:space="0" w:color="auto"/>
            <w:bottom w:val="none" w:sz="0" w:space="0" w:color="auto"/>
            <w:right w:val="none" w:sz="0" w:space="0" w:color="auto"/>
          </w:divBdr>
        </w:div>
        <w:div w:id="143277724">
          <w:marLeft w:val="360"/>
          <w:marRight w:val="0"/>
          <w:marTop w:val="480"/>
          <w:marBottom w:val="0"/>
          <w:divBdr>
            <w:top w:val="none" w:sz="0" w:space="0" w:color="auto"/>
            <w:left w:val="none" w:sz="0" w:space="0" w:color="auto"/>
            <w:bottom w:val="none" w:sz="0" w:space="0" w:color="auto"/>
            <w:right w:val="none" w:sz="0" w:space="0" w:color="auto"/>
          </w:divBdr>
        </w:div>
        <w:div w:id="2055806383">
          <w:marLeft w:val="360"/>
          <w:marRight w:val="0"/>
          <w:marTop w:val="480"/>
          <w:marBottom w:val="0"/>
          <w:divBdr>
            <w:top w:val="none" w:sz="0" w:space="0" w:color="auto"/>
            <w:left w:val="none" w:sz="0" w:space="0" w:color="auto"/>
            <w:bottom w:val="none" w:sz="0" w:space="0" w:color="auto"/>
            <w:right w:val="none" w:sz="0" w:space="0" w:color="auto"/>
          </w:divBdr>
        </w:div>
        <w:div w:id="1638796932">
          <w:marLeft w:val="360"/>
          <w:marRight w:val="0"/>
          <w:marTop w:val="480"/>
          <w:marBottom w:val="0"/>
          <w:divBdr>
            <w:top w:val="none" w:sz="0" w:space="0" w:color="auto"/>
            <w:left w:val="none" w:sz="0" w:space="0" w:color="auto"/>
            <w:bottom w:val="none" w:sz="0" w:space="0" w:color="auto"/>
            <w:right w:val="none" w:sz="0" w:space="0" w:color="auto"/>
          </w:divBdr>
        </w:div>
        <w:div w:id="1672023878">
          <w:marLeft w:val="360"/>
          <w:marRight w:val="0"/>
          <w:marTop w:val="480"/>
          <w:marBottom w:val="0"/>
          <w:divBdr>
            <w:top w:val="none" w:sz="0" w:space="0" w:color="auto"/>
            <w:left w:val="none" w:sz="0" w:space="0" w:color="auto"/>
            <w:bottom w:val="none" w:sz="0" w:space="0" w:color="auto"/>
            <w:right w:val="none" w:sz="0" w:space="0" w:color="auto"/>
          </w:divBdr>
        </w:div>
      </w:divsChild>
    </w:div>
    <w:div w:id="2088184872">
      <w:bodyDiv w:val="1"/>
      <w:marLeft w:val="0"/>
      <w:marRight w:val="0"/>
      <w:marTop w:val="0"/>
      <w:marBottom w:val="0"/>
      <w:divBdr>
        <w:top w:val="none" w:sz="0" w:space="0" w:color="auto"/>
        <w:left w:val="none" w:sz="0" w:space="0" w:color="auto"/>
        <w:bottom w:val="none" w:sz="0" w:space="0" w:color="auto"/>
        <w:right w:val="none" w:sz="0" w:space="0" w:color="auto"/>
      </w:divBdr>
      <w:divsChild>
        <w:div w:id="159782203">
          <w:marLeft w:val="360"/>
          <w:marRight w:val="0"/>
          <w:marTop w:val="384"/>
          <w:marBottom w:val="0"/>
          <w:divBdr>
            <w:top w:val="none" w:sz="0" w:space="0" w:color="auto"/>
            <w:left w:val="none" w:sz="0" w:space="0" w:color="auto"/>
            <w:bottom w:val="none" w:sz="0" w:space="0" w:color="auto"/>
            <w:right w:val="none" w:sz="0" w:space="0" w:color="auto"/>
          </w:divBdr>
        </w:div>
        <w:div w:id="307053207">
          <w:marLeft w:val="360"/>
          <w:marRight w:val="0"/>
          <w:marTop w:val="384"/>
          <w:marBottom w:val="0"/>
          <w:divBdr>
            <w:top w:val="none" w:sz="0" w:space="0" w:color="auto"/>
            <w:left w:val="none" w:sz="0" w:space="0" w:color="auto"/>
            <w:bottom w:val="none" w:sz="0" w:space="0" w:color="auto"/>
            <w:right w:val="none" w:sz="0" w:space="0" w:color="auto"/>
          </w:divBdr>
        </w:div>
        <w:div w:id="878054014">
          <w:marLeft w:val="360"/>
          <w:marRight w:val="0"/>
          <w:marTop w:val="384"/>
          <w:marBottom w:val="0"/>
          <w:divBdr>
            <w:top w:val="none" w:sz="0" w:space="0" w:color="auto"/>
            <w:left w:val="none" w:sz="0" w:space="0" w:color="auto"/>
            <w:bottom w:val="none" w:sz="0" w:space="0" w:color="auto"/>
            <w:right w:val="none" w:sz="0" w:space="0" w:color="auto"/>
          </w:divBdr>
        </w:div>
        <w:div w:id="294722145">
          <w:marLeft w:val="360"/>
          <w:marRight w:val="0"/>
          <w:marTop w:val="38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acf.hhs.gov/programs/occ/ccdf-reauthorization"/>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3204</Words>
  <Characters>18266</Characters>
  <Application>Microsoft Office Word</Application>
  <DocSecurity>0</DocSecurity>
  <Lines>152</Lines>
  <Paragraphs>42</Paragraphs>
  <ScaleCrop>false</ScaleCrop>
  <Company>Microsoft</Company>
  <LinksUpToDate>false</LinksUpToDate>
  <CharactersWithSpaces>21428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2016-03-23T14:25:00Z</dcterms:created>
  <dc:creator>EEC,</dc:creator>
  <lastModifiedBy>EEC,</lastModifiedBy>
  <dcterms:modified xsi:type="dcterms:W3CDTF">2016-03-23T14:54:00Z</dcterms:modified>
  <revision>2</revision>
</coreProperties>
</file>