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3BAE" w14:textId="77777777" w:rsidR="00077A0B" w:rsidRDefault="009B4F17" w:rsidP="001F406B">
      <w:pPr>
        <w:pStyle w:val="Title"/>
        <w:jc w:val="left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2FF86B31" w:rsidR="009B4F17" w:rsidRPr="00FD6630" w:rsidRDefault="00E64C62" w:rsidP="00FD6630">
      <w:pPr>
        <w:pStyle w:val="Heading1"/>
        <w:spacing w:after="0"/>
        <w:jc w:val="center"/>
        <w:rPr>
          <w:color w:val="002060"/>
          <w:sz w:val="52"/>
          <w:szCs w:val="52"/>
        </w:rPr>
      </w:pPr>
      <w:bookmarkStart w:id="0" w:name="_Toc212206143"/>
      <w:bookmarkStart w:id="1" w:name="_Toc212807336"/>
      <w:bookmarkStart w:id="2" w:name="_Toc170079049"/>
      <w:bookmarkStart w:id="3" w:name="_Toc170733707"/>
      <w:bookmarkStart w:id="4" w:name="_Toc170830138"/>
      <w:bookmarkStart w:id="5" w:name="_Toc172032642"/>
      <w:bookmarkStart w:id="6" w:name="_Toc183009661"/>
      <w:bookmarkStart w:id="7" w:name="_Toc210049402"/>
      <w:bookmarkStart w:id="8" w:name="_Toc210120202"/>
      <w:bookmarkStart w:id="9" w:name="_Toc210639185"/>
      <w:bookmarkStart w:id="10" w:name="_Toc210640549"/>
      <w:bookmarkStart w:id="11" w:name="_Toc210641286"/>
      <w:bookmarkStart w:id="12" w:name="_Toc210641778"/>
      <w:r>
        <w:rPr>
          <w:color w:val="002060"/>
          <w:sz w:val="52"/>
          <w:szCs w:val="52"/>
        </w:rPr>
        <w:t>Performance Assessment Methodology</w:t>
      </w:r>
      <w:r w:rsidR="00CF55E3" w:rsidRPr="62856110">
        <w:rPr>
          <w:color w:val="002060"/>
          <w:sz w:val="52"/>
          <w:szCs w:val="52"/>
        </w:rPr>
        <w:t xml:space="preserve"> </w:t>
      </w:r>
      <w:r w:rsidR="00DD4FCF">
        <w:rPr>
          <w:color w:val="002060"/>
          <w:sz w:val="52"/>
          <w:szCs w:val="52"/>
        </w:rPr>
        <w:t xml:space="preserve">Manual </w:t>
      </w:r>
      <w:r w:rsidR="00CF55E3" w:rsidRPr="62856110">
        <w:rPr>
          <w:color w:val="002060"/>
          <w:sz w:val="52"/>
          <w:szCs w:val="52"/>
        </w:rPr>
        <w:t>for the M</w:t>
      </w:r>
      <w:r w:rsidR="0039409B" w:rsidRPr="62856110">
        <w:rPr>
          <w:color w:val="002060"/>
          <w:sz w:val="52"/>
          <w:szCs w:val="52"/>
        </w:rPr>
        <w:t>assHealth</w:t>
      </w:r>
      <w:r w:rsidR="009B4F17" w:rsidRPr="62856110">
        <w:rPr>
          <w:color w:val="002060"/>
          <w:sz w:val="52"/>
          <w:szCs w:val="52"/>
        </w:rPr>
        <w:t xml:space="preserve"> </w:t>
      </w:r>
      <w:r w:rsidR="00D87586">
        <w:rPr>
          <w:color w:val="002060"/>
          <w:sz w:val="52"/>
          <w:szCs w:val="52"/>
        </w:rPr>
        <w:t xml:space="preserve">Community Behavioral Health Centers (CBHC) </w:t>
      </w:r>
      <w:r w:rsidR="003F05EF">
        <w:rPr>
          <w:color w:val="002060"/>
          <w:sz w:val="52"/>
          <w:szCs w:val="52"/>
        </w:rPr>
        <w:t xml:space="preserve">Clinical </w:t>
      </w:r>
      <w:r w:rsidR="009B4F17" w:rsidRPr="62856110">
        <w:rPr>
          <w:color w:val="002060"/>
          <w:sz w:val="52"/>
          <w:szCs w:val="52"/>
        </w:rPr>
        <w:t xml:space="preserve">Quality Incentive </w:t>
      </w:r>
      <w:r w:rsidR="002C20F8" w:rsidRPr="62856110">
        <w:rPr>
          <w:color w:val="002060"/>
          <w:sz w:val="52"/>
          <w:szCs w:val="52"/>
        </w:rPr>
        <w:t>(</w:t>
      </w:r>
      <w:r w:rsidR="002C20F8">
        <w:rPr>
          <w:color w:val="002060"/>
          <w:sz w:val="52"/>
          <w:szCs w:val="52"/>
        </w:rPr>
        <w:t>CCQI</w:t>
      </w:r>
      <w:r w:rsidR="002C20F8" w:rsidRPr="62856110">
        <w:rPr>
          <w:color w:val="002060"/>
          <w:sz w:val="52"/>
          <w:szCs w:val="52"/>
        </w:rPr>
        <w:t>)</w:t>
      </w:r>
      <w:r w:rsidR="002C20F8">
        <w:rPr>
          <w:color w:val="002060"/>
          <w:sz w:val="52"/>
          <w:szCs w:val="52"/>
        </w:rPr>
        <w:t xml:space="preserve"> </w:t>
      </w:r>
      <w:r w:rsidR="009B4F17" w:rsidRPr="62856110">
        <w:rPr>
          <w:color w:val="002060"/>
          <w:sz w:val="52"/>
          <w:szCs w:val="52"/>
        </w:rPr>
        <w:t>Program</w:t>
      </w:r>
      <w:bookmarkEnd w:id="0"/>
      <w:bookmarkEnd w:id="1"/>
      <w:r w:rsidR="00CF55E3" w:rsidRPr="62856110">
        <w:rPr>
          <w:color w:val="002060"/>
          <w:sz w:val="52"/>
          <w:szCs w:val="52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384B27E" w14:textId="64DB3B63" w:rsidR="002238A4" w:rsidRPr="00476CF2" w:rsidRDefault="009B4F17" w:rsidP="001E2E74">
      <w:pPr>
        <w:pStyle w:val="MHSummaryHeadline"/>
        <w:spacing w:before="500"/>
        <w:jc w:val="center"/>
        <w:rPr>
          <w:sz w:val="34"/>
          <w:szCs w:val="34"/>
        </w:rPr>
      </w:pPr>
      <w:r w:rsidRPr="00476CF2">
        <w:rPr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676746E5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82BD8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  <w:r w:rsidR="001E2E74" w:rsidRPr="00476CF2">
        <w:rPr>
          <w:sz w:val="34"/>
          <w:szCs w:val="34"/>
        </w:rPr>
        <w:t>Performance Year</w:t>
      </w:r>
      <w:r w:rsidR="00884708">
        <w:rPr>
          <w:sz w:val="34"/>
          <w:szCs w:val="34"/>
        </w:rPr>
        <w:t>s</w:t>
      </w:r>
      <w:r w:rsidR="001E2E74" w:rsidRPr="00476CF2">
        <w:rPr>
          <w:sz w:val="34"/>
          <w:szCs w:val="34"/>
        </w:rPr>
        <w:t xml:space="preserve"> </w:t>
      </w:r>
      <w:r w:rsidR="00A6761A">
        <w:rPr>
          <w:sz w:val="34"/>
          <w:szCs w:val="34"/>
        </w:rPr>
        <w:t>1</w:t>
      </w:r>
      <w:r w:rsidR="00F26981">
        <w:rPr>
          <w:sz w:val="34"/>
          <w:szCs w:val="34"/>
        </w:rPr>
        <w:t xml:space="preserve"> </w:t>
      </w:r>
      <w:bookmarkStart w:id="13" w:name="_Hlk210578895"/>
      <w:r w:rsidR="00F26981">
        <w:rPr>
          <w:sz w:val="34"/>
          <w:szCs w:val="34"/>
        </w:rPr>
        <w:t xml:space="preserve">– </w:t>
      </w:r>
      <w:bookmarkEnd w:id="13"/>
      <w:r w:rsidR="00884708">
        <w:rPr>
          <w:sz w:val="34"/>
          <w:szCs w:val="34"/>
        </w:rPr>
        <w:t>5</w:t>
      </w:r>
      <w:r w:rsidR="001E2E74" w:rsidRPr="00476CF2">
        <w:rPr>
          <w:sz w:val="34"/>
          <w:szCs w:val="34"/>
        </w:rPr>
        <w:t xml:space="preserve"> (Calendar Year</w:t>
      </w:r>
      <w:r w:rsidR="00884708">
        <w:rPr>
          <w:sz w:val="34"/>
          <w:szCs w:val="34"/>
        </w:rPr>
        <w:t>s</w:t>
      </w:r>
      <w:r w:rsidR="001E2E74" w:rsidRPr="00476CF2">
        <w:rPr>
          <w:sz w:val="34"/>
          <w:szCs w:val="34"/>
        </w:rPr>
        <w:t xml:space="preserve"> </w:t>
      </w:r>
      <w:r w:rsidR="00884708">
        <w:rPr>
          <w:sz w:val="34"/>
          <w:szCs w:val="34"/>
        </w:rPr>
        <w:t>202</w:t>
      </w:r>
      <w:r w:rsidR="00A6761A">
        <w:rPr>
          <w:sz w:val="34"/>
          <w:szCs w:val="34"/>
        </w:rPr>
        <w:t>4</w:t>
      </w:r>
      <w:r w:rsidR="00F26981">
        <w:rPr>
          <w:sz w:val="34"/>
          <w:szCs w:val="34"/>
        </w:rPr>
        <w:t xml:space="preserve"> – </w:t>
      </w:r>
      <w:r w:rsidR="00884708">
        <w:rPr>
          <w:sz w:val="34"/>
          <w:szCs w:val="34"/>
        </w:rPr>
        <w:t>202</w:t>
      </w:r>
      <w:r w:rsidR="00D87586">
        <w:rPr>
          <w:sz w:val="34"/>
          <w:szCs w:val="34"/>
        </w:rPr>
        <w:t>8</w:t>
      </w:r>
      <w:r w:rsidR="001E2E74" w:rsidRPr="00476CF2">
        <w:rPr>
          <w:sz w:val="34"/>
          <w:szCs w:val="34"/>
        </w:rPr>
        <w:t>)</w:t>
      </w:r>
    </w:p>
    <w:p w14:paraId="65173344" w14:textId="7621E118" w:rsidR="0007093F" w:rsidRPr="00476CF2" w:rsidRDefault="001E2E74" w:rsidP="0007093F">
      <w:pPr>
        <w:pStyle w:val="MHSummaryHeadline"/>
        <w:spacing w:before="500"/>
        <w:jc w:val="center"/>
        <w:rPr>
          <w:sz w:val="34"/>
          <w:szCs w:val="34"/>
        </w:rPr>
      </w:pPr>
      <w:r w:rsidRPr="00476CF2">
        <w:rPr>
          <w:sz w:val="34"/>
          <w:szCs w:val="34"/>
        </w:rPr>
        <w:t xml:space="preserve">Version: </w:t>
      </w:r>
      <w:r w:rsidR="003D4EDC">
        <w:rPr>
          <w:sz w:val="34"/>
          <w:szCs w:val="34"/>
        </w:rPr>
        <w:t>October</w:t>
      </w:r>
      <w:r w:rsidR="00D76E57">
        <w:rPr>
          <w:sz w:val="34"/>
          <w:szCs w:val="34"/>
        </w:rPr>
        <w:t xml:space="preserve"> </w:t>
      </w:r>
      <w:r w:rsidR="008F5F48">
        <w:rPr>
          <w:sz w:val="34"/>
          <w:szCs w:val="34"/>
        </w:rPr>
        <w:t>2025</w:t>
      </w:r>
    </w:p>
    <w:p w14:paraId="5FEDD8E9" w14:textId="77777777" w:rsidR="002238A4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4D60F88E" w14:textId="77777777" w:rsidR="002549A5" w:rsidRDefault="002549A5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6F8382A1" w14:textId="77777777" w:rsidR="00462A89" w:rsidRDefault="00462A89" w:rsidP="009D3A5F">
      <w:pPr>
        <w:pStyle w:val="MHSummaryHeadline"/>
        <w:spacing w:before="500"/>
      </w:pPr>
    </w:p>
    <w:p w14:paraId="7709D9B3" w14:textId="77777777" w:rsidR="00DE1823" w:rsidRDefault="00DE1823" w:rsidP="009D3A5F">
      <w:pPr>
        <w:pStyle w:val="MHSummaryHeadline"/>
        <w:spacing w:before="500"/>
      </w:pPr>
    </w:p>
    <w:p w14:paraId="258E4F26" w14:textId="77777777" w:rsidR="00D01302" w:rsidRDefault="00D01302" w:rsidP="009D3A5F">
      <w:pPr>
        <w:pStyle w:val="MHSummaryHeadline"/>
        <w:spacing w:before="500"/>
      </w:pPr>
    </w:p>
    <w:bookmarkStart w:id="14" w:name="_Toc212206144" w:displacedByCustomXml="next"/>
    <w:bookmarkStart w:id="15" w:name="_Toc210120203" w:displacedByCustomXml="next"/>
    <w:bookmarkStart w:id="16" w:name="_Toc210049403" w:displacedByCustomXml="next"/>
    <w:bookmarkStart w:id="17" w:name="_Toc210639186" w:displacedByCustomXml="next"/>
    <w:bookmarkStart w:id="18" w:name="_Toc210641287" w:displacedByCustomXml="next"/>
    <w:bookmarkStart w:id="19" w:name="_Toc210641779" w:displacedByCustomXml="next"/>
    <w:sdt>
      <w:sdtPr>
        <w:rPr>
          <w:b w:val="0"/>
          <w:bCs w:val="0"/>
          <w:sz w:val="22"/>
          <w:szCs w:val="22"/>
        </w:rPr>
        <w:id w:val="1157496810"/>
        <w:docPartObj>
          <w:docPartGallery w:val="Table of Contents"/>
          <w:docPartUnique/>
        </w:docPartObj>
      </w:sdtPr>
      <w:sdtContent>
        <w:p w14:paraId="10017C82" w14:textId="77777777" w:rsidR="00246F83" w:rsidRPr="000129A4" w:rsidRDefault="0040628D" w:rsidP="000129A4">
          <w:pPr>
            <w:pStyle w:val="TOC1"/>
          </w:pPr>
          <w:r w:rsidRPr="000129A4">
            <w:t>Table of Contents</w:t>
          </w:r>
          <w:bookmarkEnd w:id="19"/>
          <w:bookmarkEnd w:id="18"/>
          <w:bookmarkEnd w:id="17"/>
          <w:bookmarkEnd w:id="16"/>
          <w:bookmarkEnd w:id="15"/>
          <w:bookmarkEnd w:id="14"/>
        </w:p>
        <w:p w14:paraId="1B6E81A4" w14:textId="51BC4C5C" w:rsidR="00227C53" w:rsidRDefault="00300D42">
          <w:pPr>
            <w:pStyle w:val="TOC1"/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12807336" w:history="1"/>
        </w:p>
        <w:p w14:paraId="7970344F" w14:textId="6BBDCD30" w:rsidR="00227C53" w:rsidRDefault="00227C53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37" w:history="1">
            <w:r w:rsidRPr="00C22B4B">
              <w:rPr>
                <w:rStyle w:val="Hyperlink"/>
                <w:noProof/>
              </w:rPr>
              <w:t>A.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22B4B">
              <w:rPr>
                <w:rStyle w:val="Hyperlink"/>
                <w:noProof/>
              </w:rPr>
              <w:t>CCQI Performance Assessment Methodology (PAM)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3C2B1" w14:textId="311D735F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38" w:history="1">
            <w:r w:rsidRPr="00C22B4B">
              <w:rPr>
                <w:rStyle w:val="Hyperlink"/>
                <w:noProof/>
              </w:rPr>
              <w:t>A.1. CBHC Clinical Quality Incentive (CCQI) Measure Slate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0F438" w14:textId="14A032D8" w:rsidR="00227C53" w:rsidRDefault="00227C53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807339" w:history="1">
            <w:r w:rsidRPr="00C22B4B">
              <w:rPr>
                <w:rStyle w:val="Hyperlink"/>
                <w:noProof/>
              </w:rPr>
              <w:t>Table 1. Overview of Measure Slate in the CCQI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5BBBE" w14:textId="7117D574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40" w:history="1">
            <w:r w:rsidRPr="00C22B4B">
              <w:rPr>
                <w:rStyle w:val="Hyperlink"/>
                <w:noProof/>
              </w:rPr>
              <w:t>A.2. CCQI Measure Payment Status for PY1 –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05917" w14:textId="43511F33" w:rsidR="00227C53" w:rsidRDefault="00227C53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807341" w:history="1">
            <w:r w:rsidRPr="00C22B4B">
              <w:rPr>
                <w:rStyle w:val="Hyperlink"/>
                <w:noProof/>
              </w:rPr>
              <w:t>Table 2. CCQI Measure Payment Status in PY1 –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6A4F2" w14:textId="5D4D93E1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42" w:history="1">
            <w:r w:rsidRPr="00C22B4B">
              <w:rPr>
                <w:rStyle w:val="Hyperlink"/>
                <w:noProof/>
              </w:rPr>
              <w:t>A.3 CCQI Eligibility Requirements for Performance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2865E" w14:textId="18877D00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43" w:history="1">
            <w:r w:rsidRPr="00C22B4B">
              <w:rPr>
                <w:rStyle w:val="Hyperlink"/>
                <w:noProof/>
              </w:rPr>
              <w:t>A.4. Benchmarking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9B5AB" w14:textId="61763DC5" w:rsidR="00227C53" w:rsidRDefault="00227C53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807344" w:history="1">
            <w:r w:rsidRPr="00C22B4B">
              <w:rPr>
                <w:rStyle w:val="Hyperlink"/>
                <w:noProof/>
              </w:rPr>
              <w:t>Table 3. CCQI Performance Benchmarking Methodology in PY1 –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B1BB7" w14:textId="1ACF890C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45" w:history="1">
            <w:r w:rsidRPr="00C22B4B">
              <w:rPr>
                <w:rStyle w:val="Hyperlink"/>
                <w:noProof/>
              </w:rPr>
              <w:t>A.5. Performance Scoring on Aggregate 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316F7" w14:textId="12DE31DB" w:rsidR="00227C53" w:rsidRDefault="00227C53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807346" w:history="1">
            <w:r w:rsidRPr="00C22B4B">
              <w:rPr>
                <w:rStyle w:val="Hyperlink"/>
                <w:noProof/>
              </w:rPr>
              <w:t>Table 4. CCQI Aggregate (Overall) Rate for Performance Scoring by Measure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4F99E" w14:textId="28163C80" w:rsidR="00227C53" w:rsidRDefault="00227C53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47" w:history="1">
            <w:r w:rsidRPr="00C22B4B">
              <w:rPr>
                <w:rStyle w:val="Hyperlink"/>
                <w:noProof/>
              </w:rPr>
              <w:t>B.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22B4B">
              <w:rPr>
                <w:rStyle w:val="Hyperlink"/>
                <w:noProof/>
              </w:rPr>
              <w:t>Scoring Methodology by Performance Measure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8EDDA" w14:textId="5CE1F3F8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48" w:history="1">
            <w:r w:rsidRPr="00C22B4B">
              <w:rPr>
                <w:rStyle w:val="Hyperlink"/>
                <w:noProof/>
              </w:rPr>
              <w:t>B.1. Scoring Methodology for Performance Measures CCQI-1 and CCQI-3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99AA9" w14:textId="74A4F898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49" w:history="1">
            <w:r w:rsidRPr="00C22B4B">
              <w:rPr>
                <w:rStyle w:val="Hyperlink"/>
                <w:noProof/>
              </w:rPr>
              <w:t>B.2. Scoring Methodology for Performance Measure CCQI-2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F36C3" w14:textId="2FE03D00" w:rsidR="00227C53" w:rsidRDefault="00227C53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0" w:history="1">
            <w:r w:rsidRPr="00C22B4B">
              <w:rPr>
                <w:rStyle w:val="Hyperlink"/>
                <w:noProof/>
              </w:rPr>
              <w:t>C.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22B4B">
              <w:rPr>
                <w:rStyle w:val="Hyperlink"/>
                <w:noProof/>
              </w:rPr>
              <w:t>CCQI Performance Assessment Methodology (PAM) for Payment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4A9DC" w14:textId="7A892D6B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1" w:history="1">
            <w:r w:rsidRPr="00C22B4B">
              <w:rPr>
                <w:rStyle w:val="Hyperlink"/>
                <w:noProof/>
              </w:rPr>
              <w:t>C.1. Individual Quality Score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540A7" w14:textId="50726095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2" w:history="1">
            <w:r w:rsidRPr="00C22B4B">
              <w:rPr>
                <w:rStyle w:val="Hyperlink"/>
                <w:noProof/>
              </w:rPr>
              <w:t>C.2. Weighted Quality Score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E1771" w14:textId="6C7C9BEF" w:rsidR="00227C53" w:rsidRDefault="00227C53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2807353" w:history="1">
            <w:r w:rsidRPr="00C22B4B">
              <w:rPr>
                <w:rStyle w:val="Hyperlink"/>
                <w:noProof/>
              </w:rPr>
              <w:t>Table 5: CCQI Measure Weights for each Performance Measure in PY1 –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61C8D" w14:textId="086B6874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4" w:history="1">
            <w:r w:rsidRPr="00C22B4B">
              <w:rPr>
                <w:rStyle w:val="Hyperlink"/>
                <w:noProof/>
              </w:rPr>
              <w:t>C.3. Overall Quality Score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2002E" w14:textId="6D639B86" w:rsidR="00227C53" w:rsidRDefault="00227C53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5" w:history="1">
            <w:r w:rsidRPr="00C22B4B">
              <w:rPr>
                <w:rStyle w:val="Hyperlink"/>
                <w:noProof/>
              </w:rPr>
              <w:t>D.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22B4B">
              <w:rPr>
                <w:rStyle w:val="Hyperlink"/>
                <w:noProof/>
              </w:rPr>
              <w:t>CCQI Performance Scoring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D859B" w14:textId="6E536380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6" w:history="1">
            <w:r w:rsidRPr="00C22B4B">
              <w:rPr>
                <w:rStyle w:val="Hyperlink"/>
                <w:noProof/>
              </w:rPr>
              <w:t>Example 1: Performance Scoring with Attainment and Improvement 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B5B2E" w14:textId="49C35622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7" w:history="1">
            <w:r w:rsidRPr="00C22B4B">
              <w:rPr>
                <w:rStyle w:val="Hyperlink"/>
                <w:noProof/>
              </w:rPr>
              <w:t>Example 2: Performance Scoring with Attainment and Improvement Unmet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5F12E" w14:textId="671F256D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8" w:history="1">
            <w:r w:rsidRPr="00C22B4B">
              <w:rPr>
                <w:rStyle w:val="Hyperlink"/>
                <w:noProof/>
              </w:rPr>
              <w:t>Example 3: Improvement Compared to Previous Highest Performing Year with Improvement Target 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3E83" w14:textId="5C6803FC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59" w:history="1">
            <w:r w:rsidRPr="00C22B4B">
              <w:rPr>
                <w:rStyle w:val="Hyperlink"/>
                <w:noProof/>
              </w:rPr>
              <w:t>Example 4: Past Performance Meeting or Exceeding Goal Benchmark and Improvement Target Met from Current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50866" w14:textId="170110DE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60" w:history="1">
            <w:r w:rsidRPr="00C22B4B">
              <w:rPr>
                <w:rStyle w:val="Hyperlink"/>
                <w:noProof/>
              </w:rPr>
              <w:t>Example 5: Improvement Target Met Compared to the Previous Highest Performing Year if Attainment Threshold in Past Performance Unmet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FFE9A" w14:textId="1A8CF382" w:rsidR="00227C53" w:rsidRDefault="00227C53">
          <w:pPr>
            <w:pStyle w:val="TOC2"/>
            <w:tabs>
              <w:tab w:val="left" w:pos="6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61" w:history="1">
            <w:r w:rsidRPr="00C22B4B">
              <w:rPr>
                <w:rStyle w:val="Hyperlink"/>
                <w:noProof/>
              </w:rPr>
              <w:t>E.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22B4B">
              <w:rPr>
                <w:rStyle w:val="Hyperlink"/>
                <w:noProof/>
              </w:rPr>
              <w:t>CCQI-2 Observed-Over-Expected Ratio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75A13" w14:textId="755EC24A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62" w:history="1">
            <w:r w:rsidRPr="00C22B4B">
              <w:rPr>
                <w:rStyle w:val="Hyperlink"/>
                <w:noProof/>
              </w:rPr>
              <w:t>Example 1: Observed-Over-Expected Ratio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7559A" w14:textId="5CC7599C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63" w:history="1">
            <w:r w:rsidRPr="00C22B4B">
              <w:rPr>
                <w:rStyle w:val="Hyperlink"/>
                <w:noProof/>
              </w:rPr>
              <w:t>Example 2: Observed-Over-Expected Ratio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BF8D3" w14:textId="4405876D" w:rsidR="00227C53" w:rsidRDefault="00227C53">
          <w:pPr>
            <w:pStyle w:val="TOC2"/>
            <w:tabs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807364" w:history="1">
            <w:r w:rsidRPr="00C22B4B">
              <w:rPr>
                <w:rStyle w:val="Hyperlink"/>
                <w:noProof/>
              </w:rPr>
              <w:t>Example 3: Observed-Over-Expected Ratio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_Toc212807364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2FD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A80CF" w14:textId="2B155E24" w:rsidR="00625CA7" w:rsidRDefault="00300D42" w:rsidP="00776691">
          <w:r>
            <w:fldChar w:fldCharType="end"/>
          </w:r>
        </w:p>
        <w:p w14:paraId="5418EDAB" w14:textId="3E4AD3C2" w:rsidR="001623D5" w:rsidRPr="00776691" w:rsidRDefault="00000000" w:rsidP="00776691"/>
      </w:sdtContent>
    </w:sdt>
    <w:p w14:paraId="4D2E8D5A" w14:textId="713D2147" w:rsidR="00F75459" w:rsidRPr="00F75459" w:rsidRDefault="0098327B" w:rsidP="00F75459">
      <w:pPr>
        <w:pStyle w:val="Heading2"/>
        <w:numPr>
          <w:ilvl w:val="0"/>
          <w:numId w:val="3"/>
        </w:numPr>
      </w:pPr>
      <w:bookmarkStart w:id="20" w:name="_Toc212807337"/>
      <w:r>
        <w:lastRenderedPageBreak/>
        <w:t xml:space="preserve">CCQI </w:t>
      </w:r>
      <w:r w:rsidR="00DD0EE8">
        <w:t xml:space="preserve">Performance Assessment Methodology (PAM) </w:t>
      </w:r>
      <w:r>
        <w:t>Overview</w:t>
      </w:r>
      <w:bookmarkEnd w:id="20"/>
    </w:p>
    <w:p w14:paraId="710BE254" w14:textId="69D14C16" w:rsidR="00EC1B09" w:rsidRDefault="00A13930" w:rsidP="00220DD9">
      <w:pPr>
        <w:spacing w:before="200" w:after="200" w:line="276" w:lineRule="auto"/>
      </w:pPr>
      <w:r>
        <w:t xml:space="preserve">The purpose of the Performance Assessment Methodology (PAM) for the CBHC Clinical Quality Incentive (CCQI) is to establish </w:t>
      </w:r>
      <w:r w:rsidR="3CCEF24A">
        <w:t>a</w:t>
      </w:r>
      <w:r w:rsidR="54DCDCE5">
        <w:t>n</w:t>
      </w:r>
      <w:r>
        <w:t xml:space="preserve"> </w:t>
      </w:r>
      <w:r w:rsidR="54DCDCE5">
        <w:t>objective</w:t>
      </w:r>
      <w:r w:rsidR="00102C79">
        <w:t>,</w:t>
      </w:r>
      <w:r w:rsidR="3CCEF24A">
        <w:t xml:space="preserve"> </w:t>
      </w:r>
      <w:r>
        <w:t xml:space="preserve">systematic approach </w:t>
      </w:r>
      <w:r w:rsidR="00D83B93">
        <w:t>for</w:t>
      </w:r>
      <w:r>
        <w:t xml:space="preserve"> evaluat</w:t>
      </w:r>
      <w:r w:rsidR="00D83B93">
        <w:t>ing</w:t>
      </w:r>
      <w:r>
        <w:t xml:space="preserve"> performance on each clinical quality incentive measure.  As part of the CBHC CQI PAM, MassHealth d</w:t>
      </w:r>
      <w:r w:rsidR="00B2056C">
        <w:t>eveloped</w:t>
      </w:r>
      <w:r>
        <w:t xml:space="preserve"> a </w:t>
      </w:r>
      <w:r w:rsidR="00400471">
        <w:t xml:space="preserve">scoring </w:t>
      </w:r>
      <w:r>
        <w:t xml:space="preserve">methodology to calculate </w:t>
      </w:r>
      <w:r w:rsidR="00492780">
        <w:t xml:space="preserve">an “Overall Quality Score” </w:t>
      </w:r>
      <w:r w:rsidR="4A4647B7">
        <w:t xml:space="preserve">used </w:t>
      </w:r>
      <w:r w:rsidR="007960F4">
        <w:t>t</w:t>
      </w:r>
      <w:r w:rsidR="0056615E">
        <w:t xml:space="preserve">o determine each CBHC’s </w:t>
      </w:r>
      <w:r w:rsidR="007960F4">
        <w:t>final earned incentive payment.</w:t>
      </w:r>
      <w:r>
        <w:t xml:space="preserve">  This manual </w:t>
      </w:r>
      <w:r w:rsidR="00052ABE">
        <w:t>provides a comprehensive overview of</w:t>
      </w:r>
      <w:r>
        <w:t xml:space="preserve"> the </w:t>
      </w:r>
      <w:r w:rsidR="002E0763">
        <w:t xml:space="preserve">CCQI </w:t>
      </w:r>
      <w:r>
        <w:t xml:space="preserve">PAM </w:t>
      </w:r>
      <w:r w:rsidR="008D6625">
        <w:t xml:space="preserve">framework </w:t>
      </w:r>
      <w:r>
        <w:t xml:space="preserve">for Performance Years (PY) </w:t>
      </w:r>
      <w:r w:rsidR="000A389E">
        <w:t>1</w:t>
      </w:r>
      <w:r w:rsidR="005A3CC6" w:rsidRPr="00F26981">
        <w:t>–</w:t>
      </w:r>
      <w:r>
        <w:t xml:space="preserve">5. Please note that adjustments may be made to </w:t>
      </w:r>
      <w:r w:rsidR="00052ABE">
        <w:t>components of the</w:t>
      </w:r>
      <w:r>
        <w:t xml:space="preserve"> </w:t>
      </w:r>
      <w:r w:rsidR="00052ABE">
        <w:t xml:space="preserve">CCQI </w:t>
      </w:r>
      <w:r w:rsidR="008B2091">
        <w:t>PAM</w:t>
      </w:r>
      <w:r>
        <w:t xml:space="preserve"> </w:t>
      </w:r>
      <w:r w:rsidR="3EC9580B">
        <w:t xml:space="preserve">which </w:t>
      </w:r>
      <w:r w:rsidR="00DB7A56">
        <w:t>are</w:t>
      </w:r>
      <w:r>
        <w:t xml:space="preserve"> subject to change </w:t>
      </w:r>
      <w:r w:rsidR="6697D654">
        <w:t xml:space="preserve">both </w:t>
      </w:r>
      <w:r w:rsidR="6AE9AC95">
        <w:t>in</w:t>
      </w:r>
      <w:r w:rsidR="28D2DCEB">
        <w:t xml:space="preserve"> current and</w:t>
      </w:r>
      <w:r w:rsidR="00CB0C02">
        <w:t xml:space="preserve"> </w:t>
      </w:r>
      <w:r>
        <w:t xml:space="preserve">subsequent performance years </w:t>
      </w:r>
      <w:r w:rsidR="009C06B4">
        <w:t>to</w:t>
      </w:r>
      <w:r w:rsidR="00CB0C02">
        <w:t xml:space="preserve"> </w:t>
      </w:r>
      <w:r w:rsidR="00492780">
        <w:t>accurate</w:t>
      </w:r>
      <w:r w:rsidR="008B2091">
        <w:t>ly assess and score performance</w:t>
      </w:r>
      <w:r w:rsidR="001C677A">
        <w:t xml:space="preserve"> </w:t>
      </w:r>
      <w:r w:rsidR="009C06B4">
        <w:t xml:space="preserve">on </w:t>
      </w:r>
      <w:r w:rsidR="001C677A">
        <w:t>each measure.</w:t>
      </w:r>
    </w:p>
    <w:p w14:paraId="2CFD4604" w14:textId="4204752C" w:rsidR="009A7BEB" w:rsidRPr="00F259E0" w:rsidRDefault="009A7BEB" w:rsidP="00220DD9">
      <w:pPr>
        <w:pStyle w:val="Heading2"/>
        <w:spacing w:before="200" w:after="200" w:line="276" w:lineRule="auto"/>
        <w:rPr>
          <w:rStyle w:val="Heading3Char"/>
          <w:szCs w:val="20"/>
        </w:rPr>
      </w:pPr>
      <w:bookmarkStart w:id="21" w:name="_Toc212807338"/>
      <w:r w:rsidRPr="001F406B">
        <w:rPr>
          <w:rStyle w:val="Heading3Char"/>
          <w:b/>
          <w:bCs w:val="0"/>
          <w:sz w:val="22"/>
          <w:szCs w:val="20"/>
        </w:rPr>
        <w:t>A.1</w:t>
      </w:r>
      <w:r w:rsidR="00AD0E6B">
        <w:rPr>
          <w:rStyle w:val="Heading3Char"/>
          <w:b/>
          <w:bCs w:val="0"/>
          <w:sz w:val="22"/>
          <w:szCs w:val="20"/>
        </w:rPr>
        <w:t>.</w:t>
      </w:r>
      <w:r w:rsidRPr="001F406B">
        <w:rPr>
          <w:rStyle w:val="Heading3Char"/>
          <w:b/>
          <w:bCs w:val="0"/>
          <w:sz w:val="22"/>
          <w:szCs w:val="20"/>
        </w:rPr>
        <w:t xml:space="preserve"> CBHC Clinical Quality Incentive (CCQI) Measure Slate</w:t>
      </w:r>
      <w:bookmarkEnd w:id="21"/>
    </w:p>
    <w:p w14:paraId="213BFBAC" w14:textId="43B30BDF" w:rsidR="004B6BE2" w:rsidRPr="004B6BE2" w:rsidRDefault="004B6BE2" w:rsidP="00220DD9">
      <w:pPr>
        <w:spacing w:before="200" w:after="200" w:line="276" w:lineRule="auto"/>
      </w:pPr>
      <w:r>
        <w:t xml:space="preserve">The CCQI measure slate consists of three clinical quality incentive measures outlined in </w:t>
      </w:r>
      <w:r w:rsidRPr="002F6C21">
        <w:rPr>
          <w:i/>
          <w:iCs/>
        </w:rPr>
        <w:t>Table 1. Overview of Measure Slate in the CCQI</w:t>
      </w:r>
      <w:r>
        <w:t>.  Further detail on these measures is provided in the</w:t>
      </w:r>
      <w:r w:rsidRPr="00C94EEE">
        <w:rPr>
          <w:i/>
          <w:iCs/>
        </w:rPr>
        <w:t xml:space="preserve"> </w:t>
      </w:r>
      <w:r w:rsidRPr="00C94EEE">
        <w:rPr>
          <w:i/>
        </w:rPr>
        <w:t xml:space="preserve">CBHC Clinical Quality Incentive (CCQI) </w:t>
      </w:r>
      <w:r w:rsidRPr="00C94EEE">
        <w:rPr>
          <w:i/>
          <w:iCs/>
        </w:rPr>
        <w:t>Technical Specifications</w:t>
      </w:r>
      <w:r>
        <w:t xml:space="preserve"> document.</w:t>
      </w:r>
    </w:p>
    <w:p w14:paraId="38E63462" w14:textId="77777777" w:rsidR="006D6FCF" w:rsidRDefault="006D6FCF" w:rsidP="006D6FCF">
      <w:pPr>
        <w:pStyle w:val="Heading3"/>
      </w:pPr>
      <w:bookmarkStart w:id="22" w:name="_Toc197680223"/>
      <w:bookmarkStart w:id="23" w:name="_Toc212807339"/>
      <w:bookmarkStart w:id="24" w:name="_Hlk210640605"/>
      <w:r w:rsidRPr="004B7A42">
        <w:t>Table 1. Overview of Measure Slate in the CCQI</w:t>
      </w:r>
      <w:bookmarkEnd w:id="22"/>
      <w:bookmarkEnd w:id="2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6120"/>
      </w:tblGrid>
      <w:tr w:rsidR="00F46192" w:rsidRPr="007C2FF9" w14:paraId="662601ED" w14:textId="77777777" w:rsidTr="00CE3ED6">
        <w:trPr>
          <w:trHeight w:val="476"/>
          <w:tblHeader/>
        </w:trPr>
        <w:tc>
          <w:tcPr>
            <w:tcW w:w="3775" w:type="dxa"/>
            <w:shd w:val="clear" w:color="auto" w:fill="002060"/>
            <w:vAlign w:val="center"/>
          </w:tcPr>
          <w:bookmarkEnd w:id="24"/>
          <w:p w14:paraId="74E4E1AE" w14:textId="77777777" w:rsidR="00F46192" w:rsidRPr="004A501F" w:rsidRDefault="00F46192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 Name</w:t>
            </w:r>
          </w:p>
        </w:tc>
        <w:tc>
          <w:tcPr>
            <w:tcW w:w="6120" w:type="dxa"/>
            <w:shd w:val="clear" w:color="auto" w:fill="002060"/>
            <w:vAlign w:val="center"/>
          </w:tcPr>
          <w:p w14:paraId="0BB2D1C4" w14:textId="77777777" w:rsidR="00F46192" w:rsidRPr="004A501F" w:rsidRDefault="00F46192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 Description</w:t>
            </w:r>
          </w:p>
        </w:tc>
      </w:tr>
      <w:tr w:rsidR="00F46192" w:rsidRPr="007C2FF9" w14:paraId="4C069015" w14:textId="77777777">
        <w:tc>
          <w:tcPr>
            <w:tcW w:w="3775" w:type="dxa"/>
          </w:tcPr>
          <w:p w14:paraId="5B24C400" w14:textId="77777777" w:rsidR="00F46192" w:rsidRPr="007C2FF9" w:rsidRDefault="00F46192">
            <w:pPr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CCQI-1: Access Standards</w:t>
            </w:r>
          </w:p>
        </w:tc>
        <w:tc>
          <w:tcPr>
            <w:tcW w:w="6120" w:type="dxa"/>
          </w:tcPr>
          <w:p w14:paraId="2C802B36" w14:textId="77777777" w:rsidR="00F46192" w:rsidRPr="007C2FF9" w:rsidRDefault="00F46192">
            <w:pPr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This measure assesses timely access to behavioral health services for members experiencing a behavioral health crisis with an urgent or immediate care need by looking at the percentage of new patients (new to qualifying visits) that received an appointment for a qualifying CBHC visit within a specified timeframe.</w:t>
            </w:r>
          </w:p>
        </w:tc>
      </w:tr>
      <w:tr w:rsidR="00F46192" w:rsidRPr="007C2FF9" w14:paraId="6F1AE4DE" w14:textId="77777777">
        <w:tc>
          <w:tcPr>
            <w:tcW w:w="3775" w:type="dxa"/>
          </w:tcPr>
          <w:p w14:paraId="32D24AD3" w14:textId="77777777" w:rsidR="00F46192" w:rsidRPr="007C2FF9" w:rsidRDefault="00F46192">
            <w:pPr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CCQI-2: Follow-up After Acute Behavioral Health Episode of Care</w:t>
            </w:r>
          </w:p>
        </w:tc>
        <w:tc>
          <w:tcPr>
            <w:tcW w:w="6120" w:type="dxa"/>
          </w:tcPr>
          <w:p w14:paraId="488D4849" w14:textId="6E24CE16" w:rsidR="00F46192" w:rsidRPr="007C2FF9" w:rsidRDefault="00F46192">
            <w:pPr>
              <w:rPr>
                <w:rFonts w:cstheme="minorHAnsi"/>
                <w:sz w:val="20"/>
                <w:szCs w:val="20"/>
              </w:rPr>
            </w:pPr>
            <w:r w:rsidRPr="007C2FF9">
              <w:rPr>
                <w:sz w:val="20"/>
                <w:szCs w:val="20"/>
              </w:rPr>
              <w:t>This measure assesses the proportion</w:t>
            </w:r>
            <w:r w:rsidR="00A636F3">
              <w:rPr>
                <w:sz w:val="20"/>
                <w:szCs w:val="20"/>
              </w:rPr>
              <w:t xml:space="preserve"> of</w:t>
            </w:r>
            <w:r w:rsidRPr="007C2FF9">
              <w:rPr>
                <w:sz w:val="20"/>
                <w:szCs w:val="20"/>
              </w:rPr>
              <w:t xml:space="preserve"> qualifying CBHC visit</w:t>
            </w:r>
            <w:r w:rsidR="00A636F3">
              <w:rPr>
                <w:sz w:val="20"/>
                <w:szCs w:val="20"/>
              </w:rPr>
              <w:t>s</w:t>
            </w:r>
            <w:r w:rsidRPr="007C2FF9">
              <w:rPr>
                <w:sz w:val="20"/>
                <w:szCs w:val="20"/>
              </w:rPr>
              <w:t xml:space="preserve"> </w:t>
            </w:r>
            <w:r w:rsidR="00102C79" w:rsidRPr="007C2FF9">
              <w:rPr>
                <w:sz w:val="20"/>
                <w:szCs w:val="20"/>
              </w:rPr>
              <w:t>that occur</w:t>
            </w:r>
            <w:r w:rsidR="00102C79">
              <w:rPr>
                <w:sz w:val="20"/>
                <w:szCs w:val="20"/>
              </w:rPr>
              <w:t>red</w:t>
            </w:r>
            <w:r w:rsidR="00102C79" w:rsidRPr="007C2FF9">
              <w:rPr>
                <w:sz w:val="20"/>
                <w:szCs w:val="20"/>
              </w:rPr>
              <w:t xml:space="preserve"> </w:t>
            </w:r>
            <w:r w:rsidRPr="007C2FF9">
              <w:rPr>
                <w:sz w:val="20"/>
                <w:szCs w:val="20"/>
              </w:rPr>
              <w:t>within 7 days of discharge</w:t>
            </w:r>
            <w:r w:rsidR="00A636F3">
              <w:rPr>
                <w:sz w:val="20"/>
                <w:szCs w:val="20"/>
              </w:rPr>
              <w:t xml:space="preserve"> from a</w:t>
            </w:r>
            <w:r w:rsidR="00A636F3" w:rsidRPr="007C2FF9">
              <w:rPr>
                <w:sz w:val="20"/>
                <w:szCs w:val="20"/>
              </w:rPr>
              <w:t xml:space="preserve"> qualifying hospital encounter </w:t>
            </w:r>
            <w:r w:rsidR="00621355">
              <w:rPr>
                <w:sz w:val="20"/>
                <w:szCs w:val="20"/>
              </w:rPr>
              <w:t xml:space="preserve">for </w:t>
            </w:r>
            <w:r w:rsidRPr="007C2FF9">
              <w:rPr>
                <w:sz w:val="20"/>
                <w:szCs w:val="20"/>
              </w:rPr>
              <w:t>each CBHC.</w:t>
            </w:r>
          </w:p>
        </w:tc>
      </w:tr>
      <w:tr w:rsidR="00F46192" w:rsidRPr="007C2FF9" w14:paraId="4F3D32B7" w14:textId="77777777">
        <w:tc>
          <w:tcPr>
            <w:tcW w:w="3775" w:type="dxa"/>
          </w:tcPr>
          <w:p w14:paraId="75CB1C5F" w14:textId="77777777" w:rsidR="00F46192" w:rsidRPr="007C2FF9" w:rsidRDefault="00F46192">
            <w:pPr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CCQI-3: Readmission to Acute Behavioral Health Care</w:t>
            </w:r>
          </w:p>
        </w:tc>
        <w:tc>
          <w:tcPr>
            <w:tcW w:w="6120" w:type="dxa"/>
          </w:tcPr>
          <w:p w14:paraId="0C0C4EF1" w14:textId="1F5E6E74" w:rsidR="00F46192" w:rsidRPr="007C2FF9" w:rsidRDefault="00F46192">
            <w:pPr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 xml:space="preserve">This measure assesses the percentage of patients who have a qualifying CBHC visit within 7 days of discharge from </w:t>
            </w:r>
            <w:r w:rsidR="009F01F6">
              <w:rPr>
                <w:rFonts w:cstheme="minorHAnsi"/>
                <w:sz w:val="20"/>
                <w:szCs w:val="20"/>
              </w:rPr>
              <w:t>a</w:t>
            </w:r>
            <w:r w:rsidRPr="007C2FF9">
              <w:rPr>
                <w:rFonts w:cstheme="minorHAnsi"/>
                <w:sz w:val="20"/>
                <w:szCs w:val="20"/>
              </w:rPr>
              <w:t xml:space="preserve"> qualifying</w:t>
            </w:r>
            <w:r w:rsidR="009F01F6">
              <w:rPr>
                <w:rFonts w:cstheme="minorHAnsi"/>
                <w:sz w:val="20"/>
                <w:szCs w:val="20"/>
              </w:rPr>
              <w:t xml:space="preserve"> hospital</w:t>
            </w:r>
            <w:r w:rsidRPr="007C2FF9">
              <w:rPr>
                <w:rFonts w:cstheme="minorHAnsi"/>
                <w:sz w:val="20"/>
                <w:szCs w:val="20"/>
              </w:rPr>
              <w:t xml:space="preserve"> encounter </w:t>
            </w:r>
            <w:r w:rsidR="00102C79">
              <w:rPr>
                <w:rFonts w:cstheme="minorHAnsi"/>
                <w:sz w:val="20"/>
                <w:szCs w:val="20"/>
              </w:rPr>
              <w:t>and</w:t>
            </w:r>
            <w:r w:rsidR="00102C79" w:rsidRPr="007C2FF9">
              <w:rPr>
                <w:rFonts w:cstheme="minorHAnsi"/>
                <w:sz w:val="20"/>
                <w:szCs w:val="20"/>
              </w:rPr>
              <w:t xml:space="preserve"> </w:t>
            </w:r>
            <w:r w:rsidR="009F01F6">
              <w:rPr>
                <w:rFonts w:cstheme="minorHAnsi"/>
                <w:sz w:val="20"/>
                <w:szCs w:val="20"/>
              </w:rPr>
              <w:t>were</w:t>
            </w:r>
            <w:r w:rsidR="009F01F6" w:rsidRPr="007C2FF9">
              <w:rPr>
                <w:rFonts w:cstheme="minorHAnsi"/>
                <w:sz w:val="20"/>
                <w:szCs w:val="20"/>
              </w:rPr>
              <w:t xml:space="preserve"> </w:t>
            </w:r>
            <w:r w:rsidRPr="007C2FF9">
              <w:rPr>
                <w:rFonts w:cstheme="minorHAnsi"/>
                <w:sz w:val="20"/>
                <w:szCs w:val="20"/>
              </w:rPr>
              <w:t>readmit</w:t>
            </w:r>
            <w:r w:rsidR="009F01F6">
              <w:rPr>
                <w:rFonts w:cstheme="minorHAnsi"/>
                <w:sz w:val="20"/>
                <w:szCs w:val="20"/>
              </w:rPr>
              <w:t>ted</w:t>
            </w:r>
            <w:r w:rsidRPr="007C2FF9">
              <w:rPr>
                <w:rFonts w:cstheme="minorHAnsi"/>
                <w:sz w:val="20"/>
                <w:szCs w:val="20"/>
              </w:rPr>
              <w:t xml:space="preserve"> </w:t>
            </w:r>
            <w:r w:rsidR="00B44440">
              <w:rPr>
                <w:rFonts w:cstheme="minorHAnsi"/>
                <w:sz w:val="20"/>
                <w:szCs w:val="20"/>
              </w:rPr>
              <w:t xml:space="preserve">to a </w:t>
            </w:r>
            <w:r w:rsidR="00E11F20">
              <w:rPr>
                <w:rFonts w:cstheme="minorHAnsi"/>
                <w:sz w:val="20"/>
                <w:szCs w:val="20"/>
              </w:rPr>
              <w:t xml:space="preserve">qualifying hospital encounter </w:t>
            </w:r>
            <w:r w:rsidRPr="007C2FF9">
              <w:rPr>
                <w:rFonts w:cstheme="minorHAnsi"/>
                <w:sz w:val="20"/>
                <w:szCs w:val="20"/>
              </w:rPr>
              <w:t>within 30 days</w:t>
            </w:r>
            <w:r w:rsidR="00E11F20">
              <w:rPr>
                <w:rFonts w:cstheme="minorHAnsi"/>
                <w:sz w:val="20"/>
                <w:szCs w:val="20"/>
              </w:rPr>
              <w:t xml:space="preserve"> of discharge.</w:t>
            </w:r>
            <w:r w:rsidRPr="007C2FF9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7124B78F" w14:textId="085C9CE7" w:rsidR="009A7BEB" w:rsidRPr="001F406B" w:rsidRDefault="009A7BEB" w:rsidP="00CE3ED6">
      <w:pPr>
        <w:pStyle w:val="Heading2"/>
        <w:spacing w:before="200" w:after="200" w:line="276" w:lineRule="auto"/>
        <w:rPr>
          <w:b w:val="0"/>
          <w:szCs w:val="20"/>
        </w:rPr>
      </w:pPr>
      <w:bookmarkStart w:id="25" w:name="_Toc212807340"/>
      <w:r w:rsidRPr="001F406B">
        <w:rPr>
          <w:rStyle w:val="Heading3Char"/>
          <w:b/>
          <w:bCs w:val="0"/>
          <w:sz w:val="22"/>
          <w:szCs w:val="20"/>
        </w:rPr>
        <w:t>A.2</w:t>
      </w:r>
      <w:r w:rsidR="00AD0E6B">
        <w:rPr>
          <w:rStyle w:val="Heading3Char"/>
          <w:b/>
          <w:bCs w:val="0"/>
          <w:sz w:val="22"/>
          <w:szCs w:val="20"/>
        </w:rPr>
        <w:t>.</w:t>
      </w:r>
      <w:r w:rsidRPr="001F406B">
        <w:rPr>
          <w:rStyle w:val="Heading3Char"/>
          <w:b/>
          <w:bCs w:val="0"/>
          <w:sz w:val="22"/>
          <w:szCs w:val="20"/>
        </w:rPr>
        <w:t xml:space="preserve"> </w:t>
      </w:r>
      <w:r w:rsidR="004E5C7B">
        <w:rPr>
          <w:rStyle w:val="Heading3Char"/>
          <w:b/>
          <w:bCs w:val="0"/>
          <w:sz w:val="22"/>
          <w:szCs w:val="20"/>
        </w:rPr>
        <w:t xml:space="preserve">CCQI Measure </w:t>
      </w:r>
      <w:r w:rsidR="00BE571F">
        <w:rPr>
          <w:rStyle w:val="Heading3Char"/>
          <w:b/>
          <w:bCs w:val="0"/>
          <w:sz w:val="22"/>
          <w:szCs w:val="20"/>
        </w:rPr>
        <w:t xml:space="preserve">Payment </w:t>
      </w:r>
      <w:r w:rsidRPr="001F406B">
        <w:rPr>
          <w:rStyle w:val="Heading3Char"/>
          <w:b/>
          <w:bCs w:val="0"/>
          <w:sz w:val="22"/>
          <w:szCs w:val="20"/>
        </w:rPr>
        <w:t>Status for PY</w:t>
      </w:r>
      <w:r w:rsidR="000A389E" w:rsidRPr="001F406B">
        <w:rPr>
          <w:rStyle w:val="Heading3Char"/>
          <w:b/>
          <w:bCs w:val="0"/>
          <w:sz w:val="22"/>
          <w:szCs w:val="20"/>
        </w:rPr>
        <w:t>1</w:t>
      </w:r>
      <w:r w:rsidR="00F26981">
        <w:rPr>
          <w:rStyle w:val="Heading3Char"/>
          <w:b/>
          <w:bCs w:val="0"/>
          <w:sz w:val="22"/>
          <w:szCs w:val="20"/>
        </w:rPr>
        <w:t xml:space="preserve"> </w:t>
      </w:r>
      <w:r w:rsidR="00F26981" w:rsidRPr="00F26981">
        <w:rPr>
          <w:rStyle w:val="Heading3Char"/>
          <w:b/>
          <w:bCs w:val="0"/>
          <w:sz w:val="22"/>
          <w:szCs w:val="20"/>
        </w:rPr>
        <w:t xml:space="preserve">– </w:t>
      </w:r>
      <w:r w:rsidRPr="001F406B">
        <w:rPr>
          <w:rStyle w:val="Heading3Char"/>
          <w:b/>
          <w:bCs w:val="0"/>
          <w:sz w:val="22"/>
          <w:szCs w:val="20"/>
        </w:rPr>
        <w:t>5</w:t>
      </w:r>
      <w:bookmarkEnd w:id="25"/>
    </w:p>
    <w:p w14:paraId="45D3805C" w14:textId="6566B682" w:rsidR="008423FF" w:rsidRPr="00580C7A" w:rsidRDefault="001A6A29" w:rsidP="00CE3ED6">
      <w:pPr>
        <w:spacing w:before="200" w:after="200" w:line="276" w:lineRule="auto"/>
      </w:pPr>
      <w:r w:rsidRPr="0009005C">
        <w:rPr>
          <w:b/>
          <w:bCs/>
        </w:rPr>
        <w:t>Pay-for-performance (P4P):</w:t>
      </w:r>
      <w:r w:rsidRPr="0009005C">
        <w:t xml:space="preserve"> </w:t>
      </w:r>
      <w:r>
        <w:t xml:space="preserve">The payment status for an incentive-based measure in which </w:t>
      </w:r>
      <w:proofErr w:type="gramStart"/>
      <w:r>
        <w:t xml:space="preserve">a </w:t>
      </w:r>
      <w:r w:rsidRPr="0009005C">
        <w:t>CBHC</w:t>
      </w:r>
      <w:proofErr w:type="gramEnd"/>
      <w:r>
        <w:t xml:space="preserve"> </w:t>
      </w:r>
      <w:r w:rsidRPr="00E15974">
        <w:t>can</w:t>
      </w:r>
      <w:r w:rsidRPr="0009005C">
        <w:t xml:space="preserve"> earn </w:t>
      </w:r>
      <w:r>
        <w:t>incentive payment</w:t>
      </w:r>
      <w:r w:rsidRPr="00E15974">
        <w:t xml:space="preserve"> </w:t>
      </w:r>
      <w:r w:rsidRPr="0009005C">
        <w:t xml:space="preserve">based on </w:t>
      </w:r>
      <w:r w:rsidRPr="00E15974">
        <w:t xml:space="preserve">performance </w:t>
      </w:r>
      <w:r>
        <w:t xml:space="preserve">in meeting established </w:t>
      </w:r>
      <w:r w:rsidRPr="00E15974">
        <w:t xml:space="preserve">measure </w:t>
      </w:r>
      <w:r>
        <w:t xml:space="preserve">requirements to produce a quality score that is </w:t>
      </w:r>
      <w:r w:rsidRPr="00E15974">
        <w:t xml:space="preserve">calculated </w:t>
      </w:r>
      <w:r w:rsidR="42207F0E">
        <w:t>using the</w:t>
      </w:r>
      <w:r w:rsidRPr="00E15974">
        <w:t xml:space="preserve"> performance assessment methodology</w:t>
      </w:r>
      <w:r w:rsidRPr="0009005C">
        <w:t>.</w:t>
      </w:r>
      <w:r>
        <w:t xml:space="preserve">  </w:t>
      </w:r>
    </w:p>
    <w:p w14:paraId="475E1263" w14:textId="0050F91D" w:rsidR="00316AE2" w:rsidRDefault="00316AE2" w:rsidP="00EE2E09">
      <w:pPr>
        <w:spacing w:before="200" w:after="200" w:line="276" w:lineRule="auto"/>
        <w:rPr>
          <w:rFonts w:cstheme="minorHAnsi"/>
          <w:color w:val="000000" w:themeColor="text1"/>
        </w:rPr>
      </w:pPr>
      <w:r w:rsidRPr="00212678">
        <w:rPr>
          <w:rFonts w:cstheme="minorHAnsi"/>
        </w:rPr>
        <w:t xml:space="preserve">The payment status </w:t>
      </w:r>
      <w:r w:rsidR="00776AAC">
        <w:rPr>
          <w:rFonts w:cstheme="minorHAnsi"/>
        </w:rPr>
        <w:t xml:space="preserve">for </w:t>
      </w:r>
      <w:r w:rsidR="003D7453">
        <w:rPr>
          <w:rFonts w:cstheme="minorHAnsi"/>
        </w:rPr>
        <w:t xml:space="preserve">measures </w:t>
      </w:r>
      <w:r w:rsidR="00776AAC">
        <w:rPr>
          <w:rFonts w:cstheme="minorHAnsi"/>
        </w:rPr>
        <w:t xml:space="preserve">CCQI-2 and CCQI-3 </w:t>
      </w:r>
      <w:r w:rsidR="00776AAC" w:rsidRPr="00212678">
        <w:rPr>
          <w:rFonts w:cstheme="minorHAnsi"/>
        </w:rPr>
        <w:t>will be in Pay-for-Performance (P4P) throughout PY</w:t>
      </w:r>
      <w:r w:rsidR="00776AAC">
        <w:rPr>
          <w:rFonts w:cstheme="minorHAnsi"/>
        </w:rPr>
        <w:t>1</w:t>
      </w:r>
      <w:r w:rsidR="005A3CC6" w:rsidRPr="00F26981">
        <w:t>–</w:t>
      </w:r>
      <w:r w:rsidR="00776AAC" w:rsidRPr="00212678">
        <w:rPr>
          <w:rFonts w:cstheme="minorHAnsi"/>
        </w:rPr>
        <w:t>5</w:t>
      </w:r>
      <w:r w:rsidR="00776AAC">
        <w:rPr>
          <w:rFonts w:cstheme="minorHAnsi"/>
        </w:rPr>
        <w:t>, while</w:t>
      </w:r>
      <w:r w:rsidR="00E85919">
        <w:rPr>
          <w:rFonts w:cstheme="minorHAnsi"/>
        </w:rPr>
        <w:t xml:space="preserve"> CCQI-1</w:t>
      </w:r>
      <w:r w:rsidR="000D3CFC">
        <w:rPr>
          <w:rFonts w:cstheme="minorHAnsi"/>
        </w:rPr>
        <w:t xml:space="preserve"> will be in</w:t>
      </w:r>
      <w:r w:rsidR="00776AAC">
        <w:rPr>
          <w:rFonts w:cstheme="minorHAnsi"/>
        </w:rPr>
        <w:t xml:space="preserve"> </w:t>
      </w:r>
      <w:r w:rsidR="00DC1A03">
        <w:rPr>
          <w:rFonts w:cstheme="minorHAnsi"/>
        </w:rPr>
        <w:t xml:space="preserve">P4P </w:t>
      </w:r>
      <w:r w:rsidR="00776AAC">
        <w:rPr>
          <w:rFonts w:cstheme="minorHAnsi"/>
        </w:rPr>
        <w:t xml:space="preserve">payment status </w:t>
      </w:r>
      <w:r w:rsidR="000D3CFC">
        <w:rPr>
          <w:rFonts w:cstheme="minorHAnsi"/>
        </w:rPr>
        <w:t>between</w:t>
      </w:r>
      <w:r w:rsidR="00776AAC">
        <w:rPr>
          <w:rFonts w:cstheme="minorHAnsi"/>
        </w:rPr>
        <w:t xml:space="preserve"> PY</w:t>
      </w:r>
      <w:r w:rsidR="00DC1A03">
        <w:rPr>
          <w:rFonts w:cstheme="minorHAnsi"/>
        </w:rPr>
        <w:t>2</w:t>
      </w:r>
      <w:r w:rsidR="005A3CC6" w:rsidRPr="00F26981">
        <w:t>–</w:t>
      </w:r>
      <w:r w:rsidR="00776AAC">
        <w:rPr>
          <w:rFonts w:cstheme="minorHAnsi"/>
        </w:rPr>
        <w:t xml:space="preserve">5.  Additional information on the payment status for each measure can be found in the </w:t>
      </w:r>
      <w:r w:rsidR="00776AAC" w:rsidRPr="001F406B">
        <w:rPr>
          <w:rFonts w:cstheme="minorHAnsi"/>
          <w:i/>
          <w:iCs/>
        </w:rPr>
        <w:t xml:space="preserve">CBHC </w:t>
      </w:r>
      <w:r w:rsidR="00B25A6C" w:rsidRPr="001F406B">
        <w:rPr>
          <w:rFonts w:cstheme="minorHAnsi"/>
          <w:i/>
          <w:iCs/>
        </w:rPr>
        <w:t xml:space="preserve">Incentive Program </w:t>
      </w:r>
      <w:r w:rsidR="00776AAC" w:rsidRPr="001F406B">
        <w:rPr>
          <w:rFonts w:cstheme="minorHAnsi"/>
          <w:i/>
          <w:iCs/>
        </w:rPr>
        <w:t>PY</w:t>
      </w:r>
      <w:r w:rsidR="007255E4">
        <w:rPr>
          <w:rFonts w:cstheme="minorHAnsi"/>
          <w:i/>
          <w:iCs/>
        </w:rPr>
        <w:t>2</w:t>
      </w:r>
      <w:r w:rsidR="005A3CC6" w:rsidRPr="00F26981">
        <w:t>–</w:t>
      </w:r>
      <w:r w:rsidR="00776AAC" w:rsidRPr="001F406B">
        <w:rPr>
          <w:rFonts w:cstheme="minorHAnsi"/>
          <w:i/>
          <w:iCs/>
        </w:rPr>
        <w:t>5 Implementation Plan</w:t>
      </w:r>
      <w:r w:rsidR="001A6A29">
        <w:rPr>
          <w:rFonts w:cstheme="minorHAnsi"/>
        </w:rPr>
        <w:t xml:space="preserve">.  </w:t>
      </w:r>
      <w:r w:rsidR="001A6A29" w:rsidRPr="00E15974">
        <w:rPr>
          <w:rFonts w:cstheme="minorHAnsi"/>
          <w:i/>
          <w:iCs/>
          <w:color w:val="000000" w:themeColor="text1"/>
        </w:rPr>
        <w:t xml:space="preserve">Table 2. CCQI Measure </w:t>
      </w:r>
      <w:r w:rsidR="00BE571F">
        <w:rPr>
          <w:rFonts w:cstheme="minorHAnsi"/>
          <w:i/>
          <w:iCs/>
          <w:color w:val="000000" w:themeColor="text1"/>
        </w:rPr>
        <w:t xml:space="preserve">Payment </w:t>
      </w:r>
      <w:r w:rsidR="001A6A29" w:rsidRPr="00E15974">
        <w:rPr>
          <w:rFonts w:cstheme="minorHAnsi"/>
          <w:i/>
          <w:iCs/>
          <w:color w:val="000000" w:themeColor="text1"/>
        </w:rPr>
        <w:t>Status in PY</w:t>
      </w:r>
      <w:r w:rsidR="001A6A29">
        <w:rPr>
          <w:rFonts w:cstheme="minorHAnsi"/>
          <w:i/>
          <w:iCs/>
          <w:color w:val="000000" w:themeColor="text1"/>
        </w:rPr>
        <w:t>1</w:t>
      </w:r>
      <w:r w:rsidR="005A3CC6" w:rsidRPr="00F26981">
        <w:t>–</w:t>
      </w:r>
      <w:r w:rsidR="001A6A29" w:rsidRPr="00E15974">
        <w:rPr>
          <w:rFonts w:cstheme="minorHAnsi"/>
          <w:i/>
          <w:iCs/>
          <w:color w:val="000000" w:themeColor="text1"/>
        </w:rPr>
        <w:t>5</w:t>
      </w:r>
      <w:r w:rsidR="001A6A29" w:rsidRPr="00E15974">
        <w:rPr>
          <w:rFonts w:cstheme="minorHAnsi"/>
          <w:color w:val="000000" w:themeColor="text1"/>
        </w:rPr>
        <w:t xml:space="preserve"> outlines the payment status for each CCQI measure</w:t>
      </w:r>
      <w:r w:rsidR="00EC7413">
        <w:rPr>
          <w:rFonts w:cstheme="minorHAnsi"/>
          <w:color w:val="000000" w:themeColor="text1"/>
        </w:rPr>
        <w:t xml:space="preserve"> between 2024 to 2028</w:t>
      </w:r>
      <w:r w:rsidR="001A6A29" w:rsidRPr="00E15974">
        <w:rPr>
          <w:rFonts w:cstheme="minorHAnsi"/>
          <w:color w:val="000000" w:themeColor="text1"/>
        </w:rPr>
        <w:t xml:space="preserve">.  </w:t>
      </w:r>
    </w:p>
    <w:p w14:paraId="02A1CB38" w14:textId="77777777" w:rsidR="00EE2E09" w:rsidRPr="001F406B" w:rsidRDefault="00EE2E09" w:rsidP="00CE3ED6">
      <w:pPr>
        <w:spacing w:before="200" w:after="200" w:line="276" w:lineRule="auto"/>
        <w:rPr>
          <w:b/>
          <w:bCs/>
          <w:color w:val="000000" w:themeColor="text1"/>
          <w:highlight w:val="yellow"/>
        </w:rPr>
      </w:pPr>
    </w:p>
    <w:p w14:paraId="2AF90F5C" w14:textId="48360254" w:rsidR="00052ABE" w:rsidRPr="002F6C21" w:rsidRDefault="00052ABE" w:rsidP="00CE3ED6">
      <w:pPr>
        <w:pStyle w:val="Heading3"/>
        <w:spacing w:before="200" w:after="200" w:line="276" w:lineRule="auto"/>
      </w:pPr>
      <w:bookmarkStart w:id="26" w:name="_Toc197680225"/>
      <w:bookmarkStart w:id="27" w:name="_Toc212807341"/>
      <w:r w:rsidRPr="00087EED">
        <w:lastRenderedPageBreak/>
        <w:t xml:space="preserve">Table </w:t>
      </w:r>
      <w:r>
        <w:t>2</w:t>
      </w:r>
      <w:r w:rsidRPr="00087EED">
        <w:t>. C</w:t>
      </w:r>
      <w:r>
        <w:t>CQI</w:t>
      </w:r>
      <w:r w:rsidRPr="00087EED">
        <w:t xml:space="preserve"> Mea</w:t>
      </w:r>
      <w:r w:rsidR="00F00795">
        <w:t xml:space="preserve">sure </w:t>
      </w:r>
      <w:r w:rsidR="00BE571F">
        <w:t xml:space="preserve">Payment </w:t>
      </w:r>
      <w:r>
        <w:t>Status in PY</w:t>
      </w:r>
      <w:r w:rsidR="001101DA">
        <w:t>1</w:t>
      </w:r>
      <w:r w:rsidR="00F26981">
        <w:t xml:space="preserve"> </w:t>
      </w:r>
      <w:r w:rsidR="00F26981" w:rsidRPr="00F26981">
        <w:t xml:space="preserve">– </w:t>
      </w:r>
      <w:r>
        <w:t>5</w:t>
      </w:r>
      <w:bookmarkEnd w:id="26"/>
      <w:bookmarkEnd w:id="27"/>
    </w:p>
    <w:tbl>
      <w:tblPr>
        <w:tblStyle w:val="TableGrid"/>
        <w:tblW w:w="9992" w:type="dxa"/>
        <w:jc w:val="center"/>
        <w:tblLook w:val="04A0" w:firstRow="1" w:lastRow="0" w:firstColumn="1" w:lastColumn="0" w:noHBand="0" w:noVBand="1"/>
      </w:tblPr>
      <w:tblGrid>
        <w:gridCol w:w="3525"/>
        <w:gridCol w:w="1420"/>
        <w:gridCol w:w="1260"/>
        <w:gridCol w:w="1260"/>
        <w:gridCol w:w="1260"/>
        <w:gridCol w:w="1267"/>
      </w:tblGrid>
      <w:tr w:rsidR="001101DA" w:rsidRPr="007C2FF9" w14:paraId="65984745" w14:textId="77777777" w:rsidTr="00CE3ED6">
        <w:trPr>
          <w:trHeight w:val="494"/>
          <w:jc w:val="center"/>
        </w:trPr>
        <w:tc>
          <w:tcPr>
            <w:tcW w:w="3525" w:type="dxa"/>
            <w:shd w:val="clear" w:color="auto" w:fill="002060"/>
            <w:vAlign w:val="center"/>
          </w:tcPr>
          <w:p w14:paraId="4D056B4A" w14:textId="77777777" w:rsidR="001101DA" w:rsidRPr="004A501F" w:rsidRDefault="001101DA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 Name</w:t>
            </w:r>
          </w:p>
        </w:tc>
        <w:tc>
          <w:tcPr>
            <w:tcW w:w="1420" w:type="dxa"/>
            <w:shd w:val="clear" w:color="auto" w:fill="002060"/>
            <w:vAlign w:val="center"/>
          </w:tcPr>
          <w:p w14:paraId="14852839" w14:textId="214BD376" w:rsidR="001101DA" w:rsidRPr="004A501F" w:rsidRDefault="001101DA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PY1 (2024)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63F1CA8D" w14:textId="74FC230A" w:rsidR="001101DA" w:rsidRPr="004A501F" w:rsidRDefault="001101DA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PY2 (2025)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4DF466CD" w14:textId="07D93A49" w:rsidR="001101DA" w:rsidRPr="004A501F" w:rsidRDefault="001101DA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PY3 (2026)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3418AFAC" w14:textId="339DBB8B" w:rsidR="001101DA" w:rsidRPr="004A501F" w:rsidRDefault="001101DA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PY4 (2027)</w:t>
            </w:r>
          </w:p>
        </w:tc>
        <w:tc>
          <w:tcPr>
            <w:tcW w:w="1267" w:type="dxa"/>
            <w:shd w:val="clear" w:color="auto" w:fill="002060"/>
            <w:vAlign w:val="center"/>
          </w:tcPr>
          <w:p w14:paraId="32183439" w14:textId="2893AF68" w:rsidR="001101DA" w:rsidRPr="004A501F" w:rsidRDefault="001101DA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PY5 (2028)</w:t>
            </w:r>
          </w:p>
        </w:tc>
      </w:tr>
      <w:tr w:rsidR="001101DA" w:rsidRPr="007C2FF9" w14:paraId="6704DB08" w14:textId="77777777" w:rsidTr="007C2FF9">
        <w:trPr>
          <w:trHeight w:val="800"/>
          <w:jc w:val="center"/>
        </w:trPr>
        <w:tc>
          <w:tcPr>
            <w:tcW w:w="3525" w:type="dxa"/>
          </w:tcPr>
          <w:p w14:paraId="1DF316BB" w14:textId="77777777" w:rsidR="001101DA" w:rsidRPr="007C2FF9" w:rsidRDefault="001101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CCQI-1: Access Standards</w:t>
            </w:r>
          </w:p>
        </w:tc>
        <w:tc>
          <w:tcPr>
            <w:tcW w:w="1420" w:type="dxa"/>
          </w:tcPr>
          <w:p w14:paraId="27756870" w14:textId="7942D739" w:rsidR="001101DA" w:rsidRPr="007C2FF9" w:rsidRDefault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60" w:type="dxa"/>
          </w:tcPr>
          <w:p w14:paraId="11BBD6A8" w14:textId="0BC53455" w:rsidR="001101DA" w:rsidRPr="007C2FF9" w:rsidRDefault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0" w:type="dxa"/>
          </w:tcPr>
          <w:p w14:paraId="6E26B2E3" w14:textId="77777777" w:rsidR="001101DA" w:rsidRPr="007C2FF9" w:rsidRDefault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0" w:type="dxa"/>
          </w:tcPr>
          <w:p w14:paraId="5DA98FB8" w14:textId="77777777" w:rsidR="001101DA" w:rsidRPr="007C2FF9" w:rsidRDefault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7" w:type="dxa"/>
          </w:tcPr>
          <w:p w14:paraId="4CFB7D5B" w14:textId="77777777" w:rsidR="001101DA" w:rsidRPr="007C2FF9" w:rsidRDefault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</w:tr>
      <w:tr w:rsidR="001101DA" w:rsidRPr="007C2FF9" w14:paraId="37D58550" w14:textId="77777777" w:rsidTr="007C2FF9">
        <w:trPr>
          <w:trHeight w:val="809"/>
          <w:jc w:val="center"/>
        </w:trPr>
        <w:tc>
          <w:tcPr>
            <w:tcW w:w="3525" w:type="dxa"/>
          </w:tcPr>
          <w:p w14:paraId="4053ACFB" w14:textId="77777777" w:rsidR="001101DA" w:rsidRPr="007C2FF9" w:rsidRDefault="001101DA" w:rsidP="001101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CCQI-2: Follow-up After Acute Behavioral Health Episode of Care</w:t>
            </w:r>
          </w:p>
        </w:tc>
        <w:tc>
          <w:tcPr>
            <w:tcW w:w="1420" w:type="dxa"/>
          </w:tcPr>
          <w:p w14:paraId="3D5040E2" w14:textId="70A444BA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0" w:type="dxa"/>
          </w:tcPr>
          <w:p w14:paraId="651FE250" w14:textId="0443EFB9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0" w:type="dxa"/>
          </w:tcPr>
          <w:p w14:paraId="1339FBB2" w14:textId="77777777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0" w:type="dxa"/>
          </w:tcPr>
          <w:p w14:paraId="32798CF8" w14:textId="77777777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7" w:type="dxa"/>
          </w:tcPr>
          <w:p w14:paraId="7C21CD7F" w14:textId="77777777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</w:tr>
      <w:tr w:rsidR="001101DA" w:rsidRPr="007C2FF9" w14:paraId="1A422201" w14:textId="77777777" w:rsidTr="007C2FF9">
        <w:trPr>
          <w:trHeight w:val="800"/>
          <w:jc w:val="center"/>
        </w:trPr>
        <w:tc>
          <w:tcPr>
            <w:tcW w:w="3525" w:type="dxa"/>
          </w:tcPr>
          <w:p w14:paraId="1568116D" w14:textId="77777777" w:rsidR="001101DA" w:rsidRPr="007C2FF9" w:rsidRDefault="001101DA" w:rsidP="001101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CCQI-3: Readmission to Acute Behavioral Health Care</w:t>
            </w:r>
          </w:p>
        </w:tc>
        <w:tc>
          <w:tcPr>
            <w:tcW w:w="1420" w:type="dxa"/>
          </w:tcPr>
          <w:p w14:paraId="17E52B7A" w14:textId="68ED75A6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0" w:type="dxa"/>
          </w:tcPr>
          <w:p w14:paraId="54714163" w14:textId="20813544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0" w:type="dxa"/>
          </w:tcPr>
          <w:p w14:paraId="17E6550C" w14:textId="77777777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0" w:type="dxa"/>
          </w:tcPr>
          <w:p w14:paraId="7A597E47" w14:textId="77777777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  <w:tc>
          <w:tcPr>
            <w:tcW w:w="1267" w:type="dxa"/>
          </w:tcPr>
          <w:p w14:paraId="564E7097" w14:textId="77777777" w:rsidR="001101DA" w:rsidRPr="007C2FF9" w:rsidRDefault="001101DA" w:rsidP="00110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FF9">
              <w:rPr>
                <w:rFonts w:cstheme="minorHAnsi"/>
                <w:sz w:val="20"/>
                <w:szCs w:val="20"/>
              </w:rPr>
              <w:t>P4P</w:t>
            </w:r>
          </w:p>
        </w:tc>
      </w:tr>
    </w:tbl>
    <w:p w14:paraId="6B56CDE6" w14:textId="36064BF1" w:rsidR="007F7A5B" w:rsidRDefault="00CD4225" w:rsidP="0068184F">
      <w:r w:rsidRPr="007C2FF9">
        <w:rPr>
          <w:sz w:val="20"/>
          <w:szCs w:val="20"/>
        </w:rPr>
        <w:t xml:space="preserve">Please refer to section </w:t>
      </w:r>
      <w:r w:rsidRPr="007C2FF9">
        <w:rPr>
          <w:i/>
          <w:iCs/>
          <w:sz w:val="20"/>
          <w:szCs w:val="20"/>
        </w:rPr>
        <w:t>3.3.1 Payment Methodology</w:t>
      </w:r>
      <w:r w:rsidRPr="007C2FF9">
        <w:rPr>
          <w:sz w:val="20"/>
          <w:szCs w:val="20"/>
        </w:rPr>
        <w:t xml:space="preserve"> </w:t>
      </w:r>
      <w:r w:rsidR="00A64DBF" w:rsidRPr="007C2FF9">
        <w:rPr>
          <w:sz w:val="20"/>
          <w:szCs w:val="20"/>
        </w:rPr>
        <w:t>on</w:t>
      </w:r>
      <w:r w:rsidR="003637DD" w:rsidRPr="007C2FF9">
        <w:rPr>
          <w:sz w:val="20"/>
          <w:szCs w:val="20"/>
        </w:rPr>
        <w:t xml:space="preserve"> how</w:t>
      </w:r>
      <w:r w:rsidR="00A64DBF" w:rsidRPr="007C2FF9">
        <w:rPr>
          <w:sz w:val="20"/>
          <w:szCs w:val="20"/>
        </w:rPr>
        <w:t xml:space="preserve"> </w:t>
      </w:r>
      <w:r w:rsidR="003637DD" w:rsidRPr="007C2FF9">
        <w:rPr>
          <w:sz w:val="20"/>
          <w:szCs w:val="20"/>
        </w:rPr>
        <w:t>each</w:t>
      </w:r>
      <w:r w:rsidR="00A64DBF" w:rsidRPr="007C2FF9">
        <w:rPr>
          <w:sz w:val="20"/>
          <w:szCs w:val="20"/>
        </w:rPr>
        <w:t xml:space="preserve"> CBHCs individual </w:t>
      </w:r>
      <w:r w:rsidR="003B7FC0" w:rsidRPr="007C2FF9">
        <w:rPr>
          <w:sz w:val="20"/>
          <w:szCs w:val="20"/>
        </w:rPr>
        <w:t xml:space="preserve">maximum eligible incentive amount </w:t>
      </w:r>
      <w:r w:rsidR="003637DD" w:rsidRPr="007C2FF9">
        <w:rPr>
          <w:sz w:val="20"/>
          <w:szCs w:val="20"/>
        </w:rPr>
        <w:t xml:space="preserve">is calculated </w:t>
      </w:r>
      <w:r w:rsidR="00A64DBF" w:rsidRPr="007C2FF9">
        <w:rPr>
          <w:sz w:val="20"/>
          <w:szCs w:val="20"/>
        </w:rPr>
        <w:t xml:space="preserve">and section </w:t>
      </w:r>
      <w:r w:rsidR="00A64DBF" w:rsidRPr="007C2FF9">
        <w:rPr>
          <w:i/>
          <w:iCs/>
          <w:sz w:val="20"/>
          <w:szCs w:val="20"/>
        </w:rPr>
        <w:t>3.3.2 Payment Schedule</w:t>
      </w:r>
      <w:r w:rsidR="00A64DBF" w:rsidRPr="007C2FF9">
        <w:rPr>
          <w:sz w:val="20"/>
          <w:szCs w:val="20"/>
        </w:rPr>
        <w:t xml:space="preserve"> on </w:t>
      </w:r>
      <w:r w:rsidR="003637DD" w:rsidRPr="007C2FF9">
        <w:rPr>
          <w:sz w:val="20"/>
          <w:szCs w:val="20"/>
        </w:rPr>
        <w:t>“</w:t>
      </w:r>
      <w:r w:rsidR="00AA708B" w:rsidRPr="007C2FF9">
        <w:rPr>
          <w:sz w:val="20"/>
          <w:szCs w:val="20"/>
        </w:rPr>
        <w:t>Earned Incentive Payments</w:t>
      </w:r>
      <w:r w:rsidR="003637DD" w:rsidRPr="007C2FF9">
        <w:rPr>
          <w:sz w:val="20"/>
          <w:szCs w:val="20"/>
        </w:rPr>
        <w:t>”</w:t>
      </w:r>
      <w:r w:rsidR="00AA708B" w:rsidRPr="007C2FF9">
        <w:rPr>
          <w:sz w:val="20"/>
          <w:szCs w:val="20"/>
        </w:rPr>
        <w:t xml:space="preserve"> </w:t>
      </w:r>
      <w:r w:rsidR="00EC0C34" w:rsidRPr="007C2FF9">
        <w:rPr>
          <w:sz w:val="20"/>
          <w:szCs w:val="20"/>
        </w:rPr>
        <w:t xml:space="preserve">in the </w:t>
      </w:r>
      <w:r w:rsidR="00EC0C34" w:rsidRPr="007C2FF9">
        <w:rPr>
          <w:i/>
          <w:iCs/>
          <w:sz w:val="20"/>
          <w:szCs w:val="20"/>
        </w:rPr>
        <w:t>CBHC PY</w:t>
      </w:r>
      <w:r w:rsidR="00004727">
        <w:rPr>
          <w:i/>
          <w:iCs/>
          <w:sz w:val="20"/>
          <w:szCs w:val="20"/>
        </w:rPr>
        <w:t>2</w:t>
      </w:r>
      <w:r w:rsidR="005A3CC6" w:rsidRPr="005A3CC6">
        <w:rPr>
          <w:i/>
          <w:iCs/>
          <w:sz w:val="20"/>
          <w:szCs w:val="20"/>
        </w:rPr>
        <w:t>–</w:t>
      </w:r>
      <w:r w:rsidR="00EC0C34" w:rsidRPr="007C2FF9">
        <w:rPr>
          <w:i/>
          <w:iCs/>
          <w:sz w:val="20"/>
          <w:szCs w:val="20"/>
        </w:rPr>
        <w:t>5</w:t>
      </w:r>
      <w:r w:rsidR="004B2B71" w:rsidRPr="007C2FF9">
        <w:rPr>
          <w:i/>
          <w:iCs/>
          <w:sz w:val="20"/>
          <w:szCs w:val="20"/>
        </w:rPr>
        <w:t xml:space="preserve"> Implementation Plan</w:t>
      </w:r>
      <w:r w:rsidR="004B2B71" w:rsidRPr="007C2FF9">
        <w:rPr>
          <w:sz w:val="20"/>
          <w:szCs w:val="20"/>
        </w:rPr>
        <w:t>.</w:t>
      </w:r>
      <w:r w:rsidR="003637DD">
        <w:t xml:space="preserve">  </w:t>
      </w:r>
    </w:p>
    <w:p w14:paraId="7D0AD1AF" w14:textId="77777777" w:rsidR="002F2B8B" w:rsidRDefault="002F2B8B" w:rsidP="0068184F"/>
    <w:p w14:paraId="0B7B29B5" w14:textId="39F15A15" w:rsidR="00B5016C" w:rsidRPr="00F259E0" w:rsidRDefault="00B5016C" w:rsidP="00CE3ED6">
      <w:pPr>
        <w:pStyle w:val="Heading2"/>
        <w:spacing w:before="200" w:after="200" w:line="276" w:lineRule="auto"/>
        <w:rPr>
          <w:rStyle w:val="Heading3Char"/>
          <w:b/>
          <w:bCs w:val="0"/>
          <w:sz w:val="22"/>
          <w:szCs w:val="20"/>
        </w:rPr>
      </w:pPr>
      <w:bookmarkStart w:id="28" w:name="_Toc212807342"/>
      <w:r w:rsidRPr="001F406B">
        <w:rPr>
          <w:rStyle w:val="Heading3Char"/>
          <w:b/>
          <w:sz w:val="22"/>
          <w:szCs w:val="20"/>
        </w:rPr>
        <w:t xml:space="preserve">A.3 </w:t>
      </w:r>
      <w:r w:rsidR="00C91446">
        <w:rPr>
          <w:rStyle w:val="Heading3Char"/>
          <w:b/>
          <w:sz w:val="22"/>
          <w:szCs w:val="20"/>
        </w:rPr>
        <w:t xml:space="preserve">CCQI </w:t>
      </w:r>
      <w:r w:rsidR="00044328" w:rsidRPr="001F406B">
        <w:rPr>
          <w:rStyle w:val="Heading3Char"/>
          <w:b/>
          <w:sz w:val="22"/>
          <w:szCs w:val="20"/>
        </w:rPr>
        <w:t>Eligib</w:t>
      </w:r>
      <w:r w:rsidR="00C67971" w:rsidRPr="001F406B">
        <w:rPr>
          <w:rStyle w:val="Heading3Char"/>
          <w:b/>
          <w:sz w:val="22"/>
          <w:szCs w:val="20"/>
        </w:rPr>
        <w:t>ility</w:t>
      </w:r>
      <w:r w:rsidR="00044328" w:rsidRPr="001F406B">
        <w:rPr>
          <w:rStyle w:val="Heading3Char"/>
          <w:b/>
          <w:sz w:val="22"/>
          <w:szCs w:val="20"/>
        </w:rPr>
        <w:t xml:space="preserve"> Requirements</w:t>
      </w:r>
      <w:r w:rsidR="00C91446">
        <w:rPr>
          <w:rStyle w:val="Heading3Char"/>
          <w:b/>
          <w:sz w:val="22"/>
          <w:szCs w:val="20"/>
        </w:rPr>
        <w:t xml:space="preserve"> for Performance Scoring</w:t>
      </w:r>
      <w:bookmarkEnd w:id="28"/>
    </w:p>
    <w:p w14:paraId="5C7ED7EE" w14:textId="04850E2E" w:rsidR="008423FF" w:rsidRDefault="00580C7A" w:rsidP="00CE3ED6">
      <w:pPr>
        <w:spacing w:before="200" w:after="200" w:line="276" w:lineRule="auto"/>
      </w:pPr>
      <w:r>
        <w:t xml:space="preserve">As a </w:t>
      </w:r>
      <w:r w:rsidR="00FC1843">
        <w:t xml:space="preserve">qualifying </w:t>
      </w:r>
      <w:r>
        <w:t xml:space="preserve">participant </w:t>
      </w:r>
      <w:r w:rsidR="00FC1843">
        <w:t>of</w:t>
      </w:r>
      <w:r>
        <w:t xml:space="preserve"> the </w:t>
      </w:r>
      <w:r w:rsidR="00113AD4">
        <w:t xml:space="preserve">CQI component of the </w:t>
      </w:r>
      <w:r>
        <w:t>CBHC Incentive Program, e</w:t>
      </w:r>
      <w:r w:rsidR="002662ED">
        <w:t xml:space="preserve">ach CBHC at the TIN-Billing entity level </w:t>
      </w:r>
      <w:r w:rsidR="00FC1843">
        <w:t xml:space="preserve">must meet </w:t>
      </w:r>
      <w:r w:rsidR="002662ED">
        <w:t xml:space="preserve">CCQI performance requirements to earn </w:t>
      </w:r>
      <w:r w:rsidR="0064551C">
        <w:t>an</w:t>
      </w:r>
      <w:r w:rsidR="002662ED">
        <w:t xml:space="preserve"> eligible incentive for each </w:t>
      </w:r>
      <w:r w:rsidR="007255E4">
        <w:t>P</w:t>
      </w:r>
      <w:r w:rsidR="002662ED">
        <w:t>ay-for-</w:t>
      </w:r>
      <w:r w:rsidR="007255E4">
        <w:t>P</w:t>
      </w:r>
      <w:r w:rsidR="002662ED">
        <w:t>erformance measure. Please refer</w:t>
      </w:r>
      <w:r w:rsidR="002662ED" w:rsidRPr="007F7A5B">
        <w:t xml:space="preserve"> to the</w:t>
      </w:r>
      <w:r w:rsidR="002662ED" w:rsidRPr="007F7A5B">
        <w:rPr>
          <w:i/>
          <w:iCs/>
        </w:rPr>
        <w:t xml:space="preserve"> CBHC Incentive Program PY</w:t>
      </w:r>
      <w:r w:rsidR="00004727">
        <w:rPr>
          <w:i/>
          <w:iCs/>
        </w:rPr>
        <w:t>2</w:t>
      </w:r>
      <w:r w:rsidR="005A3CC6" w:rsidRPr="005A3CC6">
        <w:rPr>
          <w:i/>
          <w:iCs/>
        </w:rPr>
        <w:t>–</w:t>
      </w:r>
      <w:r w:rsidR="002662ED" w:rsidRPr="007F7A5B">
        <w:rPr>
          <w:i/>
          <w:iCs/>
        </w:rPr>
        <w:t>5 Implementation Plan</w:t>
      </w:r>
      <w:r w:rsidR="002662ED" w:rsidRPr="007F7A5B">
        <w:t xml:space="preserve"> </w:t>
      </w:r>
      <w:r w:rsidR="002117C0">
        <w:t xml:space="preserve">and the </w:t>
      </w:r>
      <w:r w:rsidR="002117C0" w:rsidRPr="00C94EEE">
        <w:rPr>
          <w:i/>
        </w:rPr>
        <w:t xml:space="preserve">CBHC Clinical Quality Incentive (CCQI) </w:t>
      </w:r>
      <w:r w:rsidR="002117C0" w:rsidRPr="00C94EEE">
        <w:rPr>
          <w:i/>
          <w:iCs/>
        </w:rPr>
        <w:t>Technical Specifications</w:t>
      </w:r>
      <w:r w:rsidR="002117C0" w:rsidRPr="007F7A5B">
        <w:t xml:space="preserve"> </w:t>
      </w:r>
      <w:r w:rsidR="002662ED" w:rsidRPr="007F7A5B">
        <w:t>on meeting performance requirements f</w:t>
      </w:r>
      <w:r w:rsidR="002662ED">
        <w:t>or the CCQI measures.</w:t>
      </w:r>
    </w:p>
    <w:p w14:paraId="4FF1307D" w14:textId="382E76A3" w:rsidR="008423FF" w:rsidRPr="00CE3ED6" w:rsidRDefault="00F038E3" w:rsidP="00CE3ED6">
      <w:pPr>
        <w:spacing w:before="200" w:after="200" w:line="276" w:lineRule="auto"/>
      </w:pPr>
      <w:r>
        <w:t xml:space="preserve">To be eligible for scoring on </w:t>
      </w:r>
      <w:r w:rsidR="00470FC9">
        <w:t xml:space="preserve">each performance measure, a </w:t>
      </w:r>
      <w:r w:rsidR="000563C0">
        <w:t xml:space="preserve">CBHC </w:t>
      </w:r>
      <w:r w:rsidR="00470FC9">
        <w:t xml:space="preserve">must </w:t>
      </w:r>
      <w:r w:rsidR="000563C0">
        <w:t>meet the minimum denominator</w:t>
      </w:r>
      <w:r>
        <w:t xml:space="preserve"> requirement</w:t>
      </w:r>
      <w:r w:rsidR="000563C0">
        <w:t xml:space="preserve"> of 30 cases</w:t>
      </w:r>
      <w:r w:rsidR="00E57AD5">
        <w:t xml:space="preserve"> in</w:t>
      </w:r>
      <w:r w:rsidR="000563C0">
        <w:t xml:space="preserve"> the measure population</w:t>
      </w:r>
      <w:r w:rsidR="00915D30">
        <w:t xml:space="preserve">.  </w:t>
      </w:r>
      <w:r w:rsidR="002662ED">
        <w:t xml:space="preserve">If a CBHC </w:t>
      </w:r>
      <w:r w:rsidR="00E57AD5">
        <w:t>is unable to</w:t>
      </w:r>
      <w:r w:rsidR="002662ED">
        <w:t xml:space="preserve"> meet the minimum</w:t>
      </w:r>
      <w:r w:rsidR="00B1739C">
        <w:t xml:space="preserve"> </w:t>
      </w:r>
      <w:r w:rsidR="002662ED">
        <w:t>den</w:t>
      </w:r>
      <w:r w:rsidR="00B1739C">
        <w:t xml:space="preserve">ominator for a measure, </w:t>
      </w:r>
      <w:r w:rsidR="00526762">
        <w:t xml:space="preserve">the CBHC will not be scored for that </w:t>
      </w:r>
      <w:proofErr w:type="gramStart"/>
      <w:r w:rsidR="00526762">
        <w:t>measure</w:t>
      </w:r>
      <w:proofErr w:type="gramEnd"/>
      <w:r w:rsidR="00526762">
        <w:t xml:space="preserve"> and </w:t>
      </w:r>
      <w:r w:rsidR="00B1739C">
        <w:t xml:space="preserve">the </w:t>
      </w:r>
      <w:r w:rsidR="00C83D0D">
        <w:t xml:space="preserve">measure </w:t>
      </w:r>
      <w:r w:rsidR="00B1739C" w:rsidRPr="00603929">
        <w:t>weight</w:t>
      </w:r>
      <w:r w:rsidR="00B1739C">
        <w:t xml:space="preserve"> will be redistributed to </w:t>
      </w:r>
      <w:r w:rsidR="00D82C78">
        <w:t xml:space="preserve">the remaining performance measures </w:t>
      </w:r>
      <w:r w:rsidR="00C83D0D">
        <w:t xml:space="preserve">that </w:t>
      </w:r>
      <w:r w:rsidR="00D82C78">
        <w:t>the CBHC is eligible for</w:t>
      </w:r>
      <w:r w:rsidR="00C83D0D" w:rsidRPr="00603929">
        <w:rPr>
          <w:bCs/>
        </w:rPr>
        <w:t xml:space="preserve"> </w:t>
      </w:r>
      <w:r w:rsidR="00C83D0D" w:rsidRPr="00603929">
        <w:rPr>
          <w:rFonts w:cstheme="minorHAnsi"/>
          <w:bCs/>
        </w:rPr>
        <w:t>(</w:t>
      </w:r>
      <w:r w:rsidR="00B35011" w:rsidRPr="00603929">
        <w:rPr>
          <w:rFonts w:cstheme="minorHAnsi"/>
          <w:bCs/>
        </w:rPr>
        <w:t xml:space="preserve">Please </w:t>
      </w:r>
      <w:r w:rsidR="00C83D0D" w:rsidRPr="00603929">
        <w:rPr>
          <w:rFonts w:cstheme="minorHAnsi"/>
          <w:bCs/>
        </w:rPr>
        <w:t xml:space="preserve">see </w:t>
      </w:r>
      <w:r w:rsidR="00603929" w:rsidRPr="00603929">
        <w:rPr>
          <w:rStyle w:val="Heading3Char"/>
          <w:rFonts w:asciiTheme="minorHAnsi" w:hAnsiTheme="minorHAnsi" w:cstheme="minorHAnsi"/>
          <w:b w:val="0"/>
          <w:i/>
          <w:iCs/>
          <w:color w:val="auto"/>
          <w:szCs w:val="20"/>
        </w:rPr>
        <w:t>Table 5: CCQI Measure Weights for each Performance Measure in PY1</w:t>
      </w:r>
      <w:r w:rsidR="005A3CC6" w:rsidRPr="00F26981">
        <w:t>–</w:t>
      </w:r>
      <w:r w:rsidR="00603929" w:rsidRPr="00603929">
        <w:rPr>
          <w:rStyle w:val="Heading3Char"/>
          <w:rFonts w:asciiTheme="minorHAnsi" w:hAnsiTheme="minorHAnsi" w:cstheme="minorHAnsi"/>
          <w:b w:val="0"/>
          <w:i/>
          <w:iCs/>
          <w:color w:val="auto"/>
          <w:szCs w:val="20"/>
        </w:rPr>
        <w:t>5</w:t>
      </w:r>
      <w:r w:rsidR="00B6367A">
        <w:t xml:space="preserve"> </w:t>
      </w:r>
      <w:r w:rsidR="00B35011">
        <w:t>for further information</w:t>
      </w:r>
      <w:r w:rsidR="00C83D0D">
        <w:t>)</w:t>
      </w:r>
      <w:r w:rsidR="00EA4920">
        <w:t xml:space="preserve">.  </w:t>
      </w:r>
    </w:p>
    <w:p w14:paraId="235AF864" w14:textId="1D639790" w:rsidR="008423FF" w:rsidRPr="002106E2" w:rsidRDefault="00C73FB5" w:rsidP="00CE3ED6">
      <w:pPr>
        <w:spacing w:before="200" w:after="200" w:line="276" w:lineRule="auto"/>
      </w:pPr>
      <w:r>
        <w:t>If a CBHC is exempt</w:t>
      </w:r>
      <w:r w:rsidR="001757D0">
        <w:t xml:space="preserve"> </w:t>
      </w:r>
      <w:r w:rsidR="00544D29">
        <w:t xml:space="preserve">from </w:t>
      </w:r>
      <w:r w:rsidR="00506020">
        <w:t>meeting</w:t>
      </w:r>
      <w:r w:rsidR="00544D29">
        <w:t xml:space="preserve"> performance </w:t>
      </w:r>
      <w:r w:rsidR="00506020">
        <w:t>requirements</w:t>
      </w:r>
      <w:r w:rsidR="000F05FD">
        <w:t xml:space="preserve"> for a given measure</w:t>
      </w:r>
      <w:r w:rsidR="00971110">
        <w:t xml:space="preserve"> due to extenuating circumstances</w:t>
      </w:r>
      <w:r w:rsidR="00544D29">
        <w:t xml:space="preserve">, then the </w:t>
      </w:r>
      <w:r w:rsidR="006816EE">
        <w:t xml:space="preserve">measure weight will be redistributed to the remaining </w:t>
      </w:r>
      <w:r w:rsidR="00953B9A">
        <w:t>performance measures</w:t>
      </w:r>
      <w:r w:rsidR="00835035">
        <w:t>, where the CBHC can still earn up to the maximum eligible incentive amount</w:t>
      </w:r>
      <w:r w:rsidR="00DC5EB0">
        <w:t xml:space="preserve"> </w:t>
      </w:r>
      <w:r w:rsidR="00AD7303">
        <w:t xml:space="preserve">based </w:t>
      </w:r>
      <w:r w:rsidR="00DC5EB0">
        <w:t>on performance</w:t>
      </w:r>
      <w:r w:rsidR="00835035">
        <w:t>.</w:t>
      </w:r>
      <w:r w:rsidR="00A208EB">
        <w:t xml:space="preserve">  </w:t>
      </w:r>
      <w:r w:rsidR="00953B9A">
        <w:t>If a CBHC</w:t>
      </w:r>
      <w:r w:rsidR="006A5507">
        <w:t xml:space="preserve"> is noncompliant or</w:t>
      </w:r>
      <w:r w:rsidR="00953B9A">
        <w:t xml:space="preserve"> has opted out</w:t>
      </w:r>
      <w:r w:rsidR="00360891">
        <w:t xml:space="preserve"> o</w:t>
      </w:r>
      <w:r w:rsidR="006A5507">
        <w:t>f</w:t>
      </w:r>
      <w:r w:rsidR="00953B9A">
        <w:t xml:space="preserve"> </w:t>
      </w:r>
      <w:r w:rsidR="001726BB">
        <w:t xml:space="preserve">meeting </w:t>
      </w:r>
      <w:r w:rsidR="00953B9A">
        <w:t xml:space="preserve">performance </w:t>
      </w:r>
      <w:r w:rsidR="001C4E4D">
        <w:t xml:space="preserve">requirements for a given </w:t>
      </w:r>
      <w:r w:rsidR="00953B9A">
        <w:t xml:space="preserve">measure, the weight </w:t>
      </w:r>
      <w:r w:rsidR="006635F2">
        <w:t>for that measure will not be redistributed to the remaining performance measures</w:t>
      </w:r>
      <w:r w:rsidR="001C4E4D">
        <w:t>, resulting in a lower Overall Quality Score</w:t>
      </w:r>
      <w:r w:rsidR="00046E82">
        <w:t xml:space="preserve"> </w:t>
      </w:r>
      <w:r w:rsidR="001C4E4D">
        <w:t xml:space="preserve">where </w:t>
      </w:r>
      <w:r w:rsidR="006635F2">
        <w:t xml:space="preserve">the CBHC </w:t>
      </w:r>
      <w:r w:rsidR="00046E82">
        <w:t>can</w:t>
      </w:r>
      <w:r w:rsidR="001F746C">
        <w:t xml:space="preserve"> no longer</w:t>
      </w:r>
      <w:r w:rsidR="006635F2">
        <w:t xml:space="preserve"> earn up to</w:t>
      </w:r>
      <w:r w:rsidR="00820B85">
        <w:t xml:space="preserve"> the</w:t>
      </w:r>
      <w:r w:rsidR="006635F2">
        <w:t xml:space="preserve"> </w:t>
      </w:r>
      <w:r w:rsidR="00835035">
        <w:t>maximum eligible incentive amount.</w:t>
      </w:r>
      <w:r w:rsidR="002106E2">
        <w:t xml:space="preserve">  Please refer</w:t>
      </w:r>
      <w:r w:rsidR="002106E2" w:rsidRPr="007F7A5B">
        <w:t xml:space="preserve"> to</w:t>
      </w:r>
      <w:r w:rsidR="00403041">
        <w:t xml:space="preserve"> section 3.2.1 in</w:t>
      </w:r>
      <w:r w:rsidR="002106E2" w:rsidRPr="007F7A5B">
        <w:t xml:space="preserve"> the</w:t>
      </w:r>
      <w:r w:rsidR="002106E2" w:rsidRPr="007F7A5B">
        <w:rPr>
          <w:i/>
          <w:iCs/>
        </w:rPr>
        <w:t xml:space="preserve"> CBHC Incentive Program PY</w:t>
      </w:r>
      <w:r w:rsidR="00A35AF8">
        <w:rPr>
          <w:i/>
          <w:iCs/>
        </w:rPr>
        <w:t>2</w:t>
      </w:r>
      <w:r w:rsidR="005A3CC6" w:rsidRPr="00F26981">
        <w:t>–</w:t>
      </w:r>
      <w:r w:rsidR="002106E2" w:rsidRPr="007F7A5B">
        <w:rPr>
          <w:i/>
          <w:iCs/>
        </w:rPr>
        <w:t>5 Implementation Plan</w:t>
      </w:r>
      <w:r w:rsidR="002106E2">
        <w:rPr>
          <w:i/>
          <w:iCs/>
        </w:rPr>
        <w:t xml:space="preserve"> </w:t>
      </w:r>
      <w:r w:rsidR="002106E2">
        <w:t xml:space="preserve">regarding </w:t>
      </w:r>
      <w:r w:rsidR="00AD7303">
        <w:t>p</w:t>
      </w:r>
      <w:r w:rsidR="00403041">
        <w:t xml:space="preserve">erformance </w:t>
      </w:r>
      <w:r w:rsidR="00AD7303">
        <w:t>r</w:t>
      </w:r>
      <w:r w:rsidR="00403041">
        <w:t xml:space="preserve">eporting </w:t>
      </w:r>
      <w:r w:rsidR="00AD7303">
        <w:t>r</w:t>
      </w:r>
      <w:r w:rsidR="00403041">
        <w:t>equirements</w:t>
      </w:r>
      <w:r w:rsidR="00F00B5A">
        <w:t>.</w:t>
      </w:r>
    </w:p>
    <w:p w14:paraId="1890F9EA" w14:textId="2AE1E5DF" w:rsidR="00EA4920" w:rsidRDefault="00EA4920" w:rsidP="00CE3ED6">
      <w:pPr>
        <w:spacing w:before="200" w:after="200" w:line="276" w:lineRule="auto"/>
      </w:pPr>
      <w:r>
        <w:t xml:space="preserve">The baseline year is the first performance year in which the CBHC meets the minimum eligible denominator requirement for scoring on each performance measure. </w:t>
      </w:r>
      <w:r w:rsidR="00F00B5A">
        <w:t>The baseline year is also the first performance year to determine improvement</w:t>
      </w:r>
      <w:r w:rsidR="00C30554">
        <w:t xml:space="preserve"> for subsequent performance years to earn a higher performance score.</w:t>
      </w:r>
    </w:p>
    <w:p w14:paraId="45B1D026" w14:textId="77777777" w:rsidR="008423FF" w:rsidRDefault="008423FF" w:rsidP="00CE3ED6">
      <w:pPr>
        <w:spacing w:before="200" w:after="200" w:line="276" w:lineRule="auto"/>
      </w:pPr>
    </w:p>
    <w:p w14:paraId="5A2C07B4" w14:textId="577ECE44" w:rsidR="00EA4920" w:rsidRDefault="00E84EFC" w:rsidP="00CE3ED6">
      <w:pPr>
        <w:spacing w:before="200" w:after="200" w:line="276" w:lineRule="auto"/>
      </w:pPr>
      <w:r>
        <w:lastRenderedPageBreak/>
        <w:t>Performance</w:t>
      </w:r>
      <w:r w:rsidR="0022441E">
        <w:t xml:space="preserve"> scoring will be based on calendar year performance for each measure during each performance year.</w:t>
      </w:r>
      <w:r w:rsidR="00633AD9">
        <w:t xml:space="preserve">  Incomplete or inaccurate data for </w:t>
      </w:r>
      <w:r w:rsidR="00CC5A8A">
        <w:t xml:space="preserve">a </w:t>
      </w:r>
      <w:r w:rsidR="00633AD9">
        <w:t>given measure may result in a lower performance score</w:t>
      </w:r>
      <w:r w:rsidR="000C3561">
        <w:t xml:space="preserve"> or</w:t>
      </w:r>
      <w:r w:rsidR="0049244A">
        <w:t xml:space="preserve"> </w:t>
      </w:r>
      <w:r w:rsidR="00B55F44">
        <w:t>an inability</w:t>
      </w:r>
      <w:r w:rsidR="000C3561">
        <w:t xml:space="preserve"> to earn </w:t>
      </w:r>
      <w:r w:rsidR="00216D74">
        <w:t xml:space="preserve">up to the maximum </w:t>
      </w:r>
      <w:r w:rsidR="00394836">
        <w:t>number</w:t>
      </w:r>
      <w:r w:rsidR="00216D74">
        <w:t xml:space="preserve"> of </w:t>
      </w:r>
      <w:r w:rsidR="0053072B">
        <w:t>points</w:t>
      </w:r>
      <w:r w:rsidR="00633AD9">
        <w:t xml:space="preserve"> </w:t>
      </w:r>
      <w:r w:rsidR="00C24F78">
        <w:t>for</w:t>
      </w:r>
      <w:r w:rsidR="00633AD9">
        <w:t xml:space="preserve"> that performance year.</w:t>
      </w:r>
    </w:p>
    <w:p w14:paraId="0A45FA14" w14:textId="3E64E004" w:rsidR="000563C0" w:rsidRPr="001F406B" w:rsidRDefault="000563C0" w:rsidP="00E310E9">
      <w:pPr>
        <w:pStyle w:val="Heading2"/>
        <w:spacing w:before="200" w:after="200" w:line="276" w:lineRule="auto"/>
        <w:rPr>
          <w:b w:val="0"/>
          <w:szCs w:val="20"/>
        </w:rPr>
      </w:pPr>
      <w:bookmarkStart w:id="29" w:name="_Toc212807343"/>
      <w:r w:rsidRPr="001F406B">
        <w:rPr>
          <w:rStyle w:val="Heading3Char"/>
          <w:b/>
          <w:bCs w:val="0"/>
          <w:sz w:val="22"/>
          <w:szCs w:val="20"/>
        </w:rPr>
        <w:t>A.4</w:t>
      </w:r>
      <w:r w:rsidR="00AD0E6B">
        <w:rPr>
          <w:rStyle w:val="Heading3Char"/>
          <w:b/>
          <w:bCs w:val="0"/>
          <w:sz w:val="22"/>
          <w:szCs w:val="20"/>
        </w:rPr>
        <w:t>.</w:t>
      </w:r>
      <w:r w:rsidRPr="001F406B">
        <w:rPr>
          <w:rStyle w:val="Heading3Char"/>
          <w:b/>
          <w:bCs w:val="0"/>
          <w:sz w:val="22"/>
          <w:szCs w:val="20"/>
        </w:rPr>
        <w:t xml:space="preserve"> Benchmarking</w:t>
      </w:r>
      <w:bookmarkEnd w:id="29"/>
      <w:r w:rsidRPr="001F406B">
        <w:rPr>
          <w:rStyle w:val="Heading3Char"/>
          <w:b/>
          <w:bCs w:val="0"/>
          <w:sz w:val="22"/>
          <w:szCs w:val="20"/>
        </w:rPr>
        <w:t xml:space="preserve"> </w:t>
      </w:r>
    </w:p>
    <w:p w14:paraId="76B16180" w14:textId="4BF4ACCD" w:rsidR="00EE2E09" w:rsidRDefault="00B5016C" w:rsidP="00E310E9">
      <w:pPr>
        <w:spacing w:before="200" w:after="200" w:line="276" w:lineRule="auto"/>
      </w:pPr>
      <w:proofErr w:type="gramStart"/>
      <w:r>
        <w:t>In order to</w:t>
      </w:r>
      <w:proofErr w:type="gramEnd"/>
      <w:r>
        <w:t xml:space="preserve"> meet P4P measure requirements, CBHCs must meet an established set of benchmarks each performance year to earn </w:t>
      </w:r>
      <w:r w:rsidR="0034569E">
        <w:t xml:space="preserve">an </w:t>
      </w:r>
      <w:r>
        <w:t xml:space="preserve">incentive payment.  Benchmarks are determined by assessing </w:t>
      </w:r>
      <w:r w:rsidR="00E776A1">
        <w:t xml:space="preserve">market </w:t>
      </w:r>
      <w:r w:rsidR="0006351D">
        <w:t>per</w:t>
      </w:r>
      <w:r w:rsidR="003C3E3D">
        <w:t xml:space="preserve">formance </w:t>
      </w:r>
      <w:r w:rsidR="00B179D3">
        <w:t>using</w:t>
      </w:r>
      <w:r w:rsidR="003C3E3D">
        <w:t xml:space="preserve"> </w:t>
      </w:r>
      <w:r>
        <w:t xml:space="preserve">baseline data </w:t>
      </w:r>
      <w:r w:rsidR="00E776A1">
        <w:t>from</w:t>
      </w:r>
      <w:r w:rsidR="003C3E3D">
        <w:t xml:space="preserve"> </w:t>
      </w:r>
      <w:r>
        <w:t>the first performance year</w:t>
      </w:r>
      <w:r w:rsidR="00251C11">
        <w:t xml:space="preserve"> of a given measu</w:t>
      </w:r>
      <w:r w:rsidR="00251C11" w:rsidRPr="00361F0F">
        <w:t>re</w:t>
      </w:r>
      <w:r w:rsidR="005F0BB3" w:rsidRPr="00361F0F">
        <w:t xml:space="preserve"> against a set of Attainment Targets</w:t>
      </w:r>
      <w:r w:rsidR="3555FA52" w:rsidRPr="00CE3ED6">
        <w:t xml:space="preserve">, which </w:t>
      </w:r>
      <w:r w:rsidR="52E134C9" w:rsidRPr="00CE3ED6">
        <w:t>includes the</w:t>
      </w:r>
      <w:r w:rsidR="3555FA52" w:rsidRPr="00CE3ED6">
        <w:t xml:space="preserve"> Attainment Threshold (AT) and the Goal Benchmark (GB)</w:t>
      </w:r>
      <w:r w:rsidRPr="00361F0F">
        <w:t xml:space="preserve">.  </w:t>
      </w:r>
      <w:r w:rsidR="005F0BB3" w:rsidRPr="00361F0F">
        <w:t xml:space="preserve">See section </w:t>
      </w:r>
      <w:r w:rsidR="005F0BB3" w:rsidRPr="00CE3ED6">
        <w:rPr>
          <w:i/>
          <w:iCs/>
        </w:rPr>
        <w:t>B. Scoring Methodology by Performance Measure</w:t>
      </w:r>
      <w:r w:rsidR="005F0BB3" w:rsidRPr="00361F0F">
        <w:t xml:space="preserve"> for additional information.</w:t>
      </w:r>
      <w:r w:rsidR="005F0BB3">
        <w:t xml:space="preserve">  </w:t>
      </w:r>
      <w:r>
        <w:t xml:space="preserve">The methodology to establish benchmarks </w:t>
      </w:r>
      <w:r w:rsidR="00080CAE">
        <w:t xml:space="preserve">using baseline data from the first performance year </w:t>
      </w:r>
      <w:r>
        <w:t xml:space="preserve">are </w:t>
      </w:r>
      <w:r w:rsidR="007B0D0E">
        <w:t xml:space="preserve">outlined in </w:t>
      </w:r>
      <w:r w:rsidR="007B0D0E" w:rsidRPr="70271069">
        <w:rPr>
          <w:i/>
          <w:iCs/>
        </w:rPr>
        <w:t>Table 3.  CCQI Performance Benchmarking Methodology in PY1</w:t>
      </w:r>
      <w:r w:rsidR="005A3CC6">
        <w:t>–</w:t>
      </w:r>
      <w:r w:rsidR="007B0D0E" w:rsidRPr="70271069">
        <w:rPr>
          <w:i/>
          <w:iCs/>
        </w:rPr>
        <w:t>5</w:t>
      </w:r>
      <w:r w:rsidR="007B0D0E">
        <w:t>.</w:t>
      </w:r>
    </w:p>
    <w:p w14:paraId="1893748B" w14:textId="5AAF09B4" w:rsidR="000B33C7" w:rsidRDefault="000B33C7" w:rsidP="000B33C7">
      <w:pPr>
        <w:pStyle w:val="Heading3"/>
      </w:pPr>
      <w:bookmarkStart w:id="30" w:name="_Toc212807344"/>
      <w:r w:rsidRPr="000B33C7">
        <w:t>Table 3. CCQI Performance Benchmarking Methodology in PY1 – 5</w:t>
      </w:r>
      <w:bookmarkEnd w:id="30"/>
    </w:p>
    <w:tbl>
      <w:tblPr>
        <w:tblStyle w:val="TableGrid"/>
        <w:tblW w:w="10228" w:type="dxa"/>
        <w:jc w:val="center"/>
        <w:tblLook w:val="04A0" w:firstRow="1" w:lastRow="0" w:firstColumn="1" w:lastColumn="0" w:noHBand="0" w:noVBand="1"/>
      </w:tblPr>
      <w:tblGrid>
        <w:gridCol w:w="2093"/>
        <w:gridCol w:w="1620"/>
        <w:gridCol w:w="1710"/>
        <w:gridCol w:w="1620"/>
        <w:gridCol w:w="1622"/>
        <w:gridCol w:w="1563"/>
      </w:tblGrid>
      <w:tr w:rsidR="00B5016C" w:rsidRPr="00C96C91" w14:paraId="4B1FC8D4" w14:textId="77777777" w:rsidTr="00CE3ED6">
        <w:trPr>
          <w:trHeight w:val="566"/>
          <w:jc w:val="center"/>
        </w:trPr>
        <w:tc>
          <w:tcPr>
            <w:tcW w:w="2093" w:type="dxa"/>
            <w:shd w:val="clear" w:color="auto" w:fill="002060"/>
            <w:vAlign w:val="center"/>
          </w:tcPr>
          <w:p w14:paraId="686791A8" w14:textId="77777777" w:rsidR="00B5016C" w:rsidRPr="004A501F" w:rsidRDefault="00B5016C" w:rsidP="00CE3ED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 Name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684BD031" w14:textId="77777777" w:rsidR="00B5016C" w:rsidRPr="004A501F" w:rsidRDefault="00B5016C" w:rsidP="00EE2E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PY1 (2024)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3F7ED2CC" w14:textId="77777777" w:rsidR="00B5016C" w:rsidRPr="004A501F" w:rsidRDefault="00B5016C" w:rsidP="00EE2E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PY2 (2025)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7F69C4A1" w14:textId="77777777" w:rsidR="00B5016C" w:rsidRPr="004A501F" w:rsidRDefault="00B5016C" w:rsidP="00EE2E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PY3 (2026)</w:t>
            </w:r>
          </w:p>
        </w:tc>
        <w:tc>
          <w:tcPr>
            <w:tcW w:w="1622" w:type="dxa"/>
            <w:shd w:val="clear" w:color="auto" w:fill="002060"/>
            <w:vAlign w:val="center"/>
          </w:tcPr>
          <w:p w14:paraId="17A9639B" w14:textId="77777777" w:rsidR="00B5016C" w:rsidRPr="004A501F" w:rsidRDefault="00B5016C" w:rsidP="00EE2E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PY4 (2027)</w:t>
            </w:r>
          </w:p>
        </w:tc>
        <w:tc>
          <w:tcPr>
            <w:tcW w:w="1563" w:type="dxa"/>
            <w:shd w:val="clear" w:color="auto" w:fill="002060"/>
            <w:vAlign w:val="center"/>
          </w:tcPr>
          <w:p w14:paraId="585EE263" w14:textId="1B74C300" w:rsidR="00B5016C" w:rsidRPr="004A501F" w:rsidRDefault="00B5016C" w:rsidP="00EE2E0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PY5 (2028)</w:t>
            </w:r>
          </w:p>
        </w:tc>
      </w:tr>
      <w:tr w:rsidR="00B5016C" w:rsidRPr="00C96C91" w14:paraId="33B5CD39" w14:textId="77777777" w:rsidTr="3F6DBB60">
        <w:trPr>
          <w:trHeight w:val="2177"/>
          <w:jc w:val="center"/>
        </w:trPr>
        <w:tc>
          <w:tcPr>
            <w:tcW w:w="2093" w:type="dxa"/>
          </w:tcPr>
          <w:p w14:paraId="1D685731" w14:textId="77777777" w:rsidR="00B5016C" w:rsidRPr="00E15974" w:rsidRDefault="00B5016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CCQI-1: Access Standards</w:t>
            </w:r>
          </w:p>
        </w:tc>
        <w:tc>
          <w:tcPr>
            <w:tcW w:w="1620" w:type="dxa"/>
          </w:tcPr>
          <w:p w14:paraId="46E5B50A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1710" w:type="dxa"/>
          </w:tcPr>
          <w:p w14:paraId="755F09FC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AT: Within the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5A0F0214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0CCFAB16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GB: At the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</w:tc>
        <w:tc>
          <w:tcPr>
            <w:tcW w:w="1620" w:type="dxa"/>
          </w:tcPr>
          <w:p w14:paraId="15E31B19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AT: </w:t>
            </w:r>
            <w:r>
              <w:rPr>
                <w:rFonts w:cstheme="minorHAnsi"/>
                <w:sz w:val="20"/>
                <w:szCs w:val="20"/>
              </w:rPr>
              <w:t>At the</w:t>
            </w:r>
            <w:r w:rsidRPr="00E15974">
              <w:rPr>
                <w:rFonts w:cstheme="minorHAnsi"/>
                <w:sz w:val="20"/>
                <w:szCs w:val="20"/>
              </w:rPr>
              <w:t xml:space="preserve">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44935916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63CD7403" w14:textId="77777777" w:rsidR="00B5016C" w:rsidRPr="00E15974" w:rsidRDefault="727D2630" w:rsidP="70271069">
            <w:pPr>
              <w:rPr>
                <w:sz w:val="20"/>
                <w:szCs w:val="20"/>
              </w:rPr>
            </w:pPr>
            <w:r w:rsidRPr="3F6DBB60">
              <w:rPr>
                <w:sz w:val="20"/>
                <w:szCs w:val="20"/>
              </w:rPr>
              <w:t>GB: At the 50</w:t>
            </w:r>
            <w:r w:rsidRPr="3F6DBB60">
              <w:rPr>
                <w:sz w:val="20"/>
                <w:szCs w:val="20"/>
                <w:vertAlign w:val="superscript"/>
              </w:rPr>
              <w:t>th</w:t>
            </w:r>
            <w:r w:rsidRPr="3F6DBB60">
              <w:rPr>
                <w:sz w:val="20"/>
                <w:szCs w:val="20"/>
              </w:rPr>
              <w:t xml:space="preserve"> percentile of market performance</w:t>
            </w:r>
          </w:p>
        </w:tc>
        <w:tc>
          <w:tcPr>
            <w:tcW w:w="1622" w:type="dxa"/>
          </w:tcPr>
          <w:p w14:paraId="5BE87AD1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AT: </w:t>
            </w:r>
            <w:r>
              <w:rPr>
                <w:rFonts w:cstheme="minorHAnsi"/>
                <w:sz w:val="20"/>
                <w:szCs w:val="20"/>
              </w:rPr>
              <w:t>At the</w:t>
            </w:r>
            <w:r w:rsidRPr="00E15974">
              <w:rPr>
                <w:rFonts w:cstheme="minorHAnsi"/>
                <w:sz w:val="20"/>
                <w:szCs w:val="20"/>
              </w:rPr>
              <w:t xml:space="preserve">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00BC9B11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5E95874F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GB: At the </w:t>
            </w:r>
            <w:r>
              <w:rPr>
                <w:rFonts w:cstheme="minorHAnsi"/>
                <w:sz w:val="20"/>
                <w:szCs w:val="20"/>
              </w:rPr>
              <w:t>90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</w:tc>
        <w:tc>
          <w:tcPr>
            <w:tcW w:w="1563" w:type="dxa"/>
          </w:tcPr>
          <w:p w14:paraId="2974BB04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AT: </w:t>
            </w:r>
            <w:r>
              <w:rPr>
                <w:rFonts w:cstheme="minorHAnsi"/>
                <w:sz w:val="20"/>
                <w:szCs w:val="20"/>
              </w:rPr>
              <w:t>At the</w:t>
            </w:r>
            <w:r w:rsidRPr="00E15974">
              <w:rPr>
                <w:rFonts w:cstheme="minorHAnsi"/>
                <w:sz w:val="20"/>
                <w:szCs w:val="20"/>
              </w:rPr>
              <w:t xml:space="preserve">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7E375B2C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2CB19535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GB: At the </w:t>
            </w:r>
            <w:r>
              <w:rPr>
                <w:rFonts w:cstheme="minorHAnsi"/>
                <w:sz w:val="20"/>
                <w:szCs w:val="20"/>
              </w:rPr>
              <w:t>90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</w:tc>
      </w:tr>
      <w:tr w:rsidR="00B5016C" w:rsidRPr="00C96C91" w14:paraId="527DA70E" w14:textId="77777777" w:rsidTr="3F6DBB60">
        <w:trPr>
          <w:trHeight w:val="1043"/>
          <w:jc w:val="center"/>
        </w:trPr>
        <w:tc>
          <w:tcPr>
            <w:tcW w:w="2093" w:type="dxa"/>
          </w:tcPr>
          <w:p w14:paraId="608EDBAC" w14:textId="77777777" w:rsidR="00B5016C" w:rsidRPr="00E15974" w:rsidRDefault="00B5016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CCQI-2: Follow-up After Acute Behavioral Health Episode of Care</w:t>
            </w:r>
          </w:p>
        </w:tc>
        <w:tc>
          <w:tcPr>
            <w:tcW w:w="1620" w:type="dxa"/>
          </w:tcPr>
          <w:p w14:paraId="638E38C3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846DBB">
              <w:rPr>
                <w:rFonts w:cstheme="minorHAnsi"/>
                <w:sz w:val="20"/>
                <w:szCs w:val="20"/>
              </w:rPr>
              <w:t>Benchmarked against market performance</w:t>
            </w:r>
          </w:p>
        </w:tc>
        <w:tc>
          <w:tcPr>
            <w:tcW w:w="1710" w:type="dxa"/>
          </w:tcPr>
          <w:p w14:paraId="62248487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846DBB">
              <w:rPr>
                <w:rFonts w:cstheme="minorHAnsi"/>
                <w:sz w:val="20"/>
                <w:szCs w:val="20"/>
              </w:rPr>
              <w:t>Benchmarked against market performance</w:t>
            </w:r>
          </w:p>
        </w:tc>
        <w:tc>
          <w:tcPr>
            <w:tcW w:w="1620" w:type="dxa"/>
          </w:tcPr>
          <w:p w14:paraId="2DFD1A44" w14:textId="77777777" w:rsidR="00B5016C" w:rsidRPr="00E15974" w:rsidRDefault="00B50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DBB">
              <w:rPr>
                <w:rFonts w:cstheme="minorHAnsi"/>
                <w:sz w:val="20"/>
                <w:szCs w:val="20"/>
              </w:rPr>
              <w:t>Benchmarked against market performance</w:t>
            </w:r>
          </w:p>
        </w:tc>
        <w:tc>
          <w:tcPr>
            <w:tcW w:w="1622" w:type="dxa"/>
          </w:tcPr>
          <w:p w14:paraId="61E579C5" w14:textId="77777777" w:rsidR="00B5016C" w:rsidRPr="00E15974" w:rsidRDefault="00B50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DBB">
              <w:rPr>
                <w:rFonts w:cstheme="minorHAnsi"/>
                <w:sz w:val="20"/>
                <w:szCs w:val="20"/>
              </w:rPr>
              <w:t>Benchmarked against market performance</w:t>
            </w:r>
          </w:p>
        </w:tc>
        <w:tc>
          <w:tcPr>
            <w:tcW w:w="1563" w:type="dxa"/>
          </w:tcPr>
          <w:p w14:paraId="3B7D56F4" w14:textId="77777777" w:rsidR="00B5016C" w:rsidRPr="00E15974" w:rsidRDefault="00B50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DBB">
              <w:rPr>
                <w:rFonts w:cstheme="minorHAnsi"/>
                <w:sz w:val="20"/>
                <w:szCs w:val="20"/>
              </w:rPr>
              <w:t>Benchmarked against market performance</w:t>
            </w:r>
          </w:p>
        </w:tc>
      </w:tr>
      <w:tr w:rsidR="00B5016C" w:rsidRPr="00C96C91" w14:paraId="18A5CAA2" w14:textId="77777777" w:rsidTr="3F6DBB60">
        <w:trPr>
          <w:trHeight w:val="2600"/>
          <w:jc w:val="center"/>
        </w:trPr>
        <w:tc>
          <w:tcPr>
            <w:tcW w:w="2093" w:type="dxa"/>
          </w:tcPr>
          <w:p w14:paraId="397EAAD0" w14:textId="77777777" w:rsidR="00B5016C" w:rsidRPr="00E15974" w:rsidRDefault="00B5016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CCQI-3: Readmission to Acute Behavioral Health Care</w:t>
            </w:r>
          </w:p>
        </w:tc>
        <w:tc>
          <w:tcPr>
            <w:tcW w:w="1620" w:type="dxa"/>
          </w:tcPr>
          <w:p w14:paraId="4B6BC886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AT: Within the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00F8AA27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5EA45C1A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GB: At the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</w:tc>
        <w:tc>
          <w:tcPr>
            <w:tcW w:w="1710" w:type="dxa"/>
          </w:tcPr>
          <w:p w14:paraId="626E4BA7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AT: Within the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3C5934CA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454AEB2B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>GB: At the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</w:tc>
        <w:tc>
          <w:tcPr>
            <w:tcW w:w="1620" w:type="dxa"/>
          </w:tcPr>
          <w:p w14:paraId="662CBCE4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AT: </w:t>
            </w:r>
            <w:r>
              <w:rPr>
                <w:rFonts w:cstheme="minorHAnsi"/>
                <w:sz w:val="20"/>
                <w:szCs w:val="20"/>
              </w:rPr>
              <w:t>At the</w:t>
            </w:r>
            <w:r w:rsidRPr="00E15974">
              <w:rPr>
                <w:rFonts w:cstheme="minorHAnsi"/>
                <w:sz w:val="20"/>
                <w:szCs w:val="20"/>
              </w:rPr>
              <w:t xml:space="preserve">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5D5762B9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7C73429F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GB: At the </w:t>
            </w:r>
            <w:r>
              <w:rPr>
                <w:rFonts w:cstheme="minorHAnsi"/>
                <w:sz w:val="20"/>
                <w:szCs w:val="20"/>
              </w:rPr>
              <w:t>50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</w:tc>
        <w:tc>
          <w:tcPr>
            <w:tcW w:w="1622" w:type="dxa"/>
          </w:tcPr>
          <w:p w14:paraId="6CCFD1C8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AT: </w:t>
            </w:r>
            <w:r>
              <w:rPr>
                <w:rFonts w:cstheme="minorHAnsi"/>
                <w:sz w:val="20"/>
                <w:szCs w:val="20"/>
              </w:rPr>
              <w:t>At the</w:t>
            </w:r>
            <w:r w:rsidRPr="00E15974">
              <w:rPr>
                <w:rFonts w:cstheme="minorHAnsi"/>
                <w:sz w:val="20"/>
                <w:szCs w:val="20"/>
              </w:rPr>
              <w:t xml:space="preserve">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7BAFE7F4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2662770D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GB: At the </w:t>
            </w:r>
            <w:r>
              <w:rPr>
                <w:rFonts w:cstheme="minorHAnsi"/>
                <w:sz w:val="20"/>
                <w:szCs w:val="20"/>
              </w:rPr>
              <w:t>90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</w:tc>
        <w:tc>
          <w:tcPr>
            <w:tcW w:w="1563" w:type="dxa"/>
          </w:tcPr>
          <w:p w14:paraId="2A7DE77E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AT: </w:t>
            </w:r>
            <w:r>
              <w:rPr>
                <w:rFonts w:cstheme="minorHAnsi"/>
                <w:sz w:val="20"/>
                <w:szCs w:val="20"/>
              </w:rPr>
              <w:t>At the</w:t>
            </w:r>
            <w:r w:rsidRPr="00E15974">
              <w:rPr>
                <w:rFonts w:cstheme="minorHAnsi"/>
                <w:sz w:val="20"/>
                <w:szCs w:val="20"/>
              </w:rPr>
              <w:t xml:space="preserve"> 25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  <w:p w14:paraId="3B26A856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</w:p>
          <w:p w14:paraId="5514C3BB" w14:textId="77777777" w:rsidR="00B5016C" w:rsidRPr="00E15974" w:rsidRDefault="00B5016C">
            <w:pPr>
              <w:rPr>
                <w:rFonts w:cstheme="minorHAnsi"/>
                <w:sz w:val="20"/>
                <w:szCs w:val="20"/>
              </w:rPr>
            </w:pPr>
            <w:r w:rsidRPr="00E15974">
              <w:rPr>
                <w:rFonts w:cstheme="minorHAnsi"/>
                <w:sz w:val="20"/>
                <w:szCs w:val="20"/>
              </w:rPr>
              <w:t xml:space="preserve">GB: At the </w:t>
            </w:r>
            <w:r>
              <w:rPr>
                <w:rFonts w:cstheme="minorHAnsi"/>
                <w:sz w:val="20"/>
                <w:szCs w:val="20"/>
              </w:rPr>
              <w:t>90</w:t>
            </w:r>
            <w:r w:rsidRPr="00E1597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E15974">
              <w:rPr>
                <w:rFonts w:cstheme="minorHAnsi"/>
                <w:sz w:val="20"/>
                <w:szCs w:val="20"/>
              </w:rPr>
              <w:t xml:space="preserve"> percentile of market performance</w:t>
            </w:r>
          </w:p>
        </w:tc>
      </w:tr>
    </w:tbl>
    <w:p w14:paraId="391D8FBF" w14:textId="04960BFE" w:rsidR="009A555A" w:rsidRPr="00CE3ED6" w:rsidRDefault="00B5016C">
      <w:pPr>
        <w:rPr>
          <w:rStyle w:val="IntenseEmphasis"/>
          <w:color w:val="000000" w:themeColor="text1"/>
          <w:sz w:val="20"/>
          <w:szCs w:val="20"/>
        </w:rPr>
      </w:pPr>
      <w:r w:rsidRPr="00CE3ED6">
        <w:rPr>
          <w:rStyle w:val="IntenseEmphasis"/>
          <w:color w:val="000000" w:themeColor="text1"/>
          <w:sz w:val="20"/>
          <w:szCs w:val="20"/>
        </w:rPr>
        <w:t xml:space="preserve">Note: </w:t>
      </w:r>
      <w:r w:rsidR="002A4393" w:rsidRPr="00CE3ED6">
        <w:rPr>
          <w:rStyle w:val="IntenseEmphasis"/>
          <w:color w:val="000000" w:themeColor="text1"/>
          <w:sz w:val="20"/>
          <w:szCs w:val="20"/>
        </w:rPr>
        <w:t xml:space="preserve">Proposed benchmarks pending approval.  </w:t>
      </w:r>
      <w:r w:rsidRPr="00CE3ED6">
        <w:rPr>
          <w:rStyle w:val="IntenseEmphasis"/>
          <w:color w:val="000000" w:themeColor="text1"/>
          <w:sz w:val="20"/>
          <w:szCs w:val="20"/>
        </w:rPr>
        <w:t xml:space="preserve">Benchmarking methodology </w:t>
      </w:r>
      <w:r w:rsidR="00D31096" w:rsidRPr="00CE3ED6">
        <w:rPr>
          <w:rStyle w:val="IntenseEmphasis"/>
          <w:color w:val="000000" w:themeColor="text1"/>
          <w:sz w:val="20"/>
          <w:szCs w:val="20"/>
        </w:rPr>
        <w:t>is</w:t>
      </w:r>
      <w:r w:rsidRPr="00CE3ED6">
        <w:rPr>
          <w:rStyle w:val="IntenseEmphasis"/>
          <w:color w:val="000000" w:themeColor="text1"/>
          <w:sz w:val="20"/>
          <w:szCs w:val="20"/>
        </w:rPr>
        <w:t xml:space="preserve"> subject to change</w:t>
      </w:r>
      <w:r w:rsidR="00266328" w:rsidRPr="00CE3ED6">
        <w:rPr>
          <w:rStyle w:val="IntenseEmphasis"/>
          <w:color w:val="000000" w:themeColor="text1"/>
          <w:sz w:val="20"/>
          <w:szCs w:val="20"/>
        </w:rPr>
        <w:t xml:space="preserve"> based on performance in subsequent </w:t>
      </w:r>
      <w:r w:rsidR="00DF44A9">
        <w:rPr>
          <w:rStyle w:val="IntenseEmphasis"/>
          <w:color w:val="000000" w:themeColor="text1"/>
          <w:sz w:val="20"/>
          <w:szCs w:val="20"/>
        </w:rPr>
        <w:t>measurement</w:t>
      </w:r>
      <w:r w:rsidR="00DF44A9" w:rsidRPr="00CE3ED6">
        <w:rPr>
          <w:rStyle w:val="IntenseEmphasis"/>
          <w:color w:val="000000" w:themeColor="text1"/>
          <w:sz w:val="20"/>
          <w:szCs w:val="20"/>
        </w:rPr>
        <w:t xml:space="preserve"> </w:t>
      </w:r>
      <w:r w:rsidR="00266328" w:rsidRPr="00CE3ED6">
        <w:rPr>
          <w:rStyle w:val="IntenseEmphasis"/>
          <w:color w:val="000000" w:themeColor="text1"/>
          <w:sz w:val="20"/>
          <w:szCs w:val="20"/>
        </w:rPr>
        <w:t>years</w:t>
      </w:r>
      <w:r w:rsidRPr="00CE3ED6">
        <w:rPr>
          <w:rStyle w:val="IntenseEmphasis"/>
          <w:color w:val="000000" w:themeColor="text1"/>
          <w:sz w:val="20"/>
          <w:szCs w:val="20"/>
        </w:rPr>
        <w:t>.</w:t>
      </w:r>
    </w:p>
    <w:p w14:paraId="28BEA33C" w14:textId="36581E1F" w:rsidR="00E310E9" w:rsidRDefault="00E310E9">
      <w:pPr>
        <w:rPr>
          <w:rStyle w:val="IntenseEmphasis"/>
          <w:color w:val="000000" w:themeColor="text1"/>
          <w:sz w:val="18"/>
          <w:szCs w:val="18"/>
        </w:rPr>
      </w:pPr>
      <w:r>
        <w:rPr>
          <w:rStyle w:val="IntenseEmphasis"/>
          <w:color w:val="000000" w:themeColor="text1"/>
          <w:sz w:val="18"/>
          <w:szCs w:val="18"/>
        </w:rPr>
        <w:br w:type="page"/>
      </w:r>
    </w:p>
    <w:p w14:paraId="41F76F8C" w14:textId="0B56C8BF" w:rsidR="00CB5BC5" w:rsidRDefault="00070EC2" w:rsidP="00354108">
      <w:pPr>
        <w:pStyle w:val="Heading2"/>
        <w:spacing w:before="200" w:after="200" w:line="276" w:lineRule="auto"/>
        <w:rPr>
          <w:rStyle w:val="Heading3Char"/>
          <w:b/>
          <w:bCs w:val="0"/>
          <w:sz w:val="22"/>
          <w:szCs w:val="20"/>
        </w:rPr>
      </w:pPr>
      <w:bookmarkStart w:id="31" w:name="_Toc212807345"/>
      <w:r w:rsidRPr="001F406B">
        <w:rPr>
          <w:rStyle w:val="Heading3Char"/>
          <w:b/>
          <w:bCs w:val="0"/>
          <w:sz w:val="22"/>
          <w:szCs w:val="20"/>
        </w:rPr>
        <w:lastRenderedPageBreak/>
        <w:t>A.5</w:t>
      </w:r>
      <w:r w:rsidR="00AD0E6B">
        <w:rPr>
          <w:rStyle w:val="Heading3Char"/>
          <w:b/>
          <w:bCs w:val="0"/>
          <w:sz w:val="22"/>
          <w:szCs w:val="20"/>
        </w:rPr>
        <w:t>.</w:t>
      </w:r>
      <w:r w:rsidRPr="001F406B">
        <w:rPr>
          <w:rStyle w:val="Heading3Char"/>
          <w:b/>
          <w:bCs w:val="0"/>
          <w:sz w:val="22"/>
          <w:szCs w:val="20"/>
        </w:rPr>
        <w:t xml:space="preserve"> </w:t>
      </w:r>
      <w:r w:rsidR="00CB5BC5" w:rsidRPr="001F406B">
        <w:rPr>
          <w:rStyle w:val="Heading3Char"/>
          <w:b/>
          <w:bCs w:val="0"/>
          <w:sz w:val="22"/>
          <w:szCs w:val="20"/>
        </w:rPr>
        <w:t>Performance Scoring</w:t>
      </w:r>
      <w:r w:rsidR="00806804">
        <w:rPr>
          <w:rStyle w:val="Heading3Char"/>
          <w:b/>
          <w:bCs w:val="0"/>
          <w:sz w:val="22"/>
          <w:szCs w:val="20"/>
        </w:rPr>
        <w:t xml:space="preserve"> on Aggregate </w:t>
      </w:r>
      <w:r w:rsidR="002618BF">
        <w:rPr>
          <w:rStyle w:val="Heading3Char"/>
          <w:b/>
          <w:bCs w:val="0"/>
          <w:sz w:val="22"/>
          <w:szCs w:val="20"/>
        </w:rPr>
        <w:t>Rates</w:t>
      </w:r>
      <w:bookmarkEnd w:id="31"/>
    </w:p>
    <w:p w14:paraId="4348B4DF" w14:textId="2916DC5E" w:rsidR="0061199C" w:rsidRPr="0061199C" w:rsidRDefault="752AD245" w:rsidP="00354108">
      <w:pPr>
        <w:spacing w:before="200" w:after="200" w:line="276" w:lineRule="auto"/>
      </w:pPr>
      <w:r>
        <w:t>While each performance measure i</w:t>
      </w:r>
      <w:r w:rsidR="3A1B5592">
        <w:t>ncludes</w:t>
      </w:r>
      <w:r>
        <w:t xml:space="preserve"> a set of sub-measures and the aggregate</w:t>
      </w:r>
      <w:r w:rsidR="61F71178">
        <w:t xml:space="preserve"> or overall rate</w:t>
      </w:r>
      <w:r>
        <w:t xml:space="preserve">, only performance </w:t>
      </w:r>
      <w:r w:rsidR="0F327FEC">
        <w:t xml:space="preserve">on the aggregate rate </w:t>
      </w:r>
      <w:r w:rsidR="7E7CE348">
        <w:t>for each</w:t>
      </w:r>
      <w:r w:rsidR="4B426EA7">
        <w:t xml:space="preserve"> TIN-billing entity </w:t>
      </w:r>
      <w:r>
        <w:t>will be scored for incentive payment.  For the</w:t>
      </w:r>
      <w:r w:rsidRPr="69D35EA7">
        <w:rPr>
          <w:i/>
          <w:iCs/>
        </w:rPr>
        <w:t xml:space="preserve"> CCQI-1 Access Standards</w:t>
      </w:r>
      <w:r>
        <w:t xml:space="preserve"> measure</w:t>
      </w:r>
      <w:r w:rsidR="4B426EA7">
        <w:t xml:space="preserve"> where</w:t>
      </w:r>
      <w:r>
        <w:t xml:space="preserve"> </w:t>
      </w:r>
      <w:r w:rsidR="7808DF4D">
        <w:t xml:space="preserve">performance for </w:t>
      </w:r>
      <w:r>
        <w:t>CBHCs with multiple site locations</w:t>
      </w:r>
      <w:r w:rsidR="4B426EA7">
        <w:t xml:space="preserve"> ar</w:t>
      </w:r>
      <w:r w:rsidR="7808DF4D">
        <w:t xml:space="preserve">e captured at the </w:t>
      </w:r>
      <w:r w:rsidR="25C2746A">
        <w:t xml:space="preserve">MassHealth </w:t>
      </w:r>
      <w:r w:rsidR="04D78EF5">
        <w:t xml:space="preserve">Provider ID </w:t>
      </w:r>
      <w:r w:rsidR="10122192">
        <w:t xml:space="preserve">and </w:t>
      </w:r>
      <w:r w:rsidR="04D78EF5">
        <w:t>S</w:t>
      </w:r>
      <w:r w:rsidR="25C2746A">
        <w:t>ervice</w:t>
      </w:r>
      <w:r w:rsidR="04D78EF5">
        <w:t xml:space="preserve"> Location (</w:t>
      </w:r>
      <w:r w:rsidR="7808DF4D">
        <w:t>PIDSL</w:t>
      </w:r>
      <w:r w:rsidR="04D78EF5">
        <w:t>)</w:t>
      </w:r>
      <w:r w:rsidR="7808DF4D">
        <w:t xml:space="preserve"> level</w:t>
      </w:r>
      <w:r>
        <w:t xml:space="preserve">, </w:t>
      </w:r>
      <w:r w:rsidR="47AFBEFD">
        <w:t xml:space="preserve">aggregate </w:t>
      </w:r>
      <w:r w:rsidR="61F71178">
        <w:t>performance</w:t>
      </w:r>
      <w:r>
        <w:t xml:space="preserve"> rates </w:t>
      </w:r>
      <w:r w:rsidR="47AFBEFD">
        <w:t>for each s</w:t>
      </w:r>
      <w:r w:rsidR="10122192">
        <w:t>ervice location</w:t>
      </w:r>
      <w:r w:rsidR="47AFBEFD">
        <w:t xml:space="preserve"> at the</w:t>
      </w:r>
      <w:r>
        <w:t xml:space="preserve"> PIDSL </w:t>
      </w:r>
      <w:r w:rsidR="47AFBEFD">
        <w:t xml:space="preserve">level </w:t>
      </w:r>
      <w:r>
        <w:t xml:space="preserve">will be rolled up to the </w:t>
      </w:r>
      <w:r w:rsidR="49049495">
        <w:t xml:space="preserve">same </w:t>
      </w:r>
      <w:r>
        <w:t>TIN-billing entity as a</w:t>
      </w:r>
      <w:r w:rsidR="793DF0FD">
        <w:t xml:space="preserve"> weighted</w:t>
      </w:r>
      <w:r w:rsidR="61F71178">
        <w:t xml:space="preserve"> </w:t>
      </w:r>
      <w:r>
        <w:t>average</w:t>
      </w:r>
      <w:r w:rsidR="0F327FEC">
        <w:t xml:space="preserve"> </w:t>
      </w:r>
      <w:r w:rsidR="194AF8C8">
        <w:t xml:space="preserve">to calculate </w:t>
      </w:r>
      <w:r w:rsidR="00E02F1D">
        <w:t>the</w:t>
      </w:r>
      <w:r w:rsidR="194AF8C8">
        <w:t xml:space="preserve"> performance</w:t>
      </w:r>
      <w:r>
        <w:t xml:space="preserve"> score.  PIDS</w:t>
      </w:r>
      <w:r w:rsidR="762F4B02">
        <w:t xml:space="preserve">L </w:t>
      </w:r>
      <w:r>
        <w:t xml:space="preserve">level </w:t>
      </w:r>
      <w:r w:rsidR="00394836">
        <w:t>performance,</w:t>
      </w:r>
      <w:r w:rsidR="4FB2CAA9">
        <w:t xml:space="preserve"> in addition to</w:t>
      </w:r>
      <w:r>
        <w:t xml:space="preserve"> performance rates </w:t>
      </w:r>
      <w:r w:rsidR="0E71F9AF">
        <w:t xml:space="preserve">stratified </w:t>
      </w:r>
      <w:r w:rsidR="00E02F1D">
        <w:t>for each sub-</w:t>
      </w:r>
      <w:r w:rsidR="00394836">
        <w:t>measure,</w:t>
      </w:r>
      <w:r>
        <w:t xml:space="preserve"> will be shared for informational purposes o</w:t>
      </w:r>
      <w:r w:rsidR="7B867A26">
        <w:t xml:space="preserve">nly </w:t>
      </w:r>
      <w:r>
        <w:t xml:space="preserve">as </w:t>
      </w:r>
      <w:r w:rsidR="00883F01">
        <w:t>needed but</w:t>
      </w:r>
      <w:r>
        <w:t xml:space="preserve"> will not count towards the </w:t>
      </w:r>
      <w:proofErr w:type="gramStart"/>
      <w:r>
        <w:t>earned incentive amount</w:t>
      </w:r>
      <w:proofErr w:type="gramEnd"/>
      <w:r>
        <w:t>.</w:t>
      </w:r>
      <w:r w:rsidR="0B4EEDBD">
        <w:t xml:space="preserve">  </w:t>
      </w:r>
      <w:r w:rsidR="0B4EEDBD" w:rsidRPr="69D35EA7">
        <w:rPr>
          <w:i/>
          <w:iCs/>
        </w:rPr>
        <w:t xml:space="preserve">Table 4. CCQI Aggregate (Overall) Rate for Performance Scoring by Measure </w:t>
      </w:r>
      <w:r w:rsidR="0B4EEDBD">
        <w:t>provides an overview of the aggregate rates for each CCQI measure.</w:t>
      </w:r>
    </w:p>
    <w:p w14:paraId="36F585DA" w14:textId="5E5AFF06" w:rsidR="00700C23" w:rsidRDefault="006267AA" w:rsidP="00354108">
      <w:pPr>
        <w:pStyle w:val="Heading3"/>
        <w:spacing w:before="200" w:after="200" w:line="276" w:lineRule="auto"/>
      </w:pPr>
      <w:bookmarkStart w:id="32" w:name="_Toc212807346"/>
      <w:r w:rsidRPr="006267AA">
        <w:t>Table 4. CCQI Aggregate (Overall) Rate for Performance Scoring by Measure</w:t>
      </w:r>
      <w:bookmarkEnd w:id="32"/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2065"/>
        <w:gridCol w:w="2610"/>
        <w:gridCol w:w="2970"/>
        <w:gridCol w:w="2970"/>
      </w:tblGrid>
      <w:tr w:rsidR="001B6008" w:rsidRPr="006E4957" w14:paraId="55A1F76C" w14:textId="77777777" w:rsidTr="00E004D8">
        <w:trPr>
          <w:trHeight w:val="290"/>
          <w:jc w:val="center"/>
        </w:trPr>
        <w:tc>
          <w:tcPr>
            <w:tcW w:w="2065" w:type="dxa"/>
            <w:shd w:val="clear" w:color="auto" w:fill="002060"/>
          </w:tcPr>
          <w:p w14:paraId="299B73A2" w14:textId="77777777" w:rsidR="001B6008" w:rsidRPr="004A501F" w:rsidRDefault="001B6008" w:rsidP="00E004D8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 Name</w:t>
            </w:r>
          </w:p>
        </w:tc>
        <w:tc>
          <w:tcPr>
            <w:tcW w:w="2610" w:type="dxa"/>
            <w:shd w:val="clear" w:color="auto" w:fill="002060"/>
          </w:tcPr>
          <w:p w14:paraId="4BAFE6B7" w14:textId="77777777" w:rsidR="001B6008" w:rsidRPr="004A501F" w:rsidRDefault="001B6008" w:rsidP="00E004D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970" w:type="dxa"/>
            <w:shd w:val="clear" w:color="auto" w:fill="002060"/>
          </w:tcPr>
          <w:p w14:paraId="3632E4A8" w14:textId="77777777" w:rsidR="001B6008" w:rsidRPr="004A501F" w:rsidRDefault="001B6008" w:rsidP="00E004D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Numerator</w:t>
            </w:r>
          </w:p>
        </w:tc>
        <w:tc>
          <w:tcPr>
            <w:tcW w:w="2970" w:type="dxa"/>
            <w:shd w:val="clear" w:color="auto" w:fill="002060"/>
          </w:tcPr>
          <w:p w14:paraId="597AC344" w14:textId="77777777" w:rsidR="001B6008" w:rsidRPr="004A501F" w:rsidRDefault="001B6008" w:rsidP="00E004D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501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Denominator</w:t>
            </w:r>
          </w:p>
        </w:tc>
      </w:tr>
      <w:tr w:rsidR="001B6008" w:rsidRPr="006E4957" w14:paraId="64C52BEB" w14:textId="77777777" w:rsidTr="00E004D8">
        <w:trPr>
          <w:trHeight w:val="1056"/>
          <w:jc w:val="center"/>
        </w:trPr>
        <w:tc>
          <w:tcPr>
            <w:tcW w:w="2065" w:type="dxa"/>
          </w:tcPr>
          <w:p w14:paraId="419DBD68" w14:textId="77777777" w:rsidR="001B6008" w:rsidRPr="006E4957" w:rsidRDefault="001B6008" w:rsidP="00E004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4957">
              <w:rPr>
                <w:rFonts w:cstheme="minorHAnsi"/>
                <w:sz w:val="20"/>
                <w:szCs w:val="20"/>
              </w:rPr>
              <w:t>CCQI-1: Access Standards</w:t>
            </w:r>
          </w:p>
        </w:tc>
        <w:tc>
          <w:tcPr>
            <w:tcW w:w="2610" w:type="dxa"/>
          </w:tcPr>
          <w:p w14:paraId="5B780A15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 w:rsidRPr="006E4957">
              <w:rPr>
                <w:rFonts w:cstheme="minorHAnsi"/>
                <w:sz w:val="20"/>
                <w:szCs w:val="20"/>
              </w:rPr>
              <w:t xml:space="preserve">The aggregate rate combines </w:t>
            </w:r>
            <w:r>
              <w:rPr>
                <w:rFonts w:cstheme="minorHAnsi"/>
                <w:sz w:val="20"/>
                <w:szCs w:val="20"/>
              </w:rPr>
              <w:t>all 6 qualifying visit appointment types</w:t>
            </w:r>
            <w:r w:rsidRPr="006E4957">
              <w:rPr>
                <w:rFonts w:cstheme="minorHAnsi"/>
                <w:sz w:val="20"/>
                <w:szCs w:val="20"/>
              </w:rPr>
              <w:t xml:space="preserve"> to calculate the overall rate of timely access.</w:t>
            </w:r>
          </w:p>
        </w:tc>
        <w:tc>
          <w:tcPr>
            <w:tcW w:w="2970" w:type="dxa"/>
          </w:tcPr>
          <w:p w14:paraId="2727B686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6E4957">
              <w:rPr>
                <w:rFonts w:cstheme="minorHAnsi"/>
                <w:sz w:val="20"/>
                <w:szCs w:val="20"/>
              </w:rPr>
              <w:t xml:space="preserve">umber of new patients among MassHealth members who had </w:t>
            </w:r>
            <w:r>
              <w:rPr>
                <w:rFonts w:cstheme="minorHAnsi"/>
                <w:sz w:val="20"/>
                <w:szCs w:val="20"/>
              </w:rPr>
              <w:t xml:space="preserve">timely </w:t>
            </w:r>
            <w:r w:rsidRPr="006E4957">
              <w:rPr>
                <w:rFonts w:cstheme="minorHAnsi"/>
                <w:sz w:val="20"/>
                <w:szCs w:val="20"/>
              </w:rPr>
              <w:t xml:space="preserve">qualifying </w:t>
            </w:r>
            <w:r>
              <w:rPr>
                <w:rFonts w:cstheme="minorHAnsi"/>
                <w:sz w:val="20"/>
                <w:szCs w:val="20"/>
              </w:rPr>
              <w:t>visits</w:t>
            </w:r>
            <w:r w:rsidRPr="006E49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scheduled from </w:t>
            </w:r>
            <w:r w:rsidRPr="006E4957">
              <w:rPr>
                <w:rFonts w:cstheme="minorHAnsi"/>
                <w:sz w:val="20"/>
                <w:szCs w:val="20"/>
              </w:rPr>
              <w:t xml:space="preserve">a qualifying </w:t>
            </w:r>
            <w:proofErr w:type="gramStart"/>
            <w:r>
              <w:rPr>
                <w:rFonts w:cstheme="minorHAnsi"/>
                <w:sz w:val="20"/>
                <w:szCs w:val="20"/>
              </w:rPr>
              <w:t>triage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with a CBHC.</w:t>
            </w:r>
          </w:p>
        </w:tc>
        <w:tc>
          <w:tcPr>
            <w:tcW w:w="2970" w:type="dxa"/>
          </w:tcPr>
          <w:p w14:paraId="399205ED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6E4957">
              <w:rPr>
                <w:rFonts w:cstheme="minorHAnsi"/>
                <w:sz w:val="20"/>
                <w:szCs w:val="20"/>
              </w:rPr>
              <w:t>umber of new patients among MassHealth members who had qualifying triage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E4957">
              <w:rPr>
                <w:rFonts w:cstheme="minorHAnsi"/>
                <w:sz w:val="20"/>
                <w:szCs w:val="20"/>
              </w:rPr>
              <w:t xml:space="preserve"> with a CBHC to </w:t>
            </w:r>
            <w:r>
              <w:rPr>
                <w:rFonts w:cstheme="minorHAnsi"/>
                <w:sz w:val="20"/>
                <w:szCs w:val="20"/>
              </w:rPr>
              <w:t xml:space="preserve">all 6 </w:t>
            </w:r>
            <w:r w:rsidRPr="006E4957">
              <w:rPr>
                <w:rFonts w:cstheme="minorHAnsi"/>
                <w:sz w:val="20"/>
                <w:szCs w:val="20"/>
              </w:rPr>
              <w:t xml:space="preserve">qualifying visit </w:t>
            </w:r>
            <w:r>
              <w:rPr>
                <w:rFonts w:cstheme="minorHAnsi"/>
                <w:sz w:val="20"/>
                <w:szCs w:val="20"/>
              </w:rPr>
              <w:t xml:space="preserve">appointment </w:t>
            </w:r>
            <w:r w:rsidRPr="006E4957">
              <w:rPr>
                <w:rFonts w:cstheme="minorHAnsi"/>
                <w:sz w:val="20"/>
                <w:szCs w:val="20"/>
              </w:rPr>
              <w:t>type</w:t>
            </w:r>
            <w:r>
              <w:rPr>
                <w:rFonts w:cstheme="minorHAnsi"/>
                <w:sz w:val="20"/>
                <w:szCs w:val="20"/>
              </w:rPr>
              <w:t>s.</w:t>
            </w:r>
          </w:p>
          <w:p w14:paraId="31FA275F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6008" w:rsidRPr="006E4957" w14:paraId="552B37F9" w14:textId="77777777" w:rsidTr="00E004D8">
        <w:trPr>
          <w:trHeight w:val="1061"/>
          <w:jc w:val="center"/>
        </w:trPr>
        <w:tc>
          <w:tcPr>
            <w:tcW w:w="2065" w:type="dxa"/>
          </w:tcPr>
          <w:p w14:paraId="7B32D05A" w14:textId="77777777" w:rsidR="001B6008" w:rsidRPr="006E4957" w:rsidRDefault="001B6008" w:rsidP="00E004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4957">
              <w:rPr>
                <w:rFonts w:cstheme="minorHAnsi"/>
                <w:sz w:val="20"/>
                <w:szCs w:val="20"/>
              </w:rPr>
              <w:t>CCQI-2: Follow-up After Acute Behavioral Health Episode of Care</w:t>
            </w:r>
          </w:p>
        </w:tc>
        <w:tc>
          <w:tcPr>
            <w:tcW w:w="2610" w:type="dxa"/>
          </w:tcPr>
          <w:p w14:paraId="677001CE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 w:rsidRPr="006E4957">
              <w:rPr>
                <w:rFonts w:cstheme="minorHAnsi"/>
                <w:sz w:val="20"/>
                <w:szCs w:val="20"/>
              </w:rPr>
              <w:t>The aggregate rate is the proportion of all 4 qualifying visits from all 4 qualifying hospital encounters combined for each CBHC compared to all CBHCs combined.</w:t>
            </w:r>
          </w:p>
        </w:tc>
        <w:tc>
          <w:tcPr>
            <w:tcW w:w="2970" w:type="dxa"/>
          </w:tcPr>
          <w:p w14:paraId="4F023871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6E4957">
              <w:rPr>
                <w:rFonts w:cstheme="minorHAnsi"/>
                <w:sz w:val="20"/>
                <w:szCs w:val="20"/>
              </w:rPr>
              <w:t xml:space="preserve">umber of patients among MassHealth members with any of the 4 qualifying CBHC visits within 7 days of discharge from any of the 4 qualifying </w:t>
            </w:r>
            <w:r>
              <w:rPr>
                <w:rFonts w:cstheme="minorHAnsi"/>
                <w:sz w:val="20"/>
                <w:szCs w:val="20"/>
              </w:rPr>
              <w:t xml:space="preserve">hospital </w:t>
            </w:r>
            <w:r w:rsidRPr="006E4957">
              <w:rPr>
                <w:rFonts w:cstheme="minorHAnsi"/>
                <w:sz w:val="20"/>
                <w:szCs w:val="20"/>
              </w:rPr>
              <w:t>encounters per CBHC.</w:t>
            </w:r>
          </w:p>
        </w:tc>
        <w:tc>
          <w:tcPr>
            <w:tcW w:w="2970" w:type="dxa"/>
          </w:tcPr>
          <w:p w14:paraId="233C2384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6E4957">
              <w:rPr>
                <w:rFonts w:cstheme="minorHAnsi"/>
                <w:sz w:val="20"/>
                <w:szCs w:val="20"/>
              </w:rPr>
              <w:t>umber of patients among MassHealth members with any of the 4 qualifying</w:t>
            </w:r>
            <w:r>
              <w:rPr>
                <w:rFonts w:cstheme="minorHAnsi"/>
                <w:sz w:val="20"/>
                <w:szCs w:val="20"/>
              </w:rPr>
              <w:t xml:space="preserve"> CBHC</w:t>
            </w:r>
            <w:r w:rsidRPr="006E4957">
              <w:rPr>
                <w:rFonts w:cstheme="minorHAnsi"/>
                <w:sz w:val="20"/>
                <w:szCs w:val="20"/>
              </w:rPr>
              <w:t xml:space="preserve"> visits within 7 days of discharge from any of the 4 qualifying </w:t>
            </w:r>
            <w:r>
              <w:rPr>
                <w:rFonts w:cstheme="minorHAnsi"/>
                <w:sz w:val="20"/>
                <w:szCs w:val="20"/>
              </w:rPr>
              <w:t xml:space="preserve">hospital </w:t>
            </w:r>
            <w:r w:rsidRPr="006E4957">
              <w:rPr>
                <w:rFonts w:cstheme="minorHAnsi"/>
                <w:sz w:val="20"/>
                <w:szCs w:val="20"/>
              </w:rPr>
              <w:t>encounters across all CBHCs.</w:t>
            </w:r>
          </w:p>
        </w:tc>
      </w:tr>
      <w:tr w:rsidR="001B6008" w:rsidRPr="006E4957" w14:paraId="7FFC2DF4" w14:textId="77777777" w:rsidTr="00E004D8">
        <w:trPr>
          <w:trHeight w:val="530"/>
          <w:jc w:val="center"/>
        </w:trPr>
        <w:tc>
          <w:tcPr>
            <w:tcW w:w="2065" w:type="dxa"/>
          </w:tcPr>
          <w:p w14:paraId="760F2E0F" w14:textId="77777777" w:rsidR="001B6008" w:rsidRPr="006E4957" w:rsidRDefault="001B6008" w:rsidP="00E004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4957">
              <w:rPr>
                <w:rFonts w:cstheme="minorHAnsi"/>
                <w:sz w:val="20"/>
                <w:szCs w:val="20"/>
              </w:rPr>
              <w:t>CCQI-3: Readmission to Acute Behavioral Health Care</w:t>
            </w:r>
          </w:p>
        </w:tc>
        <w:tc>
          <w:tcPr>
            <w:tcW w:w="2610" w:type="dxa"/>
          </w:tcPr>
          <w:p w14:paraId="3F66F727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 w:rsidRPr="006E4957">
              <w:rPr>
                <w:rFonts w:cstheme="minorHAnsi"/>
                <w:sz w:val="20"/>
                <w:szCs w:val="20"/>
              </w:rPr>
              <w:t xml:space="preserve">The aggregate rate combines all 4 qualifying visits within 7 days from all 4 qualifying hospital encounters with a readmission within 30 days of discharge. </w:t>
            </w:r>
          </w:p>
        </w:tc>
        <w:tc>
          <w:tcPr>
            <w:tcW w:w="2970" w:type="dxa"/>
          </w:tcPr>
          <w:p w14:paraId="6C2456D3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6E4957">
              <w:rPr>
                <w:rFonts w:cstheme="minorHAnsi"/>
                <w:sz w:val="20"/>
                <w:szCs w:val="20"/>
              </w:rPr>
              <w:t>umber of patients among MassHealth members with</w:t>
            </w:r>
            <w:r>
              <w:rPr>
                <w:rFonts w:cstheme="minorHAnsi"/>
                <w:sz w:val="20"/>
                <w:szCs w:val="20"/>
              </w:rPr>
              <w:t xml:space="preserve"> any</w:t>
            </w:r>
            <w:r w:rsidRPr="006E49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of the </w:t>
            </w:r>
            <w:r w:rsidRPr="006E4957">
              <w:rPr>
                <w:rFonts w:cstheme="minorHAnsi"/>
                <w:sz w:val="20"/>
                <w:szCs w:val="20"/>
              </w:rPr>
              <w:t xml:space="preserve">4 qualifying </w:t>
            </w:r>
            <w:r>
              <w:rPr>
                <w:rFonts w:cstheme="minorHAnsi"/>
                <w:sz w:val="20"/>
                <w:szCs w:val="20"/>
              </w:rPr>
              <w:t xml:space="preserve">CBHC </w:t>
            </w:r>
            <w:r w:rsidRPr="006E4957">
              <w:rPr>
                <w:rFonts w:cstheme="minorHAnsi"/>
                <w:sz w:val="20"/>
                <w:szCs w:val="20"/>
              </w:rPr>
              <w:t>visits within 7 days of discharge from any</w:t>
            </w:r>
            <w:r>
              <w:rPr>
                <w:rFonts w:cstheme="minorHAnsi"/>
                <w:sz w:val="20"/>
                <w:szCs w:val="20"/>
              </w:rPr>
              <w:t xml:space="preserve"> of the</w:t>
            </w:r>
            <w:r w:rsidRPr="006E4957">
              <w:rPr>
                <w:rFonts w:cstheme="minorHAnsi"/>
                <w:sz w:val="20"/>
                <w:szCs w:val="20"/>
              </w:rPr>
              <w:t xml:space="preserve"> 4 qualifying </w:t>
            </w:r>
            <w:r>
              <w:rPr>
                <w:rFonts w:cstheme="minorHAnsi"/>
                <w:sz w:val="20"/>
                <w:szCs w:val="20"/>
              </w:rPr>
              <w:t xml:space="preserve">hospital </w:t>
            </w:r>
            <w:r w:rsidRPr="006E4957">
              <w:rPr>
                <w:rFonts w:cstheme="minorHAnsi"/>
                <w:sz w:val="20"/>
                <w:szCs w:val="20"/>
              </w:rPr>
              <w:t xml:space="preserve">encounters </w:t>
            </w:r>
            <w:r>
              <w:rPr>
                <w:rFonts w:cstheme="minorHAnsi"/>
                <w:sz w:val="20"/>
                <w:szCs w:val="20"/>
              </w:rPr>
              <w:t>and</w:t>
            </w:r>
            <w:r w:rsidRPr="006E4957">
              <w:rPr>
                <w:rFonts w:cstheme="minorHAnsi"/>
                <w:sz w:val="20"/>
                <w:szCs w:val="20"/>
              </w:rPr>
              <w:t xml:space="preserve"> a readmission </w:t>
            </w:r>
            <w:r>
              <w:rPr>
                <w:rFonts w:cstheme="minorHAnsi"/>
                <w:sz w:val="20"/>
                <w:szCs w:val="20"/>
              </w:rPr>
              <w:t>with</w:t>
            </w:r>
            <w:r w:rsidRPr="006E4957">
              <w:rPr>
                <w:rFonts w:cstheme="minorHAnsi"/>
                <w:sz w:val="20"/>
                <w:szCs w:val="20"/>
              </w:rPr>
              <w:t>in 30 days.</w:t>
            </w:r>
          </w:p>
        </w:tc>
        <w:tc>
          <w:tcPr>
            <w:tcW w:w="2970" w:type="dxa"/>
          </w:tcPr>
          <w:p w14:paraId="4923DDAE" w14:textId="77777777" w:rsidR="001B6008" w:rsidRPr="006E4957" w:rsidRDefault="001B6008" w:rsidP="00E004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6E4957">
              <w:rPr>
                <w:rFonts w:cstheme="minorHAnsi"/>
                <w:sz w:val="20"/>
                <w:szCs w:val="20"/>
              </w:rPr>
              <w:t xml:space="preserve">umber of patients among MassHealth members with any of the 4 qualifying </w:t>
            </w:r>
            <w:r>
              <w:rPr>
                <w:rFonts w:cstheme="minorHAnsi"/>
                <w:sz w:val="20"/>
                <w:szCs w:val="20"/>
              </w:rPr>
              <w:t xml:space="preserve">CBHC </w:t>
            </w:r>
            <w:r w:rsidRPr="006E4957">
              <w:rPr>
                <w:rFonts w:cstheme="minorHAnsi"/>
                <w:sz w:val="20"/>
                <w:szCs w:val="20"/>
              </w:rPr>
              <w:t>visit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6E4957">
              <w:rPr>
                <w:rFonts w:cstheme="minorHAnsi"/>
                <w:sz w:val="20"/>
                <w:szCs w:val="20"/>
              </w:rPr>
              <w:t xml:space="preserve">within 7 days of discharge from any of the 4 qualifying </w:t>
            </w:r>
            <w:r>
              <w:rPr>
                <w:rFonts w:cstheme="minorHAnsi"/>
                <w:sz w:val="20"/>
                <w:szCs w:val="20"/>
              </w:rPr>
              <w:t xml:space="preserve">hospital </w:t>
            </w:r>
            <w:r w:rsidRPr="006E4957">
              <w:rPr>
                <w:rFonts w:cstheme="minorHAnsi"/>
                <w:sz w:val="20"/>
                <w:szCs w:val="20"/>
              </w:rPr>
              <w:t>encounters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94D40D5" w14:textId="77777777" w:rsidR="001B6008" w:rsidRDefault="001B6008" w:rsidP="001B6008"/>
    <w:p w14:paraId="45F4B3F3" w14:textId="77536688" w:rsidR="004C67E5" w:rsidRDefault="007B2632" w:rsidP="00CE3ED6">
      <w:pPr>
        <w:pStyle w:val="Heading2"/>
        <w:numPr>
          <w:ilvl w:val="0"/>
          <w:numId w:val="3"/>
        </w:numPr>
        <w:spacing w:before="200" w:after="200" w:line="23" w:lineRule="atLeast"/>
      </w:pPr>
      <w:bookmarkStart w:id="33" w:name="_Toc210048411"/>
      <w:bookmarkStart w:id="34" w:name="_Toc210048412"/>
      <w:bookmarkStart w:id="35" w:name="_Toc210048413"/>
      <w:bookmarkStart w:id="36" w:name="_Toc210048414"/>
      <w:bookmarkStart w:id="37" w:name="_Toc210048415"/>
      <w:bookmarkStart w:id="38" w:name="_Toc210048492"/>
      <w:bookmarkStart w:id="39" w:name="_Toc212807347"/>
      <w:bookmarkEnd w:id="33"/>
      <w:bookmarkEnd w:id="34"/>
      <w:bookmarkEnd w:id="35"/>
      <w:bookmarkEnd w:id="36"/>
      <w:bookmarkEnd w:id="37"/>
      <w:bookmarkEnd w:id="38"/>
      <w:r>
        <w:t xml:space="preserve">Scoring Methodology </w:t>
      </w:r>
      <w:r w:rsidR="0085027C">
        <w:t>by Performance Measure</w:t>
      </w:r>
      <w:bookmarkEnd w:id="39"/>
      <w:r w:rsidR="0085027C">
        <w:t xml:space="preserve"> </w:t>
      </w:r>
    </w:p>
    <w:p w14:paraId="79844C4A" w14:textId="1A250805" w:rsidR="00896179" w:rsidRPr="00F259E0" w:rsidRDefault="00896179" w:rsidP="00DF44A9">
      <w:pPr>
        <w:pStyle w:val="Heading2"/>
        <w:spacing w:before="200" w:after="200" w:line="23" w:lineRule="atLeast"/>
        <w:rPr>
          <w:rStyle w:val="Heading3Char"/>
          <w:szCs w:val="20"/>
        </w:rPr>
      </w:pPr>
      <w:bookmarkStart w:id="40" w:name="_Toc212807348"/>
      <w:r w:rsidRPr="001F406B">
        <w:rPr>
          <w:rStyle w:val="Heading3Char"/>
          <w:b/>
          <w:bCs w:val="0"/>
          <w:sz w:val="22"/>
          <w:szCs w:val="20"/>
        </w:rPr>
        <w:t>B.1. Scoring Methodology for Performance Measures CCQ</w:t>
      </w:r>
      <w:r w:rsidR="00C44D77">
        <w:rPr>
          <w:rStyle w:val="Heading3Char"/>
          <w:b/>
          <w:bCs w:val="0"/>
          <w:sz w:val="22"/>
          <w:szCs w:val="20"/>
        </w:rPr>
        <w:t>I</w:t>
      </w:r>
      <w:r w:rsidRPr="001F406B">
        <w:rPr>
          <w:rStyle w:val="Heading3Char"/>
          <w:b/>
          <w:bCs w:val="0"/>
          <w:sz w:val="22"/>
          <w:szCs w:val="20"/>
        </w:rPr>
        <w:t>-1 and CCQI-3</w:t>
      </w:r>
      <w:bookmarkEnd w:id="40"/>
    </w:p>
    <w:p w14:paraId="636F9B55" w14:textId="73E9B057" w:rsidR="00896179" w:rsidRDefault="00896179" w:rsidP="00DF44A9">
      <w:pPr>
        <w:spacing w:before="200" w:after="200" w:line="23" w:lineRule="atLeast"/>
        <w:contextualSpacing/>
      </w:pPr>
      <w:r>
        <w:t xml:space="preserve">For the CCQI-1 </w:t>
      </w:r>
      <w:r w:rsidRPr="00E15974">
        <w:rPr>
          <w:i/>
          <w:iCs/>
        </w:rPr>
        <w:t xml:space="preserve">Access Standards </w:t>
      </w:r>
      <w:r>
        <w:t xml:space="preserve">and CCQI-3 </w:t>
      </w:r>
      <w:r w:rsidRPr="00E15974">
        <w:rPr>
          <w:i/>
          <w:iCs/>
        </w:rPr>
        <w:t>Readmission to Acute BH Care</w:t>
      </w:r>
      <w:r>
        <w:rPr>
          <w:i/>
          <w:iCs/>
        </w:rPr>
        <w:t xml:space="preserve"> </w:t>
      </w:r>
      <w:r>
        <w:t>measures, CBHCs can earn attainment points b</w:t>
      </w:r>
      <w:r w:rsidR="001B5CD9">
        <w:t xml:space="preserve">y </w:t>
      </w:r>
      <w:r>
        <w:t xml:space="preserve">meeting </w:t>
      </w:r>
      <w:r w:rsidR="00A5150D">
        <w:t>A</w:t>
      </w:r>
      <w:r>
        <w:t xml:space="preserve">ttainment </w:t>
      </w:r>
      <w:r w:rsidR="00A5150D">
        <w:t>T</w:t>
      </w:r>
      <w:r>
        <w:t xml:space="preserve">argets, </w:t>
      </w:r>
      <w:r w:rsidR="00D907F5">
        <w:t>with</w:t>
      </w:r>
      <w:r>
        <w:t xml:space="preserve"> a maximum of 10 points for each measure.</w:t>
      </w:r>
      <w:r w:rsidR="00E02F1D">
        <w:t xml:space="preserve">  </w:t>
      </w:r>
      <w:r w:rsidR="000B29CB">
        <w:t xml:space="preserve">Attainment </w:t>
      </w:r>
      <w:r w:rsidR="00A5150D">
        <w:t>T</w:t>
      </w:r>
      <w:r w:rsidR="000B29CB">
        <w:t>argets</w:t>
      </w:r>
      <w:r w:rsidR="00A5150D">
        <w:t xml:space="preserve"> include the Attainment Threshold and the Goal Benchmark.  </w:t>
      </w:r>
      <w:r>
        <w:t xml:space="preserve">Additional points can be </w:t>
      </w:r>
      <w:proofErr w:type="gramStart"/>
      <w:r>
        <w:t>earned</w:t>
      </w:r>
      <w:proofErr w:type="gramEnd"/>
      <w:r>
        <w:t xml:space="preserve"> for each measure if </w:t>
      </w:r>
      <w:r w:rsidR="006902AF">
        <w:t>CBHCs can demonstrate improvement</w:t>
      </w:r>
      <w:r>
        <w:t xml:space="preserve"> </w:t>
      </w:r>
      <w:r w:rsidR="00536554">
        <w:t>between performance years</w:t>
      </w:r>
      <w:r>
        <w:t xml:space="preserve">. </w:t>
      </w:r>
    </w:p>
    <w:p w14:paraId="4D5D6017" w14:textId="77777777" w:rsidR="004C6668" w:rsidRDefault="004C6668" w:rsidP="00DF44A9">
      <w:pPr>
        <w:spacing w:before="200" w:after="200" w:line="23" w:lineRule="atLeast"/>
        <w:contextualSpacing/>
      </w:pPr>
    </w:p>
    <w:p w14:paraId="516DE981" w14:textId="77777777" w:rsidR="00297FAD" w:rsidRDefault="00297FAD" w:rsidP="00DF44A9">
      <w:pPr>
        <w:spacing w:before="200" w:after="200" w:line="23" w:lineRule="atLeast"/>
        <w:contextualSpacing/>
      </w:pPr>
    </w:p>
    <w:p w14:paraId="00349598" w14:textId="77777777" w:rsidR="00297FAD" w:rsidRDefault="00297FAD" w:rsidP="00DF44A9">
      <w:pPr>
        <w:spacing w:before="200" w:after="200" w:line="23" w:lineRule="atLeast"/>
        <w:contextualSpacing/>
      </w:pPr>
    </w:p>
    <w:p w14:paraId="3379564E" w14:textId="77777777" w:rsidR="001B6008" w:rsidRDefault="001B6008" w:rsidP="00DF44A9">
      <w:pPr>
        <w:spacing w:before="200" w:after="200" w:line="23" w:lineRule="atLeast"/>
        <w:contextualSpacing/>
      </w:pPr>
    </w:p>
    <w:p w14:paraId="36F21045" w14:textId="3F7C58A7" w:rsidR="004C6668" w:rsidRPr="004C6668" w:rsidRDefault="004C6668" w:rsidP="00DF44A9">
      <w:pPr>
        <w:spacing w:before="200" w:after="200" w:line="23" w:lineRule="atLeast"/>
        <w:contextualSpacing/>
        <w:rPr>
          <w:rStyle w:val="Heading3Char"/>
          <w:rFonts w:asciiTheme="minorHAnsi" w:eastAsiaTheme="minorEastAsia" w:hAnsiTheme="minorHAnsi" w:cstheme="minorBidi"/>
          <w:b w:val="0"/>
          <w:bCs/>
          <w:i/>
          <w:iCs/>
        </w:rPr>
      </w:pPr>
      <w:r w:rsidRPr="00CE3ED6">
        <w:rPr>
          <w:b/>
          <w:bCs/>
        </w:rPr>
        <w:lastRenderedPageBreak/>
        <w:t>Attainment Targets</w:t>
      </w:r>
      <w:r w:rsidR="004303FD">
        <w:rPr>
          <w:b/>
          <w:bCs/>
        </w:rPr>
        <w:t>:</w:t>
      </w:r>
    </w:p>
    <w:p w14:paraId="4BA6EDCF" w14:textId="5F2CF5EC" w:rsidR="00896179" w:rsidRDefault="00896179" w:rsidP="00DF44A9">
      <w:pPr>
        <w:pStyle w:val="ListParagraph"/>
        <w:spacing w:before="200" w:after="200" w:line="23" w:lineRule="atLeast"/>
        <w:rPr>
          <w:rStyle w:val="IntenseEmphasis"/>
          <w:i w:val="0"/>
          <w:iCs w:val="0"/>
          <w:color w:val="auto"/>
        </w:rPr>
      </w:pPr>
      <w:r w:rsidRPr="00823FDC">
        <w:rPr>
          <w:rStyle w:val="IntenseEmphasis"/>
          <w:b/>
          <w:bCs/>
          <w:i w:val="0"/>
          <w:iCs w:val="0"/>
          <w:color w:val="auto"/>
        </w:rPr>
        <w:t>Attainment Threshold:</w:t>
      </w:r>
      <w:r w:rsidRPr="00823FDC">
        <w:rPr>
          <w:rStyle w:val="IntenseEmphasis"/>
          <w:i w:val="0"/>
          <w:iCs w:val="0"/>
          <w:color w:val="auto"/>
        </w:rPr>
        <w:t xml:space="preserve"> The minimum level of performance</w:t>
      </w:r>
      <w:r>
        <w:rPr>
          <w:rStyle w:val="IntenseEmphasis"/>
          <w:i w:val="0"/>
          <w:iCs w:val="0"/>
          <w:color w:val="auto"/>
        </w:rPr>
        <w:t xml:space="preserve"> a</w:t>
      </w:r>
      <w:r w:rsidR="007F107C">
        <w:rPr>
          <w:rStyle w:val="IntenseEmphasis"/>
          <w:i w:val="0"/>
          <w:iCs w:val="0"/>
          <w:color w:val="auto"/>
        </w:rPr>
        <w:t xml:space="preserve">t which </w:t>
      </w:r>
      <w:r w:rsidR="00130F51">
        <w:rPr>
          <w:rStyle w:val="IntenseEmphasis"/>
          <w:i w:val="0"/>
          <w:iCs w:val="0"/>
          <w:color w:val="auto"/>
        </w:rPr>
        <w:t>a</w:t>
      </w:r>
      <w:r>
        <w:rPr>
          <w:rStyle w:val="IntenseEmphasis"/>
          <w:i w:val="0"/>
          <w:iCs w:val="0"/>
          <w:color w:val="auto"/>
        </w:rPr>
        <w:t xml:space="preserve"> CBHC can </w:t>
      </w:r>
      <w:r w:rsidRPr="00823FDC">
        <w:rPr>
          <w:rStyle w:val="IntenseEmphasis"/>
          <w:i w:val="0"/>
          <w:iCs w:val="0"/>
          <w:color w:val="auto"/>
        </w:rPr>
        <w:t xml:space="preserve">earn </w:t>
      </w:r>
      <w:r>
        <w:rPr>
          <w:rStyle w:val="IntenseEmphasis"/>
          <w:i w:val="0"/>
          <w:iCs w:val="0"/>
          <w:color w:val="auto"/>
        </w:rPr>
        <w:t>points</w:t>
      </w:r>
      <w:r w:rsidRPr="00823FDC">
        <w:rPr>
          <w:rStyle w:val="IntenseEmphasis"/>
          <w:i w:val="0"/>
          <w:iCs w:val="0"/>
          <w:color w:val="auto"/>
        </w:rPr>
        <w:t xml:space="preserve"> </w:t>
      </w:r>
      <w:r w:rsidR="001E14C4">
        <w:rPr>
          <w:rStyle w:val="IntenseEmphasis"/>
          <w:i w:val="0"/>
          <w:iCs w:val="0"/>
          <w:color w:val="auto"/>
        </w:rPr>
        <w:t>per</w:t>
      </w:r>
      <w:r w:rsidRPr="00823FDC">
        <w:rPr>
          <w:rStyle w:val="IntenseEmphasis"/>
          <w:i w:val="0"/>
          <w:iCs w:val="0"/>
          <w:color w:val="auto"/>
        </w:rPr>
        <w:t xml:space="preserve"> measure</w:t>
      </w:r>
      <w:r>
        <w:rPr>
          <w:rStyle w:val="IntenseEmphasis"/>
          <w:i w:val="0"/>
          <w:iCs w:val="0"/>
          <w:color w:val="auto"/>
        </w:rPr>
        <w:t>.</w:t>
      </w:r>
    </w:p>
    <w:p w14:paraId="5DFE078C" w14:textId="5B9C1E73" w:rsidR="00896179" w:rsidRDefault="00896179" w:rsidP="00CE3ED6">
      <w:pPr>
        <w:spacing w:before="200" w:after="200" w:line="23" w:lineRule="atLeast"/>
        <w:ind w:left="720"/>
        <w:contextualSpacing/>
        <w:rPr>
          <w:rStyle w:val="IntenseEmphasis"/>
          <w:i w:val="0"/>
          <w:iCs w:val="0"/>
          <w:color w:val="auto"/>
        </w:rPr>
      </w:pPr>
      <w:r w:rsidRPr="161532EA">
        <w:rPr>
          <w:rStyle w:val="IntenseEmphasis"/>
          <w:b/>
          <w:bCs/>
          <w:i w:val="0"/>
          <w:iCs w:val="0"/>
          <w:color w:val="auto"/>
        </w:rPr>
        <w:t>Goal</w:t>
      </w:r>
      <w:r>
        <w:rPr>
          <w:rStyle w:val="IntenseEmphasis"/>
          <w:b/>
          <w:bCs/>
          <w:i w:val="0"/>
          <w:iCs w:val="0"/>
          <w:color w:val="auto"/>
        </w:rPr>
        <w:t xml:space="preserve"> Benchmark</w:t>
      </w:r>
      <w:r w:rsidRPr="161532EA">
        <w:rPr>
          <w:rStyle w:val="IntenseEmphasis"/>
          <w:b/>
          <w:bCs/>
          <w:i w:val="0"/>
          <w:iCs w:val="0"/>
          <w:color w:val="auto"/>
        </w:rPr>
        <w:t>:</w:t>
      </w:r>
      <w:r w:rsidRPr="161532EA">
        <w:rPr>
          <w:rStyle w:val="IntenseEmphasis"/>
          <w:i w:val="0"/>
          <w:iCs w:val="0"/>
          <w:color w:val="auto"/>
        </w:rPr>
        <w:t xml:space="preserve"> The </w:t>
      </w:r>
      <w:r>
        <w:rPr>
          <w:rStyle w:val="IntenseEmphasis"/>
          <w:i w:val="0"/>
          <w:iCs w:val="0"/>
          <w:color w:val="auto"/>
        </w:rPr>
        <w:t xml:space="preserve">highest </w:t>
      </w:r>
      <w:r w:rsidRPr="161532EA">
        <w:rPr>
          <w:rStyle w:val="IntenseEmphasis"/>
          <w:i w:val="0"/>
          <w:iCs w:val="0"/>
          <w:color w:val="auto"/>
        </w:rPr>
        <w:t>level of performance</w:t>
      </w:r>
      <w:r>
        <w:rPr>
          <w:rStyle w:val="IntenseEmphasis"/>
          <w:i w:val="0"/>
          <w:iCs w:val="0"/>
          <w:color w:val="auto"/>
        </w:rPr>
        <w:t xml:space="preserve"> a</w:t>
      </w:r>
      <w:r w:rsidR="00CD06AD">
        <w:rPr>
          <w:rStyle w:val="IntenseEmphasis"/>
          <w:i w:val="0"/>
          <w:iCs w:val="0"/>
          <w:color w:val="auto"/>
        </w:rPr>
        <w:t>t which a</w:t>
      </w:r>
      <w:r>
        <w:rPr>
          <w:rStyle w:val="IntenseEmphasis"/>
          <w:i w:val="0"/>
          <w:iCs w:val="0"/>
          <w:color w:val="auto"/>
        </w:rPr>
        <w:t xml:space="preserve"> CBHC can </w:t>
      </w:r>
      <w:r w:rsidR="00311734">
        <w:rPr>
          <w:rStyle w:val="IntenseEmphasis"/>
          <w:i w:val="0"/>
          <w:iCs w:val="0"/>
          <w:color w:val="auto"/>
        </w:rPr>
        <w:t xml:space="preserve">earn </w:t>
      </w:r>
      <w:r>
        <w:rPr>
          <w:rStyle w:val="IntenseEmphasis"/>
          <w:i w:val="0"/>
          <w:iCs w:val="0"/>
          <w:color w:val="auto"/>
        </w:rPr>
        <w:t xml:space="preserve">the maximum number of 10 points </w:t>
      </w:r>
      <w:r w:rsidR="003A70CE">
        <w:rPr>
          <w:rStyle w:val="IntenseEmphasis"/>
          <w:i w:val="0"/>
          <w:iCs w:val="0"/>
          <w:color w:val="auto"/>
        </w:rPr>
        <w:t>per</w:t>
      </w:r>
      <w:r w:rsidRPr="161532EA">
        <w:rPr>
          <w:rStyle w:val="IntenseEmphasis"/>
          <w:i w:val="0"/>
          <w:iCs w:val="0"/>
          <w:color w:val="auto"/>
        </w:rPr>
        <w:t xml:space="preserve"> measure</w:t>
      </w:r>
      <w:r>
        <w:rPr>
          <w:rStyle w:val="IntenseEmphasis"/>
          <w:i w:val="0"/>
          <w:iCs w:val="0"/>
          <w:color w:val="auto"/>
        </w:rPr>
        <w:t>.</w:t>
      </w:r>
    </w:p>
    <w:p w14:paraId="7F40DF7C" w14:textId="77777777" w:rsidR="00BC2B8B" w:rsidRDefault="00BC2B8B" w:rsidP="00CE3ED6">
      <w:pPr>
        <w:spacing w:before="200" w:after="200" w:line="23" w:lineRule="atLeast"/>
        <w:ind w:left="720"/>
        <w:contextualSpacing/>
        <w:rPr>
          <w:rStyle w:val="IntenseEmphasis"/>
          <w:b/>
          <w:bCs/>
          <w:i w:val="0"/>
          <w:iCs w:val="0"/>
          <w:color w:val="auto"/>
        </w:rPr>
      </w:pPr>
    </w:p>
    <w:p w14:paraId="75746E88" w14:textId="0F490F8D" w:rsidR="00896179" w:rsidRDefault="00896179" w:rsidP="00CE3ED6">
      <w:pPr>
        <w:spacing w:before="200" w:after="200" w:line="23" w:lineRule="atLeast"/>
        <w:contextualSpacing/>
        <w:rPr>
          <w:rStyle w:val="IntenseEmphasis"/>
          <w:i w:val="0"/>
          <w:iCs w:val="0"/>
          <w:color w:val="auto"/>
        </w:rPr>
      </w:pPr>
      <w:r w:rsidRPr="00E15974">
        <w:rPr>
          <w:rStyle w:val="IntenseEmphasis"/>
          <w:i w:val="0"/>
          <w:iCs w:val="0"/>
          <w:color w:val="auto"/>
        </w:rPr>
        <w:t xml:space="preserve">If performance falls below the </w:t>
      </w:r>
      <w:r w:rsidR="004F3ECA">
        <w:rPr>
          <w:rStyle w:val="IntenseEmphasis"/>
          <w:i w:val="0"/>
          <w:iCs w:val="0"/>
          <w:color w:val="auto"/>
        </w:rPr>
        <w:t>A</w:t>
      </w:r>
      <w:r w:rsidRPr="00E15974">
        <w:rPr>
          <w:rStyle w:val="IntenseEmphasis"/>
          <w:i w:val="0"/>
          <w:iCs w:val="0"/>
          <w:color w:val="auto"/>
        </w:rPr>
        <w:t xml:space="preserve">ttainment </w:t>
      </w:r>
      <w:r w:rsidR="004F3ECA">
        <w:rPr>
          <w:rStyle w:val="IntenseEmphasis"/>
          <w:i w:val="0"/>
          <w:iCs w:val="0"/>
          <w:color w:val="auto"/>
        </w:rPr>
        <w:t>T</w:t>
      </w:r>
      <w:r w:rsidRPr="00E15974">
        <w:rPr>
          <w:rStyle w:val="IntenseEmphasis"/>
          <w:i w:val="0"/>
          <w:iCs w:val="0"/>
          <w:color w:val="auto"/>
        </w:rPr>
        <w:t xml:space="preserve">hreshold for an individual measure, then the CBHC will earn 0 attainment points.  </w:t>
      </w:r>
      <w:r>
        <w:rPr>
          <w:rStyle w:val="IntenseEmphasis"/>
          <w:i w:val="0"/>
          <w:iCs w:val="0"/>
          <w:color w:val="auto"/>
        </w:rPr>
        <w:t xml:space="preserve">If performance meets or exceeds the Goal Benchmark, the CBHC will earn </w:t>
      </w:r>
      <w:r w:rsidR="004F3ECA">
        <w:rPr>
          <w:rStyle w:val="IntenseEmphasis"/>
          <w:i w:val="0"/>
          <w:iCs w:val="0"/>
          <w:color w:val="auto"/>
        </w:rPr>
        <w:t xml:space="preserve">the maximum amount of </w:t>
      </w:r>
      <w:r>
        <w:rPr>
          <w:rStyle w:val="IntenseEmphasis"/>
          <w:i w:val="0"/>
          <w:iCs w:val="0"/>
          <w:color w:val="auto"/>
        </w:rPr>
        <w:t>10 attainment points</w:t>
      </w:r>
      <w:r w:rsidR="008E5D8A">
        <w:rPr>
          <w:rStyle w:val="IntenseEmphasis"/>
          <w:i w:val="0"/>
          <w:iCs w:val="0"/>
          <w:color w:val="auto"/>
        </w:rPr>
        <w:t xml:space="preserve"> for that measure</w:t>
      </w:r>
      <w:r>
        <w:rPr>
          <w:rStyle w:val="IntenseEmphasis"/>
          <w:i w:val="0"/>
          <w:iCs w:val="0"/>
          <w:color w:val="auto"/>
        </w:rPr>
        <w:t xml:space="preserve">.  </w:t>
      </w:r>
      <w:r w:rsidRPr="00E15974">
        <w:rPr>
          <w:rStyle w:val="IntenseEmphasis"/>
          <w:i w:val="0"/>
          <w:iCs w:val="0"/>
          <w:color w:val="auto"/>
        </w:rPr>
        <w:t xml:space="preserve">If performance </w:t>
      </w:r>
      <w:r w:rsidR="00D56221">
        <w:rPr>
          <w:rStyle w:val="IntenseEmphasis"/>
          <w:i w:val="0"/>
          <w:iCs w:val="0"/>
          <w:color w:val="auto"/>
        </w:rPr>
        <w:t>meets the</w:t>
      </w:r>
      <w:r w:rsidRPr="00E15974">
        <w:rPr>
          <w:rStyle w:val="IntenseEmphasis"/>
          <w:i w:val="0"/>
          <w:iCs w:val="0"/>
          <w:color w:val="auto"/>
        </w:rPr>
        <w:t xml:space="preserve"> </w:t>
      </w:r>
      <w:r w:rsidR="004F3ECA">
        <w:rPr>
          <w:rStyle w:val="IntenseEmphasis"/>
          <w:i w:val="0"/>
          <w:iCs w:val="0"/>
          <w:color w:val="auto"/>
        </w:rPr>
        <w:t>A</w:t>
      </w:r>
      <w:r w:rsidRPr="00E15974">
        <w:rPr>
          <w:rStyle w:val="IntenseEmphasis"/>
          <w:i w:val="0"/>
          <w:iCs w:val="0"/>
          <w:color w:val="auto"/>
        </w:rPr>
        <w:t xml:space="preserve">ttainment </w:t>
      </w:r>
      <w:r w:rsidR="004F3ECA">
        <w:rPr>
          <w:rStyle w:val="IntenseEmphasis"/>
          <w:i w:val="0"/>
          <w:iCs w:val="0"/>
          <w:color w:val="auto"/>
        </w:rPr>
        <w:t>T</w:t>
      </w:r>
      <w:r w:rsidRPr="00E15974">
        <w:rPr>
          <w:rStyle w:val="IntenseEmphasis"/>
          <w:i w:val="0"/>
          <w:iCs w:val="0"/>
          <w:color w:val="auto"/>
        </w:rPr>
        <w:t xml:space="preserve">hreshold </w:t>
      </w:r>
      <w:r w:rsidR="00D56221">
        <w:rPr>
          <w:rStyle w:val="IntenseEmphasis"/>
          <w:i w:val="0"/>
          <w:iCs w:val="0"/>
          <w:color w:val="auto"/>
        </w:rPr>
        <w:t>but falls below</w:t>
      </w:r>
      <w:r w:rsidRPr="00E15974">
        <w:rPr>
          <w:rStyle w:val="IntenseEmphasis"/>
          <w:i w:val="0"/>
          <w:iCs w:val="0"/>
          <w:color w:val="auto"/>
        </w:rPr>
        <w:t xml:space="preserve"> the </w:t>
      </w:r>
      <w:r>
        <w:rPr>
          <w:rStyle w:val="IntenseEmphasis"/>
          <w:i w:val="0"/>
          <w:iCs w:val="0"/>
          <w:color w:val="auto"/>
        </w:rPr>
        <w:t>G</w:t>
      </w:r>
      <w:r w:rsidRPr="00E15974">
        <w:rPr>
          <w:rStyle w:val="IntenseEmphasis"/>
          <w:i w:val="0"/>
          <w:iCs w:val="0"/>
          <w:color w:val="auto"/>
        </w:rPr>
        <w:t xml:space="preserve">oal </w:t>
      </w:r>
      <w:r>
        <w:rPr>
          <w:rStyle w:val="IntenseEmphasis"/>
          <w:i w:val="0"/>
          <w:iCs w:val="0"/>
          <w:color w:val="auto"/>
        </w:rPr>
        <w:t>B</w:t>
      </w:r>
      <w:r w:rsidRPr="00E15974">
        <w:rPr>
          <w:rStyle w:val="IntenseEmphasis"/>
          <w:i w:val="0"/>
          <w:iCs w:val="0"/>
          <w:color w:val="auto"/>
        </w:rPr>
        <w:t xml:space="preserve">enchmark, then </w:t>
      </w:r>
      <w:r>
        <w:rPr>
          <w:rStyle w:val="IntenseEmphasis"/>
          <w:i w:val="0"/>
          <w:iCs w:val="0"/>
          <w:color w:val="auto"/>
        </w:rPr>
        <w:t xml:space="preserve">attainment points </w:t>
      </w:r>
      <w:r w:rsidR="003C75E0">
        <w:rPr>
          <w:rStyle w:val="IntenseEmphasis"/>
          <w:i w:val="0"/>
          <w:iCs w:val="0"/>
          <w:color w:val="auto"/>
        </w:rPr>
        <w:t>are</w:t>
      </w:r>
      <w:r>
        <w:rPr>
          <w:rStyle w:val="IntenseEmphasis"/>
          <w:i w:val="0"/>
          <w:iCs w:val="0"/>
          <w:color w:val="auto"/>
        </w:rPr>
        <w:t xml:space="preserve"> determined by multiplying the maximum number of points for each measure by the difference between the performance rate and the </w:t>
      </w:r>
      <w:r w:rsidR="004F3ECA">
        <w:rPr>
          <w:rStyle w:val="IntenseEmphasis"/>
          <w:i w:val="0"/>
          <w:iCs w:val="0"/>
          <w:color w:val="auto"/>
        </w:rPr>
        <w:t>A</w:t>
      </w:r>
      <w:r>
        <w:rPr>
          <w:rStyle w:val="IntenseEmphasis"/>
          <w:i w:val="0"/>
          <w:iCs w:val="0"/>
          <w:color w:val="auto"/>
        </w:rPr>
        <w:t xml:space="preserve">ttainment </w:t>
      </w:r>
      <w:r w:rsidR="004F3ECA">
        <w:rPr>
          <w:rStyle w:val="IntenseEmphasis"/>
          <w:i w:val="0"/>
          <w:iCs w:val="0"/>
          <w:color w:val="auto"/>
        </w:rPr>
        <w:t>T</w:t>
      </w:r>
      <w:r>
        <w:rPr>
          <w:rStyle w:val="IntenseEmphasis"/>
          <w:i w:val="0"/>
          <w:iCs w:val="0"/>
          <w:color w:val="auto"/>
        </w:rPr>
        <w:t xml:space="preserve">hreshold out of the difference between the </w:t>
      </w:r>
      <w:r w:rsidR="004F3ECA">
        <w:rPr>
          <w:rStyle w:val="IntenseEmphasis"/>
          <w:i w:val="0"/>
          <w:iCs w:val="0"/>
          <w:color w:val="auto"/>
        </w:rPr>
        <w:t>G</w:t>
      </w:r>
      <w:r>
        <w:rPr>
          <w:rStyle w:val="IntenseEmphasis"/>
          <w:i w:val="0"/>
          <w:iCs w:val="0"/>
          <w:color w:val="auto"/>
        </w:rPr>
        <w:t xml:space="preserve">oal </w:t>
      </w:r>
      <w:r w:rsidR="004F3ECA">
        <w:rPr>
          <w:rStyle w:val="IntenseEmphasis"/>
          <w:i w:val="0"/>
          <w:iCs w:val="0"/>
          <w:color w:val="auto"/>
        </w:rPr>
        <w:t>B</w:t>
      </w:r>
      <w:r>
        <w:rPr>
          <w:rStyle w:val="IntenseEmphasis"/>
          <w:i w:val="0"/>
          <w:iCs w:val="0"/>
          <w:color w:val="auto"/>
        </w:rPr>
        <w:t xml:space="preserve">enchmark and the </w:t>
      </w:r>
      <w:r w:rsidR="004F3ECA">
        <w:rPr>
          <w:rStyle w:val="IntenseEmphasis"/>
          <w:i w:val="0"/>
          <w:iCs w:val="0"/>
          <w:color w:val="auto"/>
        </w:rPr>
        <w:t>A</w:t>
      </w:r>
      <w:r>
        <w:rPr>
          <w:rStyle w:val="IntenseEmphasis"/>
          <w:i w:val="0"/>
          <w:iCs w:val="0"/>
          <w:color w:val="auto"/>
        </w:rPr>
        <w:t xml:space="preserve">ttainment </w:t>
      </w:r>
      <w:r w:rsidR="004F3ECA">
        <w:rPr>
          <w:rStyle w:val="IntenseEmphasis"/>
          <w:i w:val="0"/>
          <w:iCs w:val="0"/>
          <w:color w:val="auto"/>
        </w:rPr>
        <w:t>T</w:t>
      </w:r>
      <w:r>
        <w:rPr>
          <w:rStyle w:val="IntenseEmphasis"/>
          <w:i w:val="0"/>
          <w:iCs w:val="0"/>
          <w:color w:val="auto"/>
        </w:rPr>
        <w:t>hreshold</w:t>
      </w:r>
      <w:r w:rsidR="00565065">
        <w:rPr>
          <w:rStyle w:val="IntenseEmphasis"/>
          <w:i w:val="0"/>
          <w:iCs w:val="0"/>
          <w:color w:val="auto"/>
        </w:rPr>
        <w:t>.</w:t>
      </w:r>
    </w:p>
    <w:p w14:paraId="0EC14E19" w14:textId="77777777" w:rsidR="00896179" w:rsidRDefault="00896179" w:rsidP="00CE3ED6">
      <w:pPr>
        <w:spacing w:before="200" w:after="200" w:line="23" w:lineRule="atLeast"/>
        <w:contextualSpacing/>
        <w:rPr>
          <w:rStyle w:val="IntenseEmphasis"/>
          <w:i w:val="0"/>
          <w:iCs w:val="0"/>
          <w:color w:val="auto"/>
        </w:rPr>
      </w:pPr>
    </w:p>
    <w:p w14:paraId="24B00003" w14:textId="77777777" w:rsidR="001B6008" w:rsidRDefault="001B6008" w:rsidP="00CE3ED6">
      <w:pPr>
        <w:spacing w:before="200" w:after="200" w:line="23" w:lineRule="atLeast"/>
        <w:contextualSpacing/>
        <w:rPr>
          <w:rStyle w:val="IntenseEmphasis"/>
          <w:i w:val="0"/>
          <w:iCs w:val="0"/>
          <w:color w:val="auto"/>
        </w:rPr>
      </w:pPr>
    </w:p>
    <w:p w14:paraId="28DDBDC5" w14:textId="4E7DC462" w:rsidR="00896179" w:rsidRPr="00E15974" w:rsidRDefault="00896179" w:rsidP="00CE3ED6">
      <w:pPr>
        <w:spacing w:before="200" w:after="200" w:line="23" w:lineRule="atLeast"/>
        <w:contextualSpacing/>
        <w:jc w:val="center"/>
        <w:rPr>
          <w:rStyle w:val="IntenseEmphasis"/>
          <w:b/>
          <w:bCs/>
          <w:i w:val="0"/>
          <w:iCs w:val="0"/>
          <w:color w:val="auto"/>
          <w:sz w:val="20"/>
          <w:szCs w:val="20"/>
          <w:u w:val="single"/>
        </w:rPr>
      </w:pPr>
      <w:r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Attainment Points = 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(Max</w:t>
      </w:r>
      <w:r w:rsidR="00395810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imum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 </w:t>
      </w:r>
      <w:r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# </w:t>
      </w:r>
      <w:r w:rsidR="008143EB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of P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oints</w:t>
      </w:r>
      <w:r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8143EB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per</w:t>
      </w:r>
      <w:r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8143EB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M</w:t>
      </w:r>
      <w:r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easure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)</w:t>
      </w:r>
      <w:r w:rsidRPr="00122C5E">
        <w:rPr>
          <w:rStyle w:val="IntenseEmphasis"/>
          <w:b/>
          <w:bCs/>
          <w:i w:val="0"/>
          <w:iCs w:val="0"/>
          <w:color w:val="auto"/>
        </w:rPr>
        <w:t xml:space="preserve"> </w:t>
      </w:r>
      <w:r w:rsidR="00122C5E" w:rsidRPr="00CD7306">
        <w:rPr>
          <w:rStyle w:val="IntenseEmphasis"/>
          <w:rFonts w:cstheme="minorHAnsi"/>
          <w:b/>
          <w:bCs/>
          <w:i w:val="0"/>
          <w:iCs w:val="0"/>
          <w:color w:val="auto"/>
        </w:rPr>
        <w:t>×</w:t>
      </w:r>
      <w:r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  <w:u w:val="single"/>
        </w:rPr>
        <w:t xml:space="preserve">(Performance </w:t>
      </w:r>
      <w:r>
        <w:rPr>
          <w:rStyle w:val="IntenseEmphasis"/>
          <w:b/>
          <w:bCs/>
          <w:i w:val="0"/>
          <w:iCs w:val="0"/>
          <w:color w:val="auto"/>
          <w:sz w:val="20"/>
          <w:szCs w:val="20"/>
          <w:u w:val="single"/>
        </w:rPr>
        <w:t>Rate –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  <w:u w:val="single"/>
        </w:rPr>
        <w:t xml:space="preserve"> Attainment Threshold)</w:t>
      </w:r>
    </w:p>
    <w:p w14:paraId="5DC5FA3E" w14:textId="63F62FCA" w:rsidR="00896179" w:rsidRPr="00E15974" w:rsidRDefault="00896179" w:rsidP="00CE3ED6">
      <w:pPr>
        <w:spacing w:before="200" w:after="200" w:line="23" w:lineRule="atLeast"/>
        <w:ind w:left="1440" w:firstLine="720"/>
        <w:contextualSpacing/>
        <w:jc w:val="center"/>
        <w:rPr>
          <w:rStyle w:val="IntenseEmphasis"/>
          <w:b/>
          <w:bCs/>
          <w:i w:val="0"/>
          <w:iCs w:val="0"/>
          <w:color w:val="auto"/>
          <w:sz w:val="20"/>
          <w:szCs w:val="20"/>
        </w:rPr>
      </w:pP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ab/>
      </w:r>
      <w:r>
        <w:rPr>
          <w:rStyle w:val="IntenseEmphasis"/>
          <w:b/>
          <w:bCs/>
          <w:i w:val="0"/>
          <w:iCs w:val="0"/>
          <w:color w:val="auto"/>
          <w:sz w:val="20"/>
          <w:szCs w:val="20"/>
        </w:rPr>
        <w:tab/>
      </w:r>
      <w:r>
        <w:rPr>
          <w:rStyle w:val="IntenseEmphasis"/>
          <w:b/>
          <w:bCs/>
          <w:i w:val="0"/>
          <w:iCs w:val="0"/>
          <w:color w:val="auto"/>
          <w:sz w:val="20"/>
          <w:szCs w:val="20"/>
        </w:rPr>
        <w:tab/>
        <w:t xml:space="preserve">             </w:t>
      </w:r>
      <w:r w:rsidR="00B863A8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5601CD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         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(Goal Benchmark – Attainment Threshold)</w:t>
      </w:r>
    </w:p>
    <w:p w14:paraId="0F1E07E6" w14:textId="77777777" w:rsidR="00896179" w:rsidRDefault="00896179" w:rsidP="00CE3ED6">
      <w:pPr>
        <w:spacing w:before="200" w:after="200" w:line="23" w:lineRule="atLeast"/>
        <w:ind w:left="720"/>
        <w:contextualSpacing/>
        <w:rPr>
          <w:rStyle w:val="IntenseEmphasis"/>
          <w:b/>
          <w:bCs/>
          <w:i w:val="0"/>
          <w:iCs w:val="0"/>
          <w:color w:val="auto"/>
        </w:rPr>
      </w:pPr>
    </w:p>
    <w:p w14:paraId="21E84CE6" w14:textId="77777777" w:rsidR="001B6008" w:rsidRDefault="001B6008" w:rsidP="00CE3ED6">
      <w:pPr>
        <w:spacing w:before="200" w:after="200" w:line="23" w:lineRule="atLeast"/>
        <w:contextualSpacing/>
        <w:rPr>
          <w:rStyle w:val="IntenseEmphasis"/>
          <w:i w:val="0"/>
          <w:iCs w:val="0"/>
          <w:color w:val="auto"/>
        </w:rPr>
      </w:pPr>
    </w:p>
    <w:p w14:paraId="1DDC337B" w14:textId="0EFD2E5D" w:rsidR="00B62EB7" w:rsidRPr="00F61D55" w:rsidRDefault="00B62EB7" w:rsidP="00CE3ED6">
      <w:pPr>
        <w:spacing w:before="200" w:after="200" w:line="23" w:lineRule="atLeast"/>
        <w:contextualSpacing/>
        <w:rPr>
          <w:rStyle w:val="IntenseEmphasis"/>
          <w:i w:val="0"/>
          <w:iCs w:val="0"/>
          <w:color w:val="auto"/>
        </w:rPr>
      </w:pPr>
      <w:r w:rsidRPr="00F61D55">
        <w:rPr>
          <w:rStyle w:val="IntenseEmphasis"/>
          <w:i w:val="0"/>
          <w:iCs w:val="0"/>
          <w:color w:val="auto"/>
        </w:rPr>
        <w:t xml:space="preserve">In addition to attainment points, </w:t>
      </w:r>
      <w:r w:rsidR="00F61D55" w:rsidRPr="00F61D55">
        <w:rPr>
          <w:rStyle w:val="IntenseEmphasis"/>
          <w:i w:val="0"/>
          <w:iCs w:val="0"/>
          <w:color w:val="auto"/>
        </w:rPr>
        <w:t xml:space="preserve">CBHCs can also earn improvement points if the Improvement Target is met based on improved performance compared to past performance years </w:t>
      </w:r>
      <w:r w:rsidR="00DE3995">
        <w:rPr>
          <w:rStyle w:val="IntenseEmphasis"/>
          <w:i w:val="0"/>
          <w:iCs w:val="0"/>
          <w:color w:val="auto"/>
        </w:rPr>
        <w:t>(</w:t>
      </w:r>
      <w:r w:rsidR="00F61D55" w:rsidRPr="00F61D55">
        <w:rPr>
          <w:rStyle w:val="IntenseEmphasis"/>
          <w:i w:val="0"/>
          <w:iCs w:val="0"/>
          <w:color w:val="auto"/>
        </w:rPr>
        <w:t xml:space="preserve">even </w:t>
      </w:r>
      <w:r w:rsidR="00766761">
        <w:rPr>
          <w:rStyle w:val="IntenseEmphasis"/>
          <w:i w:val="0"/>
          <w:iCs w:val="0"/>
          <w:color w:val="auto"/>
        </w:rPr>
        <w:t>where</w:t>
      </w:r>
      <w:r w:rsidR="00F61D55" w:rsidRPr="00F61D55">
        <w:rPr>
          <w:rStyle w:val="IntenseEmphasis"/>
          <w:i w:val="0"/>
          <w:iCs w:val="0"/>
          <w:color w:val="auto"/>
        </w:rPr>
        <w:t xml:space="preserve"> the </w:t>
      </w:r>
      <w:r w:rsidR="004303FD">
        <w:rPr>
          <w:rStyle w:val="IntenseEmphasis"/>
          <w:i w:val="0"/>
          <w:iCs w:val="0"/>
          <w:color w:val="auto"/>
        </w:rPr>
        <w:t>A</w:t>
      </w:r>
      <w:r w:rsidR="00F61D55" w:rsidRPr="00F61D55">
        <w:rPr>
          <w:rStyle w:val="IntenseEmphasis"/>
          <w:i w:val="0"/>
          <w:iCs w:val="0"/>
          <w:color w:val="auto"/>
        </w:rPr>
        <w:t xml:space="preserve">ttainment </w:t>
      </w:r>
      <w:r w:rsidR="004303FD">
        <w:rPr>
          <w:rStyle w:val="IntenseEmphasis"/>
          <w:i w:val="0"/>
          <w:iCs w:val="0"/>
          <w:color w:val="auto"/>
        </w:rPr>
        <w:t>T</w:t>
      </w:r>
      <w:r w:rsidR="00F61D55" w:rsidRPr="00F61D55">
        <w:rPr>
          <w:rStyle w:val="IntenseEmphasis"/>
          <w:i w:val="0"/>
          <w:iCs w:val="0"/>
          <w:color w:val="auto"/>
        </w:rPr>
        <w:t>hreshold is not met</w:t>
      </w:r>
      <w:r w:rsidR="00C6397F">
        <w:rPr>
          <w:rStyle w:val="IntenseEmphasis"/>
          <w:i w:val="0"/>
          <w:iCs w:val="0"/>
          <w:color w:val="auto"/>
        </w:rPr>
        <w:t xml:space="preserve"> or the Goal Benchmark is exceeded).</w:t>
      </w:r>
      <w:r w:rsidR="00E918A0">
        <w:rPr>
          <w:rStyle w:val="IntenseEmphasis"/>
          <w:i w:val="0"/>
          <w:iCs w:val="0"/>
          <w:color w:val="auto"/>
        </w:rPr>
        <w:t xml:space="preserve"> </w:t>
      </w:r>
    </w:p>
    <w:p w14:paraId="6BF4E2C9" w14:textId="77777777" w:rsidR="00F61D55" w:rsidRDefault="00F61D55" w:rsidP="00CE3ED6">
      <w:pPr>
        <w:spacing w:before="200" w:after="200" w:line="23" w:lineRule="atLeast"/>
        <w:ind w:left="720"/>
        <w:contextualSpacing/>
        <w:rPr>
          <w:rStyle w:val="IntenseEmphasis"/>
          <w:b/>
          <w:bCs/>
          <w:i w:val="0"/>
          <w:iCs w:val="0"/>
          <w:color w:val="auto"/>
        </w:rPr>
      </w:pPr>
    </w:p>
    <w:p w14:paraId="0E21C133" w14:textId="1A4391EA" w:rsidR="00896179" w:rsidRDefault="00896179" w:rsidP="00CE3ED6">
      <w:pPr>
        <w:spacing w:before="200" w:after="200" w:line="23" w:lineRule="atLeast"/>
        <w:ind w:left="720"/>
        <w:contextualSpacing/>
        <w:rPr>
          <w:rStyle w:val="IntenseEmphasis"/>
          <w:i w:val="0"/>
          <w:iCs w:val="0"/>
          <w:color w:val="auto"/>
        </w:rPr>
      </w:pPr>
      <w:r w:rsidRPr="00721E1D">
        <w:rPr>
          <w:rStyle w:val="IntenseEmphasis"/>
          <w:b/>
          <w:bCs/>
          <w:i w:val="0"/>
          <w:iCs w:val="0"/>
          <w:color w:val="auto"/>
        </w:rPr>
        <w:t>Improvement Target:</w:t>
      </w:r>
      <w:r w:rsidRPr="00721E1D">
        <w:rPr>
          <w:rStyle w:val="IntenseEmphasis"/>
          <w:i w:val="0"/>
          <w:iCs w:val="0"/>
          <w:color w:val="auto"/>
        </w:rPr>
        <w:t xml:space="preserve"> The percentage that demonstrates improvement between performance years for each measure</w:t>
      </w:r>
      <w:r w:rsidR="00865C3B">
        <w:rPr>
          <w:rStyle w:val="IntenseEmphasis"/>
          <w:i w:val="0"/>
          <w:iCs w:val="0"/>
          <w:color w:val="auto"/>
        </w:rPr>
        <w:t xml:space="preserve"> that</w:t>
      </w:r>
      <w:r w:rsidR="00703775">
        <w:rPr>
          <w:rStyle w:val="IntenseEmphasis"/>
          <w:i w:val="0"/>
          <w:iCs w:val="0"/>
          <w:color w:val="auto"/>
        </w:rPr>
        <w:t xml:space="preserve"> a CBHC must meet to earn improvement points. </w:t>
      </w:r>
      <w:r w:rsidR="00865C3B">
        <w:rPr>
          <w:rStyle w:val="IntenseEmphasis"/>
          <w:i w:val="0"/>
          <w:iCs w:val="0"/>
          <w:color w:val="auto"/>
        </w:rPr>
        <w:t>A</w:t>
      </w:r>
      <w:r w:rsidR="00703775">
        <w:rPr>
          <w:rStyle w:val="IntenseEmphasis"/>
          <w:i w:val="0"/>
          <w:iCs w:val="0"/>
          <w:color w:val="auto"/>
        </w:rPr>
        <w:t xml:space="preserve"> </w:t>
      </w:r>
      <w:r w:rsidRPr="00721E1D">
        <w:rPr>
          <w:rStyle w:val="IntenseEmphasis"/>
          <w:i w:val="0"/>
          <w:iCs w:val="0"/>
          <w:color w:val="auto"/>
        </w:rPr>
        <w:t xml:space="preserve">CBHC </w:t>
      </w:r>
      <w:r>
        <w:rPr>
          <w:rStyle w:val="IntenseEmphasis"/>
          <w:i w:val="0"/>
          <w:iCs w:val="0"/>
          <w:color w:val="auto"/>
        </w:rPr>
        <w:t>can</w:t>
      </w:r>
      <w:r w:rsidRPr="00721E1D">
        <w:rPr>
          <w:rStyle w:val="IntenseEmphasis"/>
          <w:i w:val="0"/>
          <w:iCs w:val="0"/>
          <w:color w:val="auto"/>
        </w:rPr>
        <w:t xml:space="preserve"> earn</w:t>
      </w:r>
      <w:r>
        <w:rPr>
          <w:rStyle w:val="IntenseEmphasis"/>
          <w:i w:val="0"/>
          <w:iCs w:val="0"/>
          <w:color w:val="auto"/>
        </w:rPr>
        <w:t xml:space="preserve"> a total of 5 </w:t>
      </w:r>
      <w:r w:rsidRPr="00721E1D">
        <w:rPr>
          <w:rStyle w:val="IntenseEmphasis"/>
          <w:i w:val="0"/>
          <w:iCs w:val="0"/>
          <w:color w:val="auto"/>
        </w:rPr>
        <w:t>points</w:t>
      </w:r>
      <w:r>
        <w:rPr>
          <w:rStyle w:val="IntenseEmphasis"/>
          <w:i w:val="0"/>
          <w:iCs w:val="0"/>
          <w:color w:val="auto"/>
        </w:rPr>
        <w:t xml:space="preserve"> </w:t>
      </w:r>
      <w:r>
        <w:t xml:space="preserve">if the </w:t>
      </w:r>
      <w:r w:rsidR="00F82E50">
        <w:t>I</w:t>
      </w:r>
      <w:r>
        <w:t xml:space="preserve">mprovement </w:t>
      </w:r>
      <w:r w:rsidR="00F82E50">
        <w:t>T</w:t>
      </w:r>
      <w:r>
        <w:t>arget is met or exceeded</w:t>
      </w:r>
      <w:r w:rsidR="00361BCF">
        <w:t xml:space="preserve">.  The sum of attainment and improvement points </w:t>
      </w:r>
      <w:r w:rsidR="00125A57">
        <w:t xml:space="preserve">may </w:t>
      </w:r>
      <w:r w:rsidR="00572398">
        <w:t>exceed the maximum amount of 10 points for each measure.</w:t>
      </w:r>
      <w:r>
        <w:t xml:space="preserve"> </w:t>
      </w:r>
      <w:r w:rsidRPr="00721E1D">
        <w:rPr>
          <w:rStyle w:val="IntenseEmphasis"/>
          <w:i w:val="0"/>
          <w:iCs w:val="0"/>
          <w:color w:val="auto"/>
        </w:rPr>
        <w:t xml:space="preserve">The </w:t>
      </w:r>
      <w:r w:rsidR="00F82E50">
        <w:rPr>
          <w:rStyle w:val="IntenseEmphasis"/>
          <w:i w:val="0"/>
          <w:iCs w:val="0"/>
          <w:color w:val="auto"/>
        </w:rPr>
        <w:t>I</w:t>
      </w:r>
      <w:r w:rsidRPr="00721E1D">
        <w:rPr>
          <w:rStyle w:val="IntenseEmphasis"/>
          <w:i w:val="0"/>
          <w:iCs w:val="0"/>
          <w:color w:val="auto"/>
        </w:rPr>
        <w:t xml:space="preserve">mprovement </w:t>
      </w:r>
      <w:r w:rsidR="00F82E50">
        <w:rPr>
          <w:rStyle w:val="IntenseEmphasis"/>
          <w:i w:val="0"/>
          <w:iCs w:val="0"/>
          <w:color w:val="auto"/>
        </w:rPr>
        <w:t>T</w:t>
      </w:r>
      <w:r w:rsidRPr="00721E1D">
        <w:rPr>
          <w:rStyle w:val="IntenseEmphasis"/>
          <w:i w:val="0"/>
          <w:iCs w:val="0"/>
          <w:color w:val="auto"/>
        </w:rPr>
        <w:t xml:space="preserve">arget is based on the </w:t>
      </w:r>
      <w:r>
        <w:rPr>
          <w:rStyle w:val="IntenseEmphasis"/>
          <w:i w:val="0"/>
          <w:iCs w:val="0"/>
          <w:color w:val="auto"/>
        </w:rPr>
        <w:t>g</w:t>
      </w:r>
      <w:r w:rsidRPr="00721E1D">
        <w:rPr>
          <w:rStyle w:val="IntenseEmphasis"/>
          <w:i w:val="0"/>
          <w:iCs w:val="0"/>
          <w:color w:val="auto"/>
        </w:rPr>
        <w:t xml:space="preserve">ap between the </w:t>
      </w:r>
      <w:r>
        <w:rPr>
          <w:rStyle w:val="IntenseEmphasis"/>
          <w:i w:val="0"/>
          <w:iCs w:val="0"/>
          <w:color w:val="auto"/>
        </w:rPr>
        <w:t>A</w:t>
      </w:r>
      <w:r w:rsidRPr="00721E1D">
        <w:rPr>
          <w:rStyle w:val="IntenseEmphasis"/>
          <w:i w:val="0"/>
          <w:iCs w:val="0"/>
          <w:color w:val="auto"/>
        </w:rPr>
        <w:t xml:space="preserve">ttainment </w:t>
      </w:r>
      <w:r>
        <w:rPr>
          <w:rStyle w:val="IntenseEmphasis"/>
          <w:i w:val="0"/>
          <w:iCs w:val="0"/>
          <w:color w:val="auto"/>
        </w:rPr>
        <w:t>T</w:t>
      </w:r>
      <w:r w:rsidRPr="00721E1D">
        <w:rPr>
          <w:rStyle w:val="IntenseEmphasis"/>
          <w:i w:val="0"/>
          <w:iCs w:val="0"/>
          <w:color w:val="auto"/>
        </w:rPr>
        <w:t xml:space="preserve">hreshold and the </w:t>
      </w:r>
      <w:r>
        <w:rPr>
          <w:rStyle w:val="IntenseEmphasis"/>
          <w:i w:val="0"/>
          <w:iCs w:val="0"/>
          <w:color w:val="auto"/>
        </w:rPr>
        <w:t>G</w:t>
      </w:r>
      <w:r w:rsidRPr="00721E1D">
        <w:rPr>
          <w:rStyle w:val="IntenseEmphasis"/>
          <w:i w:val="0"/>
          <w:iCs w:val="0"/>
          <w:color w:val="auto"/>
        </w:rPr>
        <w:t xml:space="preserve">oal </w:t>
      </w:r>
      <w:r>
        <w:rPr>
          <w:rStyle w:val="IntenseEmphasis"/>
          <w:i w:val="0"/>
          <w:iCs w:val="0"/>
          <w:color w:val="auto"/>
        </w:rPr>
        <w:t>B</w:t>
      </w:r>
      <w:r w:rsidRPr="00721E1D">
        <w:rPr>
          <w:rStyle w:val="IntenseEmphasis"/>
          <w:i w:val="0"/>
          <w:iCs w:val="0"/>
          <w:color w:val="auto"/>
        </w:rPr>
        <w:t xml:space="preserve">enchmark out of the total number of </w:t>
      </w:r>
      <w:r w:rsidR="00890E41">
        <w:rPr>
          <w:rStyle w:val="IntenseEmphasis"/>
          <w:i w:val="0"/>
          <w:iCs w:val="0"/>
          <w:color w:val="auto"/>
        </w:rPr>
        <w:t>program years</w:t>
      </w:r>
      <w:r w:rsidRPr="00721E1D">
        <w:rPr>
          <w:rStyle w:val="IntenseEmphasis"/>
          <w:i w:val="0"/>
          <w:iCs w:val="0"/>
          <w:color w:val="auto"/>
        </w:rPr>
        <w:t>:</w:t>
      </w:r>
    </w:p>
    <w:p w14:paraId="458A5BC7" w14:textId="77777777" w:rsidR="007B2C79" w:rsidRDefault="007B2C79" w:rsidP="00CE3ED6">
      <w:pPr>
        <w:spacing w:before="200" w:after="200" w:line="23" w:lineRule="atLeast"/>
        <w:ind w:left="720"/>
        <w:contextualSpacing/>
        <w:rPr>
          <w:rStyle w:val="IntenseEmphasis"/>
          <w:i w:val="0"/>
          <w:iCs w:val="0"/>
          <w:color w:val="auto"/>
        </w:rPr>
      </w:pPr>
    </w:p>
    <w:p w14:paraId="53C3D985" w14:textId="77777777" w:rsidR="001B6008" w:rsidRDefault="001B6008" w:rsidP="00CE3ED6">
      <w:pPr>
        <w:spacing w:before="200" w:after="200" w:line="23" w:lineRule="atLeast"/>
        <w:ind w:left="720"/>
        <w:contextualSpacing/>
        <w:rPr>
          <w:rStyle w:val="IntenseEmphasis"/>
          <w:i w:val="0"/>
          <w:iCs w:val="0"/>
          <w:color w:val="auto"/>
        </w:rPr>
      </w:pPr>
    </w:p>
    <w:p w14:paraId="78A402DC" w14:textId="77777777" w:rsidR="00896179" w:rsidRPr="00E15974" w:rsidRDefault="00896179" w:rsidP="00CE3ED6">
      <w:pPr>
        <w:pStyle w:val="ListParagraph"/>
        <w:spacing w:before="200" w:after="200" w:line="23" w:lineRule="atLeast"/>
        <w:ind w:left="810"/>
        <w:jc w:val="center"/>
        <w:rPr>
          <w:rStyle w:val="IntenseEmphasis"/>
          <w:b/>
          <w:bCs/>
          <w:i w:val="0"/>
          <w:iCs w:val="0"/>
          <w:color w:val="auto"/>
          <w:sz w:val="20"/>
          <w:szCs w:val="20"/>
          <w:u w:val="single"/>
        </w:rPr>
      </w:pP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Improvement Target = 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  <w:u w:val="single"/>
        </w:rPr>
        <w:t>(Goal Benchmark – Attainment Threshold)</w:t>
      </w:r>
    </w:p>
    <w:p w14:paraId="470EB7F8" w14:textId="57620436" w:rsidR="00896179" w:rsidRPr="00E15974" w:rsidRDefault="00896179" w:rsidP="00CE3ED6">
      <w:pPr>
        <w:pStyle w:val="ListParagraph"/>
        <w:spacing w:before="200" w:after="200" w:line="23" w:lineRule="atLeast"/>
        <w:ind w:left="810"/>
        <w:jc w:val="center"/>
        <w:rPr>
          <w:b/>
          <w:bCs/>
          <w:sz w:val="20"/>
          <w:szCs w:val="20"/>
        </w:rPr>
      </w:pP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                                      (T</w:t>
      </w:r>
      <w:r w:rsidR="0052153A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otal </w:t>
      </w:r>
      <w:r w:rsidR="00584F2B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#</w:t>
      </w:r>
      <w:r w:rsidR="0052153A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 of </w:t>
      </w:r>
      <w:r w:rsidR="00584F2B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P</w:t>
      </w:r>
      <w:r w:rsidR="0052153A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 xml:space="preserve">rogram </w:t>
      </w:r>
      <w:r w:rsidR="00584F2B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Y</w:t>
      </w:r>
      <w:r w:rsidR="0052153A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ears</w:t>
      </w:r>
      <w:r w:rsidRPr="00E15974">
        <w:rPr>
          <w:rStyle w:val="IntenseEmphasis"/>
          <w:b/>
          <w:bCs/>
          <w:i w:val="0"/>
          <w:iCs w:val="0"/>
          <w:color w:val="auto"/>
          <w:sz w:val="20"/>
          <w:szCs w:val="20"/>
        </w:rPr>
        <w:t>)</w:t>
      </w:r>
    </w:p>
    <w:p w14:paraId="49B9E7BB" w14:textId="77777777" w:rsidR="004267E6" w:rsidRDefault="004267E6" w:rsidP="00CE3ED6">
      <w:pPr>
        <w:pStyle w:val="ListParagraph"/>
        <w:spacing w:before="200" w:after="200" w:line="23" w:lineRule="atLeast"/>
        <w:ind w:left="3240"/>
      </w:pPr>
    </w:p>
    <w:p w14:paraId="17245384" w14:textId="77777777" w:rsidR="001B6008" w:rsidRDefault="001B6008" w:rsidP="00CE3ED6">
      <w:pPr>
        <w:pStyle w:val="ListParagraph"/>
        <w:spacing w:before="200" w:after="200" w:line="23" w:lineRule="atLeast"/>
        <w:ind w:left="3240"/>
      </w:pPr>
    </w:p>
    <w:p w14:paraId="384F96DA" w14:textId="0B2CD342" w:rsidR="00896179" w:rsidRPr="004C2F30" w:rsidRDefault="00896179" w:rsidP="00CE3ED6">
      <w:pPr>
        <w:spacing w:before="200" w:after="200" w:line="23" w:lineRule="atLeast"/>
        <w:contextualSpacing/>
        <w:rPr>
          <w:rStyle w:val="IntenseEmphasis"/>
          <w:i w:val="0"/>
          <w:iCs w:val="0"/>
          <w:color w:val="auto"/>
        </w:rPr>
      </w:pPr>
      <w:r>
        <w:t xml:space="preserve">To prevent rewarding regression in </w:t>
      </w:r>
      <w:r w:rsidR="00592048">
        <w:t xml:space="preserve">subsequent </w:t>
      </w:r>
      <w:r>
        <w:t>performance</w:t>
      </w:r>
      <w:r w:rsidR="00592048">
        <w:t xml:space="preserve"> years</w:t>
      </w:r>
      <w:r>
        <w:t xml:space="preserve">, the </w:t>
      </w:r>
      <w:r w:rsidR="004F3ECA">
        <w:t>I</w:t>
      </w:r>
      <w:r w:rsidRPr="00E15974">
        <w:t xml:space="preserve">mprovement </w:t>
      </w:r>
      <w:r w:rsidR="004F3ECA">
        <w:t>T</w:t>
      </w:r>
      <w:r w:rsidRPr="00E15974">
        <w:t xml:space="preserve">arget is </w:t>
      </w:r>
      <w:r>
        <w:t>determined by</w:t>
      </w:r>
      <w:r w:rsidRPr="00E15974">
        <w:t xml:space="preserve"> </w:t>
      </w:r>
      <w:r>
        <w:t>comparing the most recent performance year to the</w:t>
      </w:r>
      <w:r w:rsidRPr="00E15974">
        <w:t xml:space="preserve"> </w:t>
      </w:r>
      <w:r w:rsidR="00175759">
        <w:t xml:space="preserve">previous </w:t>
      </w:r>
      <w:r w:rsidRPr="00E15974">
        <w:t>highes</w:t>
      </w:r>
      <w:r w:rsidR="00175759">
        <w:t>t</w:t>
      </w:r>
      <w:r w:rsidRPr="00E15974">
        <w:t xml:space="preserve"> perform</w:t>
      </w:r>
      <w:r>
        <w:t>ing</w:t>
      </w:r>
      <w:r w:rsidRPr="00E15974">
        <w:t xml:space="preserve"> year</w:t>
      </w:r>
      <w:r>
        <w:t xml:space="preserve">.  </w:t>
      </w:r>
      <w:r w:rsidR="00DC1807">
        <w:t>As such,</w:t>
      </w:r>
      <w:r w:rsidR="007D55C9">
        <w:t xml:space="preserve"> </w:t>
      </w:r>
      <w:r w:rsidR="00DC1807">
        <w:t>i</w:t>
      </w:r>
      <w:r w:rsidR="007D55C9">
        <w:t xml:space="preserve">mprovement </w:t>
      </w:r>
      <w:r w:rsidR="00952306">
        <w:t>is based on the difference between</w:t>
      </w:r>
      <w:r w:rsidR="00BB53E6">
        <w:t xml:space="preserve"> performance in</w:t>
      </w:r>
      <w:r w:rsidR="00952306">
        <w:t xml:space="preserve"> the current</w:t>
      </w:r>
      <w:r w:rsidR="00BB53E6">
        <w:t xml:space="preserve"> </w:t>
      </w:r>
      <w:r w:rsidR="00952306">
        <w:t xml:space="preserve">year and the </w:t>
      </w:r>
      <w:r w:rsidR="00265A3F">
        <w:t xml:space="preserve">previous </w:t>
      </w:r>
      <w:r w:rsidR="00DF519D">
        <w:t xml:space="preserve">highest </w:t>
      </w:r>
      <w:proofErr w:type="gramStart"/>
      <w:r w:rsidR="00952306">
        <w:t>performing</w:t>
      </w:r>
      <w:proofErr w:type="gramEnd"/>
      <w:r w:rsidR="00952306">
        <w:t xml:space="preserve"> year.</w:t>
      </w:r>
      <w:r w:rsidR="00175759" w:rsidRPr="004C2F30">
        <w:rPr>
          <w:rStyle w:val="IntenseEmphasis"/>
          <w:i w:val="0"/>
          <w:iCs w:val="0"/>
          <w:color w:val="auto"/>
        </w:rPr>
        <w:t xml:space="preserve">  </w:t>
      </w:r>
      <w:r w:rsidRPr="004C2F30">
        <w:rPr>
          <w:rStyle w:val="IntenseEmphasis"/>
          <w:i w:val="0"/>
          <w:iCs w:val="0"/>
          <w:color w:val="auto"/>
        </w:rPr>
        <w:t xml:space="preserve">CBHCs can also earn improvement points for each measure under </w:t>
      </w:r>
      <w:r w:rsidR="00DA7FF3" w:rsidRPr="004C2F30">
        <w:rPr>
          <w:rStyle w:val="IntenseEmphasis"/>
          <w:i w:val="0"/>
          <w:iCs w:val="0"/>
          <w:color w:val="auto"/>
        </w:rPr>
        <w:t>the following circumstances:</w:t>
      </w:r>
    </w:p>
    <w:p w14:paraId="6B2B6BAC" w14:textId="77777777" w:rsidR="00FF3E29" w:rsidRPr="00C80B1E" w:rsidRDefault="00FF3E29" w:rsidP="00CE3ED6">
      <w:pPr>
        <w:spacing w:before="200" w:after="200" w:line="23" w:lineRule="atLeast"/>
        <w:contextualSpacing/>
        <w:rPr>
          <w:rStyle w:val="IntenseEmphasis"/>
          <w:i w:val="0"/>
          <w:iCs w:val="0"/>
          <w:color w:val="auto"/>
        </w:rPr>
      </w:pPr>
    </w:p>
    <w:p w14:paraId="205D6C31" w14:textId="6E6AE5FA" w:rsidR="005243D8" w:rsidRPr="00710E61" w:rsidRDefault="00896179" w:rsidP="00CE3ED6">
      <w:pPr>
        <w:spacing w:before="200" w:after="200" w:line="23" w:lineRule="atLeast"/>
        <w:ind w:left="720"/>
        <w:contextualSpacing/>
        <w:rPr>
          <w:rStyle w:val="IntenseEmphasis"/>
          <w:i w:val="0"/>
          <w:iCs w:val="0"/>
          <w:color w:val="auto"/>
        </w:rPr>
      </w:pPr>
      <w:r w:rsidRPr="00710E61">
        <w:rPr>
          <w:rStyle w:val="IntenseEmphasis"/>
          <w:b/>
          <w:bCs/>
          <w:i w:val="0"/>
          <w:iCs w:val="0"/>
          <w:color w:val="auto"/>
        </w:rPr>
        <w:t>Past Performance Meets or Exceeds Current Goal Benchmark</w:t>
      </w:r>
      <w:r w:rsidRPr="00DF2A32">
        <w:rPr>
          <w:rStyle w:val="IntenseEmphasis"/>
          <w:b/>
          <w:bCs/>
          <w:i w:val="0"/>
          <w:iCs w:val="0"/>
          <w:color w:val="auto"/>
        </w:rPr>
        <w:t>:</w:t>
      </w:r>
      <w:r w:rsidRPr="00DF2A32">
        <w:rPr>
          <w:rStyle w:val="IntenseEmphasis"/>
          <w:i w:val="0"/>
          <w:iCs w:val="0"/>
          <w:color w:val="auto"/>
        </w:rPr>
        <w:t xml:space="preserve"> If </w:t>
      </w:r>
      <w:r w:rsidR="0020463E" w:rsidRPr="00DF2A32">
        <w:rPr>
          <w:rStyle w:val="IntenseEmphasis"/>
          <w:i w:val="0"/>
          <w:iCs w:val="0"/>
          <w:color w:val="auto"/>
        </w:rPr>
        <w:t>a previous</w:t>
      </w:r>
      <w:r w:rsidR="0084252A" w:rsidRPr="00DF2A32">
        <w:rPr>
          <w:rStyle w:val="IntenseEmphasis"/>
          <w:i w:val="0"/>
          <w:iCs w:val="0"/>
          <w:color w:val="auto"/>
        </w:rPr>
        <w:t xml:space="preserve"> </w:t>
      </w:r>
      <w:r w:rsidR="00BA77C2" w:rsidRPr="00DF2A32">
        <w:rPr>
          <w:rStyle w:val="IntenseEmphasis"/>
          <w:i w:val="0"/>
          <w:iCs w:val="0"/>
          <w:color w:val="auto"/>
        </w:rPr>
        <w:t xml:space="preserve">highest performing year </w:t>
      </w:r>
      <w:r w:rsidR="00865D95" w:rsidRPr="00DF2A32">
        <w:rPr>
          <w:rStyle w:val="IntenseEmphasis"/>
          <w:i w:val="0"/>
          <w:iCs w:val="0"/>
          <w:color w:val="auto"/>
        </w:rPr>
        <w:t xml:space="preserve">met </w:t>
      </w:r>
      <w:r w:rsidR="00BA77C2" w:rsidRPr="00DF2A32">
        <w:rPr>
          <w:rStyle w:val="IntenseEmphasis"/>
          <w:i w:val="0"/>
          <w:iCs w:val="0"/>
          <w:color w:val="auto"/>
        </w:rPr>
        <w:t>or exceed</w:t>
      </w:r>
      <w:r w:rsidR="00865D95" w:rsidRPr="00DF2A32">
        <w:rPr>
          <w:rStyle w:val="IntenseEmphasis"/>
          <w:i w:val="0"/>
          <w:iCs w:val="0"/>
          <w:color w:val="auto"/>
        </w:rPr>
        <w:t>ed</w:t>
      </w:r>
      <w:r w:rsidR="00BA77C2" w:rsidRPr="00DF2A32">
        <w:rPr>
          <w:rStyle w:val="IntenseEmphasis"/>
          <w:i w:val="0"/>
          <w:iCs w:val="0"/>
          <w:color w:val="auto"/>
        </w:rPr>
        <w:t xml:space="preserve"> the Goal Benchmark</w:t>
      </w:r>
      <w:r w:rsidR="00970BC2" w:rsidRPr="00DF2A32">
        <w:rPr>
          <w:rStyle w:val="IntenseEmphasis"/>
          <w:i w:val="0"/>
          <w:iCs w:val="0"/>
          <w:color w:val="auto"/>
        </w:rPr>
        <w:t>,</w:t>
      </w:r>
      <w:r w:rsidR="00865D95" w:rsidRPr="00DF2A32">
        <w:rPr>
          <w:rStyle w:val="IntenseEmphasis"/>
          <w:i w:val="0"/>
          <w:iCs w:val="0"/>
          <w:color w:val="auto"/>
        </w:rPr>
        <w:t xml:space="preserve"> </w:t>
      </w:r>
      <w:r w:rsidR="00E9490A" w:rsidRPr="00DF2A32">
        <w:rPr>
          <w:rStyle w:val="IntenseEmphasis"/>
          <w:i w:val="0"/>
          <w:iCs w:val="0"/>
          <w:color w:val="auto"/>
        </w:rPr>
        <w:t>performance in the</w:t>
      </w:r>
      <w:r w:rsidR="00865D95" w:rsidRPr="00DF2A32">
        <w:rPr>
          <w:rStyle w:val="IntenseEmphasis"/>
          <w:i w:val="0"/>
          <w:iCs w:val="0"/>
          <w:color w:val="auto"/>
        </w:rPr>
        <w:t xml:space="preserve"> current year</w:t>
      </w:r>
      <w:r w:rsidR="00BA77C2" w:rsidRPr="00DF2A32">
        <w:rPr>
          <w:rStyle w:val="IntenseEmphasis"/>
          <w:i w:val="0"/>
          <w:iCs w:val="0"/>
          <w:color w:val="auto"/>
        </w:rPr>
        <w:t xml:space="preserve"> </w:t>
      </w:r>
      <w:r w:rsidR="00E9490A" w:rsidRPr="00DF2A32">
        <w:rPr>
          <w:rStyle w:val="IntenseEmphasis"/>
          <w:i w:val="0"/>
          <w:iCs w:val="0"/>
          <w:color w:val="auto"/>
        </w:rPr>
        <w:t xml:space="preserve">must </w:t>
      </w:r>
      <w:r w:rsidR="00DF2A32" w:rsidRPr="00DF2A32">
        <w:rPr>
          <w:rStyle w:val="IntenseEmphasis"/>
          <w:i w:val="0"/>
          <w:iCs w:val="0"/>
          <w:color w:val="auto"/>
        </w:rPr>
        <w:t xml:space="preserve">meet or exceed the </w:t>
      </w:r>
      <w:r w:rsidR="00E15A82" w:rsidRPr="00DF2A32">
        <w:rPr>
          <w:rStyle w:val="IntenseEmphasis"/>
          <w:i w:val="0"/>
          <w:iCs w:val="0"/>
          <w:color w:val="auto"/>
        </w:rPr>
        <w:t xml:space="preserve">Improvement Target </w:t>
      </w:r>
      <w:r w:rsidR="00C14D30" w:rsidRPr="00DF2A32">
        <w:rPr>
          <w:rStyle w:val="IntenseEmphasis"/>
          <w:i w:val="0"/>
          <w:iCs w:val="0"/>
          <w:color w:val="auto"/>
        </w:rPr>
        <w:t xml:space="preserve">compared to the </w:t>
      </w:r>
      <w:r w:rsidR="00DF2A32" w:rsidRPr="00DF2A32">
        <w:rPr>
          <w:rStyle w:val="IntenseEmphasis"/>
          <w:i w:val="0"/>
          <w:iCs w:val="0"/>
          <w:color w:val="auto"/>
        </w:rPr>
        <w:t>previous highest</w:t>
      </w:r>
      <w:r w:rsidR="00C14D30" w:rsidRPr="00DF2A32">
        <w:rPr>
          <w:rStyle w:val="IntenseEmphasis"/>
          <w:i w:val="0"/>
          <w:iCs w:val="0"/>
          <w:color w:val="auto"/>
        </w:rPr>
        <w:t xml:space="preserve"> </w:t>
      </w:r>
      <w:r w:rsidR="00BA77C2" w:rsidRPr="00DF2A32">
        <w:rPr>
          <w:rStyle w:val="IntenseEmphasis"/>
          <w:i w:val="0"/>
          <w:iCs w:val="0"/>
          <w:color w:val="auto"/>
        </w:rPr>
        <w:t>perform</w:t>
      </w:r>
      <w:r w:rsidR="00DF2A32" w:rsidRPr="00DF2A32">
        <w:rPr>
          <w:rStyle w:val="IntenseEmphasis"/>
          <w:i w:val="0"/>
          <w:iCs w:val="0"/>
          <w:color w:val="auto"/>
        </w:rPr>
        <w:t>ing</w:t>
      </w:r>
      <w:r w:rsidR="00BA77C2" w:rsidRPr="00DF2A32">
        <w:rPr>
          <w:rStyle w:val="IntenseEmphasis"/>
          <w:i w:val="0"/>
          <w:iCs w:val="0"/>
          <w:color w:val="auto"/>
        </w:rPr>
        <w:t xml:space="preserve"> year</w:t>
      </w:r>
      <w:r w:rsidR="00E15A82" w:rsidRPr="00DF2A32">
        <w:rPr>
          <w:rStyle w:val="IntenseEmphasis"/>
          <w:i w:val="0"/>
          <w:iCs w:val="0"/>
          <w:color w:val="auto"/>
        </w:rPr>
        <w:t>.</w:t>
      </w:r>
    </w:p>
    <w:p w14:paraId="364885F5" w14:textId="77777777" w:rsidR="00A9642D" w:rsidRPr="00710E61" w:rsidRDefault="00A9642D" w:rsidP="00CE3ED6">
      <w:pPr>
        <w:spacing w:before="200" w:after="200" w:line="23" w:lineRule="atLeast"/>
        <w:ind w:left="720"/>
        <w:contextualSpacing/>
        <w:rPr>
          <w:rStyle w:val="IntenseEmphasis"/>
          <w:i w:val="0"/>
          <w:iCs w:val="0"/>
          <w:color w:val="auto"/>
        </w:rPr>
      </w:pPr>
    </w:p>
    <w:p w14:paraId="74F81F96" w14:textId="51B1347C" w:rsidR="007A59C3" w:rsidRPr="00710E61" w:rsidRDefault="00896179" w:rsidP="00CE3ED6">
      <w:pPr>
        <w:spacing w:before="200" w:after="200" w:line="23" w:lineRule="atLeast"/>
        <w:ind w:left="720"/>
        <w:rPr>
          <w:rStyle w:val="IntenseEmphasis"/>
          <w:i w:val="0"/>
          <w:iCs w:val="0"/>
          <w:color w:val="auto"/>
        </w:rPr>
      </w:pPr>
      <w:r w:rsidRPr="00710E61">
        <w:rPr>
          <w:rStyle w:val="IntenseEmphasis"/>
          <w:b/>
          <w:bCs/>
          <w:i w:val="0"/>
          <w:iCs w:val="0"/>
          <w:color w:val="auto"/>
        </w:rPr>
        <w:lastRenderedPageBreak/>
        <w:t>Attainment Threshold Not Met in Past Performance Year:</w:t>
      </w:r>
      <w:r w:rsidRPr="00710E61">
        <w:rPr>
          <w:rStyle w:val="IntenseEmphasis"/>
          <w:i w:val="0"/>
          <w:iCs w:val="0"/>
          <w:color w:val="auto"/>
        </w:rPr>
        <w:t xml:space="preserve"> If the CBHC did not meet the </w:t>
      </w:r>
      <w:r w:rsidR="004F3ECA" w:rsidRPr="00710E61">
        <w:rPr>
          <w:rStyle w:val="IntenseEmphasis"/>
          <w:i w:val="0"/>
          <w:iCs w:val="0"/>
          <w:color w:val="auto"/>
        </w:rPr>
        <w:t>A</w:t>
      </w:r>
      <w:r w:rsidRPr="00710E61">
        <w:rPr>
          <w:rStyle w:val="IntenseEmphasis"/>
          <w:i w:val="0"/>
          <w:iCs w:val="0"/>
          <w:color w:val="auto"/>
        </w:rPr>
        <w:t xml:space="preserve">ttainment </w:t>
      </w:r>
      <w:r w:rsidR="004F3ECA" w:rsidRPr="00710E61">
        <w:rPr>
          <w:rStyle w:val="IntenseEmphasis"/>
          <w:i w:val="0"/>
          <w:iCs w:val="0"/>
          <w:color w:val="auto"/>
        </w:rPr>
        <w:t>T</w:t>
      </w:r>
      <w:r w:rsidRPr="00710E61">
        <w:rPr>
          <w:rStyle w:val="IntenseEmphasis"/>
          <w:i w:val="0"/>
          <w:iCs w:val="0"/>
          <w:color w:val="auto"/>
        </w:rPr>
        <w:t xml:space="preserve">hreshold </w:t>
      </w:r>
      <w:r w:rsidR="005E7418" w:rsidRPr="00710E61">
        <w:rPr>
          <w:rStyle w:val="IntenseEmphasis"/>
          <w:i w:val="0"/>
          <w:iCs w:val="0"/>
          <w:color w:val="auto"/>
        </w:rPr>
        <w:t xml:space="preserve">in </w:t>
      </w:r>
      <w:proofErr w:type="gramStart"/>
      <w:r w:rsidR="005E7418" w:rsidRPr="00710E61">
        <w:rPr>
          <w:rStyle w:val="IntenseEmphasis"/>
          <w:i w:val="0"/>
          <w:iCs w:val="0"/>
          <w:color w:val="auto"/>
        </w:rPr>
        <w:t>a past</w:t>
      </w:r>
      <w:proofErr w:type="gramEnd"/>
      <w:r w:rsidRPr="00710E61">
        <w:rPr>
          <w:rStyle w:val="IntenseEmphasis"/>
          <w:i w:val="0"/>
          <w:iCs w:val="0"/>
          <w:color w:val="auto"/>
        </w:rPr>
        <w:t xml:space="preserve"> performance year, improvement points can </w:t>
      </w:r>
      <w:r w:rsidR="00441E4B" w:rsidRPr="00710E61">
        <w:rPr>
          <w:rStyle w:val="IntenseEmphasis"/>
          <w:i w:val="0"/>
          <w:iCs w:val="0"/>
          <w:color w:val="auto"/>
        </w:rPr>
        <w:t xml:space="preserve">still </w:t>
      </w:r>
      <w:r w:rsidRPr="00710E61">
        <w:rPr>
          <w:rStyle w:val="IntenseEmphasis"/>
          <w:i w:val="0"/>
          <w:iCs w:val="0"/>
          <w:color w:val="auto"/>
        </w:rPr>
        <w:t xml:space="preserve">be </w:t>
      </w:r>
      <w:proofErr w:type="gramStart"/>
      <w:r w:rsidRPr="00710E61">
        <w:rPr>
          <w:rStyle w:val="IntenseEmphasis"/>
          <w:i w:val="0"/>
          <w:iCs w:val="0"/>
          <w:color w:val="auto"/>
        </w:rPr>
        <w:t>earned</w:t>
      </w:r>
      <w:proofErr w:type="gramEnd"/>
      <w:r w:rsidRPr="00710E61">
        <w:rPr>
          <w:rStyle w:val="IntenseEmphasis"/>
          <w:i w:val="0"/>
          <w:iCs w:val="0"/>
          <w:color w:val="auto"/>
        </w:rPr>
        <w:t xml:space="preserve"> </w:t>
      </w:r>
      <w:r w:rsidR="007B275D">
        <w:rPr>
          <w:rStyle w:val="IntenseEmphasis"/>
          <w:i w:val="0"/>
          <w:iCs w:val="0"/>
          <w:color w:val="auto"/>
        </w:rPr>
        <w:t>in</w:t>
      </w:r>
      <w:r w:rsidRPr="00710E61">
        <w:rPr>
          <w:rStyle w:val="IntenseEmphasis"/>
          <w:i w:val="0"/>
          <w:iCs w:val="0"/>
          <w:color w:val="auto"/>
        </w:rPr>
        <w:t xml:space="preserve"> the current performance year if</w:t>
      </w:r>
      <w:r w:rsidR="00E12DEA" w:rsidRPr="00710E61">
        <w:rPr>
          <w:rStyle w:val="IntenseEmphasis"/>
          <w:i w:val="0"/>
          <w:iCs w:val="0"/>
          <w:color w:val="auto"/>
        </w:rPr>
        <w:t xml:space="preserve"> </w:t>
      </w:r>
      <w:r w:rsidR="00441E4B" w:rsidRPr="00710E61">
        <w:rPr>
          <w:rStyle w:val="IntenseEmphasis"/>
          <w:i w:val="0"/>
          <w:iCs w:val="0"/>
          <w:color w:val="auto"/>
        </w:rPr>
        <w:t>the following requirements are met:</w:t>
      </w:r>
    </w:p>
    <w:p w14:paraId="6DCD7A61" w14:textId="7413207F" w:rsidR="00CA6332" w:rsidRPr="005E5E72" w:rsidRDefault="0024197C" w:rsidP="00CE3ED6">
      <w:pPr>
        <w:pStyle w:val="ListParagraph"/>
        <w:numPr>
          <w:ilvl w:val="0"/>
          <w:numId w:val="5"/>
        </w:numPr>
        <w:spacing w:before="200" w:after="200" w:line="23" w:lineRule="atLeast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Performance compared to the </w:t>
      </w:r>
      <w:r w:rsidR="00606927">
        <w:rPr>
          <w:rStyle w:val="IntenseEmphasis"/>
          <w:i w:val="0"/>
          <w:iCs w:val="0"/>
          <w:color w:val="auto"/>
        </w:rPr>
        <w:t xml:space="preserve">previous </w:t>
      </w:r>
      <w:r w:rsidR="002F6640" w:rsidRPr="00710E61">
        <w:rPr>
          <w:rStyle w:val="IntenseEmphasis"/>
          <w:i w:val="0"/>
          <w:iCs w:val="0"/>
          <w:color w:val="auto"/>
        </w:rPr>
        <w:t>highe</w:t>
      </w:r>
      <w:r w:rsidR="002F6640" w:rsidRPr="005E5E72">
        <w:rPr>
          <w:rStyle w:val="IntenseEmphasis"/>
          <w:i w:val="0"/>
          <w:iCs w:val="0"/>
          <w:color w:val="auto"/>
        </w:rPr>
        <w:t xml:space="preserve">st </w:t>
      </w:r>
      <w:proofErr w:type="gramStart"/>
      <w:r w:rsidR="002F6640" w:rsidRPr="005E5E72">
        <w:rPr>
          <w:rStyle w:val="IntenseEmphasis"/>
          <w:i w:val="0"/>
          <w:iCs w:val="0"/>
          <w:color w:val="auto"/>
        </w:rPr>
        <w:t>performing</w:t>
      </w:r>
      <w:proofErr w:type="gramEnd"/>
      <w:r w:rsidR="002F6640" w:rsidRPr="005E5E72">
        <w:rPr>
          <w:rStyle w:val="IntenseEmphasis"/>
          <w:i w:val="0"/>
          <w:iCs w:val="0"/>
          <w:color w:val="auto"/>
        </w:rPr>
        <w:t xml:space="preserve"> year </w:t>
      </w:r>
      <w:r w:rsidR="00CA6332" w:rsidRPr="005E5E72">
        <w:rPr>
          <w:rStyle w:val="IntenseEmphasis"/>
          <w:i w:val="0"/>
          <w:iCs w:val="0"/>
          <w:color w:val="auto"/>
        </w:rPr>
        <w:t xml:space="preserve">still </w:t>
      </w:r>
      <w:r w:rsidR="002F6640" w:rsidRPr="005E5E72">
        <w:rPr>
          <w:rStyle w:val="IntenseEmphasis"/>
          <w:i w:val="0"/>
          <w:iCs w:val="0"/>
          <w:color w:val="auto"/>
        </w:rPr>
        <w:t xml:space="preserve">meets or exceeds the Improvement Target </w:t>
      </w:r>
      <w:r w:rsidR="00CA6332" w:rsidRPr="005E5E72">
        <w:rPr>
          <w:rStyle w:val="IntenseEmphasis"/>
          <w:i w:val="0"/>
          <w:iCs w:val="0"/>
          <w:color w:val="auto"/>
        </w:rPr>
        <w:t>of the current</w:t>
      </w:r>
      <w:r w:rsidR="00595B3D" w:rsidRPr="005E5E72">
        <w:rPr>
          <w:rStyle w:val="IntenseEmphasis"/>
          <w:i w:val="0"/>
          <w:iCs w:val="0"/>
          <w:color w:val="auto"/>
        </w:rPr>
        <w:t xml:space="preserve"> year</w:t>
      </w:r>
      <w:r w:rsidR="00CA6332" w:rsidRPr="005E5E72">
        <w:rPr>
          <w:rStyle w:val="IntenseEmphasis"/>
          <w:i w:val="0"/>
          <w:iCs w:val="0"/>
          <w:color w:val="auto"/>
        </w:rPr>
        <w:t xml:space="preserve">, </w:t>
      </w:r>
      <w:r w:rsidR="00CA6332" w:rsidRPr="00CE3ED6">
        <w:rPr>
          <w:rStyle w:val="IntenseEmphasis"/>
          <w:i w:val="0"/>
          <w:iCs w:val="0"/>
          <w:color w:val="auto"/>
        </w:rPr>
        <w:t>even if performance in the current year</w:t>
      </w:r>
      <w:r w:rsidR="00595B3D" w:rsidRPr="00CE3ED6">
        <w:rPr>
          <w:rStyle w:val="IntenseEmphasis"/>
          <w:i w:val="0"/>
          <w:iCs w:val="0"/>
          <w:color w:val="auto"/>
        </w:rPr>
        <w:t xml:space="preserve"> does not meet or exceed the Attainment Threshold</w:t>
      </w:r>
    </w:p>
    <w:p w14:paraId="07E5F16A" w14:textId="01CFBDFB" w:rsidR="007A59C3" w:rsidRDefault="009F6336" w:rsidP="00CE3ED6">
      <w:pPr>
        <w:pStyle w:val="ListParagraph"/>
        <w:numPr>
          <w:ilvl w:val="0"/>
          <w:numId w:val="5"/>
        </w:numPr>
        <w:spacing w:before="200" w:after="200" w:line="23" w:lineRule="atLeast"/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T</w:t>
      </w:r>
      <w:r w:rsidR="00195D8D">
        <w:rPr>
          <w:rStyle w:val="IntenseEmphasis"/>
          <w:i w:val="0"/>
          <w:iCs w:val="0"/>
          <w:color w:val="auto"/>
        </w:rPr>
        <w:t xml:space="preserve">he </w:t>
      </w:r>
      <w:r>
        <w:rPr>
          <w:rStyle w:val="IntenseEmphasis"/>
          <w:i w:val="0"/>
          <w:iCs w:val="0"/>
          <w:color w:val="auto"/>
        </w:rPr>
        <w:t>Attainment Threshold</w:t>
      </w:r>
      <w:r w:rsidR="00195D8D">
        <w:rPr>
          <w:rStyle w:val="IntenseEmphasis"/>
          <w:i w:val="0"/>
          <w:iCs w:val="0"/>
          <w:color w:val="auto"/>
        </w:rPr>
        <w:t xml:space="preserve"> and Improvement Target </w:t>
      </w:r>
      <w:r w:rsidR="003C75E0">
        <w:rPr>
          <w:rStyle w:val="IntenseEmphasis"/>
          <w:i w:val="0"/>
          <w:iCs w:val="0"/>
          <w:color w:val="auto"/>
        </w:rPr>
        <w:t>are</w:t>
      </w:r>
      <w:r w:rsidR="00195D8D">
        <w:rPr>
          <w:rStyle w:val="IntenseEmphasis"/>
          <w:i w:val="0"/>
          <w:iCs w:val="0"/>
          <w:color w:val="auto"/>
        </w:rPr>
        <w:t xml:space="preserve"> met or exceeded</w:t>
      </w:r>
      <w:r>
        <w:rPr>
          <w:rStyle w:val="IntenseEmphasis"/>
          <w:i w:val="0"/>
          <w:iCs w:val="0"/>
          <w:color w:val="auto"/>
        </w:rPr>
        <w:t xml:space="preserve"> in the current performance year</w:t>
      </w:r>
      <w:r w:rsidR="00000A00">
        <w:rPr>
          <w:rStyle w:val="IntenseEmphasis"/>
          <w:i w:val="0"/>
          <w:iCs w:val="0"/>
          <w:color w:val="auto"/>
        </w:rPr>
        <w:t xml:space="preserve"> compared to the </w:t>
      </w:r>
      <w:r w:rsidR="002A477A">
        <w:rPr>
          <w:rStyle w:val="IntenseEmphasis"/>
          <w:i w:val="0"/>
          <w:iCs w:val="0"/>
          <w:color w:val="auto"/>
        </w:rPr>
        <w:t xml:space="preserve">previous </w:t>
      </w:r>
      <w:r w:rsidR="00000A00">
        <w:rPr>
          <w:rStyle w:val="IntenseEmphasis"/>
          <w:i w:val="0"/>
          <w:iCs w:val="0"/>
          <w:color w:val="auto"/>
        </w:rPr>
        <w:t>highest performing year</w:t>
      </w:r>
      <w:r>
        <w:rPr>
          <w:rStyle w:val="IntenseEmphasis"/>
          <w:i w:val="0"/>
          <w:iCs w:val="0"/>
          <w:color w:val="auto"/>
        </w:rPr>
        <w:t>.</w:t>
      </w:r>
    </w:p>
    <w:p w14:paraId="47C5F633" w14:textId="77777777" w:rsidR="001B6008" w:rsidRDefault="001B6008" w:rsidP="001B6008">
      <w:pPr>
        <w:pStyle w:val="ListParagraph"/>
        <w:spacing w:before="200" w:after="200" w:line="23" w:lineRule="atLeast"/>
        <w:ind w:left="1800"/>
        <w:rPr>
          <w:rStyle w:val="IntenseEmphasis"/>
          <w:i w:val="0"/>
          <w:iCs w:val="0"/>
          <w:color w:val="auto"/>
        </w:rPr>
      </w:pPr>
    </w:p>
    <w:p w14:paraId="1CF7EF90" w14:textId="76D53D96" w:rsidR="00B34ADB" w:rsidRDefault="00896179" w:rsidP="00354108">
      <w:pPr>
        <w:pStyle w:val="Heading2"/>
        <w:spacing w:before="200" w:after="200" w:line="23" w:lineRule="atLeast"/>
        <w:contextualSpacing/>
        <w:rPr>
          <w:rStyle w:val="Heading3Char"/>
          <w:szCs w:val="20"/>
        </w:rPr>
      </w:pPr>
      <w:bookmarkStart w:id="41" w:name="_Toc212807349"/>
      <w:r w:rsidRPr="001F406B">
        <w:rPr>
          <w:rStyle w:val="Heading3Char"/>
          <w:b/>
          <w:bCs w:val="0"/>
          <w:sz w:val="22"/>
          <w:szCs w:val="20"/>
        </w:rPr>
        <w:t>B.2. Scoring Methodology for Performance Measure CCQI-2</w:t>
      </w:r>
      <w:bookmarkEnd w:id="41"/>
    </w:p>
    <w:p w14:paraId="6B0BD6D9" w14:textId="687596A4" w:rsidR="00AD1281" w:rsidRDefault="00B34ADB" w:rsidP="00354108">
      <w:pPr>
        <w:spacing w:before="200" w:after="200" w:line="23" w:lineRule="atLeast"/>
      </w:pPr>
      <w:r w:rsidRPr="002631D9">
        <w:t xml:space="preserve">For the CCQI-2 measure on </w:t>
      </w:r>
      <w:r w:rsidRPr="002631D9">
        <w:rPr>
          <w:i/>
          <w:iCs/>
        </w:rPr>
        <w:t>Follow-up After an Acute Behavioral Health Episode of Care</w:t>
      </w:r>
      <w:r w:rsidRPr="002631D9">
        <w:t xml:space="preserve">, to assess each CBHC on individual performance </w:t>
      </w:r>
      <w:r w:rsidR="0003051F">
        <w:t>ea</w:t>
      </w:r>
      <w:r w:rsidR="00571E1A">
        <w:t>ch</w:t>
      </w:r>
      <w:r w:rsidRPr="002631D9">
        <w:t xml:space="preserve"> year, the scoring methodology will be based on an “observed-over-expected” (O/E) ratio to compare the actual (observed) number of events that occurred against the predicted (expected) number of events that occurred.  </w:t>
      </w:r>
      <w:r w:rsidR="00891A84" w:rsidRPr="002631D9">
        <w:t xml:space="preserve">Performance on the CCQI-2 measure for each CBHC will be scored by looking at the proportion of CBHC follow-up visits </w:t>
      </w:r>
      <w:r w:rsidR="00612323" w:rsidRPr="002631D9">
        <w:t xml:space="preserve">that occurred within 7 days of discharge </w:t>
      </w:r>
      <w:r w:rsidR="00F96FEB">
        <w:t>from a Qualifying Hospital Encounter</w:t>
      </w:r>
      <w:r w:rsidR="00F96FEB" w:rsidRPr="002631D9">
        <w:t xml:space="preserve"> </w:t>
      </w:r>
      <w:r w:rsidR="00891A84" w:rsidRPr="002631D9">
        <w:t>(observed) with the proportion of members who received CBHC</w:t>
      </w:r>
      <w:r w:rsidR="000D6319">
        <w:t xml:space="preserve"> </w:t>
      </w:r>
      <w:r w:rsidR="008E25CC">
        <w:t xml:space="preserve">follow-up </w:t>
      </w:r>
      <w:r w:rsidR="00891A84" w:rsidRPr="002631D9">
        <w:t>services within the performance measurement year (expected).</w:t>
      </w:r>
    </w:p>
    <w:p w14:paraId="1F8992FF" w14:textId="77777777" w:rsidR="00372347" w:rsidRDefault="00372347" w:rsidP="00354108">
      <w:pPr>
        <w:spacing w:before="200" w:after="200" w:line="23" w:lineRule="atLeast"/>
      </w:pPr>
    </w:p>
    <w:p w14:paraId="403E2D9B" w14:textId="5E6693A3" w:rsidR="00B34ADB" w:rsidRPr="00B34ADB" w:rsidRDefault="00B34ADB" w:rsidP="00354108">
      <w:pPr>
        <w:spacing w:before="200" w:after="200" w:line="23" w:lineRule="atLeast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00B34ADB">
        <w:rPr>
          <w:b/>
          <w:bCs/>
          <w:color w:val="000000" w:themeColor="text1"/>
          <w:sz w:val="20"/>
          <w:szCs w:val="20"/>
        </w:rPr>
        <w:t xml:space="preserve">O/E </w:t>
      </w:r>
      <w:r w:rsidR="00392461">
        <w:rPr>
          <w:b/>
          <w:bCs/>
          <w:color w:val="000000" w:themeColor="text1"/>
          <w:sz w:val="20"/>
          <w:szCs w:val="20"/>
        </w:rPr>
        <w:t xml:space="preserve">Ratio </w:t>
      </w:r>
      <w:r w:rsidRPr="00B34ADB">
        <w:rPr>
          <w:b/>
          <w:bCs/>
          <w:color w:val="000000" w:themeColor="text1"/>
          <w:sz w:val="20"/>
          <w:szCs w:val="20"/>
        </w:rPr>
        <w:t xml:space="preserve">= </w:t>
      </w:r>
      <w:r w:rsidRPr="00B34ADB">
        <w:rPr>
          <w:b/>
          <w:bCs/>
          <w:color w:val="000000" w:themeColor="text1"/>
          <w:sz w:val="20"/>
          <w:szCs w:val="20"/>
          <w:u w:val="single"/>
        </w:rPr>
        <w:t xml:space="preserve">(Number of </w:t>
      </w:r>
      <w:r w:rsidR="00C50DDA">
        <w:rPr>
          <w:b/>
          <w:bCs/>
          <w:color w:val="000000" w:themeColor="text1"/>
          <w:sz w:val="20"/>
          <w:szCs w:val="20"/>
          <w:u w:val="single"/>
        </w:rPr>
        <w:t>F</w:t>
      </w:r>
      <w:r w:rsidRPr="00B34ADB">
        <w:rPr>
          <w:b/>
          <w:bCs/>
          <w:color w:val="000000" w:themeColor="text1"/>
          <w:sz w:val="20"/>
          <w:szCs w:val="20"/>
          <w:u w:val="single"/>
        </w:rPr>
        <w:t xml:space="preserve">ollow-up </w:t>
      </w:r>
      <w:r w:rsidR="00C50DDA">
        <w:rPr>
          <w:b/>
          <w:bCs/>
          <w:color w:val="000000" w:themeColor="text1"/>
          <w:sz w:val="20"/>
          <w:szCs w:val="20"/>
          <w:u w:val="single"/>
        </w:rPr>
        <w:t>V</w:t>
      </w:r>
      <w:r w:rsidRPr="00B34ADB">
        <w:rPr>
          <w:b/>
          <w:bCs/>
          <w:color w:val="000000" w:themeColor="text1"/>
          <w:sz w:val="20"/>
          <w:szCs w:val="20"/>
          <w:u w:val="single"/>
        </w:rPr>
        <w:t xml:space="preserve">isits per CBHC / Number of </w:t>
      </w:r>
      <w:r w:rsidR="00C50DDA">
        <w:rPr>
          <w:b/>
          <w:bCs/>
          <w:color w:val="000000" w:themeColor="text1"/>
          <w:sz w:val="20"/>
          <w:szCs w:val="20"/>
          <w:u w:val="single"/>
        </w:rPr>
        <w:t>F</w:t>
      </w:r>
      <w:r w:rsidRPr="00B34ADB">
        <w:rPr>
          <w:b/>
          <w:bCs/>
          <w:color w:val="000000" w:themeColor="text1"/>
          <w:sz w:val="20"/>
          <w:szCs w:val="20"/>
          <w:u w:val="single"/>
        </w:rPr>
        <w:t xml:space="preserve">ollow-up </w:t>
      </w:r>
      <w:r w:rsidR="00C50DDA">
        <w:rPr>
          <w:b/>
          <w:bCs/>
          <w:color w:val="000000" w:themeColor="text1"/>
          <w:sz w:val="20"/>
          <w:szCs w:val="20"/>
          <w:u w:val="single"/>
        </w:rPr>
        <w:t>V</w:t>
      </w:r>
      <w:r w:rsidRPr="00B34ADB">
        <w:rPr>
          <w:b/>
          <w:bCs/>
          <w:color w:val="000000" w:themeColor="text1"/>
          <w:sz w:val="20"/>
          <w:szCs w:val="20"/>
          <w:u w:val="single"/>
        </w:rPr>
        <w:t>isits from all CBHCs)</w:t>
      </w:r>
    </w:p>
    <w:p w14:paraId="2C686701" w14:textId="203ACC41" w:rsidR="00B34ADB" w:rsidRPr="00B34ADB" w:rsidRDefault="00B34ADB" w:rsidP="00354108">
      <w:pPr>
        <w:spacing w:before="200" w:after="200" w:line="23" w:lineRule="atLeast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00B34ADB">
        <w:rPr>
          <w:b/>
          <w:bCs/>
          <w:color w:val="000000" w:themeColor="text1"/>
          <w:sz w:val="20"/>
          <w:szCs w:val="20"/>
        </w:rPr>
        <w:t xml:space="preserve">        </w:t>
      </w:r>
      <w:r w:rsidR="00F54982">
        <w:rPr>
          <w:b/>
          <w:bCs/>
          <w:color w:val="000000" w:themeColor="text1"/>
          <w:sz w:val="20"/>
          <w:szCs w:val="20"/>
        </w:rPr>
        <w:t xml:space="preserve">  </w:t>
      </w:r>
      <w:r w:rsidRPr="00B34ADB">
        <w:rPr>
          <w:b/>
          <w:bCs/>
          <w:color w:val="000000" w:themeColor="text1"/>
          <w:sz w:val="20"/>
          <w:szCs w:val="20"/>
        </w:rPr>
        <w:t xml:space="preserve"> </w:t>
      </w:r>
      <w:r w:rsidR="00392461">
        <w:rPr>
          <w:b/>
          <w:bCs/>
          <w:color w:val="000000" w:themeColor="text1"/>
          <w:sz w:val="20"/>
          <w:szCs w:val="20"/>
        </w:rPr>
        <w:t xml:space="preserve">         </w:t>
      </w:r>
      <w:r w:rsidR="002D1D8A">
        <w:rPr>
          <w:b/>
          <w:bCs/>
          <w:color w:val="000000" w:themeColor="text1"/>
          <w:sz w:val="20"/>
          <w:szCs w:val="20"/>
        </w:rPr>
        <w:t xml:space="preserve"> </w:t>
      </w:r>
      <w:r w:rsidRPr="00B34ADB">
        <w:rPr>
          <w:b/>
          <w:bCs/>
          <w:color w:val="000000" w:themeColor="text1"/>
          <w:sz w:val="20"/>
          <w:szCs w:val="20"/>
        </w:rPr>
        <w:t xml:space="preserve">(Number of </w:t>
      </w:r>
      <w:r w:rsidR="00C50DDA">
        <w:rPr>
          <w:b/>
          <w:bCs/>
          <w:color w:val="000000" w:themeColor="text1"/>
          <w:sz w:val="20"/>
          <w:szCs w:val="20"/>
        </w:rPr>
        <w:t>M</w:t>
      </w:r>
      <w:r w:rsidRPr="00B34ADB">
        <w:rPr>
          <w:b/>
          <w:bCs/>
          <w:color w:val="000000" w:themeColor="text1"/>
          <w:sz w:val="20"/>
          <w:szCs w:val="20"/>
        </w:rPr>
        <w:t xml:space="preserve">embers </w:t>
      </w:r>
      <w:r w:rsidR="00C50DDA">
        <w:rPr>
          <w:b/>
          <w:bCs/>
          <w:color w:val="000000" w:themeColor="text1"/>
          <w:sz w:val="20"/>
          <w:szCs w:val="20"/>
        </w:rPr>
        <w:t>S</w:t>
      </w:r>
      <w:r w:rsidRPr="00B34ADB">
        <w:rPr>
          <w:b/>
          <w:bCs/>
          <w:color w:val="000000" w:themeColor="text1"/>
          <w:sz w:val="20"/>
          <w:szCs w:val="20"/>
        </w:rPr>
        <w:t xml:space="preserve">erved per CBHC / Number of </w:t>
      </w:r>
      <w:r w:rsidR="00C50DDA">
        <w:rPr>
          <w:b/>
          <w:bCs/>
          <w:color w:val="000000" w:themeColor="text1"/>
          <w:sz w:val="20"/>
          <w:szCs w:val="20"/>
        </w:rPr>
        <w:t>M</w:t>
      </w:r>
      <w:r w:rsidRPr="00B34ADB">
        <w:rPr>
          <w:b/>
          <w:bCs/>
          <w:color w:val="000000" w:themeColor="text1"/>
          <w:sz w:val="20"/>
          <w:szCs w:val="20"/>
        </w:rPr>
        <w:t xml:space="preserve">embers </w:t>
      </w:r>
      <w:r w:rsidR="00C50DDA">
        <w:rPr>
          <w:b/>
          <w:bCs/>
          <w:color w:val="000000" w:themeColor="text1"/>
          <w:sz w:val="20"/>
          <w:szCs w:val="20"/>
        </w:rPr>
        <w:t>S</w:t>
      </w:r>
      <w:r w:rsidRPr="00B34ADB">
        <w:rPr>
          <w:b/>
          <w:bCs/>
          <w:color w:val="000000" w:themeColor="text1"/>
          <w:sz w:val="20"/>
          <w:szCs w:val="20"/>
        </w:rPr>
        <w:t>erved by all CBHCs)</w:t>
      </w:r>
    </w:p>
    <w:p w14:paraId="50AB3359" w14:textId="77777777" w:rsidR="00372347" w:rsidRDefault="00372347" w:rsidP="00354108">
      <w:pPr>
        <w:spacing w:before="200" w:after="200" w:line="23" w:lineRule="atLeast"/>
      </w:pPr>
    </w:p>
    <w:p w14:paraId="273362AD" w14:textId="01E887B7" w:rsidR="00B34ADB" w:rsidRDefault="00274314" w:rsidP="00354108">
      <w:pPr>
        <w:spacing w:before="200" w:after="200" w:line="23" w:lineRule="atLeast"/>
      </w:pPr>
      <w:r w:rsidRPr="00354108">
        <w:t>The number of members served will be based on</w:t>
      </w:r>
      <w:r w:rsidR="00464FE1" w:rsidRPr="00354108">
        <w:t xml:space="preserve"> </w:t>
      </w:r>
      <w:r w:rsidR="000D6319" w:rsidRPr="00354108">
        <w:t xml:space="preserve">eligible </w:t>
      </w:r>
      <w:r w:rsidR="00464FE1" w:rsidRPr="00354108">
        <w:t>MassHealth</w:t>
      </w:r>
      <w:r w:rsidRPr="00354108">
        <w:t xml:space="preserve"> members who </w:t>
      </w:r>
      <w:r w:rsidR="00464FE1" w:rsidRPr="00354108">
        <w:t>received</w:t>
      </w:r>
      <w:r w:rsidRPr="00354108">
        <w:t xml:space="preserve"> </w:t>
      </w:r>
      <w:r w:rsidR="00464FE1" w:rsidRPr="00354108">
        <w:t>Core Bundle, MCI, and CCS services to match the population in the CCQI-2 measure.</w:t>
      </w:r>
      <w:r w:rsidR="00464FE1" w:rsidRPr="006F157E">
        <w:t xml:space="preserve">  </w:t>
      </w:r>
      <w:r w:rsidR="00B34ADB" w:rsidRPr="006F157E">
        <w:t>Th</w:t>
      </w:r>
      <w:r w:rsidR="0050343C">
        <w:t>e observed-over-expected</w:t>
      </w:r>
      <w:r w:rsidR="00B34ADB">
        <w:t xml:space="preserve"> ratio </w:t>
      </w:r>
      <w:r w:rsidR="008A7C95">
        <w:t>serves as</w:t>
      </w:r>
      <w:r w:rsidR="005C0F4E">
        <w:t xml:space="preserve"> the</w:t>
      </w:r>
      <w:r w:rsidR="00B34ADB">
        <w:t xml:space="preserve"> performance rate</w:t>
      </w:r>
      <w:r w:rsidR="00945D77">
        <w:t xml:space="preserve"> </w:t>
      </w:r>
      <w:r w:rsidR="00B34ADB">
        <w:t xml:space="preserve">to compare against the Attainment Threshold and Goal Benchmark </w:t>
      </w:r>
      <w:r w:rsidR="00763DE9">
        <w:t>to</w:t>
      </w:r>
      <w:r w:rsidR="00B34ADB">
        <w:t xml:space="preserve"> earn </w:t>
      </w:r>
      <w:r w:rsidR="00614DBD">
        <w:t>a</w:t>
      </w:r>
      <w:r w:rsidR="00B34ADB">
        <w:t>ttainmen</w:t>
      </w:r>
      <w:r w:rsidR="00B34ADB" w:rsidRPr="00CD7306">
        <w:t xml:space="preserve">t </w:t>
      </w:r>
      <w:r w:rsidR="00614DBD" w:rsidRPr="00CD7306">
        <w:t>p</w:t>
      </w:r>
      <w:r w:rsidR="00B34ADB" w:rsidRPr="00CD7306">
        <w:t>oints</w:t>
      </w:r>
      <w:r w:rsidR="0004756F" w:rsidRPr="00CD7306">
        <w:t xml:space="preserve"> </w:t>
      </w:r>
      <w:proofErr w:type="gramStart"/>
      <w:r w:rsidR="0004756F" w:rsidRPr="00CD7306">
        <w:t>similar to</w:t>
      </w:r>
      <w:proofErr w:type="gramEnd"/>
      <w:r w:rsidR="0004756F" w:rsidRPr="00CD7306">
        <w:t xml:space="preserve"> the scoring methodology outlined in </w:t>
      </w:r>
      <w:r w:rsidR="001B52C9" w:rsidRPr="00CD7306">
        <w:t xml:space="preserve">section </w:t>
      </w:r>
      <w:r w:rsidR="0004756F" w:rsidRPr="00CD7306">
        <w:t>B.1 for measures CCQI-1 and CCQI-3</w:t>
      </w:r>
      <w:r w:rsidR="00B34ADB" w:rsidRPr="00CD7306">
        <w:t xml:space="preserve">.  </w:t>
      </w:r>
      <w:r w:rsidR="00B272BA" w:rsidRPr="00CD7306">
        <w:t xml:space="preserve">The </w:t>
      </w:r>
      <w:r w:rsidR="00AC02EE" w:rsidRPr="00CD7306">
        <w:t>observed-over-expected ratio will be rounded to the nearest hundredth as a percentage</w:t>
      </w:r>
      <w:r w:rsidR="003B2BC7" w:rsidRPr="00CD7306">
        <w:t xml:space="preserve"> to calculate a performance score.  </w:t>
      </w:r>
      <w:r w:rsidR="008C3EF5" w:rsidRPr="00CD7306">
        <w:t xml:space="preserve">Unlike performance rates for CCQI-1 and CCQI-3, the O/E ratio may exceed </w:t>
      </w:r>
      <w:r w:rsidR="007610D8" w:rsidRPr="00CD7306">
        <w:t>a value of 1 (or 100 as a percentage</w:t>
      </w:r>
      <w:r w:rsidR="007610D8">
        <w:t xml:space="preserve">), in which case </w:t>
      </w:r>
      <w:r w:rsidR="00D12C99">
        <w:t xml:space="preserve">attainment points </w:t>
      </w:r>
      <w:r w:rsidR="00F5454F">
        <w:t xml:space="preserve">will </w:t>
      </w:r>
      <w:r w:rsidR="00413748">
        <w:t>remain</w:t>
      </w:r>
      <w:r w:rsidR="00F5454F">
        <w:t xml:space="preserve"> capped at a maximum of 10 point</w:t>
      </w:r>
      <w:r w:rsidR="00F5454F" w:rsidRPr="002D2CBA">
        <w:t xml:space="preserve">s.  </w:t>
      </w:r>
      <w:r w:rsidR="00B34ADB" w:rsidRPr="00354108">
        <w:t xml:space="preserve">Improvement points can also be earned if the </w:t>
      </w:r>
      <w:r w:rsidR="0050343C" w:rsidRPr="00354108">
        <w:t>I</w:t>
      </w:r>
      <w:r w:rsidR="00B34ADB" w:rsidRPr="00354108">
        <w:t xml:space="preserve">mprovement </w:t>
      </w:r>
      <w:r w:rsidR="0050343C" w:rsidRPr="00354108">
        <w:t>T</w:t>
      </w:r>
      <w:r w:rsidR="00B34ADB" w:rsidRPr="00354108">
        <w:t xml:space="preserve">arget is met </w:t>
      </w:r>
      <w:r w:rsidR="00533A1C" w:rsidRPr="00354108">
        <w:t xml:space="preserve">or exceeded </w:t>
      </w:r>
      <w:r w:rsidR="00B34ADB" w:rsidRPr="00354108">
        <w:t>based on improved</w:t>
      </w:r>
      <w:r w:rsidR="0050343C" w:rsidRPr="00354108">
        <w:t xml:space="preserve"> </w:t>
      </w:r>
      <w:r w:rsidR="00B34ADB" w:rsidRPr="00354108">
        <w:t xml:space="preserve">performance year </w:t>
      </w:r>
      <w:r w:rsidR="00763DE9" w:rsidRPr="00354108">
        <w:t>over</w:t>
      </w:r>
      <w:r w:rsidR="00B34ADB" w:rsidRPr="00354108">
        <w:t xml:space="preserve"> year.</w:t>
      </w:r>
      <w:r w:rsidR="00B34ADB">
        <w:t xml:space="preserve">  </w:t>
      </w:r>
    </w:p>
    <w:p w14:paraId="6B60F6CA" w14:textId="77777777" w:rsidR="00372347" w:rsidRDefault="00372347" w:rsidP="00354108">
      <w:pPr>
        <w:spacing w:before="200" w:after="200" w:line="23" w:lineRule="atLeast"/>
        <w:jc w:val="center"/>
        <w:rPr>
          <w:b/>
          <w:bCs/>
          <w:sz w:val="20"/>
          <w:szCs w:val="20"/>
        </w:rPr>
      </w:pPr>
    </w:p>
    <w:p w14:paraId="795D5CB6" w14:textId="39AD02CA" w:rsidR="00B34ADB" w:rsidRPr="009A7892" w:rsidRDefault="00392461" w:rsidP="00354108">
      <w:pPr>
        <w:spacing w:before="200" w:after="200" w:line="23" w:lineRule="atLeast"/>
        <w:contextualSpacing/>
        <w:jc w:val="center"/>
        <w:rPr>
          <w:b/>
          <w:bCs/>
          <w:sz w:val="20"/>
          <w:szCs w:val="20"/>
          <w:u w:val="single"/>
        </w:rPr>
      </w:pPr>
      <w:r w:rsidRPr="009A7892">
        <w:rPr>
          <w:b/>
          <w:bCs/>
          <w:sz w:val="20"/>
          <w:szCs w:val="20"/>
        </w:rPr>
        <w:t xml:space="preserve">CCQI-2 </w:t>
      </w:r>
      <w:r w:rsidR="00B34ADB" w:rsidRPr="009A7892">
        <w:rPr>
          <w:b/>
          <w:bCs/>
          <w:sz w:val="20"/>
          <w:szCs w:val="20"/>
        </w:rPr>
        <w:t>Attainment Points</w:t>
      </w:r>
      <w:r w:rsidR="005A526B" w:rsidRPr="009A7892">
        <w:rPr>
          <w:b/>
          <w:bCs/>
          <w:sz w:val="20"/>
          <w:szCs w:val="20"/>
        </w:rPr>
        <w:t xml:space="preserve"> </w:t>
      </w:r>
      <w:r w:rsidR="00B34ADB" w:rsidRPr="009A7892">
        <w:rPr>
          <w:b/>
          <w:bCs/>
          <w:sz w:val="20"/>
          <w:szCs w:val="20"/>
        </w:rPr>
        <w:t>= Max</w:t>
      </w:r>
      <w:r w:rsidR="0018242A">
        <w:rPr>
          <w:b/>
          <w:bCs/>
          <w:sz w:val="20"/>
          <w:szCs w:val="20"/>
        </w:rPr>
        <w:t>imum</w:t>
      </w:r>
      <w:r w:rsidR="00B34ADB" w:rsidRPr="009A7892">
        <w:rPr>
          <w:b/>
          <w:bCs/>
          <w:sz w:val="20"/>
          <w:szCs w:val="20"/>
        </w:rPr>
        <w:t xml:space="preserve"> # </w:t>
      </w:r>
      <w:r w:rsidR="00691D26">
        <w:rPr>
          <w:b/>
          <w:bCs/>
          <w:sz w:val="20"/>
          <w:szCs w:val="20"/>
        </w:rPr>
        <w:t>of P</w:t>
      </w:r>
      <w:r w:rsidR="00B34ADB" w:rsidRPr="009A7892">
        <w:rPr>
          <w:b/>
          <w:bCs/>
          <w:sz w:val="20"/>
          <w:szCs w:val="20"/>
        </w:rPr>
        <w:t xml:space="preserve">oints </w:t>
      </w:r>
      <w:r w:rsidR="00691D26">
        <w:rPr>
          <w:b/>
          <w:bCs/>
          <w:sz w:val="20"/>
          <w:szCs w:val="20"/>
        </w:rPr>
        <w:t>per M</w:t>
      </w:r>
      <w:r w:rsidR="00B34ADB" w:rsidRPr="009A7892">
        <w:rPr>
          <w:b/>
          <w:bCs/>
          <w:sz w:val="20"/>
          <w:szCs w:val="20"/>
        </w:rPr>
        <w:t xml:space="preserve">easure </w:t>
      </w:r>
      <w:r w:rsidR="00CD7306" w:rsidRPr="009A7892">
        <w:rPr>
          <w:rFonts w:cstheme="minorHAnsi"/>
          <w:b/>
          <w:bCs/>
          <w:sz w:val="20"/>
          <w:szCs w:val="20"/>
        </w:rPr>
        <w:t>×</w:t>
      </w:r>
      <w:r w:rsidR="00B34ADB" w:rsidRPr="009A7892">
        <w:rPr>
          <w:b/>
          <w:bCs/>
          <w:sz w:val="20"/>
          <w:szCs w:val="20"/>
        </w:rPr>
        <w:t xml:space="preserve"> </w:t>
      </w:r>
      <w:r w:rsidR="00B34ADB" w:rsidRPr="009A7892">
        <w:rPr>
          <w:b/>
          <w:bCs/>
          <w:sz w:val="20"/>
          <w:szCs w:val="20"/>
          <w:u w:val="single"/>
        </w:rPr>
        <w:t xml:space="preserve">(O/E </w:t>
      </w:r>
      <w:r w:rsidR="00BE3FB0">
        <w:rPr>
          <w:b/>
          <w:bCs/>
          <w:sz w:val="20"/>
          <w:szCs w:val="20"/>
          <w:u w:val="single"/>
        </w:rPr>
        <w:t>R</w:t>
      </w:r>
      <w:r w:rsidR="00B34ADB" w:rsidRPr="009A7892">
        <w:rPr>
          <w:b/>
          <w:bCs/>
          <w:sz w:val="20"/>
          <w:szCs w:val="20"/>
          <w:u w:val="single"/>
        </w:rPr>
        <w:t>atio – Attainment Threshold)</w:t>
      </w:r>
    </w:p>
    <w:p w14:paraId="3AFB28FE" w14:textId="2DEE1EA5" w:rsidR="00805144" w:rsidRPr="009A7892" w:rsidRDefault="00B34ADB" w:rsidP="00354108">
      <w:pPr>
        <w:spacing w:before="200" w:after="200" w:line="23" w:lineRule="atLeast"/>
        <w:contextualSpacing/>
        <w:jc w:val="center"/>
        <w:rPr>
          <w:b/>
          <w:bCs/>
          <w:sz w:val="20"/>
          <w:szCs w:val="20"/>
        </w:rPr>
      </w:pPr>
      <w:r w:rsidRPr="009A7892">
        <w:rPr>
          <w:b/>
          <w:bCs/>
          <w:sz w:val="20"/>
          <w:szCs w:val="20"/>
        </w:rPr>
        <w:t xml:space="preserve">                      </w:t>
      </w:r>
      <w:r w:rsidR="00CB0B7D" w:rsidRPr="009A7892">
        <w:rPr>
          <w:b/>
          <w:bCs/>
          <w:sz w:val="20"/>
          <w:szCs w:val="20"/>
        </w:rPr>
        <w:t xml:space="preserve">                  </w:t>
      </w:r>
      <w:r w:rsidRPr="009A7892">
        <w:rPr>
          <w:b/>
          <w:bCs/>
          <w:sz w:val="20"/>
          <w:szCs w:val="20"/>
        </w:rPr>
        <w:t xml:space="preserve"> </w:t>
      </w:r>
      <w:r w:rsidR="007766E4" w:rsidRPr="009A7892">
        <w:rPr>
          <w:b/>
          <w:bCs/>
          <w:sz w:val="20"/>
          <w:szCs w:val="20"/>
        </w:rPr>
        <w:t xml:space="preserve">      </w:t>
      </w:r>
      <w:r w:rsidRPr="009A7892">
        <w:rPr>
          <w:b/>
          <w:bCs/>
          <w:sz w:val="20"/>
          <w:szCs w:val="20"/>
        </w:rPr>
        <w:t xml:space="preserve"> </w:t>
      </w:r>
      <w:r w:rsidR="00392461" w:rsidRPr="009A7892">
        <w:rPr>
          <w:b/>
          <w:bCs/>
          <w:sz w:val="20"/>
          <w:szCs w:val="20"/>
        </w:rPr>
        <w:t xml:space="preserve">                                                     </w:t>
      </w:r>
      <w:r w:rsidR="00970D87">
        <w:rPr>
          <w:b/>
          <w:bCs/>
          <w:sz w:val="20"/>
          <w:szCs w:val="20"/>
        </w:rPr>
        <w:t xml:space="preserve">       </w:t>
      </w:r>
      <w:r w:rsidRPr="009A7892">
        <w:rPr>
          <w:b/>
          <w:bCs/>
          <w:sz w:val="20"/>
          <w:szCs w:val="20"/>
        </w:rPr>
        <w:t>(Goal Benchmark – Attainment Threshold)</w:t>
      </w:r>
    </w:p>
    <w:p w14:paraId="098881D9" w14:textId="77777777" w:rsidR="00354108" w:rsidRDefault="00354108" w:rsidP="00354108">
      <w:pPr>
        <w:spacing w:before="200" w:after="200" w:line="23" w:lineRule="atLeast"/>
        <w:jc w:val="center"/>
        <w:rPr>
          <w:b/>
          <w:bCs/>
          <w:sz w:val="20"/>
          <w:szCs w:val="20"/>
        </w:rPr>
      </w:pPr>
    </w:p>
    <w:p w14:paraId="0A70F597" w14:textId="77777777" w:rsidR="00EA05D7" w:rsidRDefault="00EA05D7" w:rsidP="00354108">
      <w:pPr>
        <w:spacing w:before="200" w:after="200" w:line="23" w:lineRule="atLeast"/>
        <w:jc w:val="center"/>
        <w:rPr>
          <w:b/>
          <w:bCs/>
          <w:sz w:val="20"/>
          <w:szCs w:val="20"/>
        </w:rPr>
      </w:pPr>
    </w:p>
    <w:p w14:paraId="4BE046ED" w14:textId="77777777" w:rsidR="00E206BB" w:rsidRPr="00B34ADB" w:rsidRDefault="00E206BB" w:rsidP="00354108">
      <w:pPr>
        <w:spacing w:before="200" w:after="200" w:line="23" w:lineRule="atLeast"/>
        <w:jc w:val="center"/>
        <w:rPr>
          <w:b/>
          <w:bCs/>
          <w:sz w:val="20"/>
          <w:szCs w:val="20"/>
        </w:rPr>
      </w:pPr>
    </w:p>
    <w:p w14:paraId="2FA2D49F" w14:textId="79D2EAA1" w:rsidR="00254777" w:rsidRDefault="00100CF6" w:rsidP="005477AD">
      <w:pPr>
        <w:pStyle w:val="Heading2"/>
        <w:numPr>
          <w:ilvl w:val="0"/>
          <w:numId w:val="3"/>
        </w:numPr>
        <w:spacing w:before="200" w:after="200" w:line="23" w:lineRule="atLeast"/>
      </w:pPr>
      <w:bookmarkStart w:id="42" w:name="_Toc212807350"/>
      <w:r>
        <w:lastRenderedPageBreak/>
        <w:t>CCQI</w:t>
      </w:r>
      <w:r w:rsidR="0085027C">
        <w:t xml:space="preserve"> </w:t>
      </w:r>
      <w:r>
        <w:t>Performance Assessment Methodology (PAM)</w:t>
      </w:r>
      <w:r w:rsidR="005D367C">
        <w:t xml:space="preserve"> for Payment</w:t>
      </w:r>
      <w:bookmarkEnd w:id="42"/>
    </w:p>
    <w:p w14:paraId="1163346E" w14:textId="3D37AE03" w:rsidR="00254777" w:rsidRDefault="00254777" w:rsidP="00CE3ED6">
      <w:pPr>
        <w:pStyle w:val="Heading2"/>
        <w:spacing w:before="200" w:after="200" w:line="276" w:lineRule="auto"/>
        <w:rPr>
          <w:rStyle w:val="Heading3Char"/>
          <w:b/>
          <w:bCs w:val="0"/>
          <w:sz w:val="22"/>
          <w:szCs w:val="20"/>
        </w:rPr>
      </w:pPr>
      <w:bookmarkStart w:id="43" w:name="_Toc212807351"/>
      <w:r w:rsidRPr="001F406B">
        <w:rPr>
          <w:rStyle w:val="Heading3Char"/>
          <w:b/>
          <w:bCs w:val="0"/>
          <w:sz w:val="22"/>
          <w:szCs w:val="20"/>
        </w:rPr>
        <w:t xml:space="preserve">C.1. </w:t>
      </w:r>
      <w:r w:rsidR="00B34ADB">
        <w:rPr>
          <w:rStyle w:val="Heading3Char"/>
          <w:b/>
          <w:bCs w:val="0"/>
          <w:sz w:val="22"/>
          <w:szCs w:val="20"/>
        </w:rPr>
        <w:t>Individual Quality</w:t>
      </w:r>
      <w:r w:rsidRPr="001F406B">
        <w:rPr>
          <w:rStyle w:val="Heading3Char"/>
          <w:b/>
          <w:bCs w:val="0"/>
          <w:sz w:val="22"/>
          <w:szCs w:val="20"/>
        </w:rPr>
        <w:t xml:space="preserve"> Score</w:t>
      </w:r>
      <w:bookmarkEnd w:id="43"/>
    </w:p>
    <w:p w14:paraId="7FAB91C3" w14:textId="355CCB87" w:rsidR="002C61B8" w:rsidRDefault="00607E11">
      <w:pPr>
        <w:spacing w:before="200" w:after="200" w:line="276" w:lineRule="auto"/>
      </w:pPr>
      <w:r>
        <w:t>Once the total number of attainment and improvement points are calculated</w:t>
      </w:r>
      <w:r w:rsidR="00805144">
        <w:t xml:space="preserve"> based on the performance rate</w:t>
      </w:r>
      <w:r>
        <w:t xml:space="preserve">, </w:t>
      </w:r>
      <w:r w:rsidR="0050343C">
        <w:t>CBHC</w:t>
      </w:r>
      <w:r w:rsidR="006C0237">
        <w:t xml:space="preserve">s </w:t>
      </w:r>
      <w:r w:rsidR="002C61B8">
        <w:t xml:space="preserve">will earn an Individual Quality Score </w:t>
      </w:r>
      <w:r w:rsidR="006C0237">
        <w:t xml:space="preserve">for each </w:t>
      </w:r>
      <w:r w:rsidR="00C17367">
        <w:t>performance</w:t>
      </w:r>
      <w:r w:rsidR="006C0237">
        <w:t xml:space="preserve"> measure </w:t>
      </w:r>
      <w:r w:rsidR="002C61B8">
        <w:t>as a ratio between 0 and 1 based on the total number of attainment and improvement points earned out of the maximum number of points f</w:t>
      </w:r>
      <w:r w:rsidR="00D07D44">
        <w:t xml:space="preserve">or a given </w:t>
      </w:r>
      <w:r w:rsidR="002C61B8">
        <w:t xml:space="preserve">measure. </w:t>
      </w:r>
      <w:r w:rsidR="006507EA">
        <w:t xml:space="preserve"> </w:t>
      </w:r>
      <w:r w:rsidR="00E046D4" w:rsidRPr="00CE3ED6">
        <w:t>For Individual Quality Scores,</w:t>
      </w:r>
      <w:r w:rsidR="00B80929" w:rsidRPr="00CE3ED6">
        <w:t xml:space="preserve"> </w:t>
      </w:r>
      <w:r w:rsidR="00671A0D" w:rsidRPr="00CE3ED6">
        <w:t xml:space="preserve">while the total number of </w:t>
      </w:r>
      <w:proofErr w:type="gramStart"/>
      <w:r w:rsidR="00671A0D" w:rsidRPr="00CE3ED6">
        <w:t>attainment</w:t>
      </w:r>
      <w:proofErr w:type="gramEnd"/>
      <w:r w:rsidR="00671A0D" w:rsidRPr="00CE3ED6">
        <w:t xml:space="preserve"> points </w:t>
      </w:r>
      <w:r w:rsidR="005E53F3" w:rsidRPr="00CE3ED6">
        <w:t xml:space="preserve">a CBHC earns </w:t>
      </w:r>
      <w:r w:rsidR="000B3A58" w:rsidRPr="00CE3ED6">
        <w:t>cannot exceed</w:t>
      </w:r>
      <w:r w:rsidR="00671A0D" w:rsidRPr="00CE3ED6">
        <w:t xml:space="preserve"> 10 points</w:t>
      </w:r>
      <w:r w:rsidR="000B3A58" w:rsidRPr="00CE3ED6">
        <w:t xml:space="preserve"> per measure</w:t>
      </w:r>
      <w:r w:rsidR="00671A0D" w:rsidRPr="00CE3ED6">
        <w:t xml:space="preserve">, </w:t>
      </w:r>
      <w:r w:rsidR="00AC12C3" w:rsidRPr="00CE3ED6">
        <w:t>t</w:t>
      </w:r>
      <w:r w:rsidR="006507EA" w:rsidRPr="00CE3ED6">
        <w:t xml:space="preserve">he sum of attainment and improvement points </w:t>
      </w:r>
      <w:r w:rsidR="00E046D4" w:rsidRPr="00CE3ED6">
        <w:t>can</w:t>
      </w:r>
      <w:r w:rsidR="000B3A58" w:rsidRPr="00CE3ED6">
        <w:t xml:space="preserve"> reach a maximum of 15 points total</w:t>
      </w:r>
      <w:r w:rsidR="007766E4" w:rsidRPr="00CE3ED6">
        <w:t>.</w:t>
      </w:r>
      <w:r w:rsidR="002C61B8" w:rsidRPr="00981AEC">
        <w:t xml:space="preserve"> </w:t>
      </w:r>
      <w:r w:rsidR="00AB778D" w:rsidRPr="00981AEC">
        <w:t xml:space="preserve"> </w:t>
      </w:r>
      <w:r w:rsidR="00AB778D" w:rsidRPr="00CE3ED6">
        <w:t xml:space="preserve">The Individual Quality Score will </w:t>
      </w:r>
      <w:r w:rsidR="00D41656">
        <w:t>remain unrounded</w:t>
      </w:r>
      <w:r w:rsidR="00D34127" w:rsidRPr="00CE3ED6">
        <w:t xml:space="preserve"> </w:t>
      </w:r>
      <w:r w:rsidR="00A45EBE">
        <w:t xml:space="preserve">before it is weighted </w:t>
      </w:r>
      <w:r w:rsidR="00D34127" w:rsidRPr="00CE3ED6">
        <w:t>to calculate the Overall Quality Score</w:t>
      </w:r>
      <w:r w:rsidR="00AB778D" w:rsidRPr="00CE3ED6">
        <w:t>.</w:t>
      </w:r>
    </w:p>
    <w:p w14:paraId="1F9EA9F8" w14:textId="77777777" w:rsidR="005477AD" w:rsidRDefault="005477AD" w:rsidP="00CE3ED6">
      <w:pPr>
        <w:spacing w:before="200" w:after="200" w:line="276" w:lineRule="auto"/>
      </w:pPr>
    </w:p>
    <w:p w14:paraId="7403E2AB" w14:textId="6B272EF4" w:rsidR="002C61B8" w:rsidRPr="00BF79C6" w:rsidRDefault="002C61B8" w:rsidP="00CE3ED6">
      <w:pPr>
        <w:spacing w:before="200" w:after="200" w:line="276" w:lineRule="auto"/>
        <w:contextualSpacing/>
        <w:jc w:val="center"/>
        <w:rPr>
          <w:b/>
          <w:bCs/>
          <w:sz w:val="20"/>
          <w:szCs w:val="20"/>
        </w:rPr>
      </w:pPr>
      <w:r w:rsidRPr="00BF79C6">
        <w:rPr>
          <w:b/>
          <w:bCs/>
          <w:sz w:val="20"/>
          <w:szCs w:val="20"/>
        </w:rPr>
        <w:t xml:space="preserve">Individual Quality Score = </w:t>
      </w:r>
      <w:r w:rsidRPr="00BF79C6">
        <w:rPr>
          <w:b/>
          <w:bCs/>
          <w:sz w:val="20"/>
          <w:szCs w:val="20"/>
          <w:u w:val="single"/>
        </w:rPr>
        <w:t xml:space="preserve">(Attainment </w:t>
      </w:r>
      <w:r w:rsidR="00891457">
        <w:rPr>
          <w:b/>
          <w:bCs/>
          <w:sz w:val="20"/>
          <w:szCs w:val="20"/>
          <w:u w:val="single"/>
        </w:rPr>
        <w:t>P</w:t>
      </w:r>
      <w:r w:rsidRPr="00BF79C6">
        <w:rPr>
          <w:b/>
          <w:bCs/>
          <w:sz w:val="20"/>
          <w:szCs w:val="20"/>
          <w:u w:val="single"/>
        </w:rPr>
        <w:t xml:space="preserve">oints + Improvement </w:t>
      </w:r>
      <w:r w:rsidR="00891457">
        <w:rPr>
          <w:b/>
          <w:bCs/>
          <w:sz w:val="20"/>
          <w:szCs w:val="20"/>
          <w:u w:val="single"/>
        </w:rPr>
        <w:t>P</w:t>
      </w:r>
      <w:r w:rsidRPr="00BF79C6">
        <w:rPr>
          <w:b/>
          <w:bCs/>
          <w:sz w:val="20"/>
          <w:szCs w:val="20"/>
          <w:u w:val="single"/>
        </w:rPr>
        <w:t>oints)</w:t>
      </w:r>
    </w:p>
    <w:p w14:paraId="7DD765D8" w14:textId="5484B957" w:rsidR="002C61B8" w:rsidRDefault="002C61B8" w:rsidP="00354108">
      <w:pPr>
        <w:spacing w:before="200" w:after="200" w:line="276" w:lineRule="auto"/>
        <w:contextualSpacing/>
        <w:jc w:val="center"/>
        <w:rPr>
          <w:b/>
          <w:bCs/>
          <w:sz w:val="20"/>
          <w:szCs w:val="20"/>
        </w:rPr>
      </w:pPr>
      <w:r w:rsidRPr="00BF79C6">
        <w:rPr>
          <w:b/>
          <w:bCs/>
          <w:sz w:val="20"/>
          <w:szCs w:val="20"/>
        </w:rPr>
        <w:t xml:space="preserve">                                            </w:t>
      </w:r>
      <w:r w:rsidR="007B4048">
        <w:rPr>
          <w:b/>
          <w:bCs/>
          <w:sz w:val="20"/>
          <w:szCs w:val="20"/>
        </w:rPr>
        <w:t xml:space="preserve"> </w:t>
      </w:r>
      <w:r w:rsidRPr="00BF79C6">
        <w:rPr>
          <w:b/>
          <w:bCs/>
          <w:sz w:val="20"/>
          <w:szCs w:val="20"/>
        </w:rPr>
        <w:t xml:space="preserve">Maximum </w:t>
      </w:r>
      <w:r w:rsidR="00691D26">
        <w:rPr>
          <w:b/>
          <w:bCs/>
          <w:sz w:val="20"/>
          <w:szCs w:val="20"/>
        </w:rPr>
        <w:t>#</w:t>
      </w:r>
      <w:r w:rsidRPr="00BF79C6">
        <w:rPr>
          <w:b/>
          <w:bCs/>
          <w:sz w:val="20"/>
          <w:szCs w:val="20"/>
        </w:rPr>
        <w:t xml:space="preserve"> of Points per Measure</w:t>
      </w:r>
    </w:p>
    <w:p w14:paraId="3D9164B3" w14:textId="77777777" w:rsidR="005477AD" w:rsidRDefault="005477AD" w:rsidP="00354108">
      <w:pPr>
        <w:spacing w:before="200" w:after="200" w:line="276" w:lineRule="auto"/>
        <w:jc w:val="center"/>
        <w:rPr>
          <w:b/>
          <w:bCs/>
          <w:sz w:val="20"/>
          <w:szCs w:val="20"/>
        </w:rPr>
      </w:pPr>
    </w:p>
    <w:p w14:paraId="524C4079" w14:textId="0AB682A4" w:rsidR="00254777" w:rsidRDefault="00254777" w:rsidP="00CE3ED6">
      <w:pPr>
        <w:pStyle w:val="Heading2"/>
        <w:spacing w:before="200" w:after="200" w:line="276" w:lineRule="auto"/>
        <w:rPr>
          <w:rStyle w:val="Heading3Char"/>
          <w:b/>
          <w:bCs w:val="0"/>
          <w:sz w:val="22"/>
          <w:szCs w:val="20"/>
        </w:rPr>
      </w:pPr>
      <w:bookmarkStart w:id="44" w:name="_Toc212807352"/>
      <w:r w:rsidRPr="001F406B">
        <w:rPr>
          <w:rStyle w:val="Heading3Char"/>
          <w:b/>
          <w:bCs w:val="0"/>
          <w:sz w:val="22"/>
          <w:szCs w:val="20"/>
        </w:rPr>
        <w:t xml:space="preserve">C.2. Weighted </w:t>
      </w:r>
      <w:r w:rsidR="00B34ADB">
        <w:rPr>
          <w:rStyle w:val="Heading3Char"/>
          <w:b/>
          <w:bCs w:val="0"/>
          <w:sz w:val="22"/>
          <w:szCs w:val="20"/>
        </w:rPr>
        <w:t>Quality</w:t>
      </w:r>
      <w:r w:rsidRPr="001F406B">
        <w:rPr>
          <w:rStyle w:val="Heading3Char"/>
          <w:b/>
          <w:bCs w:val="0"/>
          <w:sz w:val="22"/>
          <w:szCs w:val="20"/>
        </w:rPr>
        <w:t xml:space="preserve"> Score</w:t>
      </w:r>
      <w:bookmarkEnd w:id="44"/>
    </w:p>
    <w:p w14:paraId="19D552BD" w14:textId="75831612" w:rsidR="002C61B8" w:rsidRPr="00460406" w:rsidRDefault="007C0706" w:rsidP="00CE3ED6">
      <w:pPr>
        <w:spacing w:before="200" w:after="200" w:line="276" w:lineRule="auto"/>
      </w:pPr>
      <w:r>
        <w:t>Once the Individual Quality Score is calculated, each score will be weighted</w:t>
      </w:r>
      <w:r w:rsidRPr="2394B921">
        <w:t xml:space="preserve"> </w:t>
      </w:r>
      <w:r w:rsidR="00EF33EE">
        <w:t xml:space="preserve">based on </w:t>
      </w:r>
      <w:r w:rsidR="00D20694">
        <w:t>the weigh</w:t>
      </w:r>
      <w:r w:rsidR="00B214E1">
        <w:t>t</w:t>
      </w:r>
      <w:r w:rsidR="00D20694">
        <w:t xml:space="preserve"> assigned to each measure.  </w:t>
      </w:r>
      <w:r w:rsidR="00B214E1">
        <w:t>Each CCQI</w:t>
      </w:r>
      <w:r w:rsidR="002C61B8" w:rsidRPr="2394B921">
        <w:t xml:space="preserve"> performance measure will be </w:t>
      </w:r>
      <w:proofErr w:type="gramStart"/>
      <w:r w:rsidR="002C61B8" w:rsidRPr="2394B921">
        <w:t>weighted</w:t>
      </w:r>
      <w:proofErr w:type="gramEnd"/>
      <w:r w:rsidR="002C61B8" w:rsidRPr="2394B921">
        <w:t xml:space="preserve"> equally</w:t>
      </w:r>
      <w:r w:rsidR="00CE53BC">
        <w:t xml:space="preserve"> between PY1-5</w:t>
      </w:r>
      <w:r w:rsidR="002C61B8" w:rsidRPr="2394B921">
        <w:t>, however, measure weights are subject to change in subsequent performance years</w:t>
      </w:r>
      <w:r w:rsidR="00AD1DDA" w:rsidRPr="2394B921">
        <w:t xml:space="preserve"> as needed (</w:t>
      </w:r>
      <w:r w:rsidR="00347285" w:rsidRPr="2394B921">
        <w:t>e.g</w:t>
      </w:r>
      <w:r w:rsidR="00846D6C" w:rsidRPr="2394B921">
        <w:t>.</w:t>
      </w:r>
      <w:r w:rsidR="00AD1DDA" w:rsidRPr="2394B921">
        <w:t xml:space="preserve"> </w:t>
      </w:r>
      <w:r w:rsidR="00D37B5F" w:rsidRPr="2394B921">
        <w:t xml:space="preserve">80 percent of </w:t>
      </w:r>
      <w:r w:rsidR="00846D6C" w:rsidRPr="2394B921">
        <w:t>CBHCs did not meet the minimum denominator requirement for a given measure</w:t>
      </w:r>
      <w:r w:rsidR="005C0B75" w:rsidRPr="2394B921">
        <w:t xml:space="preserve"> due to unforeseen circumstances</w:t>
      </w:r>
      <w:r w:rsidR="008366CD" w:rsidRPr="2394B921">
        <w:t>)</w:t>
      </w:r>
      <w:r w:rsidR="002C61B8" w:rsidRPr="2394B921">
        <w:t xml:space="preserve">.  </w:t>
      </w:r>
      <w:r w:rsidR="00763DE9" w:rsidRPr="2394B921">
        <w:t>As</w:t>
      </w:r>
      <w:r w:rsidR="00D07D44" w:rsidRPr="2394B921">
        <w:t xml:space="preserve"> previously</w:t>
      </w:r>
      <w:r w:rsidR="00763DE9" w:rsidRPr="2394B921">
        <w:t xml:space="preserve"> </w:t>
      </w:r>
      <w:r w:rsidR="00953F90" w:rsidRPr="2394B921">
        <w:t xml:space="preserve">indicated, measure weights can also be redistributed to other measures if a CBHC cannot meet performance requirements for a given measure.  </w:t>
      </w:r>
      <w:r w:rsidR="002C61B8" w:rsidRPr="2394B921">
        <w:t>To calculate the Weighted Quality Sc</w:t>
      </w:r>
      <w:r w:rsidR="002C61B8" w:rsidRPr="000626BE">
        <w:t xml:space="preserve">ore for each measure, the </w:t>
      </w:r>
      <w:r w:rsidR="006C0237" w:rsidRPr="000626BE">
        <w:t>Individual Quality</w:t>
      </w:r>
      <w:r w:rsidR="002C61B8" w:rsidRPr="000626BE">
        <w:t xml:space="preserve"> </w:t>
      </w:r>
      <w:r w:rsidR="006C0237" w:rsidRPr="000626BE">
        <w:t>S</w:t>
      </w:r>
      <w:r w:rsidR="002C61B8" w:rsidRPr="000626BE">
        <w:t>core is multiplied by the weight assigned to the measure.</w:t>
      </w:r>
      <w:r w:rsidR="00560E46" w:rsidRPr="000626BE">
        <w:t xml:space="preserve">  </w:t>
      </w:r>
      <w:r w:rsidR="00D41656" w:rsidRPr="000626BE">
        <w:t>T</w:t>
      </w:r>
      <w:r w:rsidR="00176F65" w:rsidRPr="000626BE">
        <w:t xml:space="preserve">he </w:t>
      </w:r>
      <w:proofErr w:type="gramStart"/>
      <w:r w:rsidR="00176F65" w:rsidRPr="000626BE">
        <w:t>measure</w:t>
      </w:r>
      <w:proofErr w:type="gramEnd"/>
      <w:r w:rsidR="00176F65" w:rsidRPr="000626BE">
        <w:t xml:space="preserve"> weight </w:t>
      </w:r>
      <w:r w:rsidR="00D41656" w:rsidRPr="000626BE">
        <w:t>and the</w:t>
      </w:r>
      <w:r w:rsidR="00F86757" w:rsidRPr="000626BE">
        <w:t xml:space="preserve"> Weighted Quality Score </w:t>
      </w:r>
      <w:r w:rsidR="00F95213" w:rsidRPr="000626BE">
        <w:t xml:space="preserve">will </w:t>
      </w:r>
      <w:r w:rsidR="00D41656" w:rsidRPr="000626BE">
        <w:t>remain un</w:t>
      </w:r>
      <w:r w:rsidR="00F86757" w:rsidRPr="000626BE">
        <w:t>rounded</w:t>
      </w:r>
      <w:r w:rsidR="00D34127" w:rsidRPr="000626BE">
        <w:t xml:space="preserve"> to calculate the Overall Quality Score</w:t>
      </w:r>
      <w:r w:rsidR="00F86757" w:rsidRPr="000626BE">
        <w:t xml:space="preserve">.  </w:t>
      </w:r>
      <w:r w:rsidR="002C61B8" w:rsidRPr="000626BE">
        <w:rPr>
          <w:rFonts w:cstheme="minorHAnsi"/>
          <w:i/>
          <w:iCs/>
        </w:rPr>
        <w:t>T</w:t>
      </w:r>
      <w:r w:rsidR="002C61B8" w:rsidRPr="000F6563">
        <w:rPr>
          <w:rFonts w:cstheme="minorHAnsi"/>
          <w:i/>
          <w:iCs/>
        </w:rPr>
        <w:t xml:space="preserve">able </w:t>
      </w:r>
      <w:r w:rsidR="000F6563" w:rsidRPr="000F6563">
        <w:rPr>
          <w:rFonts w:cstheme="minorHAnsi"/>
          <w:i/>
          <w:iCs/>
        </w:rPr>
        <w:t>5: CCQI Measure Weights for each Performance Measure in PY1</w:t>
      </w:r>
      <w:r w:rsidR="00F26981">
        <w:rPr>
          <w:rFonts w:cstheme="minorHAnsi"/>
          <w:i/>
          <w:iCs/>
        </w:rPr>
        <w:t xml:space="preserve"> </w:t>
      </w:r>
      <w:r w:rsidR="00F26981" w:rsidRPr="00F26981">
        <w:rPr>
          <w:rFonts w:cstheme="minorHAnsi"/>
          <w:i/>
          <w:iCs/>
        </w:rPr>
        <w:t xml:space="preserve">– </w:t>
      </w:r>
      <w:r w:rsidR="000F6563" w:rsidRPr="000F6563">
        <w:rPr>
          <w:rFonts w:cstheme="minorHAnsi"/>
          <w:i/>
          <w:iCs/>
        </w:rPr>
        <w:t>5</w:t>
      </w:r>
      <w:r w:rsidR="002C61B8" w:rsidRPr="002C61B8">
        <w:rPr>
          <w:rFonts w:cstheme="minorHAnsi"/>
        </w:rPr>
        <w:t xml:space="preserve"> provides an overview of the measure weights for each measure across PY1</w:t>
      </w:r>
      <w:r w:rsidR="00F26981">
        <w:rPr>
          <w:rFonts w:cstheme="minorHAnsi"/>
        </w:rPr>
        <w:t xml:space="preserve"> </w:t>
      </w:r>
      <w:r w:rsidR="00F26981" w:rsidRPr="00F26981">
        <w:rPr>
          <w:rFonts w:cstheme="minorHAnsi"/>
        </w:rPr>
        <w:t xml:space="preserve">– </w:t>
      </w:r>
      <w:r w:rsidR="002C61B8" w:rsidRPr="002C61B8">
        <w:rPr>
          <w:rFonts w:cstheme="minorHAnsi"/>
        </w:rPr>
        <w:t>5.</w:t>
      </w:r>
    </w:p>
    <w:p w14:paraId="14F0DEA1" w14:textId="77777777" w:rsidR="005477AD" w:rsidRDefault="005477AD" w:rsidP="00CE3ED6">
      <w:pPr>
        <w:spacing w:before="200" w:after="200" w:line="276" w:lineRule="auto"/>
        <w:jc w:val="center"/>
        <w:rPr>
          <w:rFonts w:eastAsiaTheme="majorEastAsia" w:cstheme="minorHAnsi"/>
          <w:b/>
          <w:color w:val="000000" w:themeColor="text1"/>
          <w:sz w:val="20"/>
          <w:szCs w:val="20"/>
        </w:rPr>
      </w:pPr>
    </w:p>
    <w:p w14:paraId="20A8D471" w14:textId="3FBB7128" w:rsidR="00354108" w:rsidRPr="00E31EDD" w:rsidRDefault="002C61B8" w:rsidP="00CE3ED6">
      <w:pPr>
        <w:spacing w:before="200" w:after="200" w:line="276" w:lineRule="auto"/>
        <w:jc w:val="center"/>
        <w:rPr>
          <w:rFonts w:eastAsiaTheme="majorEastAsia" w:cstheme="minorHAnsi"/>
          <w:b/>
          <w:color w:val="000000" w:themeColor="text1"/>
          <w:sz w:val="20"/>
          <w:szCs w:val="20"/>
        </w:rPr>
      </w:pPr>
      <w:r w:rsidRPr="00E31EDD">
        <w:rPr>
          <w:rFonts w:eastAsiaTheme="majorEastAsia" w:cstheme="minorHAnsi"/>
          <w:b/>
          <w:color w:val="000000" w:themeColor="text1"/>
          <w:sz w:val="20"/>
          <w:szCs w:val="20"/>
        </w:rPr>
        <w:t>Weighted Quality Score = Measure Weight</w:t>
      </w:r>
      <w:r w:rsidR="00594BF9" w:rsidRPr="00E31EDD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 (%)</w:t>
      </w:r>
      <w:r w:rsidR="004330AB" w:rsidRPr="00E31EDD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 </w:t>
      </w:r>
      <w:r w:rsidR="000626BE" w:rsidRPr="00E31EDD">
        <w:rPr>
          <w:rFonts w:eastAsiaTheme="majorEastAsia" w:cstheme="minorHAnsi"/>
          <w:b/>
          <w:color w:val="000000" w:themeColor="text1"/>
          <w:sz w:val="20"/>
          <w:szCs w:val="20"/>
        </w:rPr>
        <w:t>×</w:t>
      </w:r>
      <w:r w:rsidRPr="00E31EDD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 </w:t>
      </w:r>
      <w:r w:rsidR="004330AB" w:rsidRPr="00E31EDD">
        <w:rPr>
          <w:rFonts w:eastAsiaTheme="majorEastAsia" w:cstheme="minorHAnsi"/>
          <w:b/>
          <w:color w:val="000000" w:themeColor="text1"/>
          <w:sz w:val="20"/>
          <w:szCs w:val="20"/>
        </w:rPr>
        <w:t>Individual Quality Score</w:t>
      </w:r>
    </w:p>
    <w:p w14:paraId="1428E021" w14:textId="77777777" w:rsidR="00EA1425" w:rsidRDefault="00EA1425" w:rsidP="00CE3ED6">
      <w:pPr>
        <w:spacing w:before="200" w:after="200" w:line="276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</w:p>
    <w:p w14:paraId="4D7CBF62" w14:textId="77777777" w:rsidR="00EA05D7" w:rsidRDefault="00EA05D7" w:rsidP="00CE3ED6">
      <w:pPr>
        <w:spacing w:before="200" w:after="200" w:line="276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</w:p>
    <w:p w14:paraId="73395ECE" w14:textId="77777777" w:rsidR="00EA05D7" w:rsidRDefault="00EA05D7" w:rsidP="00CE3ED6">
      <w:pPr>
        <w:spacing w:before="200" w:after="200" w:line="276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</w:p>
    <w:p w14:paraId="00DD4B97" w14:textId="77777777" w:rsidR="00EA05D7" w:rsidRDefault="00EA05D7" w:rsidP="00CE3ED6">
      <w:pPr>
        <w:spacing w:before="200" w:after="200" w:line="276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</w:p>
    <w:p w14:paraId="14A2D1E2" w14:textId="77777777" w:rsidR="00EA05D7" w:rsidRDefault="00EA05D7" w:rsidP="00CE3ED6">
      <w:pPr>
        <w:spacing w:before="200" w:after="200" w:line="276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</w:p>
    <w:p w14:paraId="6E4A9BBA" w14:textId="6E65C280" w:rsidR="00254777" w:rsidRPr="006267AA" w:rsidRDefault="006267AA" w:rsidP="006267AA">
      <w:pPr>
        <w:pStyle w:val="Heading3"/>
        <w:rPr>
          <w:rStyle w:val="Heading3Char"/>
          <w:b/>
        </w:rPr>
      </w:pPr>
      <w:bookmarkStart w:id="45" w:name="_Toc212807353"/>
      <w:r w:rsidRPr="006267AA">
        <w:lastRenderedPageBreak/>
        <w:t>Table 5: CCQI Measure Weights for each Performance Measure in PY1 – 5</w:t>
      </w:r>
      <w:bookmarkEnd w:id="45"/>
    </w:p>
    <w:tbl>
      <w:tblPr>
        <w:tblStyle w:val="TableGrid"/>
        <w:tblW w:w="10855" w:type="dxa"/>
        <w:jc w:val="center"/>
        <w:tblLayout w:type="fixed"/>
        <w:tblLook w:val="04A0" w:firstRow="1" w:lastRow="0" w:firstColumn="1" w:lastColumn="0" w:noHBand="0" w:noVBand="1"/>
      </w:tblPr>
      <w:tblGrid>
        <w:gridCol w:w="3475"/>
        <w:gridCol w:w="1476"/>
        <w:gridCol w:w="1476"/>
        <w:gridCol w:w="1476"/>
        <w:gridCol w:w="1476"/>
        <w:gridCol w:w="1476"/>
      </w:tblGrid>
      <w:tr w:rsidR="005A526B" w:rsidRPr="00B14D67" w14:paraId="013D1423" w14:textId="77777777" w:rsidTr="3F6DBB60">
        <w:trPr>
          <w:trHeight w:val="873"/>
          <w:jc w:val="center"/>
        </w:trPr>
        <w:tc>
          <w:tcPr>
            <w:tcW w:w="3475" w:type="dxa"/>
            <w:shd w:val="clear" w:color="auto" w:fill="002060"/>
            <w:vAlign w:val="center"/>
          </w:tcPr>
          <w:p w14:paraId="3AFAEF2D" w14:textId="77777777" w:rsidR="005A526B" w:rsidRPr="00D14B94" w:rsidRDefault="005A526B" w:rsidP="00D813E4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 Name</w:t>
            </w:r>
          </w:p>
        </w:tc>
        <w:tc>
          <w:tcPr>
            <w:tcW w:w="1476" w:type="dxa"/>
            <w:shd w:val="clear" w:color="auto" w:fill="002060"/>
          </w:tcPr>
          <w:p w14:paraId="47B67022" w14:textId="60405B7E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Measure Weight </w:t>
            </w:r>
            <w:r w:rsidR="00296007"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  <w:p w14:paraId="3CF89993" w14:textId="77777777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PY1 (2024)</w:t>
            </w:r>
          </w:p>
        </w:tc>
        <w:tc>
          <w:tcPr>
            <w:tcW w:w="1476" w:type="dxa"/>
            <w:shd w:val="clear" w:color="auto" w:fill="002060"/>
          </w:tcPr>
          <w:p w14:paraId="28287259" w14:textId="6F18D653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 Weight</w:t>
            </w:r>
            <w:r w:rsidR="00296007"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32B780EC" w14:textId="77777777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PY2 (2025)</w:t>
            </w:r>
          </w:p>
        </w:tc>
        <w:tc>
          <w:tcPr>
            <w:tcW w:w="1476" w:type="dxa"/>
            <w:shd w:val="clear" w:color="auto" w:fill="002060"/>
          </w:tcPr>
          <w:p w14:paraId="44D9A73D" w14:textId="7170EDAB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Measure Weight</w:t>
            </w:r>
            <w:r w:rsidR="00296007"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6CF1B044" w14:textId="77777777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PY3 (2026)</w:t>
            </w:r>
          </w:p>
        </w:tc>
        <w:tc>
          <w:tcPr>
            <w:tcW w:w="1476" w:type="dxa"/>
            <w:shd w:val="clear" w:color="auto" w:fill="002060"/>
          </w:tcPr>
          <w:p w14:paraId="0F040A21" w14:textId="145A9C7B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Measure Weight </w:t>
            </w:r>
            <w:r w:rsidR="00296007"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  <w:p w14:paraId="29055D58" w14:textId="77777777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PY4 (2027)</w:t>
            </w:r>
          </w:p>
        </w:tc>
        <w:tc>
          <w:tcPr>
            <w:tcW w:w="1476" w:type="dxa"/>
            <w:shd w:val="clear" w:color="auto" w:fill="002060"/>
          </w:tcPr>
          <w:p w14:paraId="4DDACC23" w14:textId="7331C8C3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Measure Weight </w:t>
            </w:r>
            <w:r w:rsidR="00296007"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  <w:p w14:paraId="5DD64C61" w14:textId="77777777" w:rsidR="005A526B" w:rsidRPr="00D14B94" w:rsidRDefault="005A526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14B9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PY5 (2028)</w:t>
            </w:r>
          </w:p>
        </w:tc>
      </w:tr>
      <w:tr w:rsidR="005A526B" w:rsidRPr="00B14D67" w14:paraId="2B2B03A3" w14:textId="77777777" w:rsidTr="00CE3ED6">
        <w:trPr>
          <w:trHeight w:val="602"/>
          <w:jc w:val="center"/>
        </w:trPr>
        <w:tc>
          <w:tcPr>
            <w:tcW w:w="3475" w:type="dxa"/>
          </w:tcPr>
          <w:p w14:paraId="1F3A2F99" w14:textId="77777777" w:rsidR="005A526B" w:rsidRPr="00B14D67" w:rsidRDefault="005A52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CCQI-1: Access Standards</w:t>
            </w:r>
          </w:p>
        </w:tc>
        <w:tc>
          <w:tcPr>
            <w:tcW w:w="1476" w:type="dxa"/>
          </w:tcPr>
          <w:p w14:paraId="1640D2DB" w14:textId="77777777" w:rsidR="005A526B" w:rsidRPr="00B14D67" w:rsidRDefault="005A52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76" w:type="dxa"/>
          </w:tcPr>
          <w:p w14:paraId="4FE5EB78" w14:textId="74A30E2E" w:rsidR="005A526B" w:rsidRPr="00B14D67" w:rsidRDefault="005A52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42873CDD" w14:textId="2E63FD8A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5936B969" w14:textId="4D02504D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2373C3CB" w14:textId="6CCF8A83" w:rsidR="005A526B" w:rsidRPr="00B14D67" w:rsidRDefault="57767601" w:rsidP="3F6DBB60">
            <w:pPr>
              <w:jc w:val="center"/>
              <w:rPr>
                <w:b/>
                <w:bCs/>
                <w:sz w:val="20"/>
                <w:szCs w:val="20"/>
              </w:rPr>
            </w:pPr>
            <w:r w:rsidRPr="3F6DBB60">
              <w:rPr>
                <w:sz w:val="20"/>
                <w:szCs w:val="20"/>
              </w:rPr>
              <w:t>33.33</w:t>
            </w:r>
          </w:p>
        </w:tc>
      </w:tr>
      <w:tr w:rsidR="005A526B" w:rsidRPr="00B14D67" w14:paraId="5FE7E051" w14:textId="77777777" w:rsidTr="3F6DBB60">
        <w:trPr>
          <w:trHeight w:val="584"/>
          <w:jc w:val="center"/>
        </w:trPr>
        <w:tc>
          <w:tcPr>
            <w:tcW w:w="3475" w:type="dxa"/>
          </w:tcPr>
          <w:p w14:paraId="2C37433B" w14:textId="77777777" w:rsidR="005A526B" w:rsidRPr="00B14D67" w:rsidRDefault="005A52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CCQI-2: Follow-up After Acute Behavioral Health Episode of Care</w:t>
            </w:r>
          </w:p>
        </w:tc>
        <w:tc>
          <w:tcPr>
            <w:tcW w:w="1476" w:type="dxa"/>
          </w:tcPr>
          <w:p w14:paraId="5F1AFF0E" w14:textId="7101BD0C" w:rsidR="005A526B" w:rsidRPr="00B14D67" w:rsidRDefault="005A52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76" w:type="dxa"/>
          </w:tcPr>
          <w:p w14:paraId="29B7A703" w14:textId="6ABE6021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058ED949" w14:textId="247ACC0C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54328C07" w14:textId="15F2BE15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3232BF76" w14:textId="1C72D751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</w:tr>
      <w:tr w:rsidR="005A526B" w:rsidRPr="00B14D67" w14:paraId="0FE4B1F2" w14:textId="77777777" w:rsidTr="3F6DBB60">
        <w:trPr>
          <w:trHeight w:val="581"/>
          <w:jc w:val="center"/>
        </w:trPr>
        <w:tc>
          <w:tcPr>
            <w:tcW w:w="3475" w:type="dxa"/>
          </w:tcPr>
          <w:p w14:paraId="5D956415" w14:textId="77777777" w:rsidR="005A526B" w:rsidRPr="00B14D67" w:rsidRDefault="005A52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CCQI-3: Readmission to Acute Behavioral Health Care</w:t>
            </w:r>
          </w:p>
        </w:tc>
        <w:tc>
          <w:tcPr>
            <w:tcW w:w="1476" w:type="dxa"/>
          </w:tcPr>
          <w:p w14:paraId="472D5F9B" w14:textId="7CBAEDED" w:rsidR="005A526B" w:rsidRPr="00B14D67" w:rsidRDefault="005A52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76" w:type="dxa"/>
          </w:tcPr>
          <w:p w14:paraId="32B99F51" w14:textId="2A46A372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1621B062" w14:textId="72F91A1D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25785DCB" w14:textId="596BB23C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  <w:tc>
          <w:tcPr>
            <w:tcW w:w="1476" w:type="dxa"/>
          </w:tcPr>
          <w:p w14:paraId="15B30572" w14:textId="13A190A0" w:rsidR="005A526B" w:rsidRPr="00B14D67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4D67">
              <w:rPr>
                <w:rFonts w:cstheme="minorHAnsi"/>
                <w:sz w:val="20"/>
                <w:szCs w:val="20"/>
              </w:rPr>
              <w:t>33.33</w:t>
            </w:r>
          </w:p>
        </w:tc>
      </w:tr>
      <w:tr w:rsidR="005A526B" w:rsidRPr="00B14D67" w14:paraId="47D8DD4C" w14:textId="77777777" w:rsidTr="00CE3ED6">
        <w:trPr>
          <w:trHeight w:val="602"/>
          <w:jc w:val="center"/>
        </w:trPr>
        <w:tc>
          <w:tcPr>
            <w:tcW w:w="3475" w:type="dxa"/>
          </w:tcPr>
          <w:p w14:paraId="538B47FC" w14:textId="77777777" w:rsidR="005A526B" w:rsidRPr="008D09FA" w:rsidRDefault="005A52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D09FA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76" w:type="dxa"/>
          </w:tcPr>
          <w:p w14:paraId="21557BCB" w14:textId="38360206" w:rsidR="005A526B" w:rsidRPr="008D09FA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76" w:type="dxa"/>
          </w:tcPr>
          <w:p w14:paraId="677AEE24" w14:textId="0AF866FE" w:rsidR="005A526B" w:rsidRPr="008D09FA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09FA"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76" w:type="dxa"/>
          </w:tcPr>
          <w:p w14:paraId="720EBB49" w14:textId="7693C456" w:rsidR="005A526B" w:rsidRPr="008D09FA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09FA"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76" w:type="dxa"/>
          </w:tcPr>
          <w:p w14:paraId="3A33C20D" w14:textId="1DDFFB93" w:rsidR="005A526B" w:rsidRPr="008D09FA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09FA"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76" w:type="dxa"/>
          </w:tcPr>
          <w:p w14:paraId="6EA8412A" w14:textId="34C2F245" w:rsidR="005A526B" w:rsidRPr="008D09FA" w:rsidRDefault="005A52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09FA"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</w:tr>
    </w:tbl>
    <w:p w14:paraId="7137B391" w14:textId="14E4C431" w:rsidR="00AB4A6F" w:rsidRDefault="00AB4A6F">
      <w:r w:rsidRPr="00CE3ED6">
        <w:rPr>
          <w:rFonts w:cstheme="minorHAnsi"/>
          <w:i/>
          <w:iCs/>
          <w:sz w:val="20"/>
          <w:szCs w:val="20"/>
        </w:rPr>
        <w:t>Note: Measure weights are</w:t>
      </w:r>
      <w:r>
        <w:rPr>
          <w:rFonts w:cstheme="minorHAnsi"/>
          <w:i/>
          <w:iCs/>
          <w:sz w:val="20"/>
          <w:szCs w:val="20"/>
        </w:rPr>
        <w:t xml:space="preserve"> presented as a percentage</w:t>
      </w:r>
      <w:r w:rsidRPr="00CE3ED6">
        <w:rPr>
          <w:rFonts w:cstheme="minorHAnsi"/>
          <w:i/>
          <w:iCs/>
          <w:sz w:val="20"/>
          <w:szCs w:val="20"/>
        </w:rPr>
        <w:t xml:space="preserve"> rounded to the nearest </w:t>
      </w:r>
      <w:r>
        <w:rPr>
          <w:rFonts w:cstheme="minorHAnsi"/>
          <w:i/>
          <w:iCs/>
          <w:sz w:val="20"/>
          <w:szCs w:val="20"/>
        </w:rPr>
        <w:t>hundredth in this table.</w:t>
      </w:r>
    </w:p>
    <w:p w14:paraId="1A8F8FDB" w14:textId="099554DB" w:rsidR="00375CCD" w:rsidRPr="00F259E0" w:rsidRDefault="00B851F1" w:rsidP="00CE3ED6">
      <w:pPr>
        <w:pStyle w:val="Heading2"/>
        <w:spacing w:before="200" w:after="200" w:line="276" w:lineRule="auto"/>
        <w:rPr>
          <w:rStyle w:val="Heading3Char"/>
          <w:b/>
          <w:bCs w:val="0"/>
          <w:sz w:val="22"/>
          <w:szCs w:val="20"/>
        </w:rPr>
      </w:pPr>
      <w:bookmarkStart w:id="46" w:name="_Toc212807354"/>
      <w:r w:rsidRPr="001F406B">
        <w:rPr>
          <w:rStyle w:val="Heading3Char"/>
          <w:b/>
          <w:bCs w:val="0"/>
          <w:sz w:val="22"/>
          <w:szCs w:val="20"/>
        </w:rPr>
        <w:t>C.3</w:t>
      </w:r>
      <w:r w:rsidR="00375CCD" w:rsidRPr="001F406B">
        <w:rPr>
          <w:rStyle w:val="Heading3Char"/>
          <w:b/>
          <w:bCs w:val="0"/>
          <w:sz w:val="22"/>
          <w:szCs w:val="20"/>
        </w:rPr>
        <w:t>. Overall Quality Score</w:t>
      </w:r>
      <w:bookmarkEnd w:id="46"/>
    </w:p>
    <w:p w14:paraId="108E89B8" w14:textId="787B154B" w:rsidR="00375CCD" w:rsidRDefault="0055262F" w:rsidP="00CE3ED6">
      <w:pPr>
        <w:spacing w:before="200" w:after="200" w:line="276" w:lineRule="auto"/>
      </w:pPr>
      <w:r w:rsidRPr="00862500">
        <w:t>The sum of e</w:t>
      </w:r>
      <w:r w:rsidR="00B851F1" w:rsidRPr="00862500">
        <w:t xml:space="preserve">ach </w:t>
      </w:r>
      <w:r w:rsidR="00A61EBE" w:rsidRPr="00862500">
        <w:t>W</w:t>
      </w:r>
      <w:r w:rsidR="00B66E3C" w:rsidRPr="00862500">
        <w:t xml:space="preserve">eighted </w:t>
      </w:r>
      <w:r w:rsidR="00A61EBE" w:rsidRPr="00862500">
        <w:t>Quality</w:t>
      </w:r>
      <w:r w:rsidR="00B851F1" w:rsidRPr="00862500">
        <w:t xml:space="preserve"> </w:t>
      </w:r>
      <w:r w:rsidR="00A61EBE" w:rsidRPr="00862500">
        <w:t>S</w:t>
      </w:r>
      <w:r w:rsidR="00B66E3C" w:rsidRPr="00862500">
        <w:t>core</w:t>
      </w:r>
      <w:r w:rsidRPr="00862500">
        <w:t xml:space="preserve"> will produce </w:t>
      </w:r>
      <w:r w:rsidR="008761C3" w:rsidRPr="00862500">
        <w:t>an</w:t>
      </w:r>
      <w:r w:rsidR="00375CCD" w:rsidRPr="00862500">
        <w:t xml:space="preserve"> Overall Quality Score</w:t>
      </w:r>
      <w:r w:rsidR="0072448D" w:rsidRPr="00862500">
        <w:t xml:space="preserve">, which cannot </w:t>
      </w:r>
      <w:r w:rsidR="009A70A5" w:rsidRPr="00862500">
        <w:t>exceed</w:t>
      </w:r>
      <w:r w:rsidR="00E2030F" w:rsidRPr="00862500">
        <w:t xml:space="preserve"> 100 percent</w:t>
      </w:r>
      <w:r w:rsidR="00D76D90" w:rsidRPr="00862500">
        <w:t xml:space="preserve"> </w:t>
      </w:r>
      <w:r w:rsidR="00BF09E2" w:rsidRPr="00862500">
        <w:t>(or a</w:t>
      </w:r>
      <w:r w:rsidR="002347AB" w:rsidRPr="00862500">
        <w:t xml:space="preserve"> ratio of 1</w:t>
      </w:r>
      <w:r w:rsidR="00BF09E2" w:rsidRPr="00862500">
        <w:t xml:space="preserve">) </w:t>
      </w:r>
      <w:r w:rsidR="00D76D90" w:rsidRPr="00862500">
        <w:t xml:space="preserve">even if the sum of </w:t>
      </w:r>
      <w:r w:rsidR="00361A35" w:rsidRPr="00862500">
        <w:t>each Weighted Quality Score exceeds 100 percent</w:t>
      </w:r>
      <w:r w:rsidR="00BF09E2" w:rsidRPr="00862500">
        <w:t xml:space="preserve"> (or a </w:t>
      </w:r>
      <w:r w:rsidR="00A150EB" w:rsidRPr="00862500">
        <w:t>ratio of 1</w:t>
      </w:r>
      <w:r w:rsidR="00BF09E2" w:rsidRPr="00862500">
        <w:t>)</w:t>
      </w:r>
      <w:r w:rsidR="00361A35" w:rsidRPr="00862500">
        <w:t>.</w:t>
      </w:r>
    </w:p>
    <w:p w14:paraId="28F8F705" w14:textId="77777777" w:rsidR="001B6008" w:rsidRDefault="001B6008" w:rsidP="00CE3ED6">
      <w:pPr>
        <w:spacing w:before="200" w:after="200" w:line="276" w:lineRule="auto"/>
        <w:jc w:val="center"/>
        <w:rPr>
          <w:b/>
          <w:bCs/>
          <w:sz w:val="20"/>
          <w:szCs w:val="20"/>
        </w:rPr>
      </w:pPr>
    </w:p>
    <w:p w14:paraId="4746246C" w14:textId="11CE0DED" w:rsidR="00375CCD" w:rsidRPr="00B34ADB" w:rsidRDefault="00375CCD" w:rsidP="00CE3ED6">
      <w:pPr>
        <w:spacing w:before="200" w:after="200" w:line="276" w:lineRule="auto"/>
        <w:jc w:val="center"/>
        <w:rPr>
          <w:b/>
          <w:bCs/>
          <w:sz w:val="20"/>
          <w:szCs w:val="20"/>
        </w:rPr>
      </w:pPr>
      <w:r w:rsidRPr="004D13C3">
        <w:rPr>
          <w:b/>
          <w:bCs/>
          <w:sz w:val="20"/>
          <w:szCs w:val="20"/>
        </w:rPr>
        <w:t>Overall Quality Score</w:t>
      </w:r>
      <w:r w:rsidR="008E3BA2" w:rsidRPr="004D13C3">
        <w:rPr>
          <w:b/>
          <w:bCs/>
          <w:sz w:val="20"/>
          <w:szCs w:val="20"/>
        </w:rPr>
        <w:t xml:space="preserve"> =</w:t>
      </w:r>
      <w:r w:rsidRPr="004D13C3">
        <w:rPr>
          <w:b/>
          <w:bCs/>
          <w:sz w:val="20"/>
          <w:szCs w:val="20"/>
        </w:rPr>
        <w:t xml:space="preserve"> </w:t>
      </w:r>
      <w:r w:rsidR="00063041" w:rsidRPr="004D13C3">
        <w:rPr>
          <w:b/>
          <w:bCs/>
          <w:sz w:val="20"/>
          <w:szCs w:val="20"/>
        </w:rPr>
        <w:t>Sum of</w:t>
      </w:r>
      <w:r w:rsidR="00985E3E" w:rsidRPr="004D13C3">
        <w:rPr>
          <w:b/>
          <w:bCs/>
          <w:sz w:val="20"/>
          <w:szCs w:val="20"/>
        </w:rPr>
        <w:t xml:space="preserve"> Weighted </w:t>
      </w:r>
      <w:r w:rsidR="00A61EBE" w:rsidRPr="004D13C3">
        <w:rPr>
          <w:b/>
          <w:bCs/>
          <w:sz w:val="20"/>
          <w:szCs w:val="20"/>
        </w:rPr>
        <w:t>Quality</w:t>
      </w:r>
      <w:r w:rsidR="00985E3E" w:rsidRPr="004D13C3">
        <w:rPr>
          <w:b/>
          <w:bCs/>
          <w:sz w:val="20"/>
          <w:szCs w:val="20"/>
        </w:rPr>
        <w:t xml:space="preserve"> Score</w:t>
      </w:r>
      <w:r w:rsidR="00347285">
        <w:rPr>
          <w:b/>
          <w:bCs/>
          <w:sz w:val="20"/>
          <w:szCs w:val="20"/>
        </w:rPr>
        <w:t>s</w:t>
      </w:r>
    </w:p>
    <w:p w14:paraId="47C7D5D3" w14:textId="77777777" w:rsidR="00617DDD" w:rsidRDefault="00617DDD" w:rsidP="00CE3ED6">
      <w:pPr>
        <w:spacing w:before="200" w:after="200" w:line="276" w:lineRule="auto"/>
        <w:rPr>
          <w:iCs/>
          <w:color w:val="000000" w:themeColor="text1"/>
        </w:rPr>
      </w:pPr>
    </w:p>
    <w:p w14:paraId="114766CE" w14:textId="48D07FEB" w:rsidR="003C1464" w:rsidRDefault="003C1464" w:rsidP="00CE3ED6">
      <w:pPr>
        <w:spacing w:before="200" w:after="200" w:line="276" w:lineRule="auto"/>
      </w:pPr>
      <w:r w:rsidRPr="0096008B">
        <w:rPr>
          <w:iCs/>
          <w:color w:val="000000" w:themeColor="text1"/>
        </w:rPr>
        <w:t>C</w:t>
      </w:r>
      <w:r>
        <w:rPr>
          <w:iCs/>
          <w:color w:val="000000" w:themeColor="text1"/>
        </w:rPr>
        <w:t>BHCs can</w:t>
      </w:r>
      <w:r w:rsidR="00F6350D">
        <w:rPr>
          <w:iCs/>
          <w:color w:val="000000" w:themeColor="text1"/>
        </w:rPr>
        <w:t xml:space="preserve"> also</w:t>
      </w:r>
      <w:r>
        <w:rPr>
          <w:iCs/>
          <w:color w:val="000000" w:themeColor="text1"/>
        </w:rPr>
        <w:t xml:space="preserve"> earn</w:t>
      </w:r>
      <w:r w:rsidRPr="004A7535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provisional </w:t>
      </w:r>
      <w:r w:rsidRPr="004A7535">
        <w:rPr>
          <w:iCs/>
          <w:color w:val="000000" w:themeColor="text1"/>
        </w:rPr>
        <w:t>bonus points</w:t>
      </w:r>
      <w:r>
        <w:rPr>
          <w:iCs/>
          <w:color w:val="000000" w:themeColor="text1"/>
        </w:rPr>
        <w:t xml:space="preserve"> under unique circumstances through ad-hoc deliverables</w:t>
      </w:r>
      <w:r w:rsidR="007D4859">
        <w:rPr>
          <w:iCs/>
          <w:color w:val="000000" w:themeColor="text1"/>
        </w:rPr>
        <w:t xml:space="preserve"> in a given performance year</w:t>
      </w:r>
      <w:r>
        <w:rPr>
          <w:iCs/>
          <w:color w:val="000000" w:themeColor="text1"/>
        </w:rPr>
        <w:t xml:space="preserve">.  Bonus points are administered on an all-or-nothing basis </w:t>
      </w:r>
      <w:proofErr w:type="gramStart"/>
      <w:r>
        <w:rPr>
          <w:iCs/>
          <w:color w:val="000000" w:themeColor="text1"/>
        </w:rPr>
        <w:t>as</w:t>
      </w:r>
      <w:proofErr w:type="gramEnd"/>
      <w:r>
        <w:rPr>
          <w:iCs/>
          <w:color w:val="000000" w:themeColor="text1"/>
        </w:rPr>
        <w:t xml:space="preserve"> either 0 or 5 points based on accurate and timely submission of the requested </w:t>
      </w:r>
      <w:proofErr w:type="gramStart"/>
      <w:r>
        <w:rPr>
          <w:iCs/>
          <w:color w:val="000000" w:themeColor="text1"/>
        </w:rPr>
        <w:t>deliverable</w:t>
      </w:r>
      <w:proofErr w:type="gramEnd"/>
      <w:r>
        <w:rPr>
          <w:iCs/>
          <w:color w:val="000000" w:themeColor="text1"/>
        </w:rPr>
        <w:t>.  Bonus points are added to the Overall Quality Score and not to each Individual Quality Score.  Bonus points will not be added if the resulting Overall Quality Score exceeds 100</w:t>
      </w:r>
      <w:r w:rsidR="00296007">
        <w:rPr>
          <w:iCs/>
          <w:color w:val="000000" w:themeColor="text1"/>
        </w:rPr>
        <w:t xml:space="preserve"> percent</w:t>
      </w:r>
      <w:r>
        <w:rPr>
          <w:iCs/>
          <w:color w:val="000000" w:themeColor="text1"/>
        </w:rPr>
        <w:t>.</w:t>
      </w:r>
    </w:p>
    <w:p w14:paraId="6EF3AA90" w14:textId="2780B3FD" w:rsidR="007D4859" w:rsidRDefault="001D69E4" w:rsidP="00CE3ED6">
      <w:pPr>
        <w:spacing w:before="200" w:after="200" w:line="276" w:lineRule="auto"/>
        <w:contextualSpacing/>
      </w:pPr>
      <w:r w:rsidRPr="001D69E4">
        <w:t xml:space="preserve">The Overall Quality Score </w:t>
      </w:r>
      <w:r w:rsidR="00E40B95">
        <w:t>is</w:t>
      </w:r>
      <w:r w:rsidRPr="001D69E4">
        <w:t xml:space="preserve"> rounded to the nearest hundredth and calculated with the</w:t>
      </w:r>
      <w:r w:rsidR="007D4859" w:rsidRPr="001D69E4">
        <w:t xml:space="preserve"> maximum eligible incentive amount</w:t>
      </w:r>
      <w:r w:rsidRPr="001D69E4">
        <w:t xml:space="preserve"> to determine the </w:t>
      </w:r>
      <w:r w:rsidR="007D4859">
        <w:t>fi</w:t>
      </w:r>
      <w:r w:rsidR="007D4859" w:rsidRPr="001D69E4">
        <w:t xml:space="preserve">nal </w:t>
      </w:r>
      <w:r w:rsidR="007D4859">
        <w:t>e</w:t>
      </w:r>
      <w:r w:rsidR="007D4859" w:rsidRPr="001D69E4">
        <w:t xml:space="preserve">arned </w:t>
      </w:r>
      <w:r w:rsidR="007D4859">
        <w:t>i</w:t>
      </w:r>
      <w:r w:rsidR="007D4859" w:rsidRPr="001D69E4">
        <w:t xml:space="preserve">ncentive </w:t>
      </w:r>
      <w:r w:rsidR="007D4859">
        <w:t>p</w:t>
      </w:r>
      <w:r w:rsidR="007D4859" w:rsidRPr="001D69E4">
        <w:t xml:space="preserve">ayment </w:t>
      </w:r>
      <w:r w:rsidRPr="001D69E4">
        <w:t>for the CCQI after each performance year</w:t>
      </w:r>
      <w:r w:rsidR="00BE2E88">
        <w:t>.</w:t>
      </w:r>
      <w:r w:rsidR="007D4859">
        <w:t xml:space="preserve">  For the CCQI, CBHCs will receive the final earned incentive payment after each performance year based on the Overall Quality Score.  </w:t>
      </w:r>
      <w:r w:rsidR="001D5930">
        <w:t xml:space="preserve">See </w:t>
      </w:r>
      <w:r w:rsidR="001D5930" w:rsidRPr="007F7A5B">
        <w:rPr>
          <w:i/>
          <w:iCs/>
        </w:rPr>
        <w:t>CBHC Incentive Program PY</w:t>
      </w:r>
      <w:r w:rsidR="00F26981">
        <w:rPr>
          <w:i/>
          <w:iCs/>
        </w:rPr>
        <w:t xml:space="preserve">2 </w:t>
      </w:r>
      <w:r w:rsidR="00F26981" w:rsidRPr="00F26981">
        <w:rPr>
          <w:i/>
          <w:iCs/>
        </w:rPr>
        <w:t xml:space="preserve">– </w:t>
      </w:r>
      <w:r w:rsidR="001D5930" w:rsidRPr="007F7A5B">
        <w:rPr>
          <w:i/>
          <w:iCs/>
        </w:rPr>
        <w:t>5 Implementation Plan</w:t>
      </w:r>
      <w:r w:rsidR="001D5930">
        <w:rPr>
          <w:i/>
          <w:iCs/>
        </w:rPr>
        <w:t xml:space="preserve"> </w:t>
      </w:r>
      <w:r w:rsidR="001D5930">
        <w:t>for further details.</w:t>
      </w:r>
      <w:r w:rsidR="00BE2E88">
        <w:t xml:space="preserve"> </w:t>
      </w:r>
    </w:p>
    <w:p w14:paraId="3130DE0E" w14:textId="69918A4D" w:rsidR="00BE2E88" w:rsidRDefault="00BE2E88" w:rsidP="00CE3ED6">
      <w:pPr>
        <w:spacing w:before="200" w:after="200" w:line="276" w:lineRule="auto"/>
        <w:contextualSpacing/>
      </w:pPr>
      <w:r>
        <w:t xml:space="preserve"> </w:t>
      </w:r>
      <w:r w:rsidR="00F6350D">
        <w:t xml:space="preserve"> </w:t>
      </w:r>
    </w:p>
    <w:p w14:paraId="51D7A646" w14:textId="77777777" w:rsidR="005477AD" w:rsidRDefault="005477AD" w:rsidP="00CE3ED6">
      <w:pPr>
        <w:spacing w:before="200" w:after="200" w:line="276" w:lineRule="auto"/>
        <w:contextualSpacing/>
        <w:jc w:val="center"/>
        <w:rPr>
          <w:b/>
          <w:bCs/>
          <w:iCs/>
          <w:color w:val="000000" w:themeColor="text1"/>
          <w:sz w:val="20"/>
          <w:szCs w:val="20"/>
        </w:rPr>
      </w:pPr>
    </w:p>
    <w:p w14:paraId="53C74C15" w14:textId="72195B7C" w:rsidR="00786AA3" w:rsidRDefault="00B14664" w:rsidP="00CE3ED6">
      <w:pPr>
        <w:spacing w:before="200" w:after="200" w:line="276" w:lineRule="auto"/>
        <w:contextualSpacing/>
        <w:jc w:val="center"/>
        <w:rPr>
          <w:b/>
          <w:bCs/>
          <w:iCs/>
          <w:color w:val="000000" w:themeColor="text1"/>
          <w:sz w:val="20"/>
          <w:szCs w:val="20"/>
        </w:rPr>
      </w:pPr>
      <w:r w:rsidRPr="00542201">
        <w:rPr>
          <w:b/>
          <w:bCs/>
          <w:iCs/>
          <w:color w:val="000000" w:themeColor="text1"/>
          <w:sz w:val="20"/>
          <w:szCs w:val="20"/>
        </w:rPr>
        <w:t xml:space="preserve">Final Earned Incentive Payment = </w:t>
      </w:r>
      <w:r w:rsidR="00853F87" w:rsidRPr="00542201">
        <w:rPr>
          <w:b/>
          <w:bCs/>
          <w:iCs/>
          <w:color w:val="000000" w:themeColor="text1"/>
          <w:sz w:val="20"/>
          <w:szCs w:val="20"/>
        </w:rPr>
        <w:t>(</w:t>
      </w:r>
      <w:r w:rsidR="008E3BA2" w:rsidRPr="00542201">
        <w:rPr>
          <w:b/>
          <w:bCs/>
          <w:iCs/>
          <w:color w:val="000000" w:themeColor="text1"/>
          <w:sz w:val="20"/>
          <w:szCs w:val="20"/>
        </w:rPr>
        <w:t>Overall Quality Score</w:t>
      </w:r>
      <w:r w:rsidR="00853F87" w:rsidRPr="00542201">
        <w:rPr>
          <w:b/>
          <w:bCs/>
          <w:iCs/>
          <w:color w:val="000000" w:themeColor="text1"/>
          <w:sz w:val="20"/>
          <w:szCs w:val="20"/>
        </w:rPr>
        <w:t>)</w:t>
      </w:r>
      <w:r w:rsidR="008E3BA2" w:rsidRPr="00542201">
        <w:rPr>
          <w:b/>
          <w:bCs/>
          <w:iCs/>
          <w:color w:val="000000" w:themeColor="text1"/>
          <w:sz w:val="20"/>
          <w:szCs w:val="20"/>
        </w:rPr>
        <w:t xml:space="preserve"> </w:t>
      </w:r>
      <w:r w:rsidR="002F6933" w:rsidRPr="002F6933">
        <w:rPr>
          <w:rFonts w:cstheme="minorHAnsi"/>
          <w:b/>
          <w:bCs/>
          <w:iCs/>
          <w:color w:val="000000" w:themeColor="text1"/>
        </w:rPr>
        <w:t>×</w:t>
      </w:r>
      <w:r w:rsidR="008E3BA2" w:rsidRPr="00542201">
        <w:rPr>
          <w:b/>
          <w:bCs/>
          <w:iCs/>
          <w:color w:val="000000" w:themeColor="text1"/>
          <w:sz w:val="20"/>
          <w:szCs w:val="20"/>
        </w:rPr>
        <w:t xml:space="preserve"> </w:t>
      </w:r>
      <w:r w:rsidR="00853F87" w:rsidRPr="00542201">
        <w:rPr>
          <w:b/>
          <w:bCs/>
          <w:iCs/>
          <w:color w:val="000000" w:themeColor="text1"/>
          <w:sz w:val="20"/>
          <w:szCs w:val="20"/>
        </w:rPr>
        <w:t>(</w:t>
      </w:r>
      <w:r w:rsidR="008E3BA2" w:rsidRPr="00542201">
        <w:rPr>
          <w:b/>
          <w:bCs/>
          <w:iCs/>
          <w:color w:val="000000" w:themeColor="text1"/>
          <w:sz w:val="20"/>
          <w:szCs w:val="20"/>
        </w:rPr>
        <w:t>Maximum Eligible Incentive Amount</w:t>
      </w:r>
      <w:r w:rsidR="00853F87" w:rsidRPr="00542201">
        <w:rPr>
          <w:b/>
          <w:bCs/>
          <w:iCs/>
          <w:color w:val="000000" w:themeColor="text1"/>
          <w:sz w:val="20"/>
          <w:szCs w:val="20"/>
        </w:rPr>
        <w:t>)</w:t>
      </w:r>
    </w:p>
    <w:p w14:paraId="6E664FE0" w14:textId="77777777" w:rsidR="00776691" w:rsidRDefault="00776691" w:rsidP="00E9713C">
      <w:pPr>
        <w:contextualSpacing/>
        <w:jc w:val="center"/>
        <w:rPr>
          <w:b/>
          <w:bCs/>
          <w:iCs/>
          <w:color w:val="000000" w:themeColor="text1"/>
          <w:sz w:val="20"/>
          <w:szCs w:val="20"/>
        </w:rPr>
      </w:pPr>
    </w:p>
    <w:p w14:paraId="201E90F4" w14:textId="77777777" w:rsidR="00776691" w:rsidRDefault="00776691" w:rsidP="00E9713C">
      <w:pPr>
        <w:contextualSpacing/>
        <w:jc w:val="center"/>
        <w:rPr>
          <w:b/>
          <w:bCs/>
          <w:iCs/>
          <w:color w:val="000000" w:themeColor="text1"/>
          <w:sz w:val="20"/>
          <w:szCs w:val="20"/>
        </w:rPr>
      </w:pPr>
    </w:p>
    <w:p w14:paraId="7ACDA639" w14:textId="73E5847D" w:rsidR="00776691" w:rsidRPr="00AC16D9" w:rsidRDefault="00776691" w:rsidP="00776691">
      <w:pPr>
        <w:contextualSpacing/>
        <w:rPr>
          <w:b/>
          <w:bCs/>
          <w:iCs/>
          <w:color w:val="000000" w:themeColor="text1"/>
          <w:sz w:val="20"/>
          <w:szCs w:val="20"/>
        </w:rPr>
      </w:pPr>
      <w:r>
        <w:rPr>
          <w:b/>
          <w:bCs/>
          <w:iCs/>
          <w:color w:val="000000" w:themeColor="text1"/>
          <w:sz w:val="20"/>
          <w:szCs w:val="20"/>
        </w:rPr>
        <w:br w:type="page"/>
      </w:r>
    </w:p>
    <w:p w14:paraId="179B15B7" w14:textId="06DDC883" w:rsidR="00FF7364" w:rsidRPr="00687641" w:rsidRDefault="001E24A0" w:rsidP="00687641">
      <w:pPr>
        <w:pStyle w:val="Heading2"/>
        <w:numPr>
          <w:ilvl w:val="0"/>
          <w:numId w:val="4"/>
        </w:numPr>
      </w:pPr>
      <w:bookmarkStart w:id="47" w:name="_Toc212807355"/>
      <w:r>
        <w:lastRenderedPageBreak/>
        <w:t xml:space="preserve">CCQI </w:t>
      </w:r>
      <w:r w:rsidR="00F37C9D">
        <w:t>P</w:t>
      </w:r>
      <w:r w:rsidR="009C6E20">
        <w:t>erformance</w:t>
      </w:r>
      <w:r w:rsidR="00F37C9D">
        <w:t xml:space="preserve"> </w:t>
      </w:r>
      <w:r>
        <w:t>Scoring</w:t>
      </w:r>
      <w:r w:rsidR="00F37C9D">
        <w:t xml:space="preserve"> Examples</w:t>
      </w:r>
      <w:bookmarkEnd w:id="47"/>
    </w:p>
    <w:p w14:paraId="01BADB8A" w14:textId="73A5961C" w:rsidR="00BA2BE6" w:rsidRPr="00BA2BE6" w:rsidRDefault="00BA2BE6" w:rsidP="00BA2BE6">
      <w:pPr>
        <w:pStyle w:val="Heading2"/>
      </w:pPr>
      <w:bookmarkStart w:id="48" w:name="_Toc212807356"/>
      <w:r w:rsidRPr="00BA2BE6">
        <w:rPr>
          <w:rStyle w:val="Heading3Char"/>
          <w:b/>
          <w:bCs w:val="0"/>
          <w:sz w:val="22"/>
          <w:szCs w:val="20"/>
        </w:rPr>
        <w:t>Example 1: Performance Scoring with Attainment and Improvement Met</w:t>
      </w:r>
      <w:bookmarkEnd w:id="48"/>
    </w:p>
    <w:tbl>
      <w:tblPr>
        <w:tblStyle w:val="TableGrid"/>
        <w:tblpPr w:leftFromText="180" w:rightFromText="180" w:vertAnchor="page" w:horzAnchor="margin" w:tblpXSpec="center" w:tblpY="2613"/>
        <w:tblW w:w="1089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1175"/>
        <w:gridCol w:w="1350"/>
        <w:gridCol w:w="1431"/>
        <w:gridCol w:w="1475"/>
        <w:gridCol w:w="1472"/>
        <w:gridCol w:w="1472"/>
      </w:tblGrid>
      <w:tr w:rsidR="00040AAF" w:rsidRPr="008410A2" w14:paraId="5A960D9E" w14:textId="77777777" w:rsidTr="00590A15">
        <w:trPr>
          <w:trHeight w:val="980"/>
        </w:trPr>
        <w:tc>
          <w:tcPr>
            <w:tcW w:w="1435" w:type="dxa"/>
            <w:shd w:val="clear" w:color="auto" w:fill="002060"/>
            <w:vAlign w:val="center"/>
          </w:tcPr>
          <w:p w14:paraId="2204BC46" w14:textId="77777777" w:rsidR="00040AAF" w:rsidRPr="00786AA3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2AB79256" w14:textId="77777777" w:rsidR="00040AAF" w:rsidRPr="00786AA3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77F4DE69">
              <w:rPr>
                <w:b/>
                <w:bCs/>
                <w:color w:val="FFFFFF" w:themeColor="background1"/>
                <w:sz w:val="20"/>
                <w:szCs w:val="20"/>
              </w:rPr>
              <w:t xml:space="preserve">PY1 Rate 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175" w:type="dxa"/>
            <w:shd w:val="clear" w:color="auto" w:fill="002060"/>
            <w:vAlign w:val="center"/>
          </w:tcPr>
          <w:p w14:paraId="5F75BCF7" w14:textId="77777777" w:rsidR="00040AAF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PY2 Rate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42DF33C3" w14:textId="77777777" w:rsidR="00040AAF" w:rsidRPr="00786AA3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002060"/>
            <w:vAlign w:val="center"/>
          </w:tcPr>
          <w:p w14:paraId="07D18620" w14:textId="77777777" w:rsidR="00040AAF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Attainment Threshold</w:t>
            </w:r>
          </w:p>
          <w:p w14:paraId="0C133BA4" w14:textId="77777777" w:rsidR="00040AAF" w:rsidRPr="00786AA3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431" w:type="dxa"/>
            <w:shd w:val="clear" w:color="auto" w:fill="002060"/>
            <w:vAlign w:val="center"/>
          </w:tcPr>
          <w:p w14:paraId="58E3B707" w14:textId="77777777" w:rsidR="00040AAF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Goal Benchmark</w:t>
            </w:r>
          </w:p>
          <w:p w14:paraId="32F16714" w14:textId="77777777" w:rsidR="00040AAF" w:rsidRPr="00786AA3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475" w:type="dxa"/>
            <w:shd w:val="clear" w:color="auto" w:fill="002060"/>
            <w:vAlign w:val="center"/>
          </w:tcPr>
          <w:p w14:paraId="720C3471" w14:textId="77777777" w:rsidR="00040AAF" w:rsidRPr="00786AA3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5944CC82" w14:textId="77777777" w:rsidR="00040AAF" w:rsidRPr="00786AA3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Target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3F668200" w14:textId="77777777" w:rsidR="00040AAF" w:rsidRPr="00786AA3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Points</w:t>
            </w:r>
          </w:p>
        </w:tc>
      </w:tr>
      <w:tr w:rsidR="00040AAF" w:rsidRPr="008410A2" w14:paraId="0EAAE3CB" w14:textId="77777777" w:rsidTr="00590A15">
        <w:trPr>
          <w:trHeight w:val="630"/>
        </w:trPr>
        <w:tc>
          <w:tcPr>
            <w:tcW w:w="1435" w:type="dxa"/>
            <w:vAlign w:val="center"/>
          </w:tcPr>
          <w:p w14:paraId="49955B83" w14:textId="77777777" w:rsidR="00040AAF" w:rsidRPr="008410A2" w:rsidRDefault="00040AAF" w:rsidP="000D33F9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1080" w:type="dxa"/>
            <w:vAlign w:val="center"/>
          </w:tcPr>
          <w:p w14:paraId="01E486C3" w14:textId="77777777" w:rsidR="00040AAF" w:rsidRPr="00D64490" w:rsidRDefault="00040AAF" w:rsidP="00040AAF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75" w:type="dxa"/>
            <w:vAlign w:val="center"/>
          </w:tcPr>
          <w:p w14:paraId="371295F8" w14:textId="77777777" w:rsidR="00040AAF" w:rsidRPr="0074540E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540E">
              <w:rPr>
                <w:b/>
                <w:bCs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350" w:type="dxa"/>
            <w:shd w:val="clear" w:color="auto" w:fill="DCDCDC" w:themeFill="text2" w:themeFillTint="33"/>
            <w:vAlign w:val="center"/>
          </w:tcPr>
          <w:p w14:paraId="5F102E99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431" w:type="dxa"/>
            <w:shd w:val="clear" w:color="auto" w:fill="DCDCDC" w:themeFill="text2" w:themeFillTint="33"/>
            <w:vAlign w:val="center"/>
          </w:tcPr>
          <w:p w14:paraId="0AD89CD2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475" w:type="dxa"/>
            <w:vAlign w:val="center"/>
          </w:tcPr>
          <w:p w14:paraId="3304D3B8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5B3B12DB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  <w:r w:rsidRPr="00D6449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72" w:type="dxa"/>
            <w:vAlign w:val="center"/>
          </w:tcPr>
          <w:p w14:paraId="7249A77A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040AAF" w:rsidRPr="008410A2" w14:paraId="033BE7BB" w14:textId="77777777" w:rsidTr="00590A15">
        <w:trPr>
          <w:trHeight w:val="596"/>
        </w:trPr>
        <w:tc>
          <w:tcPr>
            <w:tcW w:w="1435" w:type="dxa"/>
            <w:vAlign w:val="center"/>
          </w:tcPr>
          <w:p w14:paraId="4CF18896" w14:textId="77777777" w:rsidR="00040AAF" w:rsidRPr="008410A2" w:rsidRDefault="00040AAF" w:rsidP="000D33F9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1080" w:type="dxa"/>
            <w:vAlign w:val="center"/>
          </w:tcPr>
          <w:p w14:paraId="6911B1EA" w14:textId="77777777" w:rsidR="00040AAF" w:rsidRPr="00D64490" w:rsidRDefault="00040AAF" w:rsidP="00040AAF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175" w:type="dxa"/>
            <w:vAlign w:val="center"/>
          </w:tcPr>
          <w:p w14:paraId="66E34C86" w14:textId="77777777" w:rsidR="00040AAF" w:rsidRPr="0074540E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540E">
              <w:rPr>
                <w:b/>
                <w:bCs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350" w:type="dxa"/>
            <w:shd w:val="clear" w:color="auto" w:fill="DCDCDC" w:themeFill="text2" w:themeFillTint="33"/>
            <w:vAlign w:val="center"/>
          </w:tcPr>
          <w:p w14:paraId="38FBADD0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31" w:type="dxa"/>
            <w:shd w:val="clear" w:color="auto" w:fill="DCDCDC" w:themeFill="text2" w:themeFillTint="33"/>
            <w:vAlign w:val="center"/>
          </w:tcPr>
          <w:p w14:paraId="2A47C514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75" w:type="dxa"/>
            <w:vAlign w:val="center"/>
          </w:tcPr>
          <w:p w14:paraId="1E6052CE" w14:textId="2F89B08B" w:rsidR="00040AAF" w:rsidRPr="00D64490" w:rsidRDefault="00FC23BC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705567B3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72" w:type="dxa"/>
            <w:vAlign w:val="center"/>
          </w:tcPr>
          <w:p w14:paraId="777FF737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040AAF" w:rsidRPr="008410A2" w14:paraId="48741207" w14:textId="77777777" w:rsidTr="00590A15">
        <w:trPr>
          <w:trHeight w:val="596"/>
        </w:trPr>
        <w:tc>
          <w:tcPr>
            <w:tcW w:w="1435" w:type="dxa"/>
            <w:vAlign w:val="center"/>
          </w:tcPr>
          <w:p w14:paraId="2C359008" w14:textId="77777777" w:rsidR="00040AAF" w:rsidRPr="008410A2" w:rsidRDefault="00040AAF" w:rsidP="000D33F9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1080" w:type="dxa"/>
            <w:vAlign w:val="center"/>
          </w:tcPr>
          <w:p w14:paraId="1DE344FF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175" w:type="dxa"/>
            <w:vAlign w:val="center"/>
          </w:tcPr>
          <w:p w14:paraId="32DABD0F" w14:textId="77777777" w:rsidR="00040AAF" w:rsidRPr="0074540E" w:rsidRDefault="00040AAF" w:rsidP="00040AA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540E">
              <w:rPr>
                <w:b/>
                <w:bCs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350" w:type="dxa"/>
            <w:shd w:val="clear" w:color="auto" w:fill="DCDCDC" w:themeFill="text2" w:themeFillTint="33"/>
            <w:vAlign w:val="center"/>
          </w:tcPr>
          <w:p w14:paraId="0C93BACD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31" w:type="dxa"/>
            <w:shd w:val="clear" w:color="auto" w:fill="DCDCDC" w:themeFill="text2" w:themeFillTint="33"/>
            <w:vAlign w:val="center"/>
          </w:tcPr>
          <w:p w14:paraId="1A71EF7D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75" w:type="dxa"/>
            <w:vAlign w:val="center"/>
          </w:tcPr>
          <w:p w14:paraId="1FFD5DE9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560882C5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2" w:type="dxa"/>
            <w:vAlign w:val="center"/>
          </w:tcPr>
          <w:p w14:paraId="152F08DF" w14:textId="77777777" w:rsidR="00040AAF" w:rsidRPr="00D64490" w:rsidRDefault="00040AAF" w:rsidP="00040AA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1CEC58F8" w14:textId="77777777" w:rsidR="00040AAF" w:rsidRDefault="00040AAF" w:rsidP="00D43A5D">
      <w:pPr>
        <w:rPr>
          <w:b/>
          <w:bCs/>
          <w:color w:val="000000" w:themeColor="text1"/>
          <w:sz w:val="16"/>
          <w:szCs w:val="16"/>
        </w:rPr>
      </w:pPr>
    </w:p>
    <w:p w14:paraId="5D8D5834" w14:textId="77777777" w:rsidR="00040AAF" w:rsidRDefault="00040AAF" w:rsidP="00D43A5D">
      <w:pPr>
        <w:rPr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4"/>
        <w:tblW w:w="10908" w:type="dxa"/>
        <w:tblLook w:val="04A0" w:firstRow="1" w:lastRow="0" w:firstColumn="1" w:lastColumn="0" w:noHBand="0" w:noVBand="1"/>
      </w:tblPr>
      <w:tblGrid>
        <w:gridCol w:w="1404"/>
        <w:gridCol w:w="3001"/>
        <w:gridCol w:w="2700"/>
        <w:gridCol w:w="1620"/>
        <w:gridCol w:w="1800"/>
        <w:gridCol w:w="383"/>
      </w:tblGrid>
      <w:tr w:rsidR="00040AAF" w:rsidRPr="00504672" w14:paraId="5CCBF3A7" w14:textId="77777777" w:rsidTr="00AF1846">
        <w:trPr>
          <w:trHeight w:val="890"/>
        </w:trPr>
        <w:tc>
          <w:tcPr>
            <w:tcW w:w="1404" w:type="dxa"/>
            <w:shd w:val="clear" w:color="auto" w:fill="002060"/>
            <w:vAlign w:val="center"/>
          </w:tcPr>
          <w:p w14:paraId="18BD8C40" w14:textId="77777777" w:rsidR="00040AAF" w:rsidRPr="00786AA3" w:rsidRDefault="00040AAF" w:rsidP="00040AA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3001" w:type="dxa"/>
            <w:shd w:val="clear" w:color="auto" w:fill="002060"/>
            <w:vAlign w:val="center"/>
          </w:tcPr>
          <w:p w14:paraId="3ABA2D3F" w14:textId="77777777" w:rsidR="00040AAF" w:rsidRPr="00786AA3" w:rsidRDefault="00040AAF" w:rsidP="00040AAF">
            <w:pPr>
              <w:contextualSpacing/>
              <w:jc w:val="center"/>
              <w:rPr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Points</w:t>
            </w:r>
          </w:p>
        </w:tc>
        <w:tc>
          <w:tcPr>
            <w:tcW w:w="2700" w:type="dxa"/>
            <w:shd w:val="clear" w:color="auto" w:fill="002060"/>
            <w:vAlign w:val="center"/>
          </w:tcPr>
          <w:p w14:paraId="136693FE" w14:textId="77777777" w:rsidR="00040AAF" w:rsidRPr="00786AA3" w:rsidRDefault="00040AAF" w:rsidP="00040AA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+ Improvement Points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61484366" w14:textId="77777777" w:rsidR="00040AAF" w:rsidRPr="00786AA3" w:rsidRDefault="00040AAF" w:rsidP="00040AA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Individual Quality Score</w:t>
            </w:r>
          </w:p>
        </w:tc>
        <w:tc>
          <w:tcPr>
            <w:tcW w:w="2183" w:type="dxa"/>
            <w:gridSpan w:val="2"/>
            <w:shd w:val="clear" w:color="auto" w:fill="002060"/>
            <w:vAlign w:val="center"/>
          </w:tcPr>
          <w:p w14:paraId="2C4E8EE0" w14:textId="2175B2BD" w:rsidR="00040AAF" w:rsidRPr="00786AA3" w:rsidRDefault="00040AAF" w:rsidP="00040AA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Weighted Quality Score</w:t>
            </w:r>
          </w:p>
        </w:tc>
      </w:tr>
      <w:tr w:rsidR="00040AAF" w:rsidRPr="00504672" w14:paraId="4376FCD6" w14:textId="77777777" w:rsidTr="00AF1846">
        <w:trPr>
          <w:trHeight w:val="654"/>
        </w:trPr>
        <w:tc>
          <w:tcPr>
            <w:tcW w:w="1404" w:type="dxa"/>
            <w:vAlign w:val="center"/>
          </w:tcPr>
          <w:p w14:paraId="174F2410" w14:textId="77777777" w:rsidR="00040AAF" w:rsidRPr="00504672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3001" w:type="dxa"/>
            <w:vAlign w:val="center"/>
          </w:tcPr>
          <w:p w14:paraId="52273DD9" w14:textId="6738C6F1" w:rsidR="00040AAF" w:rsidRPr="008F2E79" w:rsidRDefault="00040AAF" w:rsidP="00BC179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BB244A" w:rsidRPr="00BB244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(55 – 43)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7.5</w:t>
            </w:r>
            <w:r w:rsidR="00FE30B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  <w:p w14:paraId="467C84F9" w14:textId="0BE5C65D" w:rsidR="00040AAF" w:rsidRPr="008F2E79" w:rsidRDefault="00BC1796" w:rsidP="00BC1796">
            <w:pPr>
              <w:contextualSpacing/>
              <w:rPr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</w:t>
            </w:r>
            <w:r w:rsidR="00594BF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594BF9">
              <w:rPr>
                <w:rStyle w:val="IntenseEmphasis"/>
                <w:color w:val="auto"/>
                <w:sz w:val="18"/>
                <w:szCs w:val="18"/>
              </w:rPr>
              <w:t xml:space="preserve">      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040AAF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(59 – 43)</w:t>
            </w:r>
          </w:p>
        </w:tc>
        <w:tc>
          <w:tcPr>
            <w:tcW w:w="2700" w:type="dxa"/>
            <w:vAlign w:val="center"/>
          </w:tcPr>
          <w:p w14:paraId="320627D0" w14:textId="1B40CA0C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7.5</w:t>
            </w:r>
            <w:r w:rsidR="009A587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+ 5 pts = 12</w:t>
            </w:r>
            <w:r w:rsidR="00A5253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.5</w:t>
            </w:r>
            <w:r w:rsidR="009A587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</w:t>
            </w:r>
          </w:p>
        </w:tc>
        <w:tc>
          <w:tcPr>
            <w:tcW w:w="1620" w:type="dxa"/>
            <w:vAlign w:val="center"/>
          </w:tcPr>
          <w:p w14:paraId="31322ADC" w14:textId="08CCCF17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B1599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2</w:t>
            </w:r>
            <w:r w:rsidR="00A5253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.5</w:t>
            </w:r>
            <w:r w:rsidR="009A587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 = 1.</w:t>
            </w:r>
            <w:r w:rsidR="00B1599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2</w:t>
            </w:r>
            <w:r w:rsidR="00A5253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2183" w:type="dxa"/>
            <w:gridSpan w:val="2"/>
            <w:vAlign w:val="center"/>
          </w:tcPr>
          <w:p w14:paraId="6CA2FAA8" w14:textId="2D17BD11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</w:t>
            </w:r>
            <w:r w:rsidR="001858E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2</w:t>
            </w:r>
            <w:r w:rsidR="00A5253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BB244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 </w:t>
            </w:r>
            <w:r w:rsidR="0038496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4</w:t>
            </w:r>
            <w:r w:rsidR="0063488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38496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63488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67</w:t>
            </w:r>
          </w:p>
        </w:tc>
      </w:tr>
      <w:tr w:rsidR="00040AAF" w:rsidRPr="00504672" w14:paraId="71E21425" w14:textId="77777777" w:rsidTr="00AF1846">
        <w:trPr>
          <w:trHeight w:val="618"/>
        </w:trPr>
        <w:tc>
          <w:tcPr>
            <w:tcW w:w="1404" w:type="dxa"/>
            <w:vAlign w:val="center"/>
          </w:tcPr>
          <w:p w14:paraId="46CE76AF" w14:textId="77777777" w:rsidR="00040AAF" w:rsidRPr="00504672" w:rsidRDefault="00040AAF" w:rsidP="00040AA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3001" w:type="dxa"/>
            <w:vAlign w:val="center"/>
          </w:tcPr>
          <w:p w14:paraId="2607D05F" w14:textId="77777777" w:rsidR="000D33F9" w:rsidRDefault="000D33F9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  <w:p w14:paraId="79ABE259" w14:textId="22E0D2E8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pts </w:t>
            </w:r>
          </w:p>
          <w:p w14:paraId="52177B2C" w14:textId="77777777" w:rsidR="00040AAF" w:rsidRPr="006A1B0C" w:rsidRDefault="00040AAF" w:rsidP="00040AAF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</w:t>
            </w:r>
            <w:r>
              <w:rPr>
                <w:rStyle w:val="IntenseEmphasis"/>
                <w:color w:val="auto"/>
              </w:rPr>
              <w:t xml:space="preserve">  </w:t>
            </w:r>
            <w:r w:rsidRPr="006A1B0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700" w:type="dxa"/>
            <w:vAlign w:val="center"/>
          </w:tcPr>
          <w:p w14:paraId="69DD3726" w14:textId="07F6D444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15 pts </w:t>
            </w:r>
            <w:r>
              <w:rPr>
                <w:rStyle w:val="IntenseEmphasis"/>
                <w:color w:val="auto"/>
              </w:rPr>
              <w:t xml:space="preserve">    </w:t>
            </w:r>
          </w:p>
        </w:tc>
        <w:tc>
          <w:tcPr>
            <w:tcW w:w="1620" w:type="dxa"/>
            <w:vAlign w:val="center"/>
          </w:tcPr>
          <w:p w14:paraId="6699A9C8" w14:textId="1480527F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CB180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</w:t>
            </w:r>
            <w:r w:rsidR="00CB180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2183" w:type="dxa"/>
            <w:gridSpan w:val="2"/>
            <w:vAlign w:val="center"/>
          </w:tcPr>
          <w:p w14:paraId="30135CF6" w14:textId="252D5538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</w:t>
            </w:r>
            <w:r w:rsidR="00CB180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0 </w:t>
            </w:r>
            <w:r w:rsidR="00BB244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 </w:t>
            </w:r>
            <w:r w:rsidR="000D3D2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0D3D2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</w:p>
        </w:tc>
      </w:tr>
      <w:tr w:rsidR="00040AAF" w:rsidRPr="00504672" w14:paraId="6AF1E930" w14:textId="77777777" w:rsidTr="00AB4A6F">
        <w:trPr>
          <w:trHeight w:val="708"/>
        </w:trPr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092BB3ED" w14:textId="77777777" w:rsidR="00040AAF" w:rsidRPr="00504672" w:rsidRDefault="00040AAF" w:rsidP="00040AA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3001" w:type="dxa"/>
            <w:tcBorders>
              <w:bottom w:val="single" w:sz="4" w:space="0" w:color="auto"/>
            </w:tcBorders>
            <w:vAlign w:val="center"/>
          </w:tcPr>
          <w:p w14:paraId="6CA22E89" w14:textId="75EDF141" w:rsidR="00040AAF" w:rsidRPr="00D73CE3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BB244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D73CE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43 – 50</w:t>
            </w:r>
            <w:r w:rsidRPr="00D73CE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3.5</w:t>
            </w:r>
            <w:r w:rsidR="009A587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  <w:p w14:paraId="24E03AC0" w14:textId="56F104E7" w:rsidR="00040AAF" w:rsidRPr="008F2E79" w:rsidRDefault="00040AAF" w:rsidP="00040AAF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</w:t>
            </w:r>
            <w:r w:rsidR="00594BF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(30 – 50)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93AB0B1" w14:textId="1F93EBE1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3.5</w:t>
            </w:r>
            <w:r w:rsidR="009A587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+ 5 pts = 8.5</w:t>
            </w:r>
            <w:r w:rsidR="009A587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B994114" w14:textId="3431493F" w:rsidR="00040AAF" w:rsidRPr="008F2E79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8.5</w:t>
            </w:r>
            <w:r w:rsidR="009A587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/ 10 = 0.85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  <w:vAlign w:val="center"/>
          </w:tcPr>
          <w:p w14:paraId="716280BE" w14:textId="2AE8474E" w:rsidR="00040AAF" w:rsidRPr="008E14EB" w:rsidRDefault="00040AA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E14E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8</w:t>
            </w:r>
            <w:r w:rsidRPr="008E14E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5 </w:t>
            </w:r>
            <w:r w:rsidR="00BB244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8E14E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</w:t>
            </w:r>
            <w:r w:rsidRPr="00D0791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28</w:t>
            </w:r>
            <w:r w:rsidRPr="005A0C77">
              <w:rPr>
                <w:rStyle w:val="IntenseEmphasis"/>
                <w:i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color w:val="auto"/>
                <w:sz w:val="18"/>
                <w:szCs w:val="18"/>
              </w:rPr>
              <w:t>33</w:t>
            </w:r>
          </w:p>
        </w:tc>
      </w:tr>
      <w:tr w:rsidR="00AB4A6F" w:rsidRPr="00504672" w14:paraId="651B0041" w14:textId="77777777" w:rsidTr="00AB4A6F">
        <w:trPr>
          <w:trHeight w:val="708"/>
        </w:trPr>
        <w:tc>
          <w:tcPr>
            <w:tcW w:w="1404" w:type="dxa"/>
            <w:tcBorders>
              <w:right w:val="nil"/>
            </w:tcBorders>
            <w:vAlign w:val="center"/>
          </w:tcPr>
          <w:p w14:paraId="022DFB58" w14:textId="77777777" w:rsidR="00AB4A6F" w:rsidRDefault="00AB4A6F" w:rsidP="00040AAF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01" w:type="dxa"/>
            <w:tcBorders>
              <w:left w:val="nil"/>
              <w:right w:val="nil"/>
            </w:tcBorders>
            <w:vAlign w:val="center"/>
          </w:tcPr>
          <w:p w14:paraId="391021A8" w14:textId="77777777" w:rsidR="00AB4A6F" w:rsidRDefault="00AB4A6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3AE7F6D6" w14:textId="21B9E7C9" w:rsidR="00AB4A6F" w:rsidRDefault="00AB4A6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28521D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Bonus Points Earned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6FF54130" w14:textId="77777777" w:rsidR="00AB4A6F" w:rsidRDefault="00AB4A6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183" w:type="dxa"/>
            <w:gridSpan w:val="2"/>
            <w:tcBorders>
              <w:left w:val="nil"/>
            </w:tcBorders>
            <w:vAlign w:val="center"/>
          </w:tcPr>
          <w:p w14:paraId="2ED2B949" w14:textId="3C951FB6" w:rsidR="00AB4A6F" w:rsidRPr="008E14EB" w:rsidRDefault="00AB4A6F" w:rsidP="00AB4A6F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 pts</w:t>
            </w:r>
          </w:p>
        </w:tc>
      </w:tr>
      <w:tr w:rsidR="00AB4A6F" w:rsidRPr="00504672" w14:paraId="369150AB" w14:textId="77777777" w:rsidTr="00C9675F">
        <w:trPr>
          <w:trHeight w:val="708"/>
        </w:trPr>
        <w:tc>
          <w:tcPr>
            <w:tcW w:w="1404" w:type="dxa"/>
            <w:tcBorders>
              <w:right w:val="nil"/>
            </w:tcBorders>
            <w:vAlign w:val="center"/>
          </w:tcPr>
          <w:p w14:paraId="1F48B9E7" w14:textId="77777777" w:rsidR="00AB4A6F" w:rsidRDefault="00AB4A6F" w:rsidP="00040AAF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01" w:type="dxa"/>
            <w:tcBorders>
              <w:left w:val="nil"/>
              <w:right w:val="nil"/>
            </w:tcBorders>
            <w:vAlign w:val="center"/>
          </w:tcPr>
          <w:p w14:paraId="441084AC" w14:textId="77777777" w:rsidR="00AB4A6F" w:rsidRDefault="00AB4A6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48BE8556" w14:textId="29DBD59C" w:rsidR="00AB4A6F" w:rsidRPr="0028521D" w:rsidRDefault="00AB4A6F" w:rsidP="00040AA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F26B5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Overall Quality Score</w:t>
            </w:r>
          </w:p>
        </w:tc>
        <w:tc>
          <w:tcPr>
            <w:tcW w:w="3420" w:type="dxa"/>
            <w:gridSpan w:val="2"/>
            <w:tcBorders>
              <w:right w:val="nil"/>
            </w:tcBorders>
            <w:vAlign w:val="center"/>
          </w:tcPr>
          <w:p w14:paraId="500E1FB0" w14:textId="7D72004E" w:rsidR="00AB4A6F" w:rsidRDefault="00AB4A6F" w:rsidP="00040AA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41.67</w:t>
            </w:r>
            <w:r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  <w:r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+ 28</w:t>
            </w:r>
            <w:r w:rsidRPr="008E14E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33</w:t>
            </w:r>
            <w:r w:rsidRPr="008E14E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+ 5</w:t>
            </w:r>
            <w:r w:rsidRPr="008E14EB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E14E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=</w:t>
            </w:r>
            <w:r w:rsidRPr="008E14EB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12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</w:t>
            </w:r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100 (capped)</w:t>
            </w:r>
          </w:p>
        </w:tc>
        <w:tc>
          <w:tcPr>
            <w:tcW w:w="383" w:type="dxa"/>
            <w:tcBorders>
              <w:left w:val="nil"/>
            </w:tcBorders>
            <w:vAlign w:val="center"/>
          </w:tcPr>
          <w:p w14:paraId="48E28EE9" w14:textId="77777777" w:rsidR="00AB4A6F" w:rsidRPr="0018232B" w:rsidRDefault="00AB4A6F" w:rsidP="00AB4A6F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</w:tc>
      </w:tr>
    </w:tbl>
    <w:p w14:paraId="7ED5C2C1" w14:textId="3D50BDC7" w:rsidR="00776691" w:rsidRPr="00332128" w:rsidRDefault="00776691" w:rsidP="00D43A5D">
      <w:pPr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16"/>
          <w:szCs w:val="16"/>
        </w:rPr>
        <w:br w:type="page"/>
      </w:r>
    </w:p>
    <w:p w14:paraId="20528E4C" w14:textId="5DAB9C7A" w:rsidR="00BA2BE6" w:rsidRPr="00BA2BE6" w:rsidRDefault="00BA2BE6" w:rsidP="69D35EA7">
      <w:pPr>
        <w:pStyle w:val="Heading2"/>
        <w:rPr>
          <w:rStyle w:val="Heading3Char"/>
          <w:b/>
          <w:sz w:val="22"/>
          <w:szCs w:val="22"/>
        </w:rPr>
      </w:pPr>
      <w:bookmarkStart w:id="49" w:name="_Toc212807357"/>
      <w:r w:rsidRPr="69D35EA7">
        <w:rPr>
          <w:rStyle w:val="Heading3Char"/>
          <w:b/>
          <w:sz w:val="22"/>
          <w:szCs w:val="22"/>
        </w:rPr>
        <w:lastRenderedPageBreak/>
        <w:t>Example 2: Performance Scoring with Attainment and Improvement Unmet</w:t>
      </w:r>
      <w:bookmarkEnd w:id="49"/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1440"/>
        <w:gridCol w:w="1170"/>
        <w:gridCol w:w="1170"/>
        <w:gridCol w:w="1350"/>
        <w:gridCol w:w="1344"/>
        <w:gridCol w:w="1472"/>
        <w:gridCol w:w="1472"/>
        <w:gridCol w:w="1562"/>
      </w:tblGrid>
      <w:tr w:rsidR="00AE3E0B" w:rsidRPr="008410A2" w14:paraId="03B7EF52" w14:textId="77777777" w:rsidTr="00BC3907">
        <w:trPr>
          <w:trHeight w:val="935"/>
        </w:trPr>
        <w:tc>
          <w:tcPr>
            <w:tcW w:w="1440" w:type="dxa"/>
            <w:shd w:val="clear" w:color="auto" w:fill="002060"/>
            <w:vAlign w:val="center"/>
          </w:tcPr>
          <w:p w14:paraId="4316AEE1" w14:textId="77777777" w:rsidR="00322F02" w:rsidRPr="00786AA3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583FCDA5" w14:textId="12156A53" w:rsidR="00322F02" w:rsidRPr="00786AA3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PY1 Rate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170" w:type="dxa"/>
            <w:shd w:val="clear" w:color="auto" w:fill="002060"/>
            <w:vAlign w:val="center"/>
          </w:tcPr>
          <w:p w14:paraId="22C11FF7" w14:textId="7AF047DE" w:rsidR="00322F02" w:rsidRPr="00786AA3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PY2 Rate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350" w:type="dxa"/>
            <w:shd w:val="clear" w:color="auto" w:fill="002060"/>
            <w:vAlign w:val="center"/>
          </w:tcPr>
          <w:p w14:paraId="65F40538" w14:textId="6857F48B" w:rsidR="00322F02" w:rsidRPr="00786AA3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Attainment Threshold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344" w:type="dxa"/>
            <w:shd w:val="clear" w:color="auto" w:fill="002060"/>
            <w:vAlign w:val="center"/>
          </w:tcPr>
          <w:p w14:paraId="5D7921EA" w14:textId="41C1D21D" w:rsidR="00322F02" w:rsidRPr="00786AA3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Goal Benchmark</w:t>
            </w:r>
            <w:r w:rsidRPr="190F5E75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0B16EF6B" w14:textId="2F59DF8D" w:rsidR="00322F02" w:rsidRPr="00786AA3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782A0738" w14:textId="77777777" w:rsidR="00322F02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</w:t>
            </w:r>
          </w:p>
          <w:p w14:paraId="09EB9472" w14:textId="5AB9036F" w:rsidR="00322F02" w:rsidRPr="00786AA3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Target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shd w:val="clear" w:color="auto" w:fill="002060"/>
            <w:vAlign w:val="center"/>
          </w:tcPr>
          <w:p w14:paraId="2DAA9236" w14:textId="77777777" w:rsidR="00322F02" w:rsidRPr="00786AA3" w:rsidRDefault="00322F02" w:rsidP="00322F02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Points</w:t>
            </w:r>
          </w:p>
        </w:tc>
      </w:tr>
      <w:tr w:rsidR="00AE3E0B" w:rsidRPr="008410A2" w14:paraId="2C35A221" w14:textId="77777777" w:rsidTr="00BC3907">
        <w:trPr>
          <w:trHeight w:val="620"/>
        </w:trPr>
        <w:tc>
          <w:tcPr>
            <w:tcW w:w="1440" w:type="dxa"/>
            <w:vAlign w:val="center"/>
          </w:tcPr>
          <w:p w14:paraId="4264DE20" w14:textId="77777777" w:rsidR="00FC3F82" w:rsidRPr="008410A2" w:rsidRDefault="00FC3F82" w:rsidP="00CE3ED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1170" w:type="dxa"/>
            <w:vAlign w:val="center"/>
          </w:tcPr>
          <w:p w14:paraId="32AA5A73" w14:textId="2AF07E37" w:rsidR="00FC3F82" w:rsidRPr="00D64490" w:rsidRDefault="00FC3F82" w:rsidP="00FC3F82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0" w:type="dxa"/>
            <w:vAlign w:val="center"/>
          </w:tcPr>
          <w:p w14:paraId="4C5CCC09" w14:textId="54BA6545" w:rsidR="00FC3F82" w:rsidRPr="00CE3ED6" w:rsidRDefault="00FC3F82" w:rsidP="00FC3F82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E3ED6">
              <w:rPr>
                <w:b/>
                <w:bCs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350" w:type="dxa"/>
            <w:shd w:val="clear" w:color="auto" w:fill="DCDCDC" w:themeFill="text2" w:themeFillTint="33"/>
            <w:vAlign w:val="center"/>
          </w:tcPr>
          <w:p w14:paraId="1F0C6271" w14:textId="77777777" w:rsidR="00FC3F82" w:rsidRPr="00D64490" w:rsidRDefault="00FC3F82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344" w:type="dxa"/>
            <w:shd w:val="clear" w:color="auto" w:fill="DCDCDC" w:themeFill="text2" w:themeFillTint="33"/>
            <w:vAlign w:val="center"/>
          </w:tcPr>
          <w:p w14:paraId="3929557A" w14:textId="77777777" w:rsidR="00FC3F82" w:rsidRPr="00D64490" w:rsidRDefault="00FC3F82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472" w:type="dxa"/>
            <w:vAlign w:val="center"/>
          </w:tcPr>
          <w:p w14:paraId="01C10DA7" w14:textId="6A8585E7" w:rsidR="00FC3F82" w:rsidRPr="00D64490" w:rsidRDefault="0085495E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66357B75" w14:textId="27F91E57" w:rsidR="00FC3F82" w:rsidRPr="00D64490" w:rsidRDefault="006A7D5C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</w:rPr>
              <w:t>.</w:t>
            </w:r>
            <w:r w:rsidR="00FC3F82" w:rsidRPr="00D6449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2" w:type="dxa"/>
            <w:vAlign w:val="center"/>
          </w:tcPr>
          <w:p w14:paraId="7DF146CA" w14:textId="4ABFFD57" w:rsidR="00FC3F82" w:rsidRPr="00D64490" w:rsidRDefault="006E7FEC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AE3E0B" w:rsidRPr="008410A2" w14:paraId="5B736CC6" w14:textId="77777777" w:rsidTr="00BC3907">
        <w:trPr>
          <w:trHeight w:val="596"/>
        </w:trPr>
        <w:tc>
          <w:tcPr>
            <w:tcW w:w="1440" w:type="dxa"/>
            <w:vAlign w:val="center"/>
          </w:tcPr>
          <w:p w14:paraId="20999173" w14:textId="77777777" w:rsidR="00FC3F82" w:rsidRPr="008410A2" w:rsidRDefault="00FC3F82" w:rsidP="00CE3ED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1170" w:type="dxa"/>
            <w:vAlign w:val="center"/>
          </w:tcPr>
          <w:p w14:paraId="3E6DAADD" w14:textId="035940A4" w:rsidR="00FC3F82" w:rsidRPr="00D64490" w:rsidRDefault="00BF7B3D" w:rsidP="00FC3F82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170" w:type="dxa"/>
            <w:vAlign w:val="center"/>
          </w:tcPr>
          <w:p w14:paraId="1040C212" w14:textId="3FAAB6A5" w:rsidR="00FC3F82" w:rsidRPr="00CE3ED6" w:rsidRDefault="00525ACB" w:rsidP="00FC3F82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350" w:type="dxa"/>
            <w:shd w:val="clear" w:color="auto" w:fill="DCDCDC" w:themeFill="text2" w:themeFillTint="33"/>
            <w:vAlign w:val="center"/>
          </w:tcPr>
          <w:p w14:paraId="1F61E197" w14:textId="77777777" w:rsidR="00FC3F82" w:rsidRPr="00D64490" w:rsidRDefault="00FC3F82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44" w:type="dxa"/>
            <w:shd w:val="clear" w:color="auto" w:fill="DCDCDC" w:themeFill="text2" w:themeFillTint="33"/>
            <w:vAlign w:val="center"/>
          </w:tcPr>
          <w:p w14:paraId="0918286A" w14:textId="77777777" w:rsidR="00FC3F82" w:rsidRPr="00D64490" w:rsidRDefault="00FC3F82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72" w:type="dxa"/>
            <w:vAlign w:val="center"/>
          </w:tcPr>
          <w:p w14:paraId="7ED313B7" w14:textId="1E9B7CB7" w:rsidR="00FC3F82" w:rsidRPr="00D64490" w:rsidRDefault="0085495E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433EB3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02A84FF1" w14:textId="719220A6" w:rsidR="00FC3F82" w:rsidRPr="00D64490" w:rsidRDefault="006A7D5C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2" w:type="dxa"/>
            <w:vAlign w:val="center"/>
          </w:tcPr>
          <w:p w14:paraId="0299A59F" w14:textId="7CD7E1EB" w:rsidR="00FC3F82" w:rsidRPr="00D64490" w:rsidRDefault="006E7FEC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AE3E0B" w:rsidRPr="008410A2" w14:paraId="0E2091C7" w14:textId="77777777" w:rsidTr="00BC3907">
        <w:trPr>
          <w:trHeight w:val="596"/>
        </w:trPr>
        <w:tc>
          <w:tcPr>
            <w:tcW w:w="1440" w:type="dxa"/>
            <w:vAlign w:val="center"/>
          </w:tcPr>
          <w:p w14:paraId="7620C19E" w14:textId="77777777" w:rsidR="00FC3F82" w:rsidRPr="008410A2" w:rsidRDefault="00FC3F82" w:rsidP="00CE3ED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1170" w:type="dxa"/>
            <w:vAlign w:val="center"/>
          </w:tcPr>
          <w:p w14:paraId="61B0CB80" w14:textId="20DC84BE" w:rsidR="00FC3F82" w:rsidRPr="00D64490" w:rsidRDefault="002A5522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170" w:type="dxa"/>
            <w:vAlign w:val="center"/>
          </w:tcPr>
          <w:p w14:paraId="567BC624" w14:textId="60EB1E85" w:rsidR="00FC3F82" w:rsidRPr="00CE3ED6" w:rsidRDefault="00FC3F82" w:rsidP="00FC3F82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E3ED6">
              <w:rPr>
                <w:b/>
                <w:bCs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350" w:type="dxa"/>
            <w:shd w:val="clear" w:color="auto" w:fill="DCDCDC" w:themeFill="text2" w:themeFillTint="33"/>
            <w:vAlign w:val="center"/>
          </w:tcPr>
          <w:p w14:paraId="656D2858" w14:textId="77777777" w:rsidR="00FC3F82" w:rsidRPr="00D64490" w:rsidRDefault="00FC3F82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44" w:type="dxa"/>
            <w:shd w:val="clear" w:color="auto" w:fill="DCDCDC" w:themeFill="text2" w:themeFillTint="33"/>
            <w:vAlign w:val="center"/>
          </w:tcPr>
          <w:p w14:paraId="27B1ACEF" w14:textId="77777777" w:rsidR="00FC3F82" w:rsidRPr="00D64490" w:rsidRDefault="00FC3F82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72" w:type="dxa"/>
            <w:vAlign w:val="center"/>
          </w:tcPr>
          <w:p w14:paraId="6644150E" w14:textId="6E404036" w:rsidR="00FC3F82" w:rsidRPr="00D64490" w:rsidRDefault="0085495E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-6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5CE897D2" w14:textId="46DD3CD3" w:rsidR="00FC3F82" w:rsidRPr="00D64490" w:rsidRDefault="006A7D5C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2" w:type="dxa"/>
            <w:vAlign w:val="center"/>
          </w:tcPr>
          <w:p w14:paraId="62C72D45" w14:textId="698D1BCD" w:rsidR="00FC3F82" w:rsidRPr="00D64490" w:rsidRDefault="006E7FEC" w:rsidP="00FC3F8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1EC34A97" w14:textId="77777777" w:rsidR="00AF78BF" w:rsidRDefault="00AF78BF" w:rsidP="001E14B5">
      <w:pPr>
        <w:pStyle w:val="ListParagraph"/>
        <w:ind w:left="0"/>
        <w:rPr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-37"/>
        <w:tblW w:w="10975" w:type="dxa"/>
        <w:tblLook w:val="04A0" w:firstRow="1" w:lastRow="0" w:firstColumn="1" w:lastColumn="0" w:noHBand="0" w:noVBand="1"/>
      </w:tblPr>
      <w:tblGrid>
        <w:gridCol w:w="1404"/>
        <w:gridCol w:w="2911"/>
        <w:gridCol w:w="2790"/>
        <w:gridCol w:w="1620"/>
        <w:gridCol w:w="1980"/>
        <w:gridCol w:w="270"/>
      </w:tblGrid>
      <w:tr w:rsidR="00AF78BF" w:rsidRPr="00504672" w14:paraId="07AC02CD" w14:textId="77777777" w:rsidTr="00BC3907">
        <w:trPr>
          <w:trHeight w:val="890"/>
        </w:trPr>
        <w:tc>
          <w:tcPr>
            <w:tcW w:w="1404" w:type="dxa"/>
            <w:shd w:val="clear" w:color="auto" w:fill="002060"/>
            <w:vAlign w:val="center"/>
          </w:tcPr>
          <w:p w14:paraId="265F23E5" w14:textId="77777777" w:rsidR="00AF78BF" w:rsidRPr="00786AA3" w:rsidRDefault="00AF78BF" w:rsidP="00786AA3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2911" w:type="dxa"/>
            <w:shd w:val="clear" w:color="auto" w:fill="002060"/>
            <w:vAlign w:val="center"/>
          </w:tcPr>
          <w:p w14:paraId="2AF0D632" w14:textId="77777777" w:rsidR="00AF78BF" w:rsidRPr="00786AA3" w:rsidRDefault="00AF78BF" w:rsidP="00786AA3">
            <w:pPr>
              <w:contextualSpacing/>
              <w:jc w:val="center"/>
              <w:rPr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Points</w:t>
            </w:r>
          </w:p>
        </w:tc>
        <w:tc>
          <w:tcPr>
            <w:tcW w:w="2790" w:type="dxa"/>
            <w:shd w:val="clear" w:color="auto" w:fill="002060"/>
            <w:vAlign w:val="center"/>
          </w:tcPr>
          <w:p w14:paraId="7455F302" w14:textId="77777777" w:rsidR="00AF78BF" w:rsidRPr="00786AA3" w:rsidRDefault="00AF78BF" w:rsidP="00786AA3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+ Improvement Points</w:t>
            </w:r>
          </w:p>
        </w:tc>
        <w:tc>
          <w:tcPr>
            <w:tcW w:w="1620" w:type="dxa"/>
            <w:shd w:val="clear" w:color="auto" w:fill="002060"/>
            <w:vAlign w:val="center"/>
          </w:tcPr>
          <w:p w14:paraId="2058926F" w14:textId="77777777" w:rsidR="00AF78BF" w:rsidRPr="00786AA3" w:rsidRDefault="00AF78BF" w:rsidP="00786AA3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Individual Quality Score</w:t>
            </w:r>
          </w:p>
        </w:tc>
        <w:tc>
          <w:tcPr>
            <w:tcW w:w="2250" w:type="dxa"/>
            <w:gridSpan w:val="2"/>
            <w:shd w:val="clear" w:color="auto" w:fill="002060"/>
            <w:vAlign w:val="center"/>
          </w:tcPr>
          <w:p w14:paraId="00F665CC" w14:textId="09062670" w:rsidR="00AF78BF" w:rsidRPr="00786AA3" w:rsidRDefault="00AF78BF" w:rsidP="00786AA3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Weighted Quality Score</w:t>
            </w:r>
          </w:p>
        </w:tc>
      </w:tr>
      <w:tr w:rsidR="00AF78BF" w:rsidRPr="00504672" w14:paraId="180CA648" w14:textId="77777777" w:rsidTr="00BC3907">
        <w:trPr>
          <w:trHeight w:val="654"/>
        </w:trPr>
        <w:tc>
          <w:tcPr>
            <w:tcW w:w="1404" w:type="dxa"/>
            <w:vAlign w:val="center"/>
          </w:tcPr>
          <w:p w14:paraId="6CF43515" w14:textId="77777777" w:rsidR="00AF78BF" w:rsidRPr="00504672" w:rsidRDefault="00AF78B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2911" w:type="dxa"/>
            <w:vAlign w:val="center"/>
          </w:tcPr>
          <w:p w14:paraId="6FA55E53" w14:textId="5A7FCE0A" w:rsidR="00AF78BF" w:rsidRPr="008F2E79" w:rsidRDefault="00AF78B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4F049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 w:rsidR="000B7DE1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38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43)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812C42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-3.13</w:t>
            </w:r>
            <w:r w:rsidR="0056271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6E7FE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= 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  <w:p w14:paraId="362089C5" w14:textId="17C5C32E" w:rsidR="00AF78BF" w:rsidRPr="008F2E79" w:rsidRDefault="00AF78BF">
            <w:pPr>
              <w:contextualSpacing/>
              <w:rPr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</w:t>
            </w:r>
            <w:r w:rsidR="00140B9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A47C1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(59 – 43)</w:t>
            </w:r>
          </w:p>
        </w:tc>
        <w:tc>
          <w:tcPr>
            <w:tcW w:w="2790" w:type="dxa"/>
            <w:vAlign w:val="center"/>
          </w:tcPr>
          <w:p w14:paraId="19520889" w14:textId="5BD27BFD" w:rsidR="00AF78BF" w:rsidRPr="008F2E79" w:rsidRDefault="006E7FEC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</w:t>
            </w:r>
            <w:r w:rsidR="00C52638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</w:tc>
        <w:tc>
          <w:tcPr>
            <w:tcW w:w="1620" w:type="dxa"/>
            <w:vAlign w:val="center"/>
          </w:tcPr>
          <w:p w14:paraId="7B1E2B8F" w14:textId="591F31CF" w:rsidR="00AF78BF" w:rsidRPr="008F2E79" w:rsidRDefault="00AF78B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= </w:t>
            </w:r>
            <w:r w:rsidR="00CD7D4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.00</w:t>
            </w:r>
          </w:p>
        </w:tc>
        <w:tc>
          <w:tcPr>
            <w:tcW w:w="2250" w:type="dxa"/>
            <w:gridSpan w:val="2"/>
            <w:vAlign w:val="center"/>
          </w:tcPr>
          <w:p w14:paraId="4F7A0B34" w14:textId="4BFD4B84" w:rsidR="00AF78BF" w:rsidRPr="008F2E79" w:rsidRDefault="001B683D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.00 </w:t>
            </w:r>
            <w:r w:rsidR="00D4400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="00AF78BF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</w:t>
            </w:r>
            <w:r w:rsidR="00124B65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%</w:t>
            </w:r>
            <w:r w:rsidR="00AF78BF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0.00</w:t>
            </w:r>
          </w:p>
        </w:tc>
      </w:tr>
      <w:tr w:rsidR="00AF78BF" w:rsidRPr="00504672" w14:paraId="6A2A9167" w14:textId="77777777" w:rsidTr="00BC3907">
        <w:trPr>
          <w:trHeight w:val="618"/>
        </w:trPr>
        <w:tc>
          <w:tcPr>
            <w:tcW w:w="1404" w:type="dxa"/>
            <w:vAlign w:val="center"/>
          </w:tcPr>
          <w:p w14:paraId="3853CA36" w14:textId="77777777" w:rsidR="00AF78BF" w:rsidRPr="00504672" w:rsidRDefault="00AF78B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2911" w:type="dxa"/>
            <w:vAlign w:val="center"/>
          </w:tcPr>
          <w:p w14:paraId="018139FC" w14:textId="5D726033" w:rsidR="00AF78BF" w:rsidRPr="00CE3ED6" w:rsidRDefault="00AF78BF" w:rsidP="00325DA0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4F049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 w:rsidR="00433EB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49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50)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C4408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-0.20</w:t>
            </w:r>
            <w:r w:rsidR="003F4005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0 pts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  <w:p w14:paraId="559A2D25" w14:textId="6365A75D" w:rsidR="00AF78BF" w:rsidRPr="00CE3ED6" w:rsidRDefault="00BC32FB" w:rsidP="00BC32FB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</w:t>
            </w:r>
            <w:r w:rsidR="00483BA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AF78BF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(100 – 50)</w:t>
            </w:r>
          </w:p>
        </w:tc>
        <w:tc>
          <w:tcPr>
            <w:tcW w:w="2790" w:type="dxa"/>
            <w:vAlign w:val="center"/>
          </w:tcPr>
          <w:p w14:paraId="16C2D1EA" w14:textId="05D8A21D" w:rsidR="00AF78BF" w:rsidRPr="00CE3ED6" w:rsidRDefault="00483BA3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 + </w:t>
            </w:r>
            <w:r w:rsidR="00FB5D9A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</w:t>
            </w:r>
            <w:r w:rsidR="00BA224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s</w:t>
            </w:r>
            <w:r w:rsidR="00FB5D9A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4AFBCB69" w14:textId="1DAD8067" w:rsidR="00AF78BF" w:rsidRPr="00CE3ED6" w:rsidRDefault="00483BA3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/ 10 = </w:t>
            </w:r>
            <w:r w:rsidR="001B683D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</w:p>
        </w:tc>
        <w:tc>
          <w:tcPr>
            <w:tcW w:w="2250" w:type="dxa"/>
            <w:gridSpan w:val="2"/>
            <w:vAlign w:val="center"/>
          </w:tcPr>
          <w:p w14:paraId="38B746F9" w14:textId="67BFE469" w:rsidR="00AF78BF" w:rsidRPr="00CE3ED6" w:rsidRDefault="001B683D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0.1</w:t>
            </w:r>
            <w:r w:rsidR="00AF78BF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0 </w:t>
            </w:r>
            <w:r w:rsidR="00D4400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="00AF78BF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</w:t>
            </w:r>
            <w:r w:rsidR="00124B65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%</w:t>
            </w:r>
            <w:r w:rsidR="00AF78BF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483BA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0.00</w:t>
            </w:r>
          </w:p>
        </w:tc>
      </w:tr>
      <w:tr w:rsidR="00AF78BF" w:rsidRPr="00504672" w14:paraId="136CD216" w14:textId="77777777" w:rsidTr="00C9675F">
        <w:trPr>
          <w:trHeight w:val="708"/>
        </w:trPr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E18F92D" w14:textId="77777777" w:rsidR="00AF78BF" w:rsidRPr="00504672" w:rsidRDefault="00AF78BF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1F1C2E9B" w14:textId="0A00A213" w:rsidR="00AF78BF" w:rsidRPr="00D4400A" w:rsidRDefault="00AF78BF" w:rsidP="00325DA0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4F049A" w:rsidRPr="00D4400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 w:rsidR="00FB5D9A"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52</w:t>
            </w:r>
            <w:r w:rsidR="009403C0"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 w:rsidR="00080407"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</w:t>
            </w:r>
            <w:r w:rsidR="00FB5D9A"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B4681F"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-</w:t>
            </w:r>
            <w:r w:rsidR="00CD7D46"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150DA0"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0 pts</w:t>
            </w:r>
          </w:p>
          <w:p w14:paraId="1734C282" w14:textId="6A8F21CC" w:rsidR="00AF78BF" w:rsidRPr="008F2E79" w:rsidRDefault="00AF78BF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</w:t>
            </w:r>
            <w:r w:rsidR="00C732A6" w:rsidRPr="00D4400A">
              <w:rPr>
                <w:rStyle w:val="IntenseEmphasis"/>
                <w:color w:val="auto"/>
                <w:sz w:val="18"/>
                <w:szCs w:val="18"/>
              </w:rPr>
              <w:t xml:space="preserve"> </w:t>
            </w:r>
            <w:r w:rsidR="00D066D6">
              <w:rPr>
                <w:rStyle w:val="IntenseEmphasis"/>
                <w:color w:val="auto"/>
                <w:sz w:val="18"/>
                <w:szCs w:val="18"/>
              </w:rPr>
              <w:t xml:space="preserve"> </w:t>
            </w:r>
            <w:r w:rsidR="00B249CC" w:rsidRPr="00D4400A">
              <w:rPr>
                <w:rStyle w:val="IntenseEmphasis"/>
                <w:color w:val="auto"/>
                <w:sz w:val="18"/>
                <w:szCs w:val="18"/>
              </w:rPr>
              <w:t xml:space="preserve"> </w:t>
            </w:r>
            <w:r w:rsidR="00A47C1F">
              <w:rPr>
                <w:rStyle w:val="IntenseEmphasis"/>
                <w:color w:val="auto"/>
                <w:sz w:val="18"/>
                <w:szCs w:val="18"/>
              </w:rPr>
              <w:t xml:space="preserve">  </w:t>
            </w:r>
            <w:r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(30</w:t>
            </w:r>
            <w:r w:rsidR="009403C0"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 w:rsidRPr="00D4400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E16B2AB" w14:textId="6B0557FD" w:rsidR="00AF78BF" w:rsidRPr="008F2E79" w:rsidRDefault="00150DA0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</w:t>
            </w:r>
            <w:r w:rsidR="0056271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s</w:t>
            </w:r>
            <w:r w:rsidR="00AF78B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 </w:t>
            </w:r>
            <w:r w:rsidR="00CD7D4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0 </w:t>
            </w:r>
            <w:r w:rsidR="00AF78B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pt</w:t>
            </w:r>
            <w:r w:rsidR="00423DF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s</w:t>
            </w:r>
            <w:r w:rsidR="00AF78B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7D121DD" w14:textId="337DE2E1" w:rsidR="00AF78BF" w:rsidRPr="008F2E79" w:rsidRDefault="00676817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F78B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/ 10 = 0.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1B683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1D0CE9AA" w14:textId="6B30582A" w:rsidR="00AF78BF" w:rsidRPr="008F2E79" w:rsidRDefault="00AF78B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</w:t>
            </w:r>
            <w:r w:rsidR="001B683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D4400A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</w:t>
            </w:r>
            <w:r w:rsidR="00124B65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%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67681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67681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</w:p>
        </w:tc>
      </w:tr>
      <w:tr w:rsidR="00C9675F" w:rsidRPr="00504672" w14:paraId="3F35583D" w14:textId="77777777" w:rsidTr="00C9675F">
        <w:trPr>
          <w:trHeight w:val="708"/>
        </w:trPr>
        <w:tc>
          <w:tcPr>
            <w:tcW w:w="1404" w:type="dxa"/>
            <w:tcBorders>
              <w:right w:val="nil"/>
            </w:tcBorders>
            <w:vAlign w:val="center"/>
          </w:tcPr>
          <w:p w14:paraId="089B10C6" w14:textId="77777777" w:rsidR="00C9675F" w:rsidRDefault="00C9675F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1" w:type="dxa"/>
            <w:tcBorders>
              <w:left w:val="nil"/>
              <w:right w:val="nil"/>
            </w:tcBorders>
            <w:vAlign w:val="center"/>
          </w:tcPr>
          <w:p w14:paraId="3FDF2909" w14:textId="77777777" w:rsidR="00C9675F" w:rsidRPr="00D4400A" w:rsidRDefault="00C9675F" w:rsidP="00325DA0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left w:val="nil"/>
            </w:tcBorders>
            <w:vAlign w:val="center"/>
          </w:tcPr>
          <w:p w14:paraId="6F362571" w14:textId="10974761" w:rsidR="00C9675F" w:rsidRDefault="00C9675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28521D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Bonus Points Earned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0B4764D4" w14:textId="77777777" w:rsidR="00C9675F" w:rsidRDefault="00C9675F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left w:val="nil"/>
            </w:tcBorders>
            <w:vAlign w:val="center"/>
          </w:tcPr>
          <w:p w14:paraId="4CF3C765" w14:textId="5F32B943" w:rsidR="00C9675F" w:rsidRDefault="00C9675F" w:rsidP="00F60E38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 pts</w:t>
            </w:r>
          </w:p>
        </w:tc>
      </w:tr>
      <w:tr w:rsidR="00F60E38" w:rsidRPr="00504672" w14:paraId="488EBECC" w14:textId="77777777" w:rsidTr="00F60E38">
        <w:trPr>
          <w:trHeight w:val="708"/>
        </w:trPr>
        <w:tc>
          <w:tcPr>
            <w:tcW w:w="1404" w:type="dxa"/>
            <w:tcBorders>
              <w:right w:val="nil"/>
            </w:tcBorders>
            <w:vAlign w:val="center"/>
          </w:tcPr>
          <w:p w14:paraId="589BC0E1" w14:textId="77777777" w:rsidR="00F60E38" w:rsidRDefault="00F60E38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1" w:type="dxa"/>
            <w:tcBorders>
              <w:left w:val="nil"/>
              <w:right w:val="nil"/>
            </w:tcBorders>
            <w:vAlign w:val="center"/>
          </w:tcPr>
          <w:p w14:paraId="6A436728" w14:textId="77777777" w:rsidR="00F60E38" w:rsidRPr="00D4400A" w:rsidRDefault="00F60E38" w:rsidP="00325DA0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left w:val="nil"/>
            </w:tcBorders>
            <w:vAlign w:val="center"/>
          </w:tcPr>
          <w:p w14:paraId="36D94731" w14:textId="47451466" w:rsidR="00F60E38" w:rsidRPr="0028521D" w:rsidRDefault="00F60E38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F26B5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Overall Quality Sco</w:t>
            </w:r>
            <w:r w:rsidRPr="00DB5A29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re</w:t>
            </w:r>
          </w:p>
        </w:tc>
        <w:tc>
          <w:tcPr>
            <w:tcW w:w="3600" w:type="dxa"/>
            <w:gridSpan w:val="2"/>
            <w:tcBorders>
              <w:right w:val="nil"/>
            </w:tcBorders>
            <w:vAlign w:val="center"/>
          </w:tcPr>
          <w:p w14:paraId="488CFE96" w14:textId="5568F87A" w:rsidR="00F60E38" w:rsidRDefault="00F60E3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18422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0 +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18422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+ 0</w:t>
            </w:r>
            <w:r w:rsidRPr="00CE3ED6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18422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+ 0</w:t>
            </w:r>
            <w:r w:rsidRPr="00184221">
              <w:rPr>
                <w:rStyle w:val="IntenseEmphasis"/>
                <w:color w:val="auto"/>
                <w:sz w:val="18"/>
                <w:szCs w:val="18"/>
              </w:rPr>
              <w:t xml:space="preserve"> </w:t>
            </w:r>
            <w:r w:rsidRPr="0018422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=</w:t>
            </w:r>
            <w:r w:rsidRPr="0018422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CE3ED6">
              <w:rPr>
                <w:rStyle w:val="IntenseEmphasis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00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640FADE3" w14:textId="77777777" w:rsidR="00F60E38" w:rsidRPr="0018232B" w:rsidRDefault="00F60E38" w:rsidP="00F60E38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</w:tc>
      </w:tr>
    </w:tbl>
    <w:p w14:paraId="3DF51B0E" w14:textId="306D1CDC" w:rsidR="002F5C4D" w:rsidRDefault="00776691" w:rsidP="00A40FA8">
      <w:pPr>
        <w:pStyle w:val="ListParagraph"/>
        <w:ind w:left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45A9837C" w14:textId="3E911934" w:rsidR="00BA2BE6" w:rsidRPr="00BA2BE6" w:rsidRDefault="00BA2BE6" w:rsidP="00BA2BE6">
      <w:pPr>
        <w:pStyle w:val="Heading2"/>
      </w:pPr>
      <w:bookmarkStart w:id="50" w:name="_Toc212807358"/>
      <w:r w:rsidRPr="00BA2BE6">
        <w:rPr>
          <w:rStyle w:val="Heading3Char"/>
          <w:b/>
          <w:bCs w:val="0"/>
          <w:sz w:val="22"/>
          <w:szCs w:val="20"/>
        </w:rPr>
        <w:lastRenderedPageBreak/>
        <w:t xml:space="preserve">Example 3: Improvement </w:t>
      </w:r>
      <w:r w:rsidR="00B24155">
        <w:rPr>
          <w:rStyle w:val="Heading3Char"/>
          <w:b/>
          <w:bCs w:val="0"/>
          <w:sz w:val="22"/>
          <w:szCs w:val="20"/>
        </w:rPr>
        <w:t xml:space="preserve">Compared to </w:t>
      </w:r>
      <w:r w:rsidR="00A37D02">
        <w:rPr>
          <w:rStyle w:val="Heading3Char"/>
          <w:b/>
          <w:bCs w:val="0"/>
          <w:sz w:val="22"/>
          <w:szCs w:val="20"/>
        </w:rPr>
        <w:t xml:space="preserve">Previous </w:t>
      </w:r>
      <w:r w:rsidRPr="00BA2BE6">
        <w:rPr>
          <w:rStyle w:val="Heading3Char"/>
          <w:b/>
          <w:bCs w:val="0"/>
          <w:sz w:val="22"/>
          <w:szCs w:val="20"/>
        </w:rPr>
        <w:t>Highest Performing Year</w:t>
      </w:r>
      <w:r w:rsidR="00277EFB">
        <w:rPr>
          <w:rStyle w:val="Heading3Char"/>
          <w:b/>
          <w:bCs w:val="0"/>
          <w:sz w:val="22"/>
          <w:szCs w:val="20"/>
        </w:rPr>
        <w:t xml:space="preserve"> with Improvement Target Met</w:t>
      </w:r>
      <w:bookmarkEnd w:id="50"/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1029"/>
        <w:gridCol w:w="706"/>
        <w:gridCol w:w="698"/>
        <w:gridCol w:w="694"/>
        <w:gridCol w:w="780"/>
        <w:gridCol w:w="1261"/>
        <w:gridCol w:w="1306"/>
        <w:gridCol w:w="1472"/>
        <w:gridCol w:w="1472"/>
        <w:gridCol w:w="1562"/>
      </w:tblGrid>
      <w:tr w:rsidR="00040D7C" w:rsidRPr="008410A2" w14:paraId="6739BA91" w14:textId="77777777" w:rsidTr="00CE3ED6">
        <w:trPr>
          <w:trHeight w:val="1025"/>
        </w:trPr>
        <w:tc>
          <w:tcPr>
            <w:tcW w:w="1029" w:type="dxa"/>
            <w:shd w:val="clear" w:color="auto" w:fill="002060"/>
            <w:vAlign w:val="center"/>
          </w:tcPr>
          <w:p w14:paraId="1A6E330C" w14:textId="77777777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706" w:type="dxa"/>
            <w:shd w:val="clear" w:color="auto" w:fill="002060"/>
            <w:vAlign w:val="center"/>
          </w:tcPr>
          <w:p w14:paraId="10A91ED1" w14:textId="12D4C155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PY1 Rate</w:t>
            </w:r>
            <w:r w:rsidR="0013613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19B91F6D" w:rsidRPr="5B0A2B97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698" w:type="dxa"/>
            <w:shd w:val="clear" w:color="auto" w:fill="002060"/>
            <w:vAlign w:val="center"/>
          </w:tcPr>
          <w:p w14:paraId="430FE808" w14:textId="144C03B6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PY2 Rate</w:t>
            </w:r>
            <w:r w:rsidR="510C09CB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694" w:type="dxa"/>
            <w:shd w:val="clear" w:color="auto" w:fill="002060"/>
            <w:vAlign w:val="center"/>
          </w:tcPr>
          <w:p w14:paraId="53B51AD8" w14:textId="77777777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PY3</w:t>
            </w:r>
          </w:p>
          <w:p w14:paraId="5FCBEC40" w14:textId="3562A9E9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Rate</w:t>
            </w:r>
            <w:r w:rsidR="4C375792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780" w:type="dxa"/>
            <w:shd w:val="clear" w:color="auto" w:fill="002060"/>
            <w:vAlign w:val="center"/>
          </w:tcPr>
          <w:p w14:paraId="77477E0F" w14:textId="427B9638" w:rsidR="004F0EF2" w:rsidRPr="00786AA3" w:rsidRDefault="004F0EF2" w:rsidP="5B0A2B97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PY4 Rate</w:t>
            </w:r>
          </w:p>
          <w:p w14:paraId="1254F06E" w14:textId="447589F8" w:rsidR="004F0EF2" w:rsidRPr="00786AA3" w:rsidRDefault="4FE955C1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261" w:type="dxa"/>
            <w:shd w:val="clear" w:color="auto" w:fill="002060"/>
            <w:vAlign w:val="center"/>
          </w:tcPr>
          <w:p w14:paraId="544545E9" w14:textId="1169255A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Attainment Threshold</w:t>
            </w:r>
            <w:r w:rsidR="5C1D1933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306" w:type="dxa"/>
            <w:shd w:val="clear" w:color="auto" w:fill="002060"/>
            <w:vAlign w:val="center"/>
          </w:tcPr>
          <w:p w14:paraId="0097CEAB" w14:textId="022D989E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Goal Benchmark</w:t>
            </w:r>
            <w:r w:rsidR="7907D9FD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5AE0337C" w14:textId="0AFCADC8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6624132F" w14:textId="446A3641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Target</w:t>
            </w:r>
          </w:p>
        </w:tc>
        <w:tc>
          <w:tcPr>
            <w:tcW w:w="1562" w:type="dxa"/>
            <w:shd w:val="clear" w:color="auto" w:fill="002060"/>
            <w:vAlign w:val="center"/>
          </w:tcPr>
          <w:p w14:paraId="1100D00A" w14:textId="77777777" w:rsidR="004F0EF2" w:rsidRPr="00786AA3" w:rsidRDefault="004F0EF2" w:rsidP="00786AA3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Points</w:t>
            </w:r>
          </w:p>
        </w:tc>
      </w:tr>
      <w:tr w:rsidR="00D16A5A" w:rsidRPr="008410A2" w14:paraId="6F4A429E" w14:textId="77777777" w:rsidTr="00CE3ED6">
        <w:trPr>
          <w:trHeight w:val="701"/>
        </w:trPr>
        <w:tc>
          <w:tcPr>
            <w:tcW w:w="1029" w:type="dxa"/>
            <w:vAlign w:val="center"/>
          </w:tcPr>
          <w:p w14:paraId="2CB72997" w14:textId="77777777" w:rsidR="004F0EF2" w:rsidRPr="00B24155" w:rsidRDefault="004F0EF2" w:rsidP="00CE3ED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4155"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706" w:type="dxa"/>
            <w:vAlign w:val="center"/>
          </w:tcPr>
          <w:p w14:paraId="09C34254" w14:textId="77777777" w:rsidR="004F0EF2" w:rsidRPr="00B24155" w:rsidRDefault="004F0EF2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sz w:val="18"/>
                <w:szCs w:val="18"/>
              </w:rPr>
            </w:pPr>
            <w:r w:rsidRPr="00B24155">
              <w:rPr>
                <w:sz w:val="18"/>
                <w:szCs w:val="18"/>
              </w:rPr>
              <w:t>50</w:t>
            </w:r>
          </w:p>
        </w:tc>
        <w:tc>
          <w:tcPr>
            <w:tcW w:w="698" w:type="dxa"/>
            <w:vAlign w:val="center"/>
          </w:tcPr>
          <w:p w14:paraId="22D43409" w14:textId="5984EC95" w:rsidR="004F0EF2" w:rsidRPr="00B24155" w:rsidRDefault="004F0EF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B24155">
              <w:rPr>
                <w:b/>
                <w:bCs/>
                <w:sz w:val="18"/>
                <w:szCs w:val="18"/>
              </w:rPr>
              <w:t>5</w:t>
            </w:r>
            <w:r w:rsidR="00A713D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4" w:type="dxa"/>
            <w:vAlign w:val="center"/>
          </w:tcPr>
          <w:p w14:paraId="27D6875B" w14:textId="76DB87B5" w:rsidR="004F0EF2" w:rsidRPr="00B24155" w:rsidRDefault="0055186F" w:rsidP="009E06F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780" w:type="dxa"/>
            <w:vAlign w:val="center"/>
          </w:tcPr>
          <w:p w14:paraId="5E374496" w14:textId="6CC4CC99" w:rsidR="004F0EF2" w:rsidRPr="00B24155" w:rsidRDefault="00E9713C" w:rsidP="009E06F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5</w:t>
            </w:r>
            <w:r w:rsidR="006223A3" w:rsidRPr="00B2415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61" w:type="dxa"/>
            <w:shd w:val="clear" w:color="auto" w:fill="DCDCDC" w:themeFill="text2" w:themeFillTint="33"/>
            <w:vAlign w:val="center"/>
          </w:tcPr>
          <w:p w14:paraId="41DCF47E" w14:textId="33FBCEBF" w:rsidR="004F0EF2" w:rsidRPr="00B24155" w:rsidRDefault="004F0EF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306" w:type="dxa"/>
            <w:shd w:val="clear" w:color="auto" w:fill="DCDCDC" w:themeFill="text2" w:themeFillTint="33"/>
            <w:vAlign w:val="center"/>
          </w:tcPr>
          <w:p w14:paraId="549C5A97" w14:textId="77777777" w:rsidR="004F0EF2" w:rsidRPr="00B24155" w:rsidRDefault="004F0EF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472" w:type="dxa"/>
            <w:vAlign w:val="center"/>
          </w:tcPr>
          <w:p w14:paraId="0D4C4460" w14:textId="5B74EF36" w:rsidR="004F0EF2" w:rsidRPr="00B24155" w:rsidRDefault="00A713D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41E7D178" w14:textId="3A430669" w:rsidR="004F0EF2" w:rsidRPr="005406E5" w:rsidRDefault="007C6A74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  <w:r w:rsidR="004F0EF2" w:rsidRPr="005406E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2" w:type="dxa"/>
            <w:vAlign w:val="center"/>
          </w:tcPr>
          <w:p w14:paraId="5C7E2B26" w14:textId="54857BA3" w:rsidR="004F0EF2" w:rsidRPr="00B24155" w:rsidRDefault="00A713DF" w:rsidP="00D16A5A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D16A5A" w:rsidRPr="008410A2" w14:paraId="26D677B9" w14:textId="77777777" w:rsidTr="00CE3ED6">
        <w:trPr>
          <w:trHeight w:val="719"/>
        </w:trPr>
        <w:tc>
          <w:tcPr>
            <w:tcW w:w="1029" w:type="dxa"/>
            <w:vAlign w:val="center"/>
          </w:tcPr>
          <w:p w14:paraId="0EEAA43B" w14:textId="77777777" w:rsidR="004F0EF2" w:rsidRPr="00B24155" w:rsidRDefault="004F0EF2" w:rsidP="00CE3ED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4155"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706" w:type="dxa"/>
            <w:vAlign w:val="center"/>
          </w:tcPr>
          <w:p w14:paraId="5AAB3696" w14:textId="411C3C5C" w:rsidR="004F0EF2" w:rsidRPr="00B24155" w:rsidRDefault="003D103A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698" w:type="dxa"/>
            <w:vAlign w:val="center"/>
          </w:tcPr>
          <w:p w14:paraId="7559F972" w14:textId="6C2237DE" w:rsidR="004F0EF2" w:rsidRPr="00B24155" w:rsidRDefault="00E56C3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94" w:type="dxa"/>
            <w:vAlign w:val="center"/>
          </w:tcPr>
          <w:p w14:paraId="7595BB04" w14:textId="5DB3D1FD" w:rsidR="004F0EF2" w:rsidRPr="00B24155" w:rsidRDefault="00E56C31" w:rsidP="009E06F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780" w:type="dxa"/>
            <w:vAlign w:val="center"/>
          </w:tcPr>
          <w:p w14:paraId="1364DCA8" w14:textId="245044CC" w:rsidR="004F0EF2" w:rsidRPr="00B24155" w:rsidRDefault="003D103A" w:rsidP="009E06F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261" w:type="dxa"/>
            <w:shd w:val="clear" w:color="auto" w:fill="DCDCDC" w:themeFill="text2" w:themeFillTint="33"/>
            <w:vAlign w:val="center"/>
          </w:tcPr>
          <w:p w14:paraId="17C38C44" w14:textId="13A09AF1" w:rsidR="004F0EF2" w:rsidRPr="00B24155" w:rsidRDefault="004F0EF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06" w:type="dxa"/>
            <w:shd w:val="clear" w:color="auto" w:fill="DCDCDC" w:themeFill="text2" w:themeFillTint="33"/>
            <w:vAlign w:val="center"/>
          </w:tcPr>
          <w:p w14:paraId="43E8DE4D" w14:textId="77777777" w:rsidR="004F0EF2" w:rsidRPr="00B24155" w:rsidRDefault="004F0EF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72" w:type="dxa"/>
            <w:vAlign w:val="center"/>
          </w:tcPr>
          <w:p w14:paraId="57A50265" w14:textId="1CA0D565" w:rsidR="004F0EF2" w:rsidRPr="00B24155" w:rsidRDefault="005D5BD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1</w:t>
            </w:r>
            <w:r w:rsidR="00BC5A41" w:rsidRPr="00B24155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7059AF09" w14:textId="1FE4FE00" w:rsidR="004F0EF2" w:rsidRPr="005406E5" w:rsidRDefault="007C6A74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2" w:type="dxa"/>
            <w:vAlign w:val="center"/>
          </w:tcPr>
          <w:p w14:paraId="0BFDE8BE" w14:textId="77777777" w:rsidR="004F0EF2" w:rsidRPr="00B24155" w:rsidRDefault="004F0EF2" w:rsidP="00D16A5A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D16A5A" w:rsidRPr="008410A2" w14:paraId="1CCE869A" w14:textId="77777777" w:rsidTr="00CE3ED6">
        <w:trPr>
          <w:trHeight w:val="701"/>
        </w:trPr>
        <w:tc>
          <w:tcPr>
            <w:tcW w:w="1029" w:type="dxa"/>
            <w:vAlign w:val="center"/>
          </w:tcPr>
          <w:p w14:paraId="0CBBBE9D" w14:textId="77777777" w:rsidR="004F0EF2" w:rsidRPr="00B24155" w:rsidRDefault="004F0EF2" w:rsidP="00CE3ED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24155"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706" w:type="dxa"/>
            <w:vAlign w:val="center"/>
          </w:tcPr>
          <w:p w14:paraId="198C4EAD" w14:textId="45A0952E" w:rsidR="004F0EF2" w:rsidRPr="00B24155" w:rsidRDefault="00446B8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B24155">
              <w:rPr>
                <w:sz w:val="18"/>
                <w:szCs w:val="18"/>
              </w:rPr>
              <w:t>5</w:t>
            </w:r>
            <w:r w:rsidR="004F0EF2" w:rsidRPr="00B24155">
              <w:rPr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36B2FAD2" w14:textId="12E7AD9B" w:rsidR="004F0EF2" w:rsidRPr="00B24155" w:rsidRDefault="004F0EF2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B24155">
              <w:rPr>
                <w:b/>
                <w:bCs/>
                <w:sz w:val="18"/>
                <w:szCs w:val="18"/>
              </w:rPr>
              <w:t>4</w:t>
            </w:r>
            <w:r w:rsidR="00446B81" w:rsidRPr="00B2415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94" w:type="dxa"/>
            <w:vAlign w:val="center"/>
          </w:tcPr>
          <w:p w14:paraId="7B16E837" w14:textId="088CBE77" w:rsidR="004F0EF2" w:rsidRPr="00B24155" w:rsidRDefault="00B24155" w:rsidP="009E06F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780" w:type="dxa"/>
            <w:vAlign w:val="center"/>
          </w:tcPr>
          <w:p w14:paraId="674F10C2" w14:textId="585A13CA" w:rsidR="004F0EF2" w:rsidRPr="00B24155" w:rsidRDefault="004275EC" w:rsidP="009E06F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4</w:t>
            </w:r>
            <w:r w:rsidR="00EB6E68" w:rsidRPr="00B2415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61" w:type="dxa"/>
            <w:shd w:val="clear" w:color="auto" w:fill="DCDCDC" w:themeFill="text2" w:themeFillTint="33"/>
            <w:vAlign w:val="center"/>
          </w:tcPr>
          <w:p w14:paraId="0B4D1811" w14:textId="6A3AA815" w:rsidR="004F0EF2" w:rsidRPr="00B24155" w:rsidRDefault="004F0EF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06" w:type="dxa"/>
            <w:shd w:val="clear" w:color="auto" w:fill="DCDCDC" w:themeFill="text2" w:themeFillTint="33"/>
            <w:vAlign w:val="center"/>
          </w:tcPr>
          <w:p w14:paraId="27A10C7C" w14:textId="77777777" w:rsidR="004F0EF2" w:rsidRPr="00B24155" w:rsidRDefault="004F0EF2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72" w:type="dxa"/>
            <w:vAlign w:val="center"/>
          </w:tcPr>
          <w:p w14:paraId="6868AF63" w14:textId="6C9804B0" w:rsidR="004F0EF2" w:rsidRPr="00B24155" w:rsidRDefault="00EB6E68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131D479A" w14:textId="29042F5E" w:rsidR="004F0EF2" w:rsidRPr="005406E5" w:rsidRDefault="007C6A74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2" w:type="dxa"/>
            <w:vAlign w:val="center"/>
          </w:tcPr>
          <w:p w14:paraId="616C8F9E" w14:textId="46B0ABB6" w:rsidR="004F0EF2" w:rsidRPr="00B24155" w:rsidRDefault="00EB6E68" w:rsidP="00D16A5A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B24155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2175FA6E" w14:textId="77777777" w:rsidR="004F0EF2" w:rsidRDefault="004F0EF2" w:rsidP="00A40FA8">
      <w:pPr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37"/>
        <w:tblW w:w="10908" w:type="dxa"/>
        <w:tblLook w:val="04A0" w:firstRow="1" w:lastRow="0" w:firstColumn="1" w:lastColumn="0" w:noHBand="0" w:noVBand="1"/>
      </w:tblPr>
      <w:tblGrid>
        <w:gridCol w:w="1435"/>
        <w:gridCol w:w="2880"/>
        <w:gridCol w:w="2700"/>
        <w:gridCol w:w="1710"/>
        <w:gridCol w:w="2183"/>
      </w:tblGrid>
      <w:tr w:rsidR="00776691" w:rsidRPr="00504672" w14:paraId="0CA9F688" w14:textId="77777777" w:rsidTr="00C61E61">
        <w:trPr>
          <w:trHeight w:val="800"/>
        </w:trPr>
        <w:tc>
          <w:tcPr>
            <w:tcW w:w="1435" w:type="dxa"/>
            <w:shd w:val="clear" w:color="auto" w:fill="002060"/>
            <w:vAlign w:val="center"/>
          </w:tcPr>
          <w:p w14:paraId="4178AA00" w14:textId="77777777" w:rsidR="00776691" w:rsidRPr="00786AA3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2880" w:type="dxa"/>
            <w:shd w:val="clear" w:color="auto" w:fill="002060"/>
            <w:vAlign w:val="center"/>
          </w:tcPr>
          <w:p w14:paraId="4D1EA7AD" w14:textId="77777777" w:rsidR="00776691" w:rsidRPr="00786AA3" w:rsidRDefault="00776691">
            <w:pPr>
              <w:contextualSpacing/>
              <w:jc w:val="center"/>
              <w:rPr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Points</w:t>
            </w:r>
          </w:p>
        </w:tc>
        <w:tc>
          <w:tcPr>
            <w:tcW w:w="2700" w:type="dxa"/>
            <w:shd w:val="clear" w:color="auto" w:fill="002060"/>
            <w:vAlign w:val="center"/>
          </w:tcPr>
          <w:p w14:paraId="2C138458" w14:textId="77777777" w:rsidR="00776691" w:rsidRPr="00786AA3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+ Improvement Points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03C8FE69" w14:textId="77777777" w:rsidR="00776691" w:rsidRPr="00786AA3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Individual Quality Score</w:t>
            </w:r>
          </w:p>
        </w:tc>
        <w:tc>
          <w:tcPr>
            <w:tcW w:w="2183" w:type="dxa"/>
            <w:shd w:val="clear" w:color="auto" w:fill="002060"/>
            <w:vAlign w:val="center"/>
          </w:tcPr>
          <w:p w14:paraId="50D4BED6" w14:textId="3F5B7FDB" w:rsidR="00776691" w:rsidRPr="00786AA3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Weighted Quality Score</w:t>
            </w:r>
          </w:p>
        </w:tc>
      </w:tr>
      <w:tr w:rsidR="00776691" w:rsidRPr="00504672" w14:paraId="5D997CEA" w14:textId="77777777" w:rsidTr="00C61E61">
        <w:trPr>
          <w:trHeight w:val="654"/>
        </w:trPr>
        <w:tc>
          <w:tcPr>
            <w:tcW w:w="1435" w:type="dxa"/>
            <w:vAlign w:val="center"/>
          </w:tcPr>
          <w:p w14:paraId="6F636A43" w14:textId="77777777" w:rsidR="00776691" w:rsidRPr="00504672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2880" w:type="dxa"/>
            <w:vAlign w:val="center"/>
          </w:tcPr>
          <w:p w14:paraId="53F088A5" w14:textId="2AD59D2F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0D4B64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7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43)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8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7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 pts</w:t>
            </w:r>
          </w:p>
          <w:p w14:paraId="4DB708F8" w14:textId="77777777" w:rsidR="00776691" w:rsidRPr="008F2E79" w:rsidRDefault="00776691">
            <w:pPr>
              <w:contextualSpacing/>
              <w:rPr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(59 – 43)</w:t>
            </w:r>
          </w:p>
        </w:tc>
        <w:tc>
          <w:tcPr>
            <w:tcW w:w="2700" w:type="dxa"/>
            <w:vAlign w:val="center"/>
          </w:tcPr>
          <w:p w14:paraId="01DFE292" w14:textId="00425773" w:rsidR="00776691" w:rsidRPr="008F2E79" w:rsidRDefault="00776691" w:rsidP="00CE3ED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8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7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5 pts + </w:t>
            </w:r>
            <w:r w:rsidR="00E81E2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 w:rsidR="00E81E2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13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.75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color w:val="auto"/>
                <w:sz w:val="18"/>
                <w:szCs w:val="18"/>
              </w:rPr>
              <w:t xml:space="preserve">              </w:t>
            </w:r>
          </w:p>
        </w:tc>
        <w:tc>
          <w:tcPr>
            <w:tcW w:w="1710" w:type="dxa"/>
            <w:vAlign w:val="center"/>
          </w:tcPr>
          <w:p w14:paraId="0503B1AA" w14:textId="7739C837" w:rsidR="00776691" w:rsidRPr="008F2E79" w:rsidRDefault="00E81E2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13</w:t>
            </w:r>
            <w:r w:rsidR="00AE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.75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= </w:t>
            </w:r>
            <w:r w:rsidR="0056473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56473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38</w:t>
            </w:r>
          </w:p>
        </w:tc>
        <w:tc>
          <w:tcPr>
            <w:tcW w:w="2183" w:type="dxa"/>
            <w:vAlign w:val="center"/>
          </w:tcPr>
          <w:p w14:paraId="79C38A31" w14:textId="4878409F" w:rsidR="00776691" w:rsidRPr="008F2E79" w:rsidRDefault="002A425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38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0D4B64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 </w:t>
            </w:r>
            <w:r w:rsidR="001954D5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4</w:t>
            </w:r>
            <w:r w:rsidR="00815FB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1954D5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815FB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83</w:t>
            </w:r>
          </w:p>
        </w:tc>
      </w:tr>
      <w:tr w:rsidR="00776691" w:rsidRPr="00504672" w14:paraId="0EFCE955" w14:textId="77777777" w:rsidTr="00C61E61">
        <w:trPr>
          <w:trHeight w:val="618"/>
        </w:trPr>
        <w:tc>
          <w:tcPr>
            <w:tcW w:w="1435" w:type="dxa"/>
            <w:vAlign w:val="center"/>
          </w:tcPr>
          <w:p w14:paraId="645A0921" w14:textId="77777777" w:rsidR="00776691" w:rsidRPr="00504672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2880" w:type="dxa"/>
            <w:vAlign w:val="center"/>
          </w:tcPr>
          <w:p w14:paraId="5DB41D43" w14:textId="28818778" w:rsidR="00F23A90" w:rsidRPr="008F2E79" w:rsidRDefault="00F23A90" w:rsidP="00F23A90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95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 w:rsidR="00C2441B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EE5442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9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  <w:p w14:paraId="0FB97F94" w14:textId="3517ED5C" w:rsidR="00776691" w:rsidRPr="004F0EF2" w:rsidRDefault="00F23A90" w:rsidP="00F23A90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</w:t>
            </w:r>
            <w:r w:rsidR="00C2441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EE5442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4503E2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EE5442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2700" w:type="dxa"/>
            <w:vAlign w:val="center"/>
          </w:tcPr>
          <w:p w14:paraId="5A600763" w14:textId="74495156" w:rsidR="00776691" w:rsidRPr="008F2E79" w:rsidRDefault="00EE5442" w:rsidP="00CE3ED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9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13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</w:t>
            </w:r>
            <w:r w:rsidR="002221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</w:t>
            </w:r>
          </w:p>
        </w:tc>
        <w:tc>
          <w:tcPr>
            <w:tcW w:w="1710" w:type="dxa"/>
            <w:vAlign w:val="center"/>
          </w:tcPr>
          <w:p w14:paraId="31084AC4" w14:textId="3AEC0ACB" w:rsidR="00776691" w:rsidRPr="008F2E79" w:rsidRDefault="002874DA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13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1.30</w:t>
            </w:r>
          </w:p>
        </w:tc>
        <w:tc>
          <w:tcPr>
            <w:tcW w:w="2183" w:type="dxa"/>
            <w:vAlign w:val="center"/>
          </w:tcPr>
          <w:p w14:paraId="262906F7" w14:textId="785B375B" w:rsidR="00776691" w:rsidRPr="008F2E79" w:rsidRDefault="002874DA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1.30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0D4B64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43</w:t>
            </w:r>
            <w:r w:rsidR="00FA790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33</w:t>
            </w:r>
          </w:p>
        </w:tc>
      </w:tr>
      <w:tr w:rsidR="00776691" w:rsidRPr="00504672" w14:paraId="57487C86" w14:textId="77777777" w:rsidTr="00C61E61">
        <w:trPr>
          <w:trHeight w:val="708"/>
        </w:trPr>
        <w:tc>
          <w:tcPr>
            <w:tcW w:w="1435" w:type="dxa"/>
            <w:vAlign w:val="center"/>
          </w:tcPr>
          <w:p w14:paraId="17900CD1" w14:textId="77777777" w:rsidR="00776691" w:rsidRPr="00504672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2880" w:type="dxa"/>
            <w:vAlign w:val="center"/>
          </w:tcPr>
          <w:p w14:paraId="0C48647A" w14:textId="5C819718" w:rsidR="00776691" w:rsidRPr="00D73CE3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0D4B64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D73CE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(4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4</w:t>
            </w:r>
            <w:r w:rsidR="00C92FB1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 w:rsidRPr="00D73CE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0</w:t>
            </w:r>
            <w:r w:rsidRPr="00D73CE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3 pts</w:t>
            </w:r>
          </w:p>
          <w:p w14:paraId="504358C9" w14:textId="5DFDD8B3" w:rsidR="00776691" w:rsidRPr="008F2E79" w:rsidRDefault="00776691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</w:t>
            </w:r>
            <w:r w:rsidR="00C230C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124250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(30</w:t>
            </w:r>
            <w:r w:rsidR="00C92FB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50)</w:t>
            </w:r>
          </w:p>
        </w:tc>
        <w:tc>
          <w:tcPr>
            <w:tcW w:w="2700" w:type="dxa"/>
            <w:vAlign w:val="center"/>
          </w:tcPr>
          <w:p w14:paraId="42B20743" w14:textId="77777777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3 pts + 5 pts = 8 pts</w:t>
            </w:r>
          </w:p>
        </w:tc>
        <w:tc>
          <w:tcPr>
            <w:tcW w:w="1710" w:type="dxa"/>
            <w:vAlign w:val="center"/>
          </w:tcPr>
          <w:p w14:paraId="42CD72ED" w14:textId="77777777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8 / 10 = 0.80</w:t>
            </w:r>
          </w:p>
        </w:tc>
        <w:tc>
          <w:tcPr>
            <w:tcW w:w="2183" w:type="dxa"/>
            <w:vAlign w:val="center"/>
          </w:tcPr>
          <w:p w14:paraId="5EBEC2EA" w14:textId="3E1073A5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0.80 </w:t>
            </w:r>
            <w:r w:rsidR="000D4B64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 26.6</w:t>
            </w:r>
            <w:r w:rsidR="002507D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7</w:t>
            </w:r>
          </w:p>
        </w:tc>
      </w:tr>
      <w:tr w:rsidR="00776691" w:rsidRPr="00504672" w14:paraId="766EBBE9" w14:textId="77777777" w:rsidTr="00C61E61">
        <w:trPr>
          <w:trHeight w:val="417"/>
        </w:trPr>
        <w:tc>
          <w:tcPr>
            <w:tcW w:w="7015" w:type="dxa"/>
            <w:gridSpan w:val="3"/>
            <w:vAlign w:val="center"/>
          </w:tcPr>
          <w:p w14:paraId="12DE01A4" w14:textId="77777777" w:rsidR="00776691" w:rsidRPr="0028521D" w:rsidRDefault="00776691">
            <w:pPr>
              <w:contextualSpacing/>
              <w:jc w:val="right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28521D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Bonus Points Earned</w:t>
            </w:r>
          </w:p>
        </w:tc>
        <w:tc>
          <w:tcPr>
            <w:tcW w:w="3893" w:type="dxa"/>
            <w:gridSpan w:val="2"/>
            <w:vAlign w:val="center"/>
          </w:tcPr>
          <w:p w14:paraId="69F1A5B3" w14:textId="77777777" w:rsidR="00776691" w:rsidRPr="0018232B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 pts</w:t>
            </w:r>
          </w:p>
        </w:tc>
      </w:tr>
      <w:tr w:rsidR="00776691" w:rsidRPr="00504672" w14:paraId="4232421E" w14:textId="77777777" w:rsidTr="00C61E61">
        <w:trPr>
          <w:trHeight w:val="793"/>
        </w:trPr>
        <w:tc>
          <w:tcPr>
            <w:tcW w:w="7015" w:type="dxa"/>
            <w:gridSpan w:val="3"/>
            <w:vAlign w:val="center"/>
          </w:tcPr>
          <w:p w14:paraId="112BCB77" w14:textId="2C9CAB42" w:rsidR="00776691" w:rsidRPr="00F26B51" w:rsidRDefault="00776691">
            <w:pPr>
              <w:contextualSpacing/>
              <w:jc w:val="right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F26B5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Overall Quality Score</w:t>
            </w:r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893" w:type="dxa"/>
            <w:gridSpan w:val="2"/>
            <w:vAlign w:val="center"/>
          </w:tcPr>
          <w:p w14:paraId="58294469" w14:textId="2FD0427E" w:rsidR="00776691" w:rsidRPr="0018232B" w:rsidRDefault="006D5368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4</w:t>
            </w:r>
            <w:r w:rsidR="000A0AB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5.83</w:t>
            </w:r>
            <w:r w:rsidR="00776691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 </w:t>
            </w:r>
            <w:r w:rsidR="006976F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43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6976F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33</w:t>
            </w:r>
            <w:r w:rsidR="00776691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56252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+ </w:t>
            </w:r>
            <w:r w:rsidR="00562524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26.6</w:t>
            </w:r>
            <w:r w:rsidR="002507D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7</w:t>
            </w:r>
            <w:r w:rsidR="00562524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776691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+ 5</w:t>
            </w:r>
            <w:r w:rsidR="00776691" w:rsidRPr="0018232B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776691" w:rsidRPr="005F197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=</w:t>
            </w:r>
            <w:r w:rsidR="00776691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AC7BCB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12</w:t>
            </w:r>
            <w:r w:rsidR="006976F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AC7BCB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6976F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83</w:t>
            </w:r>
            <w:r w:rsidR="00AC7BCB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</w:t>
            </w:r>
            <w:r w:rsidR="00AC7BCB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100 (capped)</w:t>
            </w:r>
          </w:p>
        </w:tc>
      </w:tr>
    </w:tbl>
    <w:p w14:paraId="7D9F5D4A" w14:textId="34BDC965" w:rsidR="00776691" w:rsidRDefault="00776691" w:rsidP="00A40FA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F80A476" w14:textId="40E1F92A" w:rsidR="00BA2BE6" w:rsidRDefault="00BA2BE6" w:rsidP="00BA2BE6">
      <w:pPr>
        <w:pStyle w:val="Heading2"/>
        <w:rPr>
          <w:rStyle w:val="Heading3Char"/>
          <w:b/>
          <w:bCs w:val="0"/>
          <w:sz w:val="22"/>
          <w:szCs w:val="20"/>
        </w:rPr>
      </w:pPr>
      <w:bookmarkStart w:id="51" w:name="_Toc212807359"/>
      <w:r w:rsidRPr="00BA2BE6">
        <w:rPr>
          <w:rStyle w:val="Heading3Char"/>
          <w:b/>
          <w:bCs w:val="0"/>
          <w:sz w:val="22"/>
          <w:szCs w:val="20"/>
        </w:rPr>
        <w:lastRenderedPageBreak/>
        <w:t xml:space="preserve">Example 4: </w:t>
      </w:r>
      <w:r w:rsidR="00A276DC">
        <w:rPr>
          <w:rStyle w:val="Heading3Char"/>
          <w:b/>
          <w:bCs w:val="0"/>
          <w:sz w:val="22"/>
          <w:szCs w:val="20"/>
        </w:rPr>
        <w:t>Past Performance</w:t>
      </w:r>
      <w:r w:rsidRPr="00BA2BE6">
        <w:rPr>
          <w:rStyle w:val="Heading3Char"/>
          <w:b/>
          <w:bCs w:val="0"/>
          <w:sz w:val="22"/>
          <w:szCs w:val="20"/>
        </w:rPr>
        <w:t xml:space="preserve"> Meeting or Exceeding Goal Benchmark and Improvement Target</w:t>
      </w:r>
      <w:r w:rsidR="00C41BF2">
        <w:rPr>
          <w:rStyle w:val="Heading3Char"/>
          <w:b/>
          <w:bCs w:val="0"/>
          <w:sz w:val="22"/>
          <w:szCs w:val="20"/>
        </w:rPr>
        <w:t xml:space="preserve"> Met</w:t>
      </w:r>
      <w:r w:rsidR="00A276DC">
        <w:rPr>
          <w:rStyle w:val="Heading3Char"/>
          <w:b/>
          <w:bCs w:val="0"/>
          <w:sz w:val="22"/>
          <w:szCs w:val="20"/>
        </w:rPr>
        <w:t xml:space="preserve"> f</w:t>
      </w:r>
      <w:r w:rsidR="00D347AB">
        <w:rPr>
          <w:rStyle w:val="Heading3Char"/>
          <w:b/>
          <w:bCs w:val="0"/>
          <w:sz w:val="22"/>
          <w:szCs w:val="20"/>
        </w:rPr>
        <w:t>rom</w:t>
      </w:r>
      <w:r w:rsidR="00A276DC">
        <w:rPr>
          <w:rStyle w:val="Heading3Char"/>
          <w:b/>
          <w:bCs w:val="0"/>
          <w:sz w:val="22"/>
          <w:szCs w:val="20"/>
        </w:rPr>
        <w:t xml:space="preserve"> Current Performance</w:t>
      </w:r>
      <w:bookmarkEnd w:id="51"/>
    </w:p>
    <w:tbl>
      <w:tblPr>
        <w:tblStyle w:val="TableGrid"/>
        <w:tblW w:w="109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688"/>
        <w:gridCol w:w="739"/>
        <w:gridCol w:w="749"/>
        <w:gridCol w:w="1277"/>
        <w:gridCol w:w="1306"/>
        <w:gridCol w:w="1477"/>
        <w:gridCol w:w="1472"/>
        <w:gridCol w:w="1472"/>
      </w:tblGrid>
      <w:tr w:rsidR="001860D7" w:rsidRPr="008410A2" w14:paraId="04E3DB6C" w14:textId="77777777" w:rsidTr="00CE3ED6">
        <w:trPr>
          <w:trHeight w:val="1052"/>
        </w:trPr>
        <w:tc>
          <w:tcPr>
            <w:tcW w:w="1080" w:type="dxa"/>
            <w:shd w:val="clear" w:color="auto" w:fill="002060"/>
            <w:vAlign w:val="center"/>
          </w:tcPr>
          <w:p w14:paraId="65A8BA75" w14:textId="77777777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720" w:type="dxa"/>
            <w:shd w:val="clear" w:color="auto" w:fill="002060"/>
            <w:vAlign w:val="center"/>
          </w:tcPr>
          <w:p w14:paraId="1506080D" w14:textId="125042EB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PY1 Rate</w:t>
            </w:r>
            <w:r w:rsidR="6CCA8325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688" w:type="dxa"/>
            <w:shd w:val="clear" w:color="auto" w:fill="002060"/>
            <w:vAlign w:val="center"/>
          </w:tcPr>
          <w:p w14:paraId="236FA3A1" w14:textId="7CB38E5C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PY2 Rate</w:t>
            </w:r>
            <w:r w:rsidR="5E45A700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739" w:type="dxa"/>
            <w:shd w:val="clear" w:color="auto" w:fill="002060"/>
            <w:vAlign w:val="center"/>
          </w:tcPr>
          <w:p w14:paraId="0CE52737" w14:textId="77777777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PY3</w:t>
            </w:r>
          </w:p>
          <w:p w14:paraId="4E1E26A5" w14:textId="3F7796C9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Rate</w:t>
            </w:r>
            <w:r w:rsidR="376E3811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749" w:type="dxa"/>
            <w:shd w:val="clear" w:color="auto" w:fill="002060"/>
            <w:vAlign w:val="center"/>
          </w:tcPr>
          <w:p w14:paraId="75BD7496" w14:textId="7C77C617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PY4 Rate</w:t>
            </w:r>
            <w:r w:rsidR="2E385AF2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277" w:type="dxa"/>
            <w:shd w:val="clear" w:color="auto" w:fill="002060"/>
            <w:vAlign w:val="center"/>
          </w:tcPr>
          <w:p w14:paraId="002E86DF" w14:textId="5019A3CC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Attainment Threshold</w:t>
            </w:r>
            <w:r w:rsidR="0D51801B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306" w:type="dxa"/>
            <w:shd w:val="clear" w:color="auto" w:fill="002060"/>
            <w:vAlign w:val="center"/>
          </w:tcPr>
          <w:p w14:paraId="13F8CD8A" w14:textId="003EE3D6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Goal Benchmark</w:t>
            </w:r>
            <w:r w:rsidR="0584A1A9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477" w:type="dxa"/>
            <w:shd w:val="clear" w:color="auto" w:fill="002060"/>
            <w:vAlign w:val="center"/>
          </w:tcPr>
          <w:p w14:paraId="4AF1E746" w14:textId="7804C2ED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3D423CDB" w14:textId="023AA38E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Target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3125741A" w14:textId="77777777" w:rsidR="00776691" w:rsidRPr="00786AA3" w:rsidRDefault="0077669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Points</w:t>
            </w:r>
          </w:p>
        </w:tc>
      </w:tr>
      <w:tr w:rsidR="001860D7" w:rsidRPr="008410A2" w14:paraId="5BBD447D" w14:textId="77777777" w:rsidTr="00CE3ED6">
        <w:trPr>
          <w:trHeight w:val="710"/>
        </w:trPr>
        <w:tc>
          <w:tcPr>
            <w:tcW w:w="1080" w:type="dxa"/>
            <w:vAlign w:val="center"/>
          </w:tcPr>
          <w:p w14:paraId="346566C6" w14:textId="77777777" w:rsidR="00776691" w:rsidRPr="008410A2" w:rsidRDefault="00776691" w:rsidP="00CE3ED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720" w:type="dxa"/>
            <w:vAlign w:val="center"/>
          </w:tcPr>
          <w:p w14:paraId="312477AC" w14:textId="77777777" w:rsidR="00776691" w:rsidRPr="00D36195" w:rsidRDefault="0077669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36195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88" w:type="dxa"/>
            <w:vAlign w:val="center"/>
          </w:tcPr>
          <w:p w14:paraId="5F0FCEBC" w14:textId="4E7772D9" w:rsidR="00776691" w:rsidRPr="00AA4BBB" w:rsidRDefault="00A22854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739" w:type="dxa"/>
            <w:vAlign w:val="center"/>
          </w:tcPr>
          <w:p w14:paraId="7C7AE68C" w14:textId="77777777" w:rsidR="00776691" w:rsidRPr="00D36195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36195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49" w:type="dxa"/>
            <w:vAlign w:val="center"/>
          </w:tcPr>
          <w:p w14:paraId="11EB8A6A" w14:textId="17982B3F" w:rsidR="00776691" w:rsidRPr="00D64490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A2285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DCDCDC" w:themeFill="text2" w:themeFillTint="33"/>
            <w:vAlign w:val="center"/>
          </w:tcPr>
          <w:p w14:paraId="1429BA3C" w14:textId="77777777" w:rsidR="00776691" w:rsidRPr="00D64490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306" w:type="dxa"/>
            <w:shd w:val="clear" w:color="auto" w:fill="DCDCDC" w:themeFill="text2" w:themeFillTint="33"/>
            <w:vAlign w:val="center"/>
          </w:tcPr>
          <w:p w14:paraId="1FDA4C57" w14:textId="77777777" w:rsidR="00776691" w:rsidRPr="00D64490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477" w:type="dxa"/>
            <w:vAlign w:val="center"/>
          </w:tcPr>
          <w:p w14:paraId="14AF7675" w14:textId="337D58DF" w:rsidR="00776691" w:rsidRPr="00D64490" w:rsidRDefault="00871CB4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2A60199B" w14:textId="2F186CA4" w:rsidR="00776691" w:rsidRPr="005406E5" w:rsidRDefault="0007027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  <w:r w:rsidR="00776691" w:rsidRPr="005406E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72" w:type="dxa"/>
            <w:vAlign w:val="center"/>
          </w:tcPr>
          <w:p w14:paraId="305C307F" w14:textId="06C6FDF1" w:rsidR="00776691" w:rsidRPr="00D64490" w:rsidRDefault="00871CB4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1860D7" w:rsidRPr="008410A2" w14:paraId="381BF52B" w14:textId="77777777" w:rsidTr="00CE3ED6">
        <w:trPr>
          <w:trHeight w:val="701"/>
        </w:trPr>
        <w:tc>
          <w:tcPr>
            <w:tcW w:w="1080" w:type="dxa"/>
            <w:vAlign w:val="center"/>
          </w:tcPr>
          <w:p w14:paraId="06F94CC6" w14:textId="77777777" w:rsidR="00776691" w:rsidRPr="00C745C3" w:rsidRDefault="00776691" w:rsidP="00CE3ED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745C3"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720" w:type="dxa"/>
            <w:vAlign w:val="center"/>
          </w:tcPr>
          <w:p w14:paraId="250307D8" w14:textId="6D21663D" w:rsidR="00776691" w:rsidRPr="00C745C3" w:rsidRDefault="006D4994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688" w:type="dxa"/>
            <w:vAlign w:val="center"/>
          </w:tcPr>
          <w:p w14:paraId="0050C0FD" w14:textId="77777777" w:rsidR="00776691" w:rsidRPr="00C745C3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39" w:type="dxa"/>
            <w:vAlign w:val="center"/>
          </w:tcPr>
          <w:p w14:paraId="35086362" w14:textId="77777777" w:rsidR="00776691" w:rsidRPr="00C745C3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749" w:type="dxa"/>
            <w:vAlign w:val="center"/>
          </w:tcPr>
          <w:p w14:paraId="1DD9664B" w14:textId="197B81F3" w:rsidR="00776691" w:rsidRPr="00C745C3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6D4994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7" w:type="dxa"/>
            <w:shd w:val="clear" w:color="auto" w:fill="DCDCDC" w:themeFill="text2" w:themeFillTint="33"/>
            <w:vAlign w:val="center"/>
          </w:tcPr>
          <w:p w14:paraId="38361C3F" w14:textId="77777777" w:rsidR="00776691" w:rsidRPr="00C745C3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C745C3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06" w:type="dxa"/>
            <w:shd w:val="clear" w:color="auto" w:fill="DCDCDC" w:themeFill="text2" w:themeFillTint="33"/>
            <w:vAlign w:val="center"/>
          </w:tcPr>
          <w:p w14:paraId="0EE65DEE" w14:textId="77777777" w:rsidR="00776691" w:rsidRPr="00C745C3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C745C3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77" w:type="dxa"/>
            <w:vAlign w:val="center"/>
          </w:tcPr>
          <w:p w14:paraId="36AE1A0D" w14:textId="38627563" w:rsidR="00776691" w:rsidRPr="00C745C3" w:rsidRDefault="00A03774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502A2D1A" w14:textId="343E3BBF" w:rsidR="00776691" w:rsidRPr="005406E5" w:rsidRDefault="0007027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72" w:type="dxa"/>
            <w:vAlign w:val="center"/>
          </w:tcPr>
          <w:p w14:paraId="16899B6A" w14:textId="34D4DD3A" w:rsidR="00776691" w:rsidRPr="00C745C3" w:rsidRDefault="00A03774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1860D7" w:rsidRPr="008410A2" w14:paraId="0F049008" w14:textId="77777777" w:rsidTr="00CE3ED6">
        <w:trPr>
          <w:trHeight w:val="710"/>
        </w:trPr>
        <w:tc>
          <w:tcPr>
            <w:tcW w:w="1080" w:type="dxa"/>
            <w:vAlign w:val="center"/>
          </w:tcPr>
          <w:p w14:paraId="23994D49" w14:textId="77777777" w:rsidR="00776691" w:rsidRPr="008410A2" w:rsidRDefault="00776691" w:rsidP="00CE3ED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720" w:type="dxa"/>
            <w:vAlign w:val="center"/>
          </w:tcPr>
          <w:p w14:paraId="4B36BB1E" w14:textId="77777777" w:rsidR="00776691" w:rsidRPr="00D36195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36195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88" w:type="dxa"/>
            <w:vAlign w:val="center"/>
          </w:tcPr>
          <w:p w14:paraId="0DB54053" w14:textId="77777777" w:rsidR="00776691" w:rsidRPr="00B6040B" w:rsidRDefault="0077669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6040B">
              <w:rPr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39" w:type="dxa"/>
            <w:vAlign w:val="center"/>
          </w:tcPr>
          <w:p w14:paraId="7D715C22" w14:textId="77777777" w:rsidR="00776691" w:rsidRPr="0033173D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33173D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749" w:type="dxa"/>
            <w:vAlign w:val="center"/>
          </w:tcPr>
          <w:p w14:paraId="00E87619" w14:textId="77777777" w:rsidR="00776691" w:rsidRPr="00B00419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277" w:type="dxa"/>
            <w:shd w:val="clear" w:color="auto" w:fill="DCDCDC" w:themeFill="text2" w:themeFillTint="33"/>
            <w:vAlign w:val="center"/>
          </w:tcPr>
          <w:p w14:paraId="7107465D" w14:textId="77777777" w:rsidR="00776691" w:rsidRPr="00D64490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06" w:type="dxa"/>
            <w:shd w:val="clear" w:color="auto" w:fill="DCDCDC" w:themeFill="text2" w:themeFillTint="33"/>
            <w:vAlign w:val="center"/>
          </w:tcPr>
          <w:p w14:paraId="3F236136" w14:textId="77777777" w:rsidR="00776691" w:rsidRPr="00D64490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77" w:type="dxa"/>
            <w:vAlign w:val="center"/>
          </w:tcPr>
          <w:p w14:paraId="4B552A8F" w14:textId="77777777" w:rsidR="00776691" w:rsidRPr="00D64490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2" w:type="dxa"/>
            <w:shd w:val="clear" w:color="auto" w:fill="DCDCDC" w:themeFill="text2" w:themeFillTint="33"/>
            <w:vAlign w:val="center"/>
          </w:tcPr>
          <w:p w14:paraId="1D4E96E7" w14:textId="6537DCC0" w:rsidR="00776691" w:rsidRPr="005406E5" w:rsidRDefault="0007027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2" w:type="dxa"/>
            <w:vAlign w:val="center"/>
          </w:tcPr>
          <w:p w14:paraId="76114157" w14:textId="77777777" w:rsidR="00776691" w:rsidRPr="00D64490" w:rsidRDefault="0077669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35E6787A" w14:textId="77777777" w:rsidR="00776691" w:rsidRDefault="00776691" w:rsidP="00776691"/>
    <w:tbl>
      <w:tblPr>
        <w:tblStyle w:val="TableGrid"/>
        <w:tblpPr w:leftFromText="180" w:rightFromText="180" w:vertAnchor="text" w:horzAnchor="margin" w:tblpXSpec="center" w:tblpY="-37"/>
        <w:tblW w:w="10975" w:type="dxa"/>
        <w:tblLook w:val="04A0" w:firstRow="1" w:lastRow="0" w:firstColumn="1" w:lastColumn="0" w:noHBand="0" w:noVBand="1"/>
      </w:tblPr>
      <w:tblGrid>
        <w:gridCol w:w="1525"/>
        <w:gridCol w:w="2880"/>
        <w:gridCol w:w="2610"/>
        <w:gridCol w:w="1710"/>
        <w:gridCol w:w="2250"/>
      </w:tblGrid>
      <w:tr w:rsidR="00E47F76" w:rsidRPr="00504672" w14:paraId="40B9E25F" w14:textId="77777777" w:rsidTr="00C61E61">
        <w:trPr>
          <w:trHeight w:val="800"/>
        </w:trPr>
        <w:tc>
          <w:tcPr>
            <w:tcW w:w="1525" w:type="dxa"/>
            <w:shd w:val="clear" w:color="auto" w:fill="002060"/>
            <w:vAlign w:val="center"/>
          </w:tcPr>
          <w:p w14:paraId="2CD7FE27" w14:textId="77777777" w:rsidR="00E47F76" w:rsidRPr="00786AA3" w:rsidRDefault="00E47F76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2880" w:type="dxa"/>
            <w:shd w:val="clear" w:color="auto" w:fill="002060"/>
            <w:vAlign w:val="center"/>
          </w:tcPr>
          <w:p w14:paraId="753DE1AD" w14:textId="77777777" w:rsidR="00E47F76" w:rsidRPr="00786AA3" w:rsidRDefault="00E47F76">
            <w:pPr>
              <w:contextualSpacing/>
              <w:jc w:val="center"/>
              <w:rPr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Points</w:t>
            </w:r>
          </w:p>
        </w:tc>
        <w:tc>
          <w:tcPr>
            <w:tcW w:w="2610" w:type="dxa"/>
            <w:shd w:val="clear" w:color="auto" w:fill="002060"/>
            <w:vAlign w:val="center"/>
          </w:tcPr>
          <w:p w14:paraId="62079CF0" w14:textId="77777777" w:rsidR="00E47F76" w:rsidRPr="00786AA3" w:rsidRDefault="00E47F76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+ Improvement Points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591C7D06" w14:textId="77777777" w:rsidR="00E47F76" w:rsidRPr="00786AA3" w:rsidRDefault="00E47F76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Individual Quality Score</w:t>
            </w:r>
          </w:p>
        </w:tc>
        <w:tc>
          <w:tcPr>
            <w:tcW w:w="2250" w:type="dxa"/>
            <w:shd w:val="clear" w:color="auto" w:fill="002060"/>
            <w:vAlign w:val="center"/>
          </w:tcPr>
          <w:p w14:paraId="34F54737" w14:textId="32C67FD9" w:rsidR="00E47F76" w:rsidRPr="00786AA3" w:rsidRDefault="00E47F76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Weighted Quality Score</w:t>
            </w:r>
          </w:p>
        </w:tc>
      </w:tr>
      <w:tr w:rsidR="00E47F76" w:rsidRPr="00504672" w14:paraId="312837B5" w14:textId="77777777" w:rsidTr="00C61E61">
        <w:trPr>
          <w:trHeight w:val="654"/>
        </w:trPr>
        <w:tc>
          <w:tcPr>
            <w:tcW w:w="1525" w:type="dxa"/>
            <w:vAlign w:val="center"/>
          </w:tcPr>
          <w:p w14:paraId="362E24BD" w14:textId="77777777" w:rsidR="00E47F76" w:rsidRPr="00504672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2880" w:type="dxa"/>
            <w:vAlign w:val="center"/>
          </w:tcPr>
          <w:p w14:paraId="0A4ED87D" w14:textId="06FEC5C4" w:rsidR="00E47F76" w:rsidRPr="008F2E79" w:rsidRDefault="006D4994" w:rsidP="006D49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 pts</w:t>
            </w:r>
          </w:p>
        </w:tc>
        <w:tc>
          <w:tcPr>
            <w:tcW w:w="2610" w:type="dxa"/>
            <w:vAlign w:val="center"/>
          </w:tcPr>
          <w:p w14:paraId="62F5BA97" w14:textId="77777777" w:rsidR="00A95D63" w:rsidRDefault="00A95D63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  <w:p w14:paraId="0DD3EDEF" w14:textId="7ACCCA9F" w:rsidR="00E47F76" w:rsidRDefault="006D4994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</w:t>
            </w:r>
            <w:r w:rsidR="00E47F76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</w:t>
            </w:r>
            <w:r w:rsidR="00934A5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E47F76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 w:rsidR="00214D4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15</w:t>
            </w:r>
            <w:r w:rsidR="00E47F7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  <w:p w14:paraId="165B97FC" w14:textId="67A467B8" w:rsidR="00E47F76" w:rsidRPr="008F2E79" w:rsidRDefault="00E47F76" w:rsidP="00CE3ED6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1710" w:type="dxa"/>
            <w:vAlign w:val="center"/>
          </w:tcPr>
          <w:p w14:paraId="52E24DD3" w14:textId="50E5E41E" w:rsidR="00E47F76" w:rsidRPr="008F2E79" w:rsidRDefault="005E4A14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15</w:t>
            </w:r>
            <w:r w:rsidR="00E47F7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E47F76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 w:rsidR="00E47F7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E47F76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E47F7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E47F76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1.50</w:t>
            </w:r>
          </w:p>
        </w:tc>
        <w:tc>
          <w:tcPr>
            <w:tcW w:w="2250" w:type="dxa"/>
            <w:vAlign w:val="center"/>
          </w:tcPr>
          <w:p w14:paraId="4ED08918" w14:textId="491C9D51" w:rsidR="00E47F76" w:rsidRPr="008F2E79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</w:t>
            </w:r>
            <w:r w:rsidR="005E4A1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FA3F26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</w:t>
            </w:r>
            <w:r w:rsidR="008A720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%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8B4F8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5E4A1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8B4F8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5E4A1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</w:p>
        </w:tc>
      </w:tr>
      <w:tr w:rsidR="00E47F76" w:rsidRPr="00504672" w14:paraId="620D6BEF" w14:textId="77777777" w:rsidTr="00C61E61">
        <w:trPr>
          <w:trHeight w:val="618"/>
        </w:trPr>
        <w:tc>
          <w:tcPr>
            <w:tcW w:w="1525" w:type="dxa"/>
            <w:vAlign w:val="center"/>
          </w:tcPr>
          <w:p w14:paraId="6EEDFA5C" w14:textId="77777777" w:rsidR="00E47F76" w:rsidRPr="00504672" w:rsidRDefault="00E47F76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2880" w:type="dxa"/>
            <w:vAlign w:val="center"/>
          </w:tcPr>
          <w:p w14:paraId="3CD3A9E0" w14:textId="75A2BEF7" w:rsidR="00E47F76" w:rsidRPr="004F0EF2" w:rsidRDefault="00E47F76" w:rsidP="00CE3ED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 pts</w:t>
            </w:r>
          </w:p>
        </w:tc>
        <w:tc>
          <w:tcPr>
            <w:tcW w:w="2610" w:type="dxa"/>
            <w:vAlign w:val="center"/>
          </w:tcPr>
          <w:p w14:paraId="52EF1A8F" w14:textId="77777777" w:rsidR="00A95D63" w:rsidRDefault="00A95D63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  <w:p w14:paraId="1F28C20E" w14:textId="3227275A" w:rsidR="00E47F76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</w:t>
            </w:r>
            <w:r w:rsidR="00934A5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 w:rsidR="00B12278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934A5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B12278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pts</w:t>
            </w:r>
          </w:p>
          <w:p w14:paraId="79A95817" w14:textId="63E1BCBE" w:rsidR="00E47F76" w:rsidRPr="008F2E79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710" w:type="dxa"/>
            <w:vAlign w:val="center"/>
          </w:tcPr>
          <w:p w14:paraId="70A575B8" w14:textId="7525C1C7" w:rsidR="00E47F76" w:rsidRPr="008F2E79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934A5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</w:t>
            </w:r>
            <w:r w:rsidR="00884925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2250" w:type="dxa"/>
            <w:vAlign w:val="center"/>
          </w:tcPr>
          <w:p w14:paraId="16A20E5B" w14:textId="5FFEE2FE" w:rsidR="00E47F76" w:rsidRPr="008F2E79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</w:t>
            </w:r>
            <w:r w:rsidR="00934A5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0 </w:t>
            </w:r>
            <w:r w:rsidR="00FA3F26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</w:t>
            </w:r>
            <w:r w:rsidR="008A720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%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934A5C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50.00</w:t>
            </w:r>
          </w:p>
        </w:tc>
      </w:tr>
      <w:tr w:rsidR="00E47F76" w:rsidRPr="00504672" w14:paraId="7BC97033" w14:textId="77777777" w:rsidTr="00C61E61">
        <w:trPr>
          <w:trHeight w:val="708"/>
        </w:trPr>
        <w:tc>
          <w:tcPr>
            <w:tcW w:w="1525" w:type="dxa"/>
            <w:vAlign w:val="center"/>
          </w:tcPr>
          <w:p w14:paraId="37F2967A" w14:textId="77777777" w:rsidR="00E47F76" w:rsidRPr="00504672" w:rsidRDefault="00E47F76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2880" w:type="dxa"/>
            <w:vAlign w:val="center"/>
          </w:tcPr>
          <w:p w14:paraId="03C3E0A8" w14:textId="46B1BBCE" w:rsidR="00E47F76" w:rsidRPr="008F2E79" w:rsidRDefault="00E47F76" w:rsidP="00832149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 pts</w:t>
            </w:r>
          </w:p>
        </w:tc>
        <w:tc>
          <w:tcPr>
            <w:tcW w:w="2610" w:type="dxa"/>
            <w:vAlign w:val="center"/>
          </w:tcPr>
          <w:p w14:paraId="14979F53" w14:textId="77777777" w:rsidR="00A95D63" w:rsidRDefault="00A95D63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</w:p>
          <w:p w14:paraId="0C8E4E99" w14:textId="0DF9D137" w:rsidR="00E47F76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+ 5 pts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15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pts</w:t>
            </w:r>
          </w:p>
          <w:p w14:paraId="4A69F496" w14:textId="1319F96F" w:rsidR="00E47F76" w:rsidRPr="008F2E79" w:rsidRDefault="00E47F76" w:rsidP="00CE3ED6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710" w:type="dxa"/>
            <w:vAlign w:val="center"/>
          </w:tcPr>
          <w:p w14:paraId="5DD8F063" w14:textId="46A19E7E" w:rsidR="00E47F76" w:rsidRPr="008F2E79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875DE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</w:t>
            </w:r>
            <w:r w:rsidR="00875DE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2250" w:type="dxa"/>
            <w:vAlign w:val="center"/>
          </w:tcPr>
          <w:p w14:paraId="668AF442" w14:textId="30C35BA3" w:rsidR="00E47F76" w:rsidRPr="008F2E79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</w:t>
            </w:r>
            <w:r w:rsidR="00875DE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0 </w:t>
            </w:r>
            <w:r w:rsidR="00FA3F26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</w:t>
            </w:r>
            <w:r w:rsidR="008A720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%</w:t>
            </w:r>
            <w:r w:rsidRPr="00B673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875DE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50.00</w:t>
            </w:r>
          </w:p>
        </w:tc>
      </w:tr>
      <w:tr w:rsidR="00E47F76" w:rsidRPr="00504672" w14:paraId="7A0C536D" w14:textId="77777777" w:rsidTr="00C61E61">
        <w:trPr>
          <w:trHeight w:val="417"/>
        </w:trPr>
        <w:tc>
          <w:tcPr>
            <w:tcW w:w="7015" w:type="dxa"/>
            <w:gridSpan w:val="3"/>
            <w:vAlign w:val="center"/>
          </w:tcPr>
          <w:p w14:paraId="79E247C4" w14:textId="77777777" w:rsidR="00E47F76" w:rsidRPr="0028521D" w:rsidRDefault="00E47F76">
            <w:pPr>
              <w:contextualSpacing/>
              <w:jc w:val="right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28521D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Bonus Points Earned</w:t>
            </w:r>
          </w:p>
        </w:tc>
        <w:tc>
          <w:tcPr>
            <w:tcW w:w="3960" w:type="dxa"/>
            <w:gridSpan w:val="2"/>
            <w:vAlign w:val="center"/>
          </w:tcPr>
          <w:p w14:paraId="78E81220" w14:textId="77777777" w:rsidR="00E47F76" w:rsidRPr="0018232B" w:rsidRDefault="00E47F76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</w:tc>
      </w:tr>
      <w:tr w:rsidR="00E47F76" w:rsidRPr="00504672" w14:paraId="0DF3CC04" w14:textId="77777777" w:rsidTr="00C61E61">
        <w:trPr>
          <w:trHeight w:val="888"/>
        </w:trPr>
        <w:tc>
          <w:tcPr>
            <w:tcW w:w="7015" w:type="dxa"/>
            <w:gridSpan w:val="3"/>
            <w:vAlign w:val="center"/>
          </w:tcPr>
          <w:p w14:paraId="45E97BE7" w14:textId="259EB8E2" w:rsidR="00E47F76" w:rsidRPr="00F26B51" w:rsidRDefault="00E47F76">
            <w:pPr>
              <w:contextualSpacing/>
              <w:jc w:val="right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F26B5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Overall Quality Score</w:t>
            </w:r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gridSpan w:val="2"/>
            <w:vAlign w:val="center"/>
          </w:tcPr>
          <w:p w14:paraId="294317C6" w14:textId="14D6C19A" w:rsidR="00E47F76" w:rsidRPr="0018232B" w:rsidRDefault="006C7127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5E4A1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5E4A1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  <w:r w:rsidR="00E47F76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 </w:t>
            </w:r>
            <w:r w:rsidR="003E404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="00E47F76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3E404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  <w:r w:rsidR="00E47F76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</w:t>
            </w:r>
            <w:r w:rsidR="00E47F7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875DE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50.00</w:t>
            </w:r>
            <w:r w:rsidR="0037310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+ 0 </w:t>
            </w:r>
            <w:r w:rsidR="00E47F76" w:rsidRPr="005F197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=</w:t>
            </w:r>
            <w:r w:rsidR="00E47F76" w:rsidRPr="0018232B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E47F76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875DE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5E4A1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E47F76"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5E4A1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  <w:r w:rsidRPr="00CE3ED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</w:t>
            </w:r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100</w:t>
            </w:r>
            <w:proofErr w:type="gramStart"/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B00E44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 (</w:t>
            </w:r>
            <w:proofErr w:type="gramEnd"/>
            <w:r w:rsidRPr="008761C3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capped)</w:t>
            </w:r>
          </w:p>
        </w:tc>
      </w:tr>
    </w:tbl>
    <w:p w14:paraId="37BB989E" w14:textId="7356047E" w:rsidR="00E47F76" w:rsidRPr="00776691" w:rsidRDefault="00E47F76" w:rsidP="00776691">
      <w:r>
        <w:br w:type="page"/>
      </w:r>
    </w:p>
    <w:p w14:paraId="5FA7373B" w14:textId="0FFB532A" w:rsidR="00BA2BE6" w:rsidRPr="00BA2BE6" w:rsidRDefault="00BA2BE6" w:rsidP="00BA2BE6">
      <w:pPr>
        <w:pStyle w:val="Heading2"/>
      </w:pPr>
      <w:bookmarkStart w:id="52" w:name="_Toc212807360"/>
      <w:r w:rsidRPr="00BA2BE6">
        <w:rPr>
          <w:rStyle w:val="Heading3Char"/>
          <w:b/>
          <w:bCs w:val="0"/>
          <w:sz w:val="22"/>
          <w:szCs w:val="20"/>
        </w:rPr>
        <w:lastRenderedPageBreak/>
        <w:t xml:space="preserve">Example 5: Improvement </w:t>
      </w:r>
      <w:r w:rsidR="00BE61D1">
        <w:rPr>
          <w:rStyle w:val="Heading3Char"/>
          <w:b/>
          <w:bCs w:val="0"/>
          <w:sz w:val="22"/>
          <w:szCs w:val="20"/>
        </w:rPr>
        <w:t xml:space="preserve">Target Met </w:t>
      </w:r>
      <w:r w:rsidR="00B24155">
        <w:rPr>
          <w:rStyle w:val="Heading3Char"/>
          <w:b/>
          <w:bCs w:val="0"/>
          <w:sz w:val="22"/>
          <w:szCs w:val="20"/>
        </w:rPr>
        <w:t>Compared to</w:t>
      </w:r>
      <w:r w:rsidR="00D07BEA">
        <w:rPr>
          <w:rStyle w:val="Heading3Char"/>
          <w:b/>
          <w:bCs w:val="0"/>
          <w:sz w:val="22"/>
          <w:szCs w:val="20"/>
        </w:rPr>
        <w:t xml:space="preserve"> </w:t>
      </w:r>
      <w:r w:rsidR="00457081">
        <w:rPr>
          <w:rStyle w:val="Heading3Char"/>
          <w:b/>
          <w:bCs w:val="0"/>
          <w:sz w:val="22"/>
          <w:szCs w:val="20"/>
        </w:rPr>
        <w:t xml:space="preserve">the </w:t>
      </w:r>
      <w:r w:rsidR="00D07BEA">
        <w:rPr>
          <w:rStyle w:val="Heading3Char"/>
          <w:b/>
          <w:bCs w:val="0"/>
          <w:sz w:val="22"/>
          <w:szCs w:val="20"/>
        </w:rPr>
        <w:t>Previous</w:t>
      </w:r>
      <w:r w:rsidRPr="00BA2BE6">
        <w:rPr>
          <w:rStyle w:val="Heading3Char"/>
          <w:b/>
          <w:bCs w:val="0"/>
          <w:sz w:val="22"/>
          <w:szCs w:val="20"/>
        </w:rPr>
        <w:t xml:space="preserve"> Highest Performing Year if Attainment Threshold in Past Performance Unmet</w:t>
      </w:r>
      <w:bookmarkEnd w:id="52"/>
    </w:p>
    <w:tbl>
      <w:tblPr>
        <w:tblStyle w:val="TableGrid"/>
        <w:tblW w:w="111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688"/>
        <w:gridCol w:w="739"/>
        <w:gridCol w:w="749"/>
        <w:gridCol w:w="1277"/>
        <w:gridCol w:w="1317"/>
        <w:gridCol w:w="1530"/>
        <w:gridCol w:w="1530"/>
        <w:gridCol w:w="1530"/>
      </w:tblGrid>
      <w:tr w:rsidR="001860D7" w:rsidRPr="008410A2" w14:paraId="7F4E0192" w14:textId="77777777" w:rsidTr="009D5EB3">
        <w:trPr>
          <w:trHeight w:val="1052"/>
        </w:trPr>
        <w:tc>
          <w:tcPr>
            <w:tcW w:w="1080" w:type="dxa"/>
            <w:shd w:val="clear" w:color="auto" w:fill="002060"/>
            <w:vAlign w:val="center"/>
          </w:tcPr>
          <w:p w14:paraId="5676D64E" w14:textId="77777777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720" w:type="dxa"/>
            <w:shd w:val="clear" w:color="auto" w:fill="002060"/>
            <w:vAlign w:val="center"/>
          </w:tcPr>
          <w:p w14:paraId="28084B06" w14:textId="39EC952C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PY1 Rate</w:t>
            </w:r>
            <w:r w:rsidR="13E19BF1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688" w:type="dxa"/>
            <w:shd w:val="clear" w:color="auto" w:fill="002060"/>
            <w:vAlign w:val="center"/>
          </w:tcPr>
          <w:p w14:paraId="6132F31A" w14:textId="1554A46D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PY2 Rate</w:t>
            </w:r>
            <w:r w:rsidR="7E94888E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739" w:type="dxa"/>
            <w:shd w:val="clear" w:color="auto" w:fill="002060"/>
            <w:vAlign w:val="center"/>
          </w:tcPr>
          <w:p w14:paraId="7AA5290C" w14:textId="77777777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PY3</w:t>
            </w:r>
          </w:p>
          <w:p w14:paraId="2D24B430" w14:textId="2CBACDA1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Rate</w:t>
            </w:r>
            <w:r w:rsidR="755DE2C4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749" w:type="dxa"/>
            <w:shd w:val="clear" w:color="auto" w:fill="002060"/>
            <w:vAlign w:val="center"/>
          </w:tcPr>
          <w:p w14:paraId="74214E9B" w14:textId="169FF422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PY4 Rate</w:t>
            </w:r>
            <w:r w:rsidR="3BB8B89C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277" w:type="dxa"/>
            <w:shd w:val="clear" w:color="auto" w:fill="002060"/>
            <w:vAlign w:val="center"/>
          </w:tcPr>
          <w:p w14:paraId="3CD180DA" w14:textId="322B5BB8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Attainment Threshold</w:t>
            </w:r>
            <w:r w:rsidR="04BC2947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317" w:type="dxa"/>
            <w:shd w:val="clear" w:color="auto" w:fill="002060"/>
            <w:vAlign w:val="center"/>
          </w:tcPr>
          <w:p w14:paraId="4C48FE71" w14:textId="548D4989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Goal Benchmark</w:t>
            </w:r>
            <w:r w:rsidR="6D0484D5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27560753" w14:textId="41C30663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2A63BF90" w14:textId="149F80AE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Target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4FB8CAEF" w14:textId="77777777" w:rsidR="00DF755D" w:rsidRPr="00786AA3" w:rsidRDefault="00DF755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Improvement Points</w:t>
            </w:r>
          </w:p>
        </w:tc>
      </w:tr>
      <w:tr w:rsidR="001860D7" w:rsidRPr="008410A2" w14:paraId="198C200E" w14:textId="77777777" w:rsidTr="009D5EB3">
        <w:trPr>
          <w:trHeight w:val="710"/>
        </w:trPr>
        <w:tc>
          <w:tcPr>
            <w:tcW w:w="1080" w:type="dxa"/>
            <w:vAlign w:val="center"/>
          </w:tcPr>
          <w:p w14:paraId="6E9F3A91" w14:textId="77777777" w:rsidR="00DF755D" w:rsidRPr="008410A2" w:rsidRDefault="00DF755D" w:rsidP="00CE3ED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720" w:type="dxa"/>
            <w:vAlign w:val="center"/>
          </w:tcPr>
          <w:p w14:paraId="6D96C8AE" w14:textId="4FDAF75E" w:rsidR="00DF755D" w:rsidRPr="008316E4" w:rsidRDefault="00C066D7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88" w:type="dxa"/>
            <w:vAlign w:val="center"/>
          </w:tcPr>
          <w:p w14:paraId="4C9DACBA" w14:textId="1E50A838" w:rsidR="00DF755D" w:rsidRPr="00187B65" w:rsidRDefault="0019226C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87B65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C066D7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9" w:type="dxa"/>
            <w:vAlign w:val="center"/>
          </w:tcPr>
          <w:p w14:paraId="57F83C9A" w14:textId="44FD4890" w:rsidR="00DF755D" w:rsidRPr="00187B65" w:rsidRDefault="00C066D7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749" w:type="dxa"/>
            <w:vAlign w:val="center"/>
          </w:tcPr>
          <w:p w14:paraId="6939C266" w14:textId="41178EAC" w:rsidR="00DF755D" w:rsidRPr="008316E4" w:rsidRDefault="0019226C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8316E4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277" w:type="dxa"/>
            <w:shd w:val="clear" w:color="auto" w:fill="DCDCDC" w:themeFill="text2" w:themeFillTint="33"/>
            <w:vAlign w:val="center"/>
          </w:tcPr>
          <w:p w14:paraId="67E3B6D1" w14:textId="77777777" w:rsidR="00DF755D" w:rsidRPr="00D64490" w:rsidRDefault="00DF755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317" w:type="dxa"/>
            <w:shd w:val="clear" w:color="auto" w:fill="DCDCDC" w:themeFill="text2" w:themeFillTint="33"/>
            <w:vAlign w:val="center"/>
          </w:tcPr>
          <w:p w14:paraId="25E9621E" w14:textId="77777777" w:rsidR="00DF755D" w:rsidRPr="00D64490" w:rsidRDefault="00DF755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530" w:type="dxa"/>
            <w:vAlign w:val="center"/>
          </w:tcPr>
          <w:p w14:paraId="0565EBD9" w14:textId="43D5A30A" w:rsidR="00DF755D" w:rsidRPr="00D64490" w:rsidRDefault="00C066D7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CDCDC" w:themeFill="text2" w:themeFillTint="33"/>
            <w:vAlign w:val="center"/>
          </w:tcPr>
          <w:p w14:paraId="32159A3B" w14:textId="167F9001" w:rsidR="00DF755D" w:rsidRPr="005406E5" w:rsidRDefault="00935F0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  <w:r w:rsidR="00DF755D" w:rsidRPr="005406E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14:paraId="5528CEA3" w14:textId="54128550" w:rsidR="00DF755D" w:rsidRPr="00D64490" w:rsidRDefault="00C066D7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1860D7" w:rsidRPr="008410A2" w14:paraId="0D51CC22" w14:textId="77777777" w:rsidTr="009D5EB3">
        <w:trPr>
          <w:trHeight w:val="701"/>
        </w:trPr>
        <w:tc>
          <w:tcPr>
            <w:tcW w:w="1080" w:type="dxa"/>
            <w:vAlign w:val="center"/>
          </w:tcPr>
          <w:p w14:paraId="2FB68597" w14:textId="77777777" w:rsidR="00DF755D" w:rsidRPr="00C745C3" w:rsidRDefault="00DF755D" w:rsidP="00CE3ED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745C3"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720" w:type="dxa"/>
            <w:vAlign w:val="center"/>
          </w:tcPr>
          <w:p w14:paraId="082FB6CB" w14:textId="659128E0" w:rsidR="00DF755D" w:rsidRPr="00187B65" w:rsidRDefault="00307600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88" w:type="dxa"/>
            <w:vAlign w:val="center"/>
          </w:tcPr>
          <w:p w14:paraId="2984416B" w14:textId="0CD9F8E9" w:rsidR="00DF755D" w:rsidRPr="008316E4" w:rsidRDefault="00307600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39" w:type="dxa"/>
            <w:vAlign w:val="center"/>
          </w:tcPr>
          <w:p w14:paraId="51CE7E23" w14:textId="212ECCD3" w:rsidR="00DF755D" w:rsidRPr="00187B65" w:rsidRDefault="00307600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49" w:type="dxa"/>
            <w:vAlign w:val="center"/>
          </w:tcPr>
          <w:p w14:paraId="79C9DD80" w14:textId="2EEE88DD" w:rsidR="00DF755D" w:rsidRPr="008316E4" w:rsidRDefault="00ED0C27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8316E4">
              <w:rPr>
                <w:color w:val="000000" w:themeColor="text1"/>
                <w:sz w:val="18"/>
                <w:szCs w:val="18"/>
              </w:rPr>
              <w:t>5</w:t>
            </w:r>
            <w:r w:rsidR="00796FBB" w:rsidRPr="008316E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DCDCDC" w:themeFill="text2" w:themeFillTint="33"/>
            <w:vAlign w:val="center"/>
          </w:tcPr>
          <w:p w14:paraId="50438111" w14:textId="77777777" w:rsidR="00DF755D" w:rsidRPr="00C745C3" w:rsidRDefault="00DF755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C745C3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17" w:type="dxa"/>
            <w:shd w:val="clear" w:color="auto" w:fill="DCDCDC" w:themeFill="text2" w:themeFillTint="33"/>
            <w:vAlign w:val="center"/>
          </w:tcPr>
          <w:p w14:paraId="48BB55E6" w14:textId="77777777" w:rsidR="00DF755D" w:rsidRPr="00C745C3" w:rsidRDefault="00DF755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C745C3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30" w:type="dxa"/>
            <w:vAlign w:val="center"/>
          </w:tcPr>
          <w:p w14:paraId="55DB2189" w14:textId="1B748DC0" w:rsidR="00DF755D" w:rsidRPr="00C745C3" w:rsidRDefault="00307600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DCDCDC" w:themeFill="text2" w:themeFillTint="33"/>
            <w:vAlign w:val="center"/>
          </w:tcPr>
          <w:p w14:paraId="52A25B76" w14:textId="616EC315" w:rsidR="00DF755D" w:rsidRPr="005406E5" w:rsidRDefault="00935F0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30" w:type="dxa"/>
            <w:vAlign w:val="center"/>
          </w:tcPr>
          <w:p w14:paraId="2200A1F4" w14:textId="3C748481" w:rsidR="00DF755D" w:rsidRPr="00C745C3" w:rsidRDefault="00307600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1860D7" w:rsidRPr="008410A2" w14:paraId="528B1427" w14:textId="77777777" w:rsidTr="009D5EB3">
        <w:trPr>
          <w:trHeight w:val="701"/>
        </w:trPr>
        <w:tc>
          <w:tcPr>
            <w:tcW w:w="1080" w:type="dxa"/>
            <w:vAlign w:val="center"/>
          </w:tcPr>
          <w:p w14:paraId="1610FA90" w14:textId="77777777" w:rsidR="00DF755D" w:rsidRPr="008410A2" w:rsidRDefault="00DF755D" w:rsidP="00CE3ED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720" w:type="dxa"/>
            <w:vAlign w:val="center"/>
          </w:tcPr>
          <w:p w14:paraId="2469215C" w14:textId="1CD2ABD8" w:rsidR="00DF755D" w:rsidRPr="008316E4" w:rsidRDefault="005E64BB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8316E4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688" w:type="dxa"/>
            <w:vAlign w:val="center"/>
          </w:tcPr>
          <w:p w14:paraId="70317EFD" w14:textId="37932E6E" w:rsidR="00DF755D" w:rsidRPr="00187B65" w:rsidRDefault="00BF46CE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739" w:type="dxa"/>
            <w:vAlign w:val="center"/>
          </w:tcPr>
          <w:p w14:paraId="35E1B56F" w14:textId="1916D41A" w:rsidR="00DF755D" w:rsidRPr="00187B65" w:rsidRDefault="00B562A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187B65">
              <w:rPr>
                <w:color w:val="000000" w:themeColor="text1"/>
                <w:sz w:val="18"/>
                <w:szCs w:val="18"/>
              </w:rPr>
              <w:t>5</w:t>
            </w:r>
            <w:r w:rsidR="00796FBB" w:rsidRPr="00187B65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49" w:type="dxa"/>
            <w:vAlign w:val="center"/>
          </w:tcPr>
          <w:p w14:paraId="2EFA312D" w14:textId="24691312" w:rsidR="00DF755D" w:rsidRPr="008316E4" w:rsidRDefault="005E64BB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8316E4">
              <w:rPr>
                <w:color w:val="000000" w:themeColor="text1"/>
                <w:sz w:val="18"/>
                <w:szCs w:val="18"/>
              </w:rPr>
              <w:t>4</w:t>
            </w:r>
            <w:r w:rsidR="00BF46C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7" w:type="dxa"/>
            <w:shd w:val="clear" w:color="auto" w:fill="DCDCDC" w:themeFill="text2" w:themeFillTint="33"/>
            <w:vAlign w:val="center"/>
          </w:tcPr>
          <w:p w14:paraId="4F3D5A9F" w14:textId="77777777" w:rsidR="00DF755D" w:rsidRPr="00D64490" w:rsidRDefault="00DF755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17" w:type="dxa"/>
            <w:shd w:val="clear" w:color="auto" w:fill="DCDCDC" w:themeFill="text2" w:themeFillTint="33"/>
            <w:vAlign w:val="center"/>
          </w:tcPr>
          <w:p w14:paraId="7FCA6657" w14:textId="77777777" w:rsidR="00DF755D" w:rsidRPr="00D64490" w:rsidRDefault="00DF755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64490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30" w:type="dxa"/>
            <w:vAlign w:val="center"/>
          </w:tcPr>
          <w:p w14:paraId="12C51CFB" w14:textId="6E0D5C99" w:rsidR="00DF755D" w:rsidRPr="00D64490" w:rsidRDefault="00BF46CE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CDCDC" w:themeFill="text2" w:themeFillTint="33"/>
            <w:vAlign w:val="center"/>
          </w:tcPr>
          <w:p w14:paraId="2EF588F3" w14:textId="11A6493A" w:rsidR="00DF755D" w:rsidRPr="005406E5" w:rsidRDefault="00935F0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0" w:type="dxa"/>
            <w:vAlign w:val="center"/>
          </w:tcPr>
          <w:p w14:paraId="65CF08A2" w14:textId="14E89B80" w:rsidR="00DF755D" w:rsidRPr="00D64490" w:rsidRDefault="00BF46CE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060DB21E" w14:textId="77777777" w:rsidR="00DF755D" w:rsidRDefault="00DF755D" w:rsidP="00E023E4">
      <w:pPr>
        <w:pStyle w:val="ListParagraph"/>
        <w:ind w:left="0"/>
        <w:rPr>
          <w:b/>
          <w:bCs/>
          <w:color w:val="000000" w:themeColor="text1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37"/>
        <w:tblW w:w="11155" w:type="dxa"/>
        <w:tblLook w:val="04A0" w:firstRow="1" w:lastRow="0" w:firstColumn="1" w:lastColumn="0" w:noHBand="0" w:noVBand="1"/>
      </w:tblPr>
      <w:tblGrid>
        <w:gridCol w:w="1435"/>
        <w:gridCol w:w="2970"/>
        <w:gridCol w:w="2610"/>
        <w:gridCol w:w="1710"/>
        <w:gridCol w:w="2430"/>
      </w:tblGrid>
      <w:tr w:rsidR="00776691" w:rsidRPr="00504672" w14:paraId="43F3F018" w14:textId="77777777" w:rsidTr="009D5EB3">
        <w:trPr>
          <w:trHeight w:val="890"/>
        </w:trPr>
        <w:tc>
          <w:tcPr>
            <w:tcW w:w="1435" w:type="dxa"/>
            <w:shd w:val="clear" w:color="auto" w:fill="002060"/>
            <w:vAlign w:val="center"/>
          </w:tcPr>
          <w:p w14:paraId="7A3D8C0E" w14:textId="77777777" w:rsidR="00776691" w:rsidRPr="00786AA3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Measure</w:t>
            </w:r>
          </w:p>
        </w:tc>
        <w:tc>
          <w:tcPr>
            <w:tcW w:w="2970" w:type="dxa"/>
            <w:shd w:val="clear" w:color="auto" w:fill="002060"/>
            <w:vAlign w:val="center"/>
          </w:tcPr>
          <w:p w14:paraId="2633016E" w14:textId="77777777" w:rsidR="00776691" w:rsidRPr="00786AA3" w:rsidRDefault="00776691">
            <w:pPr>
              <w:contextualSpacing/>
              <w:jc w:val="center"/>
              <w:rPr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Points</w:t>
            </w:r>
          </w:p>
        </w:tc>
        <w:tc>
          <w:tcPr>
            <w:tcW w:w="2610" w:type="dxa"/>
            <w:shd w:val="clear" w:color="auto" w:fill="002060"/>
            <w:vAlign w:val="center"/>
          </w:tcPr>
          <w:p w14:paraId="0DCA94AF" w14:textId="77777777" w:rsidR="00776691" w:rsidRPr="00786AA3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+ Improvement Points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2FB6A823" w14:textId="77777777" w:rsidR="00776691" w:rsidRPr="00786AA3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Individual Quality Score</w:t>
            </w:r>
          </w:p>
        </w:tc>
        <w:tc>
          <w:tcPr>
            <w:tcW w:w="2430" w:type="dxa"/>
            <w:shd w:val="clear" w:color="auto" w:fill="002060"/>
            <w:vAlign w:val="center"/>
          </w:tcPr>
          <w:p w14:paraId="0D5D00CA" w14:textId="1F8A493C" w:rsidR="00776691" w:rsidRPr="00786AA3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Weighted Quality Score</w:t>
            </w:r>
          </w:p>
        </w:tc>
      </w:tr>
      <w:tr w:rsidR="00776691" w:rsidRPr="00504672" w14:paraId="0BD19A62" w14:textId="77777777" w:rsidTr="009D5EB3">
        <w:trPr>
          <w:trHeight w:val="654"/>
        </w:trPr>
        <w:tc>
          <w:tcPr>
            <w:tcW w:w="1435" w:type="dxa"/>
            <w:vAlign w:val="center"/>
          </w:tcPr>
          <w:p w14:paraId="004E90BB" w14:textId="77777777" w:rsidR="00776691" w:rsidRPr="00504672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CCQI-1</w:t>
            </w:r>
          </w:p>
        </w:tc>
        <w:tc>
          <w:tcPr>
            <w:tcW w:w="2970" w:type="dxa"/>
            <w:vAlign w:val="center"/>
          </w:tcPr>
          <w:p w14:paraId="6112F866" w14:textId="0D4C05F2" w:rsidR="00776691" w:rsidRPr="007547E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A7032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(44 – 43)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0.63 pts</w:t>
            </w:r>
          </w:p>
          <w:p w14:paraId="2FD0502D" w14:textId="719D986A" w:rsidR="00776691" w:rsidRPr="008F2E79" w:rsidRDefault="2D047C64">
            <w:pPr>
              <w:contextualSpacing/>
              <w:rPr>
                <w:sz w:val="18"/>
                <w:szCs w:val="18"/>
              </w:rPr>
            </w:pPr>
            <w:r w:rsidRPr="3F6DBB60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</w:t>
            </w:r>
            <w:r w:rsidR="006B01F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3F6DBB60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(59 – 43)</w:t>
            </w:r>
          </w:p>
        </w:tc>
        <w:tc>
          <w:tcPr>
            <w:tcW w:w="2610" w:type="dxa"/>
            <w:vAlign w:val="center"/>
          </w:tcPr>
          <w:p w14:paraId="65A09E85" w14:textId="7AE49C7F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0.63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</w:t>
            </w:r>
            <w:r w:rsidR="0061339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 w:rsidR="008D368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.63 pts</w:t>
            </w:r>
          </w:p>
        </w:tc>
        <w:tc>
          <w:tcPr>
            <w:tcW w:w="1710" w:type="dxa"/>
            <w:vAlign w:val="center"/>
          </w:tcPr>
          <w:p w14:paraId="5DEE3BCA" w14:textId="1D919E22" w:rsidR="00776691" w:rsidRPr="008F2E79" w:rsidRDefault="004B2AB7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.63 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= </w:t>
            </w:r>
            <w:r w:rsidR="00C4564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56</w:t>
            </w:r>
          </w:p>
        </w:tc>
        <w:tc>
          <w:tcPr>
            <w:tcW w:w="2430" w:type="dxa"/>
            <w:vAlign w:val="center"/>
          </w:tcPr>
          <w:p w14:paraId="1778AEAB" w14:textId="75B4D558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</w:t>
            </w:r>
            <w:r w:rsidR="00905A4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6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A7032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 </w:t>
            </w:r>
            <w:r w:rsidR="006665E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18.</w:t>
            </w:r>
            <w:r w:rsidR="00F01F9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75</w:t>
            </w:r>
          </w:p>
        </w:tc>
      </w:tr>
      <w:tr w:rsidR="00776691" w:rsidRPr="00504672" w14:paraId="6E9E7B42" w14:textId="77777777" w:rsidTr="009D5EB3">
        <w:trPr>
          <w:trHeight w:val="618"/>
        </w:trPr>
        <w:tc>
          <w:tcPr>
            <w:tcW w:w="1435" w:type="dxa"/>
            <w:vAlign w:val="center"/>
          </w:tcPr>
          <w:p w14:paraId="031C674A" w14:textId="77777777" w:rsidR="00776691" w:rsidRPr="00504672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CCQI-2</w:t>
            </w:r>
          </w:p>
        </w:tc>
        <w:tc>
          <w:tcPr>
            <w:tcW w:w="2970" w:type="dxa"/>
            <w:vAlign w:val="center"/>
          </w:tcPr>
          <w:p w14:paraId="73B33282" w14:textId="0EB955EE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A7032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52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50)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0.40 pts</w:t>
            </w:r>
          </w:p>
          <w:p w14:paraId="3CA5A103" w14:textId="6F0017CA" w:rsidR="00776691" w:rsidRPr="004F0EF2" w:rsidRDefault="00776691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6B01F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(100 – 50) </w:t>
            </w:r>
          </w:p>
        </w:tc>
        <w:tc>
          <w:tcPr>
            <w:tcW w:w="2610" w:type="dxa"/>
            <w:vAlign w:val="center"/>
          </w:tcPr>
          <w:p w14:paraId="391EBD57" w14:textId="059F1968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0.40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+ </w:t>
            </w:r>
            <w:r w:rsidR="0061339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 w:rsidR="008D368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.40</w:t>
            </w:r>
            <w:r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</w:p>
        </w:tc>
        <w:tc>
          <w:tcPr>
            <w:tcW w:w="1710" w:type="dxa"/>
            <w:vAlign w:val="center"/>
          </w:tcPr>
          <w:p w14:paraId="6B5296DB" w14:textId="52AD3995" w:rsidR="00776691" w:rsidRPr="008F2E79" w:rsidRDefault="004B2AB7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.40 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/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776691" w:rsidRPr="008F2E7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690F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2430" w:type="dxa"/>
            <w:vAlign w:val="center"/>
          </w:tcPr>
          <w:p w14:paraId="5A72511C" w14:textId="4ACC484D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</w:t>
            </w:r>
            <w:r w:rsidR="00905A4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690F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4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A7032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 </w:t>
            </w:r>
            <w:r w:rsidR="00C5495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18.00</w:t>
            </w:r>
          </w:p>
        </w:tc>
      </w:tr>
      <w:tr w:rsidR="00776691" w:rsidRPr="00504672" w14:paraId="2336EBC1" w14:textId="77777777" w:rsidTr="009D5EB3">
        <w:trPr>
          <w:trHeight w:val="599"/>
        </w:trPr>
        <w:tc>
          <w:tcPr>
            <w:tcW w:w="1435" w:type="dxa"/>
            <w:vAlign w:val="center"/>
          </w:tcPr>
          <w:p w14:paraId="50EB75E2" w14:textId="77777777" w:rsidR="00776691" w:rsidRPr="00504672" w:rsidRDefault="0077669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CCQI-3</w:t>
            </w:r>
          </w:p>
        </w:tc>
        <w:tc>
          <w:tcPr>
            <w:tcW w:w="2970" w:type="dxa"/>
            <w:vAlign w:val="center"/>
          </w:tcPr>
          <w:p w14:paraId="74162FF2" w14:textId="79D4F7D6" w:rsidR="00776691" w:rsidRPr="00D73CE3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A7032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D73CE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(4</w:t>
            </w:r>
            <w:r w:rsidR="00BF46CE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7</w:t>
            </w:r>
            <w:r w:rsidR="005A629B" w:rsidRPr="00CE3ED6">
              <w:rPr>
                <w:rStyle w:val="IntenseEmphasis"/>
                <w:i w:val="0"/>
                <w:iCs w:val="0"/>
                <w:color w:val="auto"/>
                <w:sz w:val="16"/>
                <w:szCs w:val="16"/>
                <w:u w:val="single"/>
              </w:rPr>
              <w:t xml:space="preserve"> </w:t>
            </w:r>
            <w:r w:rsidR="005A629B" w:rsidRPr="00CE3ED6">
              <w:rPr>
                <w:rStyle w:val="IntenseEmphasis"/>
                <w:i w:val="0"/>
                <w:iCs w:val="0"/>
                <w:color w:val="auto"/>
                <w:sz w:val="20"/>
                <w:szCs w:val="20"/>
                <w:u w:val="single"/>
              </w:rPr>
              <w:t>–</w:t>
            </w:r>
            <w:r w:rsidR="005A629B">
              <w:rPr>
                <w:rStyle w:val="IntenseEmphasis"/>
                <w:color w:val="auto"/>
                <w:u w:val="single"/>
              </w:rPr>
              <w:t xml:space="preserve"> </w:t>
            </w:r>
            <w:r w:rsidRPr="00D73CE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0</w:t>
            </w:r>
            <w:r w:rsidRPr="00D73CE3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154F4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1.5</w:t>
            </w:r>
            <w:r w:rsidR="00FE3EB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154F4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pt</w:t>
            </w:r>
            <w:r w:rsidR="00154F47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s</w:t>
            </w:r>
          </w:p>
          <w:p w14:paraId="123A56BF" w14:textId="45ED1A69" w:rsidR="00776691" w:rsidRPr="008F2E79" w:rsidRDefault="00776691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</w:t>
            </w:r>
            <w:r w:rsidR="006B01F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(30</w:t>
            </w:r>
            <w:r w:rsidR="005A629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50)</w:t>
            </w:r>
          </w:p>
        </w:tc>
        <w:tc>
          <w:tcPr>
            <w:tcW w:w="2610" w:type="dxa"/>
            <w:vAlign w:val="center"/>
          </w:tcPr>
          <w:p w14:paraId="631E8C5D" w14:textId="73DE4963" w:rsidR="00776691" w:rsidRPr="008F2E79" w:rsidRDefault="00613394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1.5</w:t>
            </w:r>
            <w:r w:rsidR="0010563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s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 = </w:t>
            </w:r>
            <w:r w:rsidR="008D368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6.5</w:t>
            </w:r>
            <w:r w:rsidR="0010563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</w:t>
            </w:r>
            <w:r w:rsidR="008D368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s</w:t>
            </w:r>
          </w:p>
        </w:tc>
        <w:tc>
          <w:tcPr>
            <w:tcW w:w="1710" w:type="dxa"/>
            <w:vAlign w:val="center"/>
          </w:tcPr>
          <w:p w14:paraId="25FBC7B8" w14:textId="40D62F38" w:rsidR="00776691" w:rsidRPr="008F2E79" w:rsidRDefault="004B2AB7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6.5</w:t>
            </w:r>
            <w:r w:rsidR="0010563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/ 10 = 0.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65</w:t>
            </w:r>
          </w:p>
        </w:tc>
        <w:tc>
          <w:tcPr>
            <w:tcW w:w="2430" w:type="dxa"/>
            <w:vAlign w:val="center"/>
          </w:tcPr>
          <w:p w14:paraId="4729A1F4" w14:textId="53FECAFA" w:rsidR="00776691" w:rsidRPr="008F2E79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0.</w:t>
            </w:r>
            <w:r w:rsidR="00905A4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65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A7032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33.33% = </w:t>
            </w:r>
            <w:r w:rsidR="00F334D2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21.67</w:t>
            </w:r>
          </w:p>
        </w:tc>
      </w:tr>
      <w:tr w:rsidR="00776691" w:rsidRPr="00504672" w14:paraId="3576B490" w14:textId="77777777" w:rsidTr="009D5EB3">
        <w:trPr>
          <w:trHeight w:val="417"/>
        </w:trPr>
        <w:tc>
          <w:tcPr>
            <w:tcW w:w="7015" w:type="dxa"/>
            <w:gridSpan w:val="3"/>
            <w:vAlign w:val="center"/>
          </w:tcPr>
          <w:p w14:paraId="0CFF03FD" w14:textId="77777777" w:rsidR="00776691" w:rsidRPr="0028521D" w:rsidRDefault="00776691">
            <w:pPr>
              <w:contextualSpacing/>
              <w:jc w:val="right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28521D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Bonus Points Earned</w:t>
            </w:r>
          </w:p>
        </w:tc>
        <w:tc>
          <w:tcPr>
            <w:tcW w:w="4140" w:type="dxa"/>
            <w:gridSpan w:val="2"/>
            <w:vAlign w:val="center"/>
          </w:tcPr>
          <w:p w14:paraId="2E48AF38" w14:textId="77777777" w:rsidR="00776691" w:rsidRPr="0018232B" w:rsidRDefault="0077669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 pts</w:t>
            </w:r>
          </w:p>
        </w:tc>
      </w:tr>
      <w:tr w:rsidR="00776691" w:rsidRPr="00504672" w14:paraId="66C95C0F" w14:textId="77777777" w:rsidTr="009D5EB3">
        <w:trPr>
          <w:trHeight w:val="426"/>
        </w:trPr>
        <w:tc>
          <w:tcPr>
            <w:tcW w:w="7015" w:type="dxa"/>
            <w:gridSpan w:val="3"/>
            <w:vAlign w:val="center"/>
          </w:tcPr>
          <w:p w14:paraId="25F9BB27" w14:textId="16DD33A8" w:rsidR="00776691" w:rsidRPr="00F26B51" w:rsidRDefault="00776691">
            <w:pPr>
              <w:contextualSpacing/>
              <w:jc w:val="right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F26B5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Overall Quality Score</w:t>
            </w:r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</w:tcPr>
          <w:p w14:paraId="788D7B8A" w14:textId="09D64EA6" w:rsidR="00776691" w:rsidRPr="00CD238D" w:rsidRDefault="002C6F44">
            <w:pPr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18</w:t>
            </w:r>
            <w:r w:rsidR="002C3D65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6B01F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75</w:t>
            </w:r>
            <w:r w:rsidR="00776691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 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8</w:t>
            </w:r>
            <w:r w:rsidR="0055728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00</w:t>
            </w:r>
            <w:r w:rsidR="00776691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+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21</w:t>
            </w:r>
            <w:r w:rsidR="0077669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.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67</w:t>
            </w:r>
            <w:r w:rsidR="00776691" w:rsidRPr="0018232B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067F32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+ 0 </w:t>
            </w:r>
            <w:r w:rsidR="00776691" w:rsidRPr="005F197E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=</w:t>
            </w:r>
            <w:r w:rsidR="00776691" w:rsidRPr="0018232B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A90D24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58</w:t>
            </w:r>
            <w:r w:rsidR="00776691" w:rsidRPr="0018232B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.</w:t>
            </w:r>
            <w:r w:rsidR="00773399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42</w:t>
            </w:r>
          </w:p>
        </w:tc>
      </w:tr>
    </w:tbl>
    <w:p w14:paraId="6C8B2BFA" w14:textId="77777777" w:rsidR="00776691" w:rsidRDefault="00776691" w:rsidP="00E023E4">
      <w:pPr>
        <w:pStyle w:val="ListParagraph"/>
        <w:ind w:left="0"/>
        <w:rPr>
          <w:b/>
          <w:bCs/>
          <w:color w:val="000000" w:themeColor="text1"/>
          <w:u w:val="single"/>
        </w:rPr>
      </w:pPr>
    </w:p>
    <w:p w14:paraId="053CB0A6" w14:textId="7E16311D" w:rsidR="00776691" w:rsidRDefault="00776691" w:rsidP="00E023E4">
      <w:pPr>
        <w:pStyle w:val="ListParagraph"/>
        <w:ind w:left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br w:type="page"/>
      </w:r>
    </w:p>
    <w:p w14:paraId="0E3408E7" w14:textId="46584C2C" w:rsidR="000365AB" w:rsidRPr="000365AB" w:rsidRDefault="005A7E71" w:rsidP="000365AB">
      <w:pPr>
        <w:pStyle w:val="Heading2"/>
        <w:numPr>
          <w:ilvl w:val="0"/>
          <w:numId w:val="4"/>
        </w:numPr>
      </w:pPr>
      <w:bookmarkStart w:id="53" w:name="_Toc212807361"/>
      <w:r>
        <w:lastRenderedPageBreak/>
        <w:t>CCQI-2 Observed</w:t>
      </w:r>
      <w:r w:rsidR="00AE22EF">
        <w:t>-</w:t>
      </w:r>
      <w:r>
        <w:t>Over</w:t>
      </w:r>
      <w:r w:rsidR="00AE22EF">
        <w:t>-</w:t>
      </w:r>
      <w:r>
        <w:t>Expected Ratio Examples</w:t>
      </w:r>
      <w:bookmarkEnd w:id="53"/>
      <w:r>
        <w:t xml:space="preserve"> </w:t>
      </w:r>
    </w:p>
    <w:tbl>
      <w:tblPr>
        <w:tblStyle w:val="TableGrid"/>
        <w:tblW w:w="11065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9180"/>
      </w:tblGrid>
      <w:tr w:rsidR="00A14D3E" w:rsidRPr="008410A2" w14:paraId="6BA122F4" w14:textId="77777777" w:rsidTr="00CE3ED6">
        <w:trPr>
          <w:trHeight w:val="528"/>
          <w:jc w:val="center"/>
        </w:trPr>
        <w:tc>
          <w:tcPr>
            <w:tcW w:w="1885" w:type="dxa"/>
            <w:shd w:val="clear" w:color="auto" w:fill="002060"/>
            <w:vAlign w:val="center"/>
          </w:tcPr>
          <w:p w14:paraId="63D3D473" w14:textId="3D3A212E" w:rsidR="00A14D3E" w:rsidRPr="00786AA3" w:rsidRDefault="003708FB" w:rsidP="0019718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CCQI-2 Terms</w:t>
            </w:r>
          </w:p>
        </w:tc>
        <w:tc>
          <w:tcPr>
            <w:tcW w:w="9180" w:type="dxa"/>
            <w:shd w:val="clear" w:color="auto" w:fill="002060"/>
            <w:vAlign w:val="center"/>
          </w:tcPr>
          <w:p w14:paraId="508A21B5" w14:textId="1A222DF3" w:rsidR="00A14D3E" w:rsidRPr="00786AA3" w:rsidRDefault="003708FB" w:rsidP="0019718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Definition</w:t>
            </w:r>
          </w:p>
        </w:tc>
      </w:tr>
      <w:tr w:rsidR="00A14D3E" w:rsidRPr="008410A2" w14:paraId="368465D3" w14:textId="77777777" w:rsidTr="00CE3ED6">
        <w:trPr>
          <w:trHeight w:val="845"/>
          <w:jc w:val="center"/>
        </w:trPr>
        <w:tc>
          <w:tcPr>
            <w:tcW w:w="1885" w:type="dxa"/>
            <w:vAlign w:val="center"/>
          </w:tcPr>
          <w:p w14:paraId="1FC6EA2C" w14:textId="04655789" w:rsidR="00A14D3E" w:rsidRPr="008C41A5" w:rsidRDefault="00A14D3E" w:rsidP="00C21E09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C41A5">
              <w:rPr>
                <w:b/>
                <w:bCs/>
                <w:color w:val="000000" w:themeColor="text1"/>
                <w:sz w:val="20"/>
                <w:szCs w:val="20"/>
              </w:rPr>
              <w:t>Observed (Num)</w:t>
            </w:r>
          </w:p>
        </w:tc>
        <w:tc>
          <w:tcPr>
            <w:tcW w:w="9180" w:type="dxa"/>
            <w:vAlign w:val="center"/>
          </w:tcPr>
          <w:p w14:paraId="2D125375" w14:textId="4C81DA82" w:rsidR="00A14D3E" w:rsidRPr="00CE3ED6" w:rsidRDefault="00A14D3E" w:rsidP="00071305">
            <w:pPr>
              <w:pStyle w:val="ListParagraph"/>
              <w:tabs>
                <w:tab w:val="left" w:pos="1216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CE3ED6">
              <w:rPr>
                <w:color w:val="000000" w:themeColor="text1"/>
                <w:sz w:val="20"/>
                <w:szCs w:val="20"/>
              </w:rPr>
              <w:t xml:space="preserve">Total Number of MassHealth Members that completed a CBHC Follow-up Visit </w:t>
            </w:r>
            <w:r w:rsidR="008E4398" w:rsidRPr="00CE3ED6">
              <w:rPr>
                <w:color w:val="000000" w:themeColor="text1"/>
                <w:sz w:val="20"/>
                <w:szCs w:val="20"/>
              </w:rPr>
              <w:t xml:space="preserve">(Core Bundle/MCI/CCS) </w:t>
            </w:r>
            <w:r w:rsidRPr="00CE3ED6">
              <w:rPr>
                <w:color w:val="000000" w:themeColor="text1"/>
                <w:sz w:val="20"/>
                <w:szCs w:val="20"/>
              </w:rPr>
              <w:t>within 7 Days of Discharge from a Qualifying</w:t>
            </w:r>
            <w:r w:rsidR="00B20B7B" w:rsidRPr="00CE3ED6">
              <w:rPr>
                <w:color w:val="000000" w:themeColor="text1"/>
                <w:sz w:val="20"/>
                <w:szCs w:val="20"/>
              </w:rPr>
              <w:t xml:space="preserve"> Hospital</w:t>
            </w:r>
            <w:r w:rsidRPr="00CE3ED6">
              <w:rPr>
                <w:color w:val="000000" w:themeColor="text1"/>
                <w:sz w:val="20"/>
                <w:szCs w:val="20"/>
              </w:rPr>
              <w:t xml:space="preserve"> Encounter </w:t>
            </w:r>
            <w:r w:rsidRPr="00CE3ED6">
              <w:rPr>
                <w:color w:val="000000" w:themeColor="text1"/>
                <w:sz w:val="20"/>
                <w:szCs w:val="20"/>
                <w:u w:val="single"/>
              </w:rPr>
              <w:t>per CBHC</w:t>
            </w:r>
          </w:p>
        </w:tc>
      </w:tr>
      <w:tr w:rsidR="00A14D3E" w:rsidRPr="008410A2" w14:paraId="43B40461" w14:textId="77777777" w:rsidTr="00CE3ED6">
        <w:trPr>
          <w:trHeight w:val="800"/>
          <w:jc w:val="center"/>
        </w:trPr>
        <w:tc>
          <w:tcPr>
            <w:tcW w:w="1885" w:type="dxa"/>
            <w:vAlign w:val="center"/>
          </w:tcPr>
          <w:p w14:paraId="10432BAB" w14:textId="403B697B" w:rsidR="00A14D3E" w:rsidRPr="008C41A5" w:rsidRDefault="00A14D3E" w:rsidP="00C21E09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C41A5">
              <w:rPr>
                <w:b/>
                <w:bCs/>
                <w:color w:val="000000" w:themeColor="text1"/>
                <w:sz w:val="20"/>
                <w:szCs w:val="20"/>
              </w:rPr>
              <w:t>Observed (Den)</w:t>
            </w:r>
          </w:p>
        </w:tc>
        <w:tc>
          <w:tcPr>
            <w:tcW w:w="9180" w:type="dxa"/>
            <w:vAlign w:val="center"/>
          </w:tcPr>
          <w:p w14:paraId="7BEEF4B1" w14:textId="508E8A12" w:rsidR="00A14D3E" w:rsidRPr="00CE3ED6" w:rsidRDefault="00A14D3E" w:rsidP="00071305">
            <w:pPr>
              <w:pStyle w:val="ListParagraph"/>
              <w:tabs>
                <w:tab w:val="left" w:pos="1216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CE3ED6">
              <w:rPr>
                <w:color w:val="000000" w:themeColor="text1"/>
                <w:sz w:val="20"/>
                <w:szCs w:val="20"/>
              </w:rPr>
              <w:t xml:space="preserve">Total Number of MassHealth Members that completed a CBHC Follow-up Visit </w:t>
            </w:r>
            <w:r w:rsidR="008E4398" w:rsidRPr="00CE3ED6">
              <w:rPr>
                <w:color w:val="000000" w:themeColor="text1"/>
                <w:sz w:val="20"/>
                <w:szCs w:val="20"/>
              </w:rPr>
              <w:t xml:space="preserve">(Core Bundle/MCI/CCS) </w:t>
            </w:r>
            <w:r w:rsidRPr="00CE3ED6">
              <w:rPr>
                <w:color w:val="000000" w:themeColor="text1"/>
                <w:sz w:val="20"/>
                <w:szCs w:val="20"/>
              </w:rPr>
              <w:t>within 7 Days of Discharge from a Qualifying</w:t>
            </w:r>
            <w:r w:rsidR="00B20B7B" w:rsidRPr="00CE3ED6">
              <w:rPr>
                <w:color w:val="000000" w:themeColor="text1"/>
                <w:sz w:val="20"/>
                <w:szCs w:val="20"/>
              </w:rPr>
              <w:t xml:space="preserve"> Hospital</w:t>
            </w:r>
            <w:r w:rsidRPr="00CE3ED6">
              <w:rPr>
                <w:color w:val="000000" w:themeColor="text1"/>
                <w:sz w:val="20"/>
                <w:szCs w:val="20"/>
              </w:rPr>
              <w:t xml:space="preserve"> Encounter </w:t>
            </w:r>
            <w:r w:rsidRPr="00CE3ED6">
              <w:rPr>
                <w:color w:val="000000" w:themeColor="text1"/>
                <w:sz w:val="20"/>
                <w:szCs w:val="20"/>
                <w:u w:val="single"/>
              </w:rPr>
              <w:t>across all CBHCs</w:t>
            </w:r>
          </w:p>
        </w:tc>
      </w:tr>
      <w:tr w:rsidR="00A14D3E" w:rsidRPr="008410A2" w14:paraId="2EA45FDA" w14:textId="77777777" w:rsidTr="00CE3ED6">
        <w:trPr>
          <w:trHeight w:val="800"/>
          <w:jc w:val="center"/>
        </w:trPr>
        <w:tc>
          <w:tcPr>
            <w:tcW w:w="1885" w:type="dxa"/>
            <w:vAlign w:val="center"/>
          </w:tcPr>
          <w:p w14:paraId="6C18CB63" w14:textId="19474896" w:rsidR="00A14D3E" w:rsidRPr="008C41A5" w:rsidRDefault="00A14D3E" w:rsidP="00C21E09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C41A5">
              <w:rPr>
                <w:b/>
                <w:bCs/>
                <w:color w:val="000000" w:themeColor="text1"/>
                <w:sz w:val="20"/>
                <w:szCs w:val="20"/>
              </w:rPr>
              <w:t>Expected (Num)</w:t>
            </w:r>
          </w:p>
        </w:tc>
        <w:tc>
          <w:tcPr>
            <w:tcW w:w="9180" w:type="dxa"/>
            <w:vAlign w:val="center"/>
          </w:tcPr>
          <w:p w14:paraId="0E3F801E" w14:textId="77E2F957" w:rsidR="00A14D3E" w:rsidRPr="00CE3ED6" w:rsidRDefault="00A14D3E" w:rsidP="00071305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CE3ED6">
              <w:rPr>
                <w:color w:val="000000" w:themeColor="text1"/>
                <w:sz w:val="20"/>
                <w:szCs w:val="20"/>
              </w:rPr>
              <w:t xml:space="preserve">Total Number of MassHealth Members </w:t>
            </w:r>
            <w:r w:rsidR="00CF5A21" w:rsidRPr="00CE3ED6">
              <w:rPr>
                <w:color w:val="000000" w:themeColor="text1"/>
                <w:sz w:val="20"/>
                <w:szCs w:val="20"/>
              </w:rPr>
              <w:t xml:space="preserve">who utilized CBHC services </w:t>
            </w:r>
            <w:r w:rsidR="00B20B7B" w:rsidRPr="00CE3ED6">
              <w:rPr>
                <w:color w:val="000000" w:themeColor="text1"/>
                <w:sz w:val="20"/>
                <w:szCs w:val="20"/>
              </w:rPr>
              <w:t xml:space="preserve">(Core Bundle/MCI/CCS) </w:t>
            </w:r>
            <w:r w:rsidR="00CF5A21" w:rsidRPr="00CE3ED6">
              <w:rPr>
                <w:color w:val="000000" w:themeColor="text1"/>
                <w:sz w:val="20"/>
                <w:szCs w:val="20"/>
              </w:rPr>
              <w:t xml:space="preserve">within the Performance Year </w:t>
            </w:r>
            <w:r w:rsidR="00CF5A21" w:rsidRPr="00CE3ED6">
              <w:rPr>
                <w:color w:val="000000" w:themeColor="text1"/>
                <w:sz w:val="20"/>
                <w:szCs w:val="20"/>
                <w:u w:val="single"/>
              </w:rPr>
              <w:t>per CBHC</w:t>
            </w:r>
          </w:p>
        </w:tc>
      </w:tr>
      <w:tr w:rsidR="00A14D3E" w:rsidRPr="008410A2" w14:paraId="3D9D7F00" w14:textId="77777777" w:rsidTr="00CE3ED6">
        <w:trPr>
          <w:trHeight w:val="800"/>
          <w:jc w:val="center"/>
        </w:trPr>
        <w:tc>
          <w:tcPr>
            <w:tcW w:w="1885" w:type="dxa"/>
            <w:vAlign w:val="center"/>
          </w:tcPr>
          <w:p w14:paraId="40365A20" w14:textId="5E8072F1" w:rsidR="00A14D3E" w:rsidRPr="008C41A5" w:rsidRDefault="00A14D3E" w:rsidP="00C21E09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C41A5">
              <w:rPr>
                <w:b/>
                <w:bCs/>
                <w:color w:val="000000" w:themeColor="text1"/>
                <w:sz w:val="20"/>
                <w:szCs w:val="20"/>
              </w:rPr>
              <w:t>Expected (Den)</w:t>
            </w:r>
          </w:p>
        </w:tc>
        <w:tc>
          <w:tcPr>
            <w:tcW w:w="9180" w:type="dxa"/>
            <w:vAlign w:val="center"/>
          </w:tcPr>
          <w:p w14:paraId="002C469C" w14:textId="4EFBA267" w:rsidR="00A14D3E" w:rsidRPr="00CE3ED6" w:rsidRDefault="00CF5A21" w:rsidP="00071305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  <w:r w:rsidRPr="00CE3ED6">
              <w:rPr>
                <w:color w:val="000000" w:themeColor="text1"/>
                <w:sz w:val="20"/>
                <w:szCs w:val="20"/>
              </w:rPr>
              <w:t xml:space="preserve">Total Number of MassHealth Members who utilized CBHC services </w:t>
            </w:r>
            <w:r w:rsidR="00B20B7B" w:rsidRPr="00CE3ED6">
              <w:rPr>
                <w:color w:val="000000" w:themeColor="text1"/>
                <w:sz w:val="20"/>
                <w:szCs w:val="20"/>
              </w:rPr>
              <w:t xml:space="preserve">(Core Bundle/MCI/CCS) </w:t>
            </w:r>
            <w:r w:rsidRPr="00CE3ED6">
              <w:rPr>
                <w:color w:val="000000" w:themeColor="text1"/>
                <w:sz w:val="20"/>
                <w:szCs w:val="20"/>
              </w:rPr>
              <w:t xml:space="preserve">within the Performance Year </w:t>
            </w:r>
            <w:r w:rsidRPr="00CE3ED6">
              <w:rPr>
                <w:color w:val="000000" w:themeColor="text1"/>
                <w:sz w:val="20"/>
                <w:szCs w:val="20"/>
                <w:u w:val="single"/>
              </w:rPr>
              <w:t>across all CBHCs</w:t>
            </w:r>
          </w:p>
        </w:tc>
      </w:tr>
    </w:tbl>
    <w:p w14:paraId="7B5A7984" w14:textId="43CB2241" w:rsidR="005172EF" w:rsidRPr="00BA2BE6" w:rsidRDefault="005172EF" w:rsidP="005172EF">
      <w:pPr>
        <w:pStyle w:val="Heading2"/>
      </w:pPr>
      <w:bookmarkStart w:id="54" w:name="_Toc212807362"/>
      <w:r w:rsidRPr="005172EF">
        <w:rPr>
          <w:rStyle w:val="Heading3Char"/>
          <w:b/>
          <w:bCs w:val="0"/>
          <w:sz w:val="22"/>
          <w:szCs w:val="20"/>
        </w:rPr>
        <w:t>Example 1: Observed</w:t>
      </w:r>
      <w:r w:rsidR="00AE22EF">
        <w:rPr>
          <w:rStyle w:val="Heading3Char"/>
          <w:b/>
          <w:bCs w:val="0"/>
          <w:sz w:val="22"/>
          <w:szCs w:val="20"/>
        </w:rPr>
        <w:t>-</w:t>
      </w:r>
      <w:r w:rsidRPr="005172EF">
        <w:rPr>
          <w:rStyle w:val="Heading3Char"/>
          <w:b/>
          <w:bCs w:val="0"/>
          <w:sz w:val="22"/>
          <w:szCs w:val="20"/>
        </w:rPr>
        <w:t>Over</w:t>
      </w:r>
      <w:r w:rsidR="00AE22EF">
        <w:rPr>
          <w:rStyle w:val="Heading3Char"/>
          <w:b/>
          <w:bCs w:val="0"/>
          <w:sz w:val="22"/>
          <w:szCs w:val="20"/>
        </w:rPr>
        <w:t>-</w:t>
      </w:r>
      <w:r w:rsidRPr="005172EF">
        <w:rPr>
          <w:rStyle w:val="Heading3Char"/>
          <w:b/>
          <w:bCs w:val="0"/>
          <w:sz w:val="22"/>
          <w:szCs w:val="20"/>
        </w:rPr>
        <w:t>Expected Ratio</w:t>
      </w:r>
      <w:bookmarkEnd w:id="54"/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1136"/>
        <w:gridCol w:w="844"/>
        <w:gridCol w:w="900"/>
        <w:gridCol w:w="1409"/>
        <w:gridCol w:w="913"/>
        <w:gridCol w:w="945"/>
        <w:gridCol w:w="1239"/>
        <w:gridCol w:w="1753"/>
        <w:gridCol w:w="1841"/>
      </w:tblGrid>
      <w:tr w:rsidR="00BF5AED" w:rsidRPr="008410A2" w14:paraId="1E1C1CD0" w14:textId="60BB97FD" w:rsidTr="00107B0F">
        <w:trPr>
          <w:trHeight w:val="629"/>
        </w:trPr>
        <w:tc>
          <w:tcPr>
            <w:tcW w:w="1136" w:type="dxa"/>
            <w:shd w:val="clear" w:color="auto" w:fill="002060"/>
            <w:vAlign w:val="center"/>
          </w:tcPr>
          <w:p w14:paraId="50C18ED0" w14:textId="5CA5D331" w:rsidR="00F735DC" w:rsidRPr="00786AA3" w:rsidRDefault="00F735DC" w:rsidP="00C44E0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CBHC Name</w:t>
            </w:r>
          </w:p>
        </w:tc>
        <w:tc>
          <w:tcPr>
            <w:tcW w:w="844" w:type="dxa"/>
            <w:shd w:val="clear" w:color="auto" w:fill="002060"/>
            <w:vAlign w:val="center"/>
          </w:tcPr>
          <w:p w14:paraId="2C909FD3" w14:textId="77777777" w:rsidR="00F735DC" w:rsidRPr="00786AA3" w:rsidRDefault="00F735DC" w:rsidP="00C44E0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Num</w:t>
            </w:r>
          </w:p>
        </w:tc>
        <w:tc>
          <w:tcPr>
            <w:tcW w:w="900" w:type="dxa"/>
            <w:shd w:val="clear" w:color="auto" w:fill="002060"/>
            <w:vAlign w:val="center"/>
          </w:tcPr>
          <w:p w14:paraId="43502876" w14:textId="77777777" w:rsidR="00F735DC" w:rsidRPr="00786AA3" w:rsidRDefault="00F735DC" w:rsidP="00C44E0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Den</w:t>
            </w:r>
          </w:p>
        </w:tc>
        <w:tc>
          <w:tcPr>
            <w:tcW w:w="1409" w:type="dxa"/>
            <w:shd w:val="clear" w:color="auto" w:fill="002060"/>
            <w:vAlign w:val="center"/>
          </w:tcPr>
          <w:p w14:paraId="752D034B" w14:textId="77777777" w:rsidR="00F735DC" w:rsidRPr="00786AA3" w:rsidRDefault="00F735DC" w:rsidP="00C44E0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Rate (Observed)</w:t>
            </w:r>
          </w:p>
        </w:tc>
        <w:tc>
          <w:tcPr>
            <w:tcW w:w="913" w:type="dxa"/>
            <w:shd w:val="clear" w:color="auto" w:fill="002060"/>
            <w:vAlign w:val="center"/>
          </w:tcPr>
          <w:p w14:paraId="5AE43893" w14:textId="77777777" w:rsidR="00F735DC" w:rsidRPr="00786AA3" w:rsidRDefault="00F735DC" w:rsidP="00C44E0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Num</w:t>
            </w:r>
          </w:p>
        </w:tc>
        <w:tc>
          <w:tcPr>
            <w:tcW w:w="945" w:type="dxa"/>
            <w:shd w:val="clear" w:color="auto" w:fill="002060"/>
            <w:vAlign w:val="center"/>
          </w:tcPr>
          <w:p w14:paraId="005B41A3" w14:textId="77777777" w:rsidR="00F735DC" w:rsidRPr="00786AA3" w:rsidRDefault="00F735DC" w:rsidP="00C44E0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Den</w:t>
            </w:r>
          </w:p>
        </w:tc>
        <w:tc>
          <w:tcPr>
            <w:tcW w:w="1239" w:type="dxa"/>
            <w:shd w:val="clear" w:color="auto" w:fill="002060"/>
            <w:vAlign w:val="center"/>
          </w:tcPr>
          <w:p w14:paraId="47F1C2B6" w14:textId="77777777" w:rsidR="00F735DC" w:rsidRPr="00786AA3" w:rsidRDefault="00F735DC" w:rsidP="00C44E0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Rate (Expected)</w:t>
            </w:r>
          </w:p>
        </w:tc>
        <w:tc>
          <w:tcPr>
            <w:tcW w:w="1753" w:type="dxa"/>
            <w:shd w:val="clear" w:color="auto" w:fill="002060"/>
            <w:vAlign w:val="center"/>
          </w:tcPr>
          <w:p w14:paraId="6C9B76BE" w14:textId="79F87EE2" w:rsidR="00F735DC" w:rsidRDefault="00E8224D" w:rsidP="00E8224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O/E </w:t>
            </w:r>
            <w:r w:rsidR="00F735DC">
              <w:rPr>
                <w:b/>
                <w:bCs/>
                <w:color w:val="FFFFFF" w:themeColor="background1"/>
                <w:sz w:val="20"/>
                <w:szCs w:val="20"/>
              </w:rPr>
              <w:t>Ratio</w:t>
            </w:r>
          </w:p>
        </w:tc>
        <w:tc>
          <w:tcPr>
            <w:tcW w:w="1841" w:type="dxa"/>
            <w:shd w:val="clear" w:color="auto" w:fill="002060"/>
            <w:vAlign w:val="center"/>
          </w:tcPr>
          <w:p w14:paraId="0FD05DD2" w14:textId="318CCED7" w:rsidR="00F735DC" w:rsidRDefault="00F735DC" w:rsidP="00E8224D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O/E</w:t>
            </w:r>
            <w:r w:rsidR="009B5C7D">
              <w:rPr>
                <w:b/>
                <w:bCs/>
                <w:color w:val="FFFFFF" w:themeColor="background1"/>
                <w:sz w:val="20"/>
                <w:szCs w:val="20"/>
              </w:rPr>
              <w:t xml:space="preserve"> Ratio</w:t>
            </w:r>
            <w:r w:rsidR="00E8224D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</w:tr>
      <w:tr w:rsidR="00AB0B51" w:rsidRPr="008410A2" w14:paraId="2F8CD75E" w14:textId="482B4E1B" w:rsidTr="00107B0F">
        <w:trPr>
          <w:trHeight w:val="633"/>
        </w:trPr>
        <w:tc>
          <w:tcPr>
            <w:tcW w:w="1136" w:type="dxa"/>
            <w:vAlign w:val="center"/>
          </w:tcPr>
          <w:p w14:paraId="378A2BEF" w14:textId="64FDFD5C" w:rsidR="00AB0B51" w:rsidRPr="008249F8" w:rsidRDefault="00AB0B51" w:rsidP="00AB0B5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1</w:t>
            </w:r>
          </w:p>
        </w:tc>
        <w:tc>
          <w:tcPr>
            <w:tcW w:w="844" w:type="dxa"/>
            <w:vAlign w:val="center"/>
          </w:tcPr>
          <w:p w14:paraId="4AC43788" w14:textId="6445B6D4" w:rsidR="00AB0B51" w:rsidRPr="00D64490" w:rsidRDefault="00AB0B51" w:rsidP="00AB0B5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00" w:type="dxa"/>
            <w:vAlign w:val="center"/>
          </w:tcPr>
          <w:p w14:paraId="64932FB9" w14:textId="7C399598" w:rsidR="00AB0B51" w:rsidRPr="00D64490" w:rsidRDefault="00AB0B51" w:rsidP="00AB0B51">
            <w:pPr>
              <w:pStyle w:val="ListParagraph"/>
              <w:spacing w:line="360" w:lineRule="auto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409" w:type="dxa"/>
            <w:vAlign w:val="center"/>
          </w:tcPr>
          <w:p w14:paraId="7D9ACBCE" w14:textId="378DD473" w:rsidR="00AB0B51" w:rsidRPr="00566DCD" w:rsidRDefault="00AB0B51" w:rsidP="00AB0B5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913" w:type="dxa"/>
            <w:vAlign w:val="center"/>
          </w:tcPr>
          <w:p w14:paraId="3689AADA" w14:textId="6E7A0E40" w:rsidR="00AB0B51" w:rsidRPr="00D64490" w:rsidRDefault="00AB0B51" w:rsidP="00AB0B5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45" w:type="dxa"/>
            <w:vAlign w:val="center"/>
          </w:tcPr>
          <w:p w14:paraId="5A6C4157" w14:textId="1E2857B2" w:rsidR="00AB0B51" w:rsidRPr="00D64490" w:rsidRDefault="00AB0B51" w:rsidP="00AB0B5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239" w:type="dxa"/>
            <w:vAlign w:val="center"/>
          </w:tcPr>
          <w:p w14:paraId="06137FC6" w14:textId="3513481C" w:rsidR="00AB0B51" w:rsidRPr="00566DCD" w:rsidRDefault="00AB0B51" w:rsidP="00AB0B5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0.0</w:t>
            </w:r>
            <w:r w:rsidR="005F520A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53" w:type="dxa"/>
            <w:vAlign w:val="center"/>
          </w:tcPr>
          <w:p w14:paraId="77C1F5AD" w14:textId="4CF43E63" w:rsidR="00AB0B51" w:rsidRPr="00661AF9" w:rsidDel="00460406" w:rsidRDefault="00AB0B51" w:rsidP="00AB0B5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CE3ED6">
              <w:rPr>
                <w:color w:val="000000" w:themeColor="text1"/>
                <w:sz w:val="18"/>
                <w:szCs w:val="18"/>
              </w:rPr>
              <w:t>0.10 / 0.0</w:t>
            </w:r>
            <w:r w:rsidR="005F520A">
              <w:rPr>
                <w:color w:val="000000" w:themeColor="text1"/>
                <w:sz w:val="18"/>
                <w:szCs w:val="18"/>
              </w:rPr>
              <w:t>8</w:t>
            </w:r>
            <w:r w:rsidRPr="00CE3ED6">
              <w:rPr>
                <w:color w:val="000000" w:themeColor="text1"/>
                <w:sz w:val="18"/>
                <w:szCs w:val="18"/>
              </w:rPr>
              <w:t xml:space="preserve"> = 1.33</w:t>
            </w:r>
          </w:p>
        </w:tc>
        <w:tc>
          <w:tcPr>
            <w:tcW w:w="1841" w:type="dxa"/>
            <w:vAlign w:val="center"/>
          </w:tcPr>
          <w:p w14:paraId="3F775339" w14:textId="579A8B1C" w:rsidR="00AB0B51" w:rsidRPr="008238C6" w:rsidRDefault="00AB0B51" w:rsidP="00AB0B5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1.33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>
              <w:rPr>
                <w:color w:val="000000" w:themeColor="text1"/>
                <w:sz w:val="18"/>
                <w:szCs w:val="18"/>
              </w:rPr>
              <w:t xml:space="preserve"> 100 = </w:t>
            </w:r>
            <w:r w:rsidRPr="00CE3ED6">
              <w:rPr>
                <w:b/>
                <w:bCs/>
                <w:color w:val="000000" w:themeColor="text1"/>
                <w:sz w:val="18"/>
                <w:szCs w:val="18"/>
              </w:rPr>
              <w:t>133.33</w:t>
            </w:r>
          </w:p>
        </w:tc>
      </w:tr>
      <w:tr w:rsidR="00BF5AED" w:rsidRPr="008410A2" w14:paraId="12479DFA" w14:textId="6E7F88E6" w:rsidTr="00107B0F">
        <w:trPr>
          <w:trHeight w:val="657"/>
        </w:trPr>
        <w:tc>
          <w:tcPr>
            <w:tcW w:w="1136" w:type="dxa"/>
            <w:vAlign w:val="center"/>
          </w:tcPr>
          <w:p w14:paraId="492EFC00" w14:textId="5C61E632" w:rsidR="00F735DC" w:rsidRPr="008249F8" w:rsidRDefault="00F735DC" w:rsidP="00461C2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2</w:t>
            </w:r>
          </w:p>
        </w:tc>
        <w:tc>
          <w:tcPr>
            <w:tcW w:w="844" w:type="dxa"/>
            <w:vAlign w:val="center"/>
          </w:tcPr>
          <w:p w14:paraId="2A867773" w14:textId="36D58E33" w:rsidR="00F735DC" w:rsidRPr="00D64490" w:rsidRDefault="00F735DC" w:rsidP="00661AF9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00" w:type="dxa"/>
            <w:vAlign w:val="center"/>
          </w:tcPr>
          <w:p w14:paraId="03A13C64" w14:textId="71F0A1DB" w:rsidR="00F735DC" w:rsidRPr="00D64490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409" w:type="dxa"/>
            <w:vAlign w:val="center"/>
          </w:tcPr>
          <w:p w14:paraId="5B9671FD" w14:textId="0E1C8C43" w:rsidR="00F735DC" w:rsidRPr="00566DCD" w:rsidRDefault="00F735DC" w:rsidP="00661AF9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0.60</w:t>
            </w:r>
          </w:p>
        </w:tc>
        <w:tc>
          <w:tcPr>
            <w:tcW w:w="913" w:type="dxa"/>
            <w:vAlign w:val="center"/>
          </w:tcPr>
          <w:p w14:paraId="359FD073" w14:textId="629397DF" w:rsidR="00F735DC" w:rsidRPr="00D64490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45" w:type="dxa"/>
            <w:vAlign w:val="center"/>
          </w:tcPr>
          <w:p w14:paraId="4F0CA7F0" w14:textId="11D95FAD" w:rsidR="00F735DC" w:rsidRPr="00D64490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239" w:type="dxa"/>
            <w:vAlign w:val="center"/>
          </w:tcPr>
          <w:p w14:paraId="33938C10" w14:textId="62937DE2" w:rsidR="00F735DC" w:rsidRPr="00566DCD" w:rsidRDefault="00F735DC" w:rsidP="00661AF9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1753" w:type="dxa"/>
            <w:vAlign w:val="center"/>
          </w:tcPr>
          <w:p w14:paraId="3B5D28EF" w14:textId="18838010" w:rsidR="00F735DC" w:rsidRPr="00661AF9" w:rsidDel="00460406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CE3ED6">
              <w:rPr>
                <w:color w:val="000000" w:themeColor="text1"/>
                <w:sz w:val="18"/>
                <w:szCs w:val="18"/>
              </w:rPr>
              <w:t>0.60 / 0.80 = 0.75</w:t>
            </w:r>
          </w:p>
        </w:tc>
        <w:tc>
          <w:tcPr>
            <w:tcW w:w="1841" w:type="dxa"/>
            <w:vAlign w:val="center"/>
          </w:tcPr>
          <w:p w14:paraId="08582B3D" w14:textId="100ACC19" w:rsidR="00F735DC" w:rsidRPr="008238C6" w:rsidRDefault="00071305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0.75 </w:t>
            </w:r>
            <w:r w:rsidR="0083067D"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>
              <w:rPr>
                <w:color w:val="000000" w:themeColor="text1"/>
                <w:sz w:val="18"/>
                <w:szCs w:val="18"/>
              </w:rPr>
              <w:t xml:space="preserve"> 100 = </w:t>
            </w:r>
            <w:r w:rsidRPr="00CE3ED6">
              <w:rPr>
                <w:b/>
                <w:bCs/>
                <w:color w:val="000000" w:themeColor="text1"/>
                <w:sz w:val="18"/>
                <w:szCs w:val="18"/>
              </w:rPr>
              <w:t>75</w:t>
            </w:r>
            <w:r w:rsidR="00402DE7">
              <w:rPr>
                <w:b/>
                <w:bCs/>
                <w:color w:val="000000" w:themeColor="text1"/>
                <w:sz w:val="18"/>
                <w:szCs w:val="18"/>
              </w:rPr>
              <w:t>.00</w:t>
            </w:r>
          </w:p>
        </w:tc>
      </w:tr>
      <w:tr w:rsidR="00BF5AED" w:rsidRPr="008410A2" w14:paraId="4B34598E" w14:textId="3B4534B0" w:rsidTr="00107B0F">
        <w:trPr>
          <w:trHeight w:val="657"/>
        </w:trPr>
        <w:tc>
          <w:tcPr>
            <w:tcW w:w="1136" w:type="dxa"/>
            <w:vAlign w:val="center"/>
          </w:tcPr>
          <w:p w14:paraId="60842B21" w14:textId="024F8323" w:rsidR="00F735DC" w:rsidRPr="008249F8" w:rsidRDefault="00F735DC" w:rsidP="00461C2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3</w:t>
            </w:r>
          </w:p>
        </w:tc>
        <w:tc>
          <w:tcPr>
            <w:tcW w:w="844" w:type="dxa"/>
            <w:vAlign w:val="center"/>
          </w:tcPr>
          <w:p w14:paraId="49776A61" w14:textId="2AED253E" w:rsidR="00F735DC" w:rsidRPr="00D64490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0" w:type="dxa"/>
            <w:vAlign w:val="center"/>
          </w:tcPr>
          <w:p w14:paraId="0538D978" w14:textId="407CE405" w:rsidR="00F735DC" w:rsidRPr="00D64490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409" w:type="dxa"/>
            <w:vAlign w:val="center"/>
          </w:tcPr>
          <w:p w14:paraId="70FB75FB" w14:textId="15604ED3" w:rsidR="00F735DC" w:rsidRPr="00566DCD" w:rsidRDefault="00F735DC" w:rsidP="00661AF9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913" w:type="dxa"/>
            <w:vAlign w:val="center"/>
          </w:tcPr>
          <w:p w14:paraId="79EA1085" w14:textId="70961011" w:rsidR="00F735DC" w:rsidRPr="00D64490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45" w:type="dxa"/>
            <w:vAlign w:val="center"/>
          </w:tcPr>
          <w:p w14:paraId="2388C5B7" w14:textId="335917AB" w:rsidR="00F735DC" w:rsidRPr="00D64490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239" w:type="dxa"/>
            <w:vAlign w:val="center"/>
          </w:tcPr>
          <w:p w14:paraId="5115B9A6" w14:textId="77DF1299" w:rsidR="00F735DC" w:rsidRPr="00566DCD" w:rsidRDefault="00F735DC" w:rsidP="00661AF9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1753" w:type="dxa"/>
            <w:vAlign w:val="center"/>
          </w:tcPr>
          <w:p w14:paraId="3B92D4A5" w14:textId="7046BFC9" w:rsidR="00F735DC" w:rsidRPr="00661AF9" w:rsidDel="00460406" w:rsidRDefault="00F735DC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0.20 / </w:t>
            </w:r>
            <w:r w:rsidRPr="00CE3ED6">
              <w:rPr>
                <w:color w:val="000000" w:themeColor="text1"/>
                <w:sz w:val="18"/>
                <w:szCs w:val="18"/>
              </w:rPr>
              <w:t>0.20 = 1.00</w:t>
            </w:r>
          </w:p>
        </w:tc>
        <w:tc>
          <w:tcPr>
            <w:tcW w:w="1841" w:type="dxa"/>
            <w:vAlign w:val="center"/>
          </w:tcPr>
          <w:p w14:paraId="5EFC7B74" w14:textId="28039FC4" w:rsidR="00F735DC" w:rsidRDefault="00B80929" w:rsidP="00661AF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 </w:t>
            </w:r>
            <w:r w:rsidR="0083067D"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>
              <w:rPr>
                <w:color w:val="000000" w:themeColor="text1"/>
                <w:sz w:val="18"/>
                <w:szCs w:val="18"/>
              </w:rPr>
              <w:t xml:space="preserve"> 100 = </w:t>
            </w:r>
            <w:r w:rsidRPr="00CE3ED6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="00402DE7">
              <w:rPr>
                <w:b/>
                <w:bCs/>
                <w:color w:val="000000" w:themeColor="text1"/>
                <w:sz w:val="18"/>
                <w:szCs w:val="18"/>
              </w:rPr>
              <w:t>.00</w:t>
            </w:r>
          </w:p>
        </w:tc>
      </w:tr>
    </w:tbl>
    <w:p w14:paraId="1553DA55" w14:textId="6605368D" w:rsidR="00F60E38" w:rsidRDefault="00F60E38">
      <w:r w:rsidRPr="00F60E38">
        <w:rPr>
          <w:i/>
          <w:iCs/>
        </w:rPr>
        <w:t>Note: The O/E ratio is rounded to the nearest hundredth as a percentage</w:t>
      </w:r>
    </w:p>
    <w:p w14:paraId="0C0E3478" w14:textId="77777777" w:rsidR="00FA538D" w:rsidRDefault="00FA538D" w:rsidP="00397C7F">
      <w:pPr>
        <w:rPr>
          <w:b/>
          <w:bCs/>
          <w:color w:val="000000" w:themeColor="text1"/>
        </w:rPr>
      </w:pPr>
    </w:p>
    <w:p w14:paraId="4EBF7F90" w14:textId="77777777" w:rsidR="00EA5665" w:rsidRDefault="00EA5665" w:rsidP="00397C7F">
      <w:pPr>
        <w:rPr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="-455" w:tblpY="-37"/>
        <w:tblW w:w="10975" w:type="dxa"/>
        <w:tblLook w:val="04A0" w:firstRow="1" w:lastRow="0" w:firstColumn="1" w:lastColumn="0" w:noHBand="0" w:noVBand="1"/>
      </w:tblPr>
      <w:tblGrid>
        <w:gridCol w:w="1975"/>
        <w:gridCol w:w="1800"/>
        <w:gridCol w:w="1800"/>
        <w:gridCol w:w="1800"/>
        <w:gridCol w:w="3600"/>
      </w:tblGrid>
      <w:tr w:rsidR="00EA5665" w:rsidRPr="00504672" w14:paraId="2A88D2EB" w14:textId="77777777" w:rsidTr="005449A1">
        <w:trPr>
          <w:trHeight w:val="800"/>
        </w:trPr>
        <w:tc>
          <w:tcPr>
            <w:tcW w:w="1975" w:type="dxa"/>
            <w:shd w:val="clear" w:color="auto" w:fill="002060"/>
            <w:vAlign w:val="center"/>
          </w:tcPr>
          <w:p w14:paraId="3D4A0D87" w14:textId="77777777" w:rsidR="00EA5665" w:rsidRPr="00786AA3" w:rsidRDefault="00EA5665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CBHC Name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5CB46B1A" w14:textId="06D66436" w:rsidR="00EA5665" w:rsidRPr="00786AA3" w:rsidRDefault="005475CF" w:rsidP="005475CF">
            <w:pPr>
              <w:contextualSpacing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O/E </w:t>
            </w:r>
            <w:r w:rsidR="00EA5665">
              <w:rPr>
                <w:b/>
                <w:bCs/>
                <w:color w:val="FFFFFF" w:themeColor="background1"/>
                <w:sz w:val="20"/>
                <w:szCs w:val="20"/>
              </w:rPr>
              <w:t>Ratio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A5665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107D9B4A" w14:textId="77777777" w:rsidR="00EA5665" w:rsidRPr="00786AA3" w:rsidRDefault="00EA5665">
            <w:pPr>
              <w:contextualSpacing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Attainment Threshold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3DBB2D5D" w14:textId="77777777" w:rsidR="00EA5665" w:rsidRPr="00786AA3" w:rsidRDefault="00EA5665">
            <w:pPr>
              <w:contextualSpacing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Goal Benchmark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3600" w:type="dxa"/>
            <w:shd w:val="clear" w:color="auto" w:fill="002060"/>
            <w:vAlign w:val="center"/>
          </w:tcPr>
          <w:p w14:paraId="50C82D90" w14:textId="77777777" w:rsidR="00EA5665" w:rsidRPr="00786AA3" w:rsidRDefault="00EA5665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Points</w:t>
            </w:r>
          </w:p>
        </w:tc>
      </w:tr>
      <w:tr w:rsidR="00EA5665" w:rsidRPr="00504672" w14:paraId="67BA9988" w14:textId="77777777" w:rsidTr="005449A1">
        <w:trPr>
          <w:trHeight w:val="654"/>
        </w:trPr>
        <w:tc>
          <w:tcPr>
            <w:tcW w:w="1975" w:type="dxa"/>
            <w:vAlign w:val="center"/>
          </w:tcPr>
          <w:p w14:paraId="5E104089" w14:textId="77777777" w:rsidR="00EA5665" w:rsidRPr="008249F8" w:rsidRDefault="00EA5665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1</w:t>
            </w:r>
          </w:p>
        </w:tc>
        <w:tc>
          <w:tcPr>
            <w:tcW w:w="1800" w:type="dxa"/>
            <w:vAlign w:val="center"/>
          </w:tcPr>
          <w:p w14:paraId="3088A655" w14:textId="77777777" w:rsidR="00EA5665" w:rsidRDefault="00EA5665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133.33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0561C733" w14:textId="77777777" w:rsidR="00EA5665" w:rsidRPr="008F2E79" w:rsidRDefault="00EA566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1323AB79" w14:textId="77777777" w:rsidR="00EA5665" w:rsidRPr="008F2E79" w:rsidRDefault="00EA5665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600" w:type="dxa"/>
            <w:vAlign w:val="center"/>
          </w:tcPr>
          <w:p w14:paraId="5A76006C" w14:textId="7521AEA8" w:rsidR="00EA5665" w:rsidRPr="00322B9F" w:rsidRDefault="00EA5665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83067D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133.33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Pr="00CE3ED6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16.67 pts</w:t>
            </w:r>
          </w:p>
          <w:p w14:paraId="7BFB034D" w14:textId="2EA435F6" w:rsidR="00EA5665" w:rsidRPr="008F2E79" w:rsidRDefault="00EA5665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IntenseEmphasis"/>
                <w:color w:val="auto"/>
              </w:rPr>
              <w:t xml:space="preserve">        </w:t>
            </w:r>
            <w:r w:rsidR="0083067D">
              <w:rPr>
                <w:rStyle w:val="IntenseEmphasis"/>
                <w:color w:val="auto"/>
              </w:rPr>
              <w:t xml:space="preserve">      </w:t>
            </w:r>
            <w:r w:rsidR="003645ED">
              <w:rPr>
                <w:rStyle w:val="IntenseEmphasis"/>
                <w:color w:val="auto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  <w:tr w:rsidR="00EA5665" w:rsidRPr="00504672" w14:paraId="52522318" w14:textId="77777777" w:rsidTr="005449A1">
        <w:trPr>
          <w:trHeight w:val="654"/>
        </w:trPr>
        <w:tc>
          <w:tcPr>
            <w:tcW w:w="1975" w:type="dxa"/>
            <w:vAlign w:val="center"/>
          </w:tcPr>
          <w:p w14:paraId="7CA0DA48" w14:textId="77777777" w:rsidR="00EA5665" w:rsidRPr="008249F8" w:rsidRDefault="00EA566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2</w:t>
            </w:r>
          </w:p>
        </w:tc>
        <w:tc>
          <w:tcPr>
            <w:tcW w:w="1800" w:type="dxa"/>
            <w:vAlign w:val="center"/>
          </w:tcPr>
          <w:p w14:paraId="41E3013B" w14:textId="77777777" w:rsidR="00EA5665" w:rsidRDefault="00EA5665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3CB2FEB0" w14:textId="77777777" w:rsidR="00EA5665" w:rsidRPr="007547E9" w:rsidRDefault="00EA5665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39E18001" w14:textId="77777777" w:rsidR="00EA5665" w:rsidRDefault="00EA5665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600" w:type="dxa"/>
            <w:vAlign w:val="center"/>
          </w:tcPr>
          <w:p w14:paraId="1AF86694" w14:textId="03DFB19A" w:rsidR="00EA5665" w:rsidRPr="007547E9" w:rsidRDefault="00EA5665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FB28DC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75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Pr="00322B9F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5 pts</w:t>
            </w:r>
          </w:p>
          <w:p w14:paraId="468408CB" w14:textId="3B0529DB" w:rsidR="00EA5665" w:rsidRDefault="00EA5665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      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  <w:tr w:rsidR="00EA5665" w:rsidRPr="00504672" w14:paraId="29730D5E" w14:textId="77777777" w:rsidTr="005449A1">
        <w:trPr>
          <w:trHeight w:val="654"/>
        </w:trPr>
        <w:tc>
          <w:tcPr>
            <w:tcW w:w="1975" w:type="dxa"/>
            <w:vAlign w:val="center"/>
          </w:tcPr>
          <w:p w14:paraId="34193745" w14:textId="77777777" w:rsidR="00EA5665" w:rsidRPr="008249F8" w:rsidRDefault="00EA5665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3</w:t>
            </w:r>
          </w:p>
        </w:tc>
        <w:tc>
          <w:tcPr>
            <w:tcW w:w="1800" w:type="dxa"/>
            <w:vAlign w:val="center"/>
          </w:tcPr>
          <w:p w14:paraId="466A2CF4" w14:textId="77777777" w:rsidR="00EA5665" w:rsidRDefault="00EA5665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724B7324" w14:textId="77777777" w:rsidR="00EA5665" w:rsidRPr="007547E9" w:rsidRDefault="00EA5665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538D1880" w14:textId="77777777" w:rsidR="00EA5665" w:rsidRDefault="00EA5665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600" w:type="dxa"/>
            <w:vAlign w:val="center"/>
          </w:tcPr>
          <w:p w14:paraId="66F1BA0B" w14:textId="03F2BC0F" w:rsidR="00EA5665" w:rsidRPr="007547E9" w:rsidRDefault="00EA5665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FB28DC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100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Pr="00322B9F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10 pts</w:t>
            </w:r>
          </w:p>
          <w:p w14:paraId="627B2624" w14:textId="17B9EDA2" w:rsidR="00EA5665" w:rsidRDefault="00EA5665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      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</w:tbl>
    <w:p w14:paraId="1C2D1CE0" w14:textId="09B3B8A6" w:rsidR="00EA5665" w:rsidRDefault="00EA5665" w:rsidP="00397C7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07C71754" w14:textId="654038E5" w:rsidR="00397C7F" w:rsidRDefault="005172EF" w:rsidP="005172EF">
      <w:pPr>
        <w:pStyle w:val="Heading2"/>
        <w:rPr>
          <w:rStyle w:val="Heading3Char"/>
          <w:b/>
          <w:bCs w:val="0"/>
          <w:sz w:val="22"/>
          <w:szCs w:val="20"/>
        </w:rPr>
      </w:pPr>
      <w:bookmarkStart w:id="55" w:name="_Toc212807363"/>
      <w:r w:rsidRPr="005172EF">
        <w:rPr>
          <w:rStyle w:val="Heading3Char"/>
          <w:b/>
          <w:bCs w:val="0"/>
          <w:sz w:val="22"/>
          <w:szCs w:val="20"/>
        </w:rPr>
        <w:lastRenderedPageBreak/>
        <w:t>Example 2: Observed</w:t>
      </w:r>
      <w:r w:rsidR="00AE22EF">
        <w:rPr>
          <w:rStyle w:val="Heading3Char"/>
          <w:b/>
          <w:bCs w:val="0"/>
          <w:sz w:val="22"/>
          <w:szCs w:val="20"/>
        </w:rPr>
        <w:t>-</w:t>
      </w:r>
      <w:r w:rsidRPr="005172EF">
        <w:rPr>
          <w:rStyle w:val="Heading3Char"/>
          <w:b/>
          <w:bCs w:val="0"/>
          <w:sz w:val="22"/>
          <w:szCs w:val="20"/>
        </w:rPr>
        <w:t>Over</w:t>
      </w:r>
      <w:r w:rsidR="00AE22EF">
        <w:rPr>
          <w:rStyle w:val="Heading3Char"/>
          <w:b/>
          <w:bCs w:val="0"/>
          <w:sz w:val="22"/>
          <w:szCs w:val="20"/>
        </w:rPr>
        <w:t>-</w:t>
      </w:r>
      <w:r w:rsidRPr="005172EF">
        <w:rPr>
          <w:rStyle w:val="Heading3Char"/>
          <w:b/>
          <w:bCs w:val="0"/>
          <w:sz w:val="22"/>
          <w:szCs w:val="20"/>
        </w:rPr>
        <w:t>Expected Ratio</w:t>
      </w:r>
      <w:bookmarkEnd w:id="55"/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1159"/>
        <w:gridCol w:w="821"/>
        <w:gridCol w:w="900"/>
        <w:gridCol w:w="1440"/>
        <w:gridCol w:w="900"/>
        <w:gridCol w:w="944"/>
        <w:gridCol w:w="1239"/>
        <w:gridCol w:w="1687"/>
        <w:gridCol w:w="1890"/>
      </w:tblGrid>
      <w:tr w:rsidR="00107B0F" w:rsidRPr="008410A2" w14:paraId="4FBEE7A6" w14:textId="77777777" w:rsidTr="003645ED">
        <w:trPr>
          <w:trHeight w:val="602"/>
        </w:trPr>
        <w:tc>
          <w:tcPr>
            <w:tcW w:w="1159" w:type="dxa"/>
            <w:shd w:val="clear" w:color="auto" w:fill="002060"/>
            <w:vAlign w:val="center"/>
          </w:tcPr>
          <w:p w14:paraId="703E101F" w14:textId="4F545B29" w:rsidR="007865F1" w:rsidRDefault="007865F1" w:rsidP="00C21E09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CBHC</w:t>
            </w:r>
            <w:r w:rsidR="00C21E0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821" w:type="dxa"/>
            <w:shd w:val="clear" w:color="auto" w:fill="002060"/>
            <w:vAlign w:val="center"/>
          </w:tcPr>
          <w:p w14:paraId="398B2644" w14:textId="78EB26D7" w:rsidR="007865F1" w:rsidRPr="00786AA3" w:rsidRDefault="007865F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Num</w:t>
            </w:r>
          </w:p>
        </w:tc>
        <w:tc>
          <w:tcPr>
            <w:tcW w:w="900" w:type="dxa"/>
            <w:shd w:val="clear" w:color="auto" w:fill="002060"/>
            <w:vAlign w:val="center"/>
          </w:tcPr>
          <w:p w14:paraId="2A47C822" w14:textId="77777777" w:rsidR="007865F1" w:rsidRPr="00786AA3" w:rsidRDefault="007865F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Den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1ED59A7E" w14:textId="77777777" w:rsidR="007865F1" w:rsidRPr="00786AA3" w:rsidRDefault="007865F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Rate (Observed)</w:t>
            </w:r>
          </w:p>
        </w:tc>
        <w:tc>
          <w:tcPr>
            <w:tcW w:w="900" w:type="dxa"/>
            <w:shd w:val="clear" w:color="auto" w:fill="002060"/>
            <w:vAlign w:val="center"/>
          </w:tcPr>
          <w:p w14:paraId="03949AF6" w14:textId="77777777" w:rsidR="007865F1" w:rsidRPr="00786AA3" w:rsidRDefault="007865F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Num</w:t>
            </w:r>
          </w:p>
        </w:tc>
        <w:tc>
          <w:tcPr>
            <w:tcW w:w="944" w:type="dxa"/>
            <w:shd w:val="clear" w:color="auto" w:fill="002060"/>
            <w:vAlign w:val="center"/>
          </w:tcPr>
          <w:p w14:paraId="770971E8" w14:textId="77777777" w:rsidR="007865F1" w:rsidRPr="00786AA3" w:rsidRDefault="007865F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Den</w:t>
            </w:r>
          </w:p>
        </w:tc>
        <w:tc>
          <w:tcPr>
            <w:tcW w:w="1239" w:type="dxa"/>
            <w:shd w:val="clear" w:color="auto" w:fill="002060"/>
            <w:vAlign w:val="center"/>
          </w:tcPr>
          <w:p w14:paraId="4063C75E" w14:textId="77777777" w:rsidR="007865F1" w:rsidRPr="00786AA3" w:rsidRDefault="007865F1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Rate (Expected)</w:t>
            </w:r>
          </w:p>
        </w:tc>
        <w:tc>
          <w:tcPr>
            <w:tcW w:w="1687" w:type="dxa"/>
            <w:shd w:val="clear" w:color="auto" w:fill="002060"/>
            <w:vAlign w:val="center"/>
          </w:tcPr>
          <w:p w14:paraId="2BCC8612" w14:textId="716193D4" w:rsidR="007865F1" w:rsidRDefault="004628E5" w:rsidP="004628E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O/E </w:t>
            </w:r>
            <w:r w:rsidR="007865F1">
              <w:rPr>
                <w:b/>
                <w:bCs/>
                <w:color w:val="FFFFFF" w:themeColor="background1"/>
                <w:sz w:val="20"/>
                <w:szCs w:val="20"/>
              </w:rPr>
              <w:t>Ratio</w:t>
            </w:r>
          </w:p>
        </w:tc>
        <w:tc>
          <w:tcPr>
            <w:tcW w:w="1890" w:type="dxa"/>
            <w:shd w:val="clear" w:color="auto" w:fill="002060"/>
            <w:vAlign w:val="center"/>
          </w:tcPr>
          <w:p w14:paraId="4A75DCC0" w14:textId="21AC47C2" w:rsidR="007865F1" w:rsidRDefault="007865F1" w:rsidP="000778C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O/E Ratio</w:t>
            </w:r>
            <w:r w:rsidR="000778C0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</w:tr>
      <w:tr w:rsidR="00107B0F" w:rsidRPr="008410A2" w14:paraId="522CAA49" w14:textId="77777777" w:rsidTr="003645ED">
        <w:trPr>
          <w:trHeight w:val="539"/>
        </w:trPr>
        <w:tc>
          <w:tcPr>
            <w:tcW w:w="1159" w:type="dxa"/>
            <w:vAlign w:val="center"/>
          </w:tcPr>
          <w:p w14:paraId="6A0E7DFA" w14:textId="479A254C" w:rsidR="007865F1" w:rsidRPr="00107B0F" w:rsidRDefault="007865F1" w:rsidP="007865F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07B0F">
              <w:rPr>
                <w:b/>
                <w:bCs/>
                <w:color w:val="000000" w:themeColor="text1"/>
                <w:sz w:val="18"/>
                <w:szCs w:val="18"/>
              </w:rPr>
              <w:t>CBHC 1</w:t>
            </w:r>
          </w:p>
        </w:tc>
        <w:tc>
          <w:tcPr>
            <w:tcW w:w="821" w:type="dxa"/>
            <w:vAlign w:val="center"/>
          </w:tcPr>
          <w:p w14:paraId="77F6AC6E" w14:textId="700AD15B" w:rsidR="007865F1" w:rsidRPr="00D64490" w:rsidRDefault="007865F1" w:rsidP="009073D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00" w:type="dxa"/>
            <w:vAlign w:val="center"/>
          </w:tcPr>
          <w:p w14:paraId="4D41E881" w14:textId="0EB39EFF" w:rsidR="007865F1" w:rsidRPr="00D64490" w:rsidRDefault="007865F1" w:rsidP="009073D1">
            <w:pPr>
              <w:pStyle w:val="ListParagraph"/>
              <w:spacing w:line="360" w:lineRule="auto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440" w:type="dxa"/>
            <w:vAlign w:val="center"/>
          </w:tcPr>
          <w:p w14:paraId="7481701B" w14:textId="7779DC5D" w:rsidR="007865F1" w:rsidRPr="00566DCD" w:rsidRDefault="007865F1" w:rsidP="009073D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5A3B">
              <w:rPr>
                <w:b/>
                <w:bCs/>
                <w:color w:val="000000" w:themeColor="text1"/>
                <w:sz w:val="18"/>
                <w:szCs w:val="18"/>
              </w:rPr>
              <w:t>0.3</w:t>
            </w:r>
            <w:r w:rsidR="00F13F0A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14:paraId="24B6B472" w14:textId="79AE9488" w:rsidR="007865F1" w:rsidRPr="00D64490" w:rsidRDefault="007865F1" w:rsidP="009073D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44" w:type="dxa"/>
            <w:vAlign w:val="center"/>
          </w:tcPr>
          <w:p w14:paraId="10353DFA" w14:textId="43BBA686" w:rsidR="007865F1" w:rsidRPr="00D64490" w:rsidRDefault="007865F1" w:rsidP="009073D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39" w:type="dxa"/>
            <w:vAlign w:val="center"/>
          </w:tcPr>
          <w:p w14:paraId="65975B03" w14:textId="69DBBCAB" w:rsidR="007865F1" w:rsidRPr="00566DCD" w:rsidRDefault="007865F1" w:rsidP="009073D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5A3B">
              <w:rPr>
                <w:b/>
                <w:bCs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1687" w:type="dxa"/>
            <w:vAlign w:val="center"/>
          </w:tcPr>
          <w:p w14:paraId="7E35CFE5" w14:textId="63104679" w:rsidR="007865F1" w:rsidRDefault="007865F1" w:rsidP="009B5C7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</w:t>
            </w:r>
            <w:r w:rsidR="00216AFC">
              <w:rPr>
                <w:color w:val="000000" w:themeColor="text1"/>
                <w:sz w:val="18"/>
                <w:szCs w:val="18"/>
              </w:rPr>
              <w:t>3</w:t>
            </w:r>
            <w:r w:rsidR="00216AFC" w:rsidRPr="00CE3ED6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 xml:space="preserve"> / 0.20 = 1.</w:t>
            </w:r>
            <w:r w:rsidR="00216AFC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890" w:type="dxa"/>
            <w:vAlign w:val="center"/>
          </w:tcPr>
          <w:p w14:paraId="5F7C905E" w14:textId="630A0308" w:rsidR="007865F1" w:rsidRDefault="007865F1" w:rsidP="0056185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  <w:r w:rsidR="00216AFC">
              <w:rPr>
                <w:color w:val="000000" w:themeColor="text1"/>
                <w:sz w:val="18"/>
                <w:szCs w:val="18"/>
              </w:rPr>
              <w:t>90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2F2215"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>
              <w:rPr>
                <w:color w:val="000000" w:themeColor="text1"/>
                <w:sz w:val="18"/>
                <w:szCs w:val="18"/>
              </w:rPr>
              <w:t xml:space="preserve"> 100 = 1</w:t>
            </w:r>
            <w:r w:rsidR="00C92B63">
              <w:rPr>
                <w:color w:val="000000" w:themeColor="text1"/>
                <w:sz w:val="18"/>
                <w:szCs w:val="18"/>
              </w:rPr>
              <w:t>87</w:t>
            </w:r>
            <w:r w:rsidR="0007322D">
              <w:rPr>
                <w:color w:val="000000" w:themeColor="text1"/>
                <w:sz w:val="18"/>
                <w:szCs w:val="18"/>
              </w:rPr>
              <w:t>.</w:t>
            </w:r>
            <w:r w:rsidR="00C92B63">
              <w:rPr>
                <w:color w:val="000000" w:themeColor="text1"/>
                <w:sz w:val="18"/>
                <w:szCs w:val="18"/>
              </w:rPr>
              <w:t>5</w:t>
            </w:r>
            <w:r w:rsidR="0007322D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107B0F" w:rsidRPr="008410A2" w14:paraId="045418E3" w14:textId="77777777" w:rsidTr="003645ED">
        <w:trPr>
          <w:trHeight w:val="575"/>
        </w:trPr>
        <w:tc>
          <w:tcPr>
            <w:tcW w:w="1159" w:type="dxa"/>
            <w:vAlign w:val="center"/>
          </w:tcPr>
          <w:p w14:paraId="36221491" w14:textId="5426DDC5" w:rsidR="007865F1" w:rsidRPr="00107B0F" w:rsidRDefault="007865F1" w:rsidP="007865F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07B0F">
              <w:rPr>
                <w:b/>
                <w:bCs/>
                <w:color w:val="000000" w:themeColor="text1"/>
                <w:sz w:val="18"/>
                <w:szCs w:val="18"/>
              </w:rPr>
              <w:t>CBHC 2</w:t>
            </w:r>
          </w:p>
        </w:tc>
        <w:tc>
          <w:tcPr>
            <w:tcW w:w="821" w:type="dxa"/>
            <w:vAlign w:val="center"/>
          </w:tcPr>
          <w:p w14:paraId="4D998AC0" w14:textId="1DED5D54" w:rsidR="007865F1" w:rsidRPr="00D64490" w:rsidRDefault="007865F1" w:rsidP="009073D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14:paraId="166CCDBB" w14:textId="1CEC0C3D" w:rsidR="007865F1" w:rsidRPr="00D64490" w:rsidRDefault="007865F1" w:rsidP="009073D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440" w:type="dxa"/>
            <w:vAlign w:val="center"/>
          </w:tcPr>
          <w:p w14:paraId="671D3A93" w14:textId="2012B02A" w:rsidR="007865F1" w:rsidRPr="00566DCD" w:rsidRDefault="007865F1" w:rsidP="009073D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5A3B">
              <w:rPr>
                <w:b/>
                <w:bCs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900" w:type="dxa"/>
            <w:vAlign w:val="center"/>
          </w:tcPr>
          <w:p w14:paraId="675D09B8" w14:textId="0D0937DA" w:rsidR="007865F1" w:rsidRPr="00D64490" w:rsidRDefault="007865F1" w:rsidP="009073D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44" w:type="dxa"/>
            <w:vAlign w:val="center"/>
          </w:tcPr>
          <w:p w14:paraId="774ABC65" w14:textId="4AA35F30" w:rsidR="007865F1" w:rsidRPr="00D64490" w:rsidRDefault="007865F1" w:rsidP="009073D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39" w:type="dxa"/>
            <w:vAlign w:val="center"/>
          </w:tcPr>
          <w:p w14:paraId="092A65C2" w14:textId="05A331DD" w:rsidR="007865F1" w:rsidRPr="00566DCD" w:rsidRDefault="007865F1" w:rsidP="009073D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5A3B">
              <w:rPr>
                <w:b/>
                <w:bCs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1687" w:type="dxa"/>
            <w:vAlign w:val="center"/>
          </w:tcPr>
          <w:p w14:paraId="0E8E6159" w14:textId="16945657" w:rsidR="007865F1" w:rsidRDefault="007865F1" w:rsidP="009B5C7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0.10 / 0.10 = 1.00</w:t>
            </w:r>
          </w:p>
        </w:tc>
        <w:tc>
          <w:tcPr>
            <w:tcW w:w="1890" w:type="dxa"/>
            <w:vAlign w:val="center"/>
          </w:tcPr>
          <w:p w14:paraId="19DE51CB" w14:textId="6B63CDEF" w:rsidR="007865F1" w:rsidRDefault="007865F1" w:rsidP="0056185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 </w:t>
            </w:r>
            <w:r w:rsidR="002F2215"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>
              <w:rPr>
                <w:color w:val="000000" w:themeColor="text1"/>
                <w:sz w:val="18"/>
                <w:szCs w:val="18"/>
              </w:rPr>
              <w:t xml:space="preserve"> 100 = 100</w:t>
            </w:r>
          </w:p>
        </w:tc>
      </w:tr>
      <w:tr w:rsidR="00107B0F" w:rsidRPr="008410A2" w14:paraId="10C2819F" w14:textId="77777777" w:rsidTr="003645ED">
        <w:trPr>
          <w:trHeight w:val="584"/>
        </w:trPr>
        <w:tc>
          <w:tcPr>
            <w:tcW w:w="1159" w:type="dxa"/>
            <w:vAlign w:val="center"/>
          </w:tcPr>
          <w:p w14:paraId="41BBACD0" w14:textId="7C5DB411" w:rsidR="007865F1" w:rsidRPr="00107B0F" w:rsidRDefault="007865F1" w:rsidP="000D33F9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07B0F">
              <w:rPr>
                <w:b/>
                <w:bCs/>
                <w:color w:val="000000" w:themeColor="text1"/>
                <w:sz w:val="18"/>
                <w:szCs w:val="18"/>
              </w:rPr>
              <w:t>CBHC 3</w:t>
            </w:r>
          </w:p>
        </w:tc>
        <w:tc>
          <w:tcPr>
            <w:tcW w:w="821" w:type="dxa"/>
            <w:vAlign w:val="center"/>
          </w:tcPr>
          <w:p w14:paraId="505CA7D7" w14:textId="584A9ED1" w:rsidR="007865F1" w:rsidRPr="00D64490" w:rsidRDefault="007865F1" w:rsidP="00D56EB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900" w:type="dxa"/>
            <w:vAlign w:val="center"/>
          </w:tcPr>
          <w:p w14:paraId="0D9FBFCC" w14:textId="45993BC3" w:rsidR="007865F1" w:rsidRPr="00D64490" w:rsidRDefault="007865F1" w:rsidP="00BF5AED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440" w:type="dxa"/>
            <w:vAlign w:val="center"/>
          </w:tcPr>
          <w:p w14:paraId="448D9CAC" w14:textId="02DFE30D" w:rsidR="007865F1" w:rsidRPr="00566DCD" w:rsidRDefault="007865F1" w:rsidP="009073D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5A3B">
              <w:rPr>
                <w:b/>
                <w:bCs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900" w:type="dxa"/>
            <w:vAlign w:val="center"/>
          </w:tcPr>
          <w:p w14:paraId="07C048BB" w14:textId="0528E22E" w:rsidR="007865F1" w:rsidRPr="00D64490" w:rsidRDefault="007865F1" w:rsidP="009073D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44" w:type="dxa"/>
            <w:vAlign w:val="center"/>
          </w:tcPr>
          <w:p w14:paraId="76B2E407" w14:textId="340BE93B" w:rsidR="007865F1" w:rsidRPr="00D64490" w:rsidRDefault="007865F1" w:rsidP="009073D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39" w:type="dxa"/>
            <w:vAlign w:val="center"/>
          </w:tcPr>
          <w:p w14:paraId="47E2E64A" w14:textId="28449C9F" w:rsidR="007865F1" w:rsidRPr="00566DCD" w:rsidRDefault="007865F1" w:rsidP="009073D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E5A3B">
              <w:rPr>
                <w:b/>
                <w:bCs/>
                <w:color w:val="000000" w:themeColor="text1"/>
                <w:sz w:val="18"/>
                <w:szCs w:val="18"/>
              </w:rPr>
              <w:t>0.60</w:t>
            </w:r>
          </w:p>
        </w:tc>
        <w:tc>
          <w:tcPr>
            <w:tcW w:w="1687" w:type="dxa"/>
            <w:vAlign w:val="center"/>
          </w:tcPr>
          <w:p w14:paraId="747A305E" w14:textId="160BBE9E" w:rsidR="007865F1" w:rsidRPr="00825CD7" w:rsidRDefault="007865F1" w:rsidP="00D56EB1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825CD7">
              <w:rPr>
                <w:color w:val="000000" w:themeColor="text1"/>
                <w:sz w:val="18"/>
                <w:szCs w:val="18"/>
              </w:rPr>
              <w:t>0.55 / 0.60 = 0.92</w:t>
            </w:r>
          </w:p>
        </w:tc>
        <w:tc>
          <w:tcPr>
            <w:tcW w:w="1890" w:type="dxa"/>
            <w:vAlign w:val="center"/>
          </w:tcPr>
          <w:p w14:paraId="2157EB05" w14:textId="296E6F5E" w:rsidR="007865F1" w:rsidRPr="00825CD7" w:rsidRDefault="007865F1" w:rsidP="00561859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825CD7">
              <w:rPr>
                <w:color w:val="000000" w:themeColor="text1"/>
                <w:sz w:val="18"/>
                <w:szCs w:val="18"/>
              </w:rPr>
              <w:t>0.9</w:t>
            </w:r>
            <w:r w:rsidRPr="00CE3ED6">
              <w:rPr>
                <w:color w:val="000000" w:themeColor="text1"/>
                <w:sz w:val="18"/>
                <w:szCs w:val="18"/>
              </w:rPr>
              <w:t>2</w:t>
            </w:r>
            <w:r w:rsidRPr="00825CD7">
              <w:rPr>
                <w:color w:val="000000" w:themeColor="text1"/>
                <w:sz w:val="18"/>
                <w:szCs w:val="18"/>
              </w:rPr>
              <w:t xml:space="preserve"> </w:t>
            </w:r>
            <w:r w:rsidR="002F2215"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 w:rsidRPr="00825CD7">
              <w:rPr>
                <w:color w:val="000000" w:themeColor="text1"/>
                <w:sz w:val="18"/>
                <w:szCs w:val="18"/>
              </w:rPr>
              <w:t xml:space="preserve"> 100 = 9</w:t>
            </w:r>
            <w:r w:rsidRPr="00CE3ED6">
              <w:rPr>
                <w:color w:val="000000" w:themeColor="text1"/>
                <w:sz w:val="18"/>
                <w:szCs w:val="18"/>
              </w:rPr>
              <w:t>1.67</w:t>
            </w:r>
          </w:p>
        </w:tc>
      </w:tr>
    </w:tbl>
    <w:p w14:paraId="256698FE" w14:textId="0CFEB362" w:rsidR="00D56EB1" w:rsidRPr="00F60E38" w:rsidRDefault="00F60E38" w:rsidP="00397C7F">
      <w:pPr>
        <w:rPr>
          <w:i/>
          <w:iCs/>
          <w:color w:val="000000" w:themeColor="text1"/>
          <w:sz w:val="20"/>
          <w:szCs w:val="20"/>
        </w:rPr>
      </w:pPr>
      <w:r w:rsidRPr="00CE3ED6">
        <w:rPr>
          <w:i/>
          <w:iCs/>
          <w:color w:val="000000" w:themeColor="text1"/>
          <w:sz w:val="20"/>
          <w:szCs w:val="20"/>
        </w:rPr>
        <w:t>Note: The O/E ratio is rounded to the nearest hundredth as a percentage.</w:t>
      </w:r>
    </w:p>
    <w:p w14:paraId="3F01D80D" w14:textId="77777777" w:rsidR="00D56EB1" w:rsidRDefault="00D56EB1" w:rsidP="00397C7F">
      <w:pPr>
        <w:rPr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="-455" w:tblpY="-37"/>
        <w:tblW w:w="10975" w:type="dxa"/>
        <w:tblLook w:val="04A0" w:firstRow="1" w:lastRow="0" w:firstColumn="1" w:lastColumn="0" w:noHBand="0" w:noVBand="1"/>
      </w:tblPr>
      <w:tblGrid>
        <w:gridCol w:w="1975"/>
        <w:gridCol w:w="1800"/>
        <w:gridCol w:w="1800"/>
        <w:gridCol w:w="1800"/>
        <w:gridCol w:w="3600"/>
      </w:tblGrid>
      <w:tr w:rsidR="00D56EB1" w:rsidRPr="00504672" w14:paraId="75B91EB0" w14:textId="77777777" w:rsidTr="00CA4B3D">
        <w:trPr>
          <w:trHeight w:val="890"/>
        </w:trPr>
        <w:tc>
          <w:tcPr>
            <w:tcW w:w="1975" w:type="dxa"/>
            <w:shd w:val="clear" w:color="auto" w:fill="002060"/>
            <w:vAlign w:val="center"/>
          </w:tcPr>
          <w:p w14:paraId="55FD29D3" w14:textId="77777777" w:rsidR="00D56EB1" w:rsidRPr="00786AA3" w:rsidRDefault="00D56EB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CBHC Name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198B5522" w14:textId="05B2F7AA" w:rsidR="00D56EB1" w:rsidRPr="00786AA3" w:rsidRDefault="00BF57FB" w:rsidP="00BF57FB">
            <w:pPr>
              <w:contextualSpacing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O/E </w:t>
            </w:r>
            <w:r w:rsidR="00D56EB1">
              <w:rPr>
                <w:b/>
                <w:bCs/>
                <w:color w:val="FFFFFF" w:themeColor="background1"/>
                <w:sz w:val="20"/>
                <w:szCs w:val="20"/>
              </w:rPr>
              <w:t>Ratio (%)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114DB9B8" w14:textId="77777777" w:rsidR="00D56EB1" w:rsidRPr="00786AA3" w:rsidRDefault="00D56EB1">
            <w:pPr>
              <w:contextualSpacing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Attainment Threshold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6DDA7C71" w14:textId="236E203C" w:rsidR="00D56EB1" w:rsidRPr="00786AA3" w:rsidRDefault="00D56EB1">
            <w:pPr>
              <w:contextualSpacing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Goal Benchmark</w:t>
            </w:r>
            <w:r w:rsidR="007D4501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5B0A2B97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3600" w:type="dxa"/>
            <w:shd w:val="clear" w:color="auto" w:fill="002060"/>
            <w:vAlign w:val="center"/>
          </w:tcPr>
          <w:p w14:paraId="71E4E885" w14:textId="77777777" w:rsidR="00D56EB1" w:rsidRPr="00786AA3" w:rsidRDefault="00D56EB1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Points</w:t>
            </w:r>
          </w:p>
        </w:tc>
      </w:tr>
      <w:tr w:rsidR="00D56EB1" w:rsidRPr="00504672" w14:paraId="3F76FDD5" w14:textId="77777777" w:rsidTr="00CA4B3D">
        <w:trPr>
          <w:trHeight w:val="654"/>
        </w:trPr>
        <w:tc>
          <w:tcPr>
            <w:tcW w:w="1975" w:type="dxa"/>
            <w:vAlign w:val="center"/>
          </w:tcPr>
          <w:p w14:paraId="59DB4730" w14:textId="77777777" w:rsidR="00D56EB1" w:rsidRPr="008249F8" w:rsidRDefault="00D56EB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1</w:t>
            </w:r>
          </w:p>
        </w:tc>
        <w:tc>
          <w:tcPr>
            <w:tcW w:w="1800" w:type="dxa"/>
            <w:vAlign w:val="center"/>
          </w:tcPr>
          <w:p w14:paraId="4C46E304" w14:textId="77777777" w:rsidR="00D56EB1" w:rsidRDefault="00D56EB1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187.50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567FDD7A" w14:textId="77777777" w:rsidR="00D56EB1" w:rsidRPr="008F2E79" w:rsidRDefault="00D56EB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02608709" w14:textId="77777777" w:rsidR="00D56EB1" w:rsidRPr="008F2E79" w:rsidRDefault="00D56EB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600" w:type="dxa"/>
            <w:vAlign w:val="center"/>
          </w:tcPr>
          <w:p w14:paraId="2E03819C" w14:textId="01062A17" w:rsidR="00AC72E1" w:rsidRDefault="00D56EB1" w:rsidP="00AC72E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6F06B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187.50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Pr="00CE3ED6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27.5</w:t>
            </w:r>
            <w:r w:rsidR="00177F6B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0</w:t>
            </w:r>
            <w:r w:rsidRPr="00CE3ED6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  <w:r w:rsidRPr="00215B54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  <w:p w14:paraId="618ED464" w14:textId="395CAF2E" w:rsidR="00D56EB1" w:rsidRPr="008F2E79" w:rsidRDefault="00AC72E1" w:rsidP="00AC72E1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    </w:t>
            </w:r>
            <w:r w:rsidR="00D56EB1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 w:rsidR="00D56EB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="00D56EB1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 w:rsidR="00D56EB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="00D56EB1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  <w:tr w:rsidR="00D56EB1" w:rsidRPr="00504672" w14:paraId="45AE9F12" w14:textId="77777777" w:rsidTr="00CA4B3D">
        <w:trPr>
          <w:trHeight w:val="654"/>
        </w:trPr>
        <w:tc>
          <w:tcPr>
            <w:tcW w:w="1975" w:type="dxa"/>
            <w:vAlign w:val="center"/>
          </w:tcPr>
          <w:p w14:paraId="52F4B7BC" w14:textId="77777777" w:rsidR="00D56EB1" w:rsidRPr="008249F8" w:rsidRDefault="00D56EB1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2</w:t>
            </w:r>
          </w:p>
        </w:tc>
        <w:tc>
          <w:tcPr>
            <w:tcW w:w="1800" w:type="dxa"/>
            <w:vAlign w:val="center"/>
          </w:tcPr>
          <w:p w14:paraId="11397B98" w14:textId="77777777" w:rsidR="00D56EB1" w:rsidRDefault="00D56EB1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654736F4" w14:textId="77777777" w:rsidR="00D56EB1" w:rsidRPr="007547E9" w:rsidRDefault="00D56EB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78142C71" w14:textId="77777777" w:rsidR="00D56EB1" w:rsidRDefault="00D56EB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600" w:type="dxa"/>
            <w:vAlign w:val="center"/>
          </w:tcPr>
          <w:p w14:paraId="38F9EA48" w14:textId="04CEBA29" w:rsidR="00D56EB1" w:rsidRPr="007547E9" w:rsidRDefault="00D56EB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6F06B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100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Pr="00215B54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10 pts</w:t>
            </w:r>
          </w:p>
          <w:p w14:paraId="669D901D" w14:textId="656977B0" w:rsidR="00D56EB1" w:rsidRDefault="00D56EB1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      </w:t>
            </w:r>
            <w:r w:rsidR="005056C0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  <w:tr w:rsidR="00D56EB1" w:rsidRPr="00504672" w14:paraId="74A79B27" w14:textId="77777777" w:rsidTr="00CA4B3D">
        <w:trPr>
          <w:trHeight w:val="654"/>
        </w:trPr>
        <w:tc>
          <w:tcPr>
            <w:tcW w:w="1975" w:type="dxa"/>
            <w:vAlign w:val="center"/>
          </w:tcPr>
          <w:p w14:paraId="57195D04" w14:textId="77777777" w:rsidR="00D56EB1" w:rsidRPr="008249F8" w:rsidRDefault="00D56EB1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3</w:t>
            </w:r>
          </w:p>
        </w:tc>
        <w:tc>
          <w:tcPr>
            <w:tcW w:w="1800" w:type="dxa"/>
            <w:vAlign w:val="center"/>
          </w:tcPr>
          <w:p w14:paraId="03123660" w14:textId="77777777" w:rsidR="00D56EB1" w:rsidRDefault="00D56EB1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91.67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6CBCC522" w14:textId="77777777" w:rsidR="00D56EB1" w:rsidRPr="007547E9" w:rsidRDefault="00D56EB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20E39567" w14:textId="77777777" w:rsidR="00D56EB1" w:rsidRDefault="00D56EB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600" w:type="dxa"/>
            <w:vAlign w:val="center"/>
          </w:tcPr>
          <w:p w14:paraId="55E75820" w14:textId="6A859A95" w:rsidR="00D56EB1" w:rsidRPr="007547E9" w:rsidRDefault="00D56EB1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6F06B2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91.67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Pr="002E5525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8.33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322B9F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pts</w:t>
            </w:r>
          </w:p>
          <w:p w14:paraId="272C96F2" w14:textId="4574B693" w:rsidR="00D56EB1" w:rsidRDefault="00D56EB1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    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</w:tbl>
    <w:p w14:paraId="172B3912" w14:textId="338584BD" w:rsidR="00D56EB1" w:rsidRDefault="00D56EB1">
      <w:pP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br w:type="page"/>
      </w:r>
    </w:p>
    <w:p w14:paraId="15660C33" w14:textId="1587B13B" w:rsidR="005172EF" w:rsidRDefault="005172EF" w:rsidP="005172EF">
      <w:pPr>
        <w:pStyle w:val="Heading2"/>
        <w:rPr>
          <w:rStyle w:val="Heading3Char"/>
          <w:b/>
          <w:bCs w:val="0"/>
          <w:sz w:val="22"/>
          <w:szCs w:val="20"/>
        </w:rPr>
      </w:pPr>
      <w:bookmarkStart w:id="56" w:name="_Toc212807364"/>
      <w:r w:rsidRPr="005172EF">
        <w:rPr>
          <w:rStyle w:val="Heading3Char"/>
          <w:b/>
          <w:bCs w:val="0"/>
          <w:sz w:val="22"/>
          <w:szCs w:val="20"/>
        </w:rPr>
        <w:lastRenderedPageBreak/>
        <w:t>Example 3: Observed</w:t>
      </w:r>
      <w:r w:rsidR="00AE22EF">
        <w:rPr>
          <w:rStyle w:val="Heading3Char"/>
          <w:b/>
          <w:bCs w:val="0"/>
          <w:sz w:val="22"/>
          <w:szCs w:val="20"/>
        </w:rPr>
        <w:t>-</w:t>
      </w:r>
      <w:r w:rsidRPr="005172EF">
        <w:rPr>
          <w:rStyle w:val="Heading3Char"/>
          <w:b/>
          <w:bCs w:val="0"/>
          <w:sz w:val="22"/>
          <w:szCs w:val="20"/>
        </w:rPr>
        <w:t>Over</w:t>
      </w:r>
      <w:r w:rsidR="00AE22EF">
        <w:rPr>
          <w:rStyle w:val="Heading3Char"/>
          <w:b/>
          <w:bCs w:val="0"/>
          <w:sz w:val="22"/>
          <w:szCs w:val="20"/>
        </w:rPr>
        <w:t>-</w:t>
      </w:r>
      <w:r w:rsidRPr="005172EF">
        <w:rPr>
          <w:rStyle w:val="Heading3Char"/>
          <w:b/>
          <w:bCs w:val="0"/>
          <w:sz w:val="22"/>
          <w:szCs w:val="20"/>
        </w:rPr>
        <w:t>Expected Ratio</w:t>
      </w:r>
      <w:bookmarkEnd w:id="56"/>
    </w:p>
    <w:tbl>
      <w:tblPr>
        <w:tblStyle w:val="TableGrid"/>
        <w:tblW w:w="109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810"/>
        <w:gridCol w:w="900"/>
        <w:gridCol w:w="1440"/>
        <w:gridCol w:w="900"/>
        <w:gridCol w:w="990"/>
        <w:gridCol w:w="1260"/>
        <w:gridCol w:w="1710"/>
        <w:gridCol w:w="1800"/>
      </w:tblGrid>
      <w:tr w:rsidR="00300A70" w:rsidRPr="008410A2" w14:paraId="16EC693F" w14:textId="7C079051" w:rsidTr="00BF57FB">
        <w:trPr>
          <w:trHeight w:val="818"/>
        </w:trPr>
        <w:tc>
          <w:tcPr>
            <w:tcW w:w="1170" w:type="dxa"/>
            <w:shd w:val="clear" w:color="auto" w:fill="002060"/>
            <w:vAlign w:val="center"/>
          </w:tcPr>
          <w:p w14:paraId="4F2F8287" w14:textId="77777777" w:rsidR="00053B94" w:rsidRPr="00786AA3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CBHC Name</w:t>
            </w:r>
          </w:p>
        </w:tc>
        <w:tc>
          <w:tcPr>
            <w:tcW w:w="810" w:type="dxa"/>
            <w:shd w:val="clear" w:color="auto" w:fill="002060"/>
            <w:vAlign w:val="center"/>
          </w:tcPr>
          <w:p w14:paraId="6CAF4A3C" w14:textId="77777777" w:rsidR="00053B94" w:rsidRPr="00786AA3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Num</w:t>
            </w:r>
          </w:p>
        </w:tc>
        <w:tc>
          <w:tcPr>
            <w:tcW w:w="900" w:type="dxa"/>
            <w:shd w:val="clear" w:color="auto" w:fill="002060"/>
            <w:vAlign w:val="center"/>
          </w:tcPr>
          <w:p w14:paraId="1BBFCDCB" w14:textId="77777777" w:rsidR="00053B94" w:rsidRPr="00786AA3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Den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2846B11A" w14:textId="77777777" w:rsidR="00053B94" w:rsidRPr="00786AA3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Rate (Observed)</w:t>
            </w:r>
          </w:p>
        </w:tc>
        <w:tc>
          <w:tcPr>
            <w:tcW w:w="900" w:type="dxa"/>
            <w:shd w:val="clear" w:color="auto" w:fill="002060"/>
            <w:vAlign w:val="center"/>
          </w:tcPr>
          <w:p w14:paraId="3B04E971" w14:textId="77777777" w:rsidR="00053B94" w:rsidRPr="00786AA3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Num</w:t>
            </w:r>
          </w:p>
        </w:tc>
        <w:tc>
          <w:tcPr>
            <w:tcW w:w="990" w:type="dxa"/>
            <w:shd w:val="clear" w:color="auto" w:fill="002060"/>
            <w:vAlign w:val="center"/>
          </w:tcPr>
          <w:p w14:paraId="467C7A54" w14:textId="77777777" w:rsidR="00053B94" w:rsidRPr="00786AA3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Den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306DC008" w14:textId="77777777" w:rsidR="00053B94" w:rsidRPr="00786AA3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Rate (Expected)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52DD82B6" w14:textId="629DE5FF" w:rsidR="00053B94" w:rsidRPr="00786AA3" w:rsidRDefault="00300A70" w:rsidP="00300A7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O/E </w:t>
            </w:r>
            <w:r w:rsidR="00053B94">
              <w:rPr>
                <w:b/>
                <w:bCs/>
                <w:color w:val="FFFFFF" w:themeColor="background1"/>
                <w:sz w:val="20"/>
                <w:szCs w:val="20"/>
              </w:rPr>
              <w:t>Ratio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55CB8A91" w14:textId="00CFC748" w:rsidR="00053B94" w:rsidRDefault="00053B94" w:rsidP="00300A70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O/E Ratio</w:t>
            </w:r>
            <w:r w:rsidR="00300A70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</w:tr>
      <w:tr w:rsidR="006809BE" w:rsidRPr="008410A2" w14:paraId="2A5DAA4A" w14:textId="2AAE7069" w:rsidTr="00BF57FB">
        <w:trPr>
          <w:trHeight w:val="620"/>
        </w:trPr>
        <w:tc>
          <w:tcPr>
            <w:tcW w:w="1170" w:type="dxa"/>
            <w:vAlign w:val="center"/>
          </w:tcPr>
          <w:p w14:paraId="068E434C" w14:textId="77777777" w:rsidR="00053B94" w:rsidRPr="008249F8" w:rsidRDefault="00053B94" w:rsidP="00D56EB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1</w:t>
            </w:r>
          </w:p>
        </w:tc>
        <w:tc>
          <w:tcPr>
            <w:tcW w:w="810" w:type="dxa"/>
            <w:vAlign w:val="center"/>
          </w:tcPr>
          <w:p w14:paraId="1AB870EF" w14:textId="77777777" w:rsidR="00053B94" w:rsidRPr="00D64490" w:rsidRDefault="00053B94" w:rsidP="0097679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00" w:type="dxa"/>
            <w:vAlign w:val="center"/>
          </w:tcPr>
          <w:p w14:paraId="30D14EC0" w14:textId="77777777" w:rsidR="00053B94" w:rsidRPr="00D64490" w:rsidRDefault="00053B94" w:rsidP="00976796">
            <w:pPr>
              <w:pStyle w:val="ListParagraph"/>
              <w:spacing w:line="360" w:lineRule="auto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0" w:type="dxa"/>
            <w:vAlign w:val="center"/>
          </w:tcPr>
          <w:p w14:paraId="68C6F1FE" w14:textId="77777777" w:rsidR="00053B94" w:rsidRPr="00566DCD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900" w:type="dxa"/>
            <w:vAlign w:val="center"/>
          </w:tcPr>
          <w:p w14:paraId="333E79BC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0" w:type="dxa"/>
            <w:vAlign w:val="center"/>
          </w:tcPr>
          <w:p w14:paraId="7ED100AD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60" w:type="dxa"/>
            <w:vAlign w:val="center"/>
          </w:tcPr>
          <w:p w14:paraId="3313F5D1" w14:textId="77777777" w:rsidR="00053B94" w:rsidRPr="00566DCD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710" w:type="dxa"/>
            <w:vAlign w:val="center"/>
          </w:tcPr>
          <w:p w14:paraId="1FCA2E44" w14:textId="66170526" w:rsidR="00053B94" w:rsidRPr="00D56EB1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56EB1">
              <w:rPr>
                <w:color w:val="000000" w:themeColor="text1"/>
                <w:sz w:val="18"/>
                <w:szCs w:val="18"/>
              </w:rPr>
              <w:t xml:space="preserve">0.25 / 0.25 = </w:t>
            </w:r>
            <w:r w:rsidRPr="00CE3ED6">
              <w:rPr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1800" w:type="dxa"/>
            <w:vAlign w:val="center"/>
          </w:tcPr>
          <w:p w14:paraId="7EE4615F" w14:textId="46BD697F" w:rsidR="00053B94" w:rsidRDefault="00053B94" w:rsidP="004C57B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1.00 </w:t>
            </w:r>
            <w:r w:rsidR="00B912D0"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>
              <w:rPr>
                <w:color w:val="000000" w:themeColor="text1"/>
                <w:sz w:val="18"/>
                <w:szCs w:val="18"/>
              </w:rPr>
              <w:t xml:space="preserve"> 100 = </w:t>
            </w:r>
            <w:r w:rsidRPr="00CE3ED6"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</w:tr>
      <w:tr w:rsidR="006809BE" w:rsidRPr="008410A2" w14:paraId="0F738739" w14:textId="34671E1D" w:rsidTr="00BF57FB">
        <w:trPr>
          <w:trHeight w:val="620"/>
        </w:trPr>
        <w:tc>
          <w:tcPr>
            <w:tcW w:w="1170" w:type="dxa"/>
            <w:vAlign w:val="center"/>
          </w:tcPr>
          <w:p w14:paraId="665AAC93" w14:textId="77777777" w:rsidR="00053B94" w:rsidRPr="008249F8" w:rsidRDefault="00053B94" w:rsidP="00D56EB1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2</w:t>
            </w:r>
          </w:p>
        </w:tc>
        <w:tc>
          <w:tcPr>
            <w:tcW w:w="810" w:type="dxa"/>
            <w:vAlign w:val="center"/>
          </w:tcPr>
          <w:p w14:paraId="3F9B7F7C" w14:textId="77777777" w:rsidR="00053B94" w:rsidRPr="00D64490" w:rsidRDefault="00053B94" w:rsidP="00976796">
            <w:pPr>
              <w:pStyle w:val="ListParagraph"/>
              <w:tabs>
                <w:tab w:val="left" w:pos="1216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center"/>
          </w:tcPr>
          <w:p w14:paraId="4B768A18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0" w:type="dxa"/>
            <w:vAlign w:val="center"/>
          </w:tcPr>
          <w:p w14:paraId="1D9C9097" w14:textId="77777777" w:rsidR="00053B94" w:rsidRPr="00566DCD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900" w:type="dxa"/>
            <w:vAlign w:val="center"/>
          </w:tcPr>
          <w:p w14:paraId="1A63AA7A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0" w:type="dxa"/>
            <w:vAlign w:val="center"/>
          </w:tcPr>
          <w:p w14:paraId="7C8FD7F1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9F27F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60" w:type="dxa"/>
            <w:vAlign w:val="center"/>
          </w:tcPr>
          <w:p w14:paraId="355C3FA6" w14:textId="77777777" w:rsidR="00053B94" w:rsidRPr="00566DCD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1710" w:type="dxa"/>
            <w:vAlign w:val="center"/>
          </w:tcPr>
          <w:p w14:paraId="2F0289F7" w14:textId="3EF94DC1" w:rsidR="00053B94" w:rsidRPr="00D56EB1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56EB1">
              <w:rPr>
                <w:color w:val="000000" w:themeColor="text1"/>
                <w:sz w:val="18"/>
                <w:szCs w:val="18"/>
              </w:rPr>
              <w:t>0.10 / 0.50 =</w:t>
            </w:r>
            <w:r w:rsidRPr="00CE3ED6">
              <w:rPr>
                <w:color w:val="000000" w:themeColor="text1"/>
                <w:sz w:val="18"/>
                <w:szCs w:val="18"/>
              </w:rPr>
              <w:t xml:space="preserve"> 0.20</w:t>
            </w:r>
          </w:p>
        </w:tc>
        <w:tc>
          <w:tcPr>
            <w:tcW w:w="1800" w:type="dxa"/>
            <w:vAlign w:val="center"/>
          </w:tcPr>
          <w:p w14:paraId="10F0B1F0" w14:textId="6AB127BF" w:rsidR="00053B94" w:rsidRDefault="00053B94" w:rsidP="004C57B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0.20 </w:t>
            </w:r>
            <w:r w:rsidR="00B912D0"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>
              <w:rPr>
                <w:color w:val="000000" w:themeColor="text1"/>
                <w:sz w:val="18"/>
                <w:szCs w:val="18"/>
              </w:rPr>
              <w:t xml:space="preserve"> 100 = </w:t>
            </w:r>
            <w:r w:rsidRPr="00CE3ED6">
              <w:rPr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</w:tr>
      <w:tr w:rsidR="006809BE" w:rsidRPr="008410A2" w14:paraId="2D81BC63" w14:textId="4EF485E1" w:rsidTr="00BF57FB">
        <w:trPr>
          <w:trHeight w:val="710"/>
        </w:trPr>
        <w:tc>
          <w:tcPr>
            <w:tcW w:w="1170" w:type="dxa"/>
            <w:vAlign w:val="center"/>
          </w:tcPr>
          <w:p w14:paraId="5E175BEA" w14:textId="77777777" w:rsidR="00053B94" w:rsidRPr="008249F8" w:rsidRDefault="00053B94" w:rsidP="00D56EB1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249F8">
              <w:rPr>
                <w:b/>
                <w:bCs/>
                <w:color w:val="000000" w:themeColor="text1"/>
                <w:sz w:val="18"/>
                <w:szCs w:val="18"/>
              </w:rPr>
              <w:t>CBHC 3</w:t>
            </w:r>
          </w:p>
        </w:tc>
        <w:tc>
          <w:tcPr>
            <w:tcW w:w="810" w:type="dxa"/>
            <w:vAlign w:val="center"/>
          </w:tcPr>
          <w:p w14:paraId="412E016A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00" w:type="dxa"/>
            <w:vAlign w:val="center"/>
          </w:tcPr>
          <w:p w14:paraId="1CF91E72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40" w:type="dxa"/>
            <w:vAlign w:val="center"/>
          </w:tcPr>
          <w:p w14:paraId="1C11B436" w14:textId="77777777" w:rsidR="00053B94" w:rsidRPr="00566DCD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0.30</w:t>
            </w:r>
          </w:p>
        </w:tc>
        <w:tc>
          <w:tcPr>
            <w:tcW w:w="900" w:type="dxa"/>
            <w:vAlign w:val="center"/>
          </w:tcPr>
          <w:p w14:paraId="6E3B4951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990" w:type="dxa"/>
            <w:vAlign w:val="center"/>
          </w:tcPr>
          <w:p w14:paraId="73789020" w14:textId="77777777" w:rsidR="00053B94" w:rsidRPr="00D64490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9F27F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60" w:type="dxa"/>
            <w:vAlign w:val="center"/>
          </w:tcPr>
          <w:p w14:paraId="733E0472" w14:textId="77777777" w:rsidR="00053B94" w:rsidRPr="00566DCD" w:rsidRDefault="00053B94" w:rsidP="0097679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0.88</w:t>
            </w:r>
          </w:p>
        </w:tc>
        <w:tc>
          <w:tcPr>
            <w:tcW w:w="1710" w:type="dxa"/>
            <w:vAlign w:val="center"/>
          </w:tcPr>
          <w:p w14:paraId="2D3D8E1D" w14:textId="0B7E028C" w:rsidR="00053B94" w:rsidRPr="00D56EB1" w:rsidRDefault="00053B94" w:rsidP="00976796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56EB1">
              <w:rPr>
                <w:color w:val="000000" w:themeColor="text1"/>
                <w:sz w:val="18"/>
                <w:szCs w:val="18"/>
              </w:rPr>
              <w:t>0.30 / 0.88 = 0.</w:t>
            </w:r>
            <w:r w:rsidRPr="00CE3ED6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800" w:type="dxa"/>
            <w:vAlign w:val="center"/>
          </w:tcPr>
          <w:p w14:paraId="14F974E9" w14:textId="4D436599" w:rsidR="00053B94" w:rsidRDefault="00053B94" w:rsidP="004C57BF">
            <w:pPr>
              <w:pStyle w:val="ListParagraph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0.34 </w:t>
            </w:r>
            <w:r w:rsidR="00B912D0">
              <w:rPr>
                <w:rFonts w:cstheme="minorHAnsi"/>
                <w:color w:val="000000" w:themeColor="text1"/>
                <w:sz w:val="18"/>
                <w:szCs w:val="18"/>
              </w:rPr>
              <w:t>×</w:t>
            </w:r>
            <w:r>
              <w:rPr>
                <w:color w:val="000000" w:themeColor="text1"/>
                <w:sz w:val="18"/>
                <w:szCs w:val="18"/>
              </w:rPr>
              <w:t xml:space="preserve"> 100 = </w:t>
            </w:r>
            <w:r w:rsidRPr="00CE3ED6">
              <w:rPr>
                <w:b/>
                <w:bCs/>
                <w:color w:val="000000" w:themeColor="text1"/>
                <w:sz w:val="18"/>
                <w:szCs w:val="18"/>
              </w:rPr>
              <w:t>34</w:t>
            </w:r>
            <w:r w:rsidR="00085AA8">
              <w:rPr>
                <w:b/>
                <w:bCs/>
                <w:color w:val="000000" w:themeColor="text1"/>
                <w:sz w:val="18"/>
                <w:szCs w:val="18"/>
              </w:rPr>
              <w:t>.09</w:t>
            </w:r>
          </w:p>
        </w:tc>
      </w:tr>
    </w:tbl>
    <w:p w14:paraId="10531431" w14:textId="15A15AD3" w:rsidR="00A96168" w:rsidRPr="00831320" w:rsidRDefault="00831320" w:rsidP="00A96168">
      <w:pPr>
        <w:rPr>
          <w:i/>
          <w:iCs/>
          <w:color w:val="000000" w:themeColor="text1"/>
          <w:sz w:val="20"/>
          <w:szCs w:val="20"/>
        </w:rPr>
      </w:pPr>
      <w:r w:rsidRPr="00CE3ED6">
        <w:rPr>
          <w:i/>
          <w:iCs/>
          <w:color w:val="000000" w:themeColor="text1"/>
          <w:sz w:val="20"/>
          <w:szCs w:val="20"/>
        </w:rPr>
        <w:t>Note: The O/E ratio is rounded to the nearest hundredth as a percentage.</w:t>
      </w:r>
    </w:p>
    <w:tbl>
      <w:tblPr>
        <w:tblStyle w:val="TableGrid"/>
        <w:tblpPr w:leftFromText="180" w:rightFromText="180" w:vertAnchor="text" w:horzAnchor="margin" w:tblpXSpec="center" w:tblpY="334"/>
        <w:tblW w:w="10890" w:type="dxa"/>
        <w:tblLook w:val="04A0" w:firstRow="1" w:lastRow="0" w:firstColumn="1" w:lastColumn="0" w:noHBand="0" w:noVBand="1"/>
      </w:tblPr>
      <w:tblGrid>
        <w:gridCol w:w="1975"/>
        <w:gridCol w:w="1800"/>
        <w:gridCol w:w="1800"/>
        <w:gridCol w:w="1800"/>
        <w:gridCol w:w="3515"/>
      </w:tblGrid>
      <w:tr w:rsidR="00D927D9" w:rsidRPr="00504672" w14:paraId="436D5821" w14:textId="77777777" w:rsidTr="006809BE">
        <w:trPr>
          <w:trHeight w:val="980"/>
        </w:trPr>
        <w:tc>
          <w:tcPr>
            <w:tcW w:w="1975" w:type="dxa"/>
            <w:shd w:val="clear" w:color="auto" w:fill="002060"/>
            <w:vAlign w:val="center"/>
          </w:tcPr>
          <w:p w14:paraId="04E62A5B" w14:textId="77777777" w:rsidR="00B54D0D" w:rsidRPr="00786AA3" w:rsidRDefault="00B54D0D" w:rsidP="00271768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CBHC Name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757DB07A" w14:textId="48527AC7" w:rsidR="00B54D0D" w:rsidRPr="00786AA3" w:rsidRDefault="006809BE" w:rsidP="00BF57FB">
            <w:pPr>
              <w:contextualSpacing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O/E </w:t>
            </w:r>
            <w:r w:rsidR="00B54D0D">
              <w:rPr>
                <w:b/>
                <w:bCs/>
                <w:color w:val="FFFFFF" w:themeColor="background1"/>
                <w:sz w:val="20"/>
                <w:szCs w:val="20"/>
              </w:rPr>
              <w:t>Ratio</w:t>
            </w:r>
            <w:r w:rsidR="00BF57F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364CF0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71E82FAE" w14:textId="21A0B695" w:rsidR="00B54D0D" w:rsidRPr="00786AA3" w:rsidRDefault="00B54D0D" w:rsidP="00271768">
            <w:pPr>
              <w:contextualSpacing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Attainment Threshold</w:t>
            </w:r>
            <w:r w:rsidR="3D897F08" w:rsidRPr="5B0A2B97">
              <w:rPr>
                <w:b/>
                <w:bCs/>
                <w:color w:val="FFFFFF" w:themeColor="background1"/>
                <w:sz w:val="20"/>
                <w:szCs w:val="20"/>
              </w:rPr>
              <w:t xml:space="preserve"> (%)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737A0DAF" w14:textId="26B2C2FE" w:rsidR="00B54D0D" w:rsidRPr="00786AA3" w:rsidRDefault="00B54D0D" w:rsidP="00271768">
            <w:pPr>
              <w:contextualSpacing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86AA3">
              <w:rPr>
                <w:b/>
                <w:bCs/>
                <w:color w:val="FFFFFF" w:themeColor="background1"/>
                <w:sz w:val="20"/>
                <w:szCs w:val="20"/>
              </w:rPr>
              <w:t>Goal Benchmark</w:t>
            </w:r>
            <w:r w:rsidR="00D927D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4865C4EB" w:rsidRPr="5B0A2B97">
              <w:rPr>
                <w:b/>
                <w:bCs/>
                <w:color w:val="FFFFFF" w:themeColor="background1"/>
                <w:sz w:val="20"/>
                <w:szCs w:val="20"/>
              </w:rPr>
              <w:t>(%)</w:t>
            </w:r>
          </w:p>
        </w:tc>
        <w:tc>
          <w:tcPr>
            <w:tcW w:w="3515" w:type="dxa"/>
            <w:shd w:val="clear" w:color="auto" w:fill="002060"/>
            <w:vAlign w:val="center"/>
          </w:tcPr>
          <w:p w14:paraId="2C6BECEF" w14:textId="77777777" w:rsidR="00B54D0D" w:rsidRPr="00786AA3" w:rsidRDefault="00B54D0D" w:rsidP="00271768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786AA3">
              <w:rPr>
                <w:rStyle w:val="IntenseEmphasis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Attainment Points</w:t>
            </w:r>
          </w:p>
        </w:tc>
      </w:tr>
      <w:tr w:rsidR="00D927D9" w:rsidRPr="00504672" w14:paraId="51B70445" w14:textId="77777777" w:rsidTr="006809BE">
        <w:trPr>
          <w:trHeight w:val="654"/>
        </w:trPr>
        <w:tc>
          <w:tcPr>
            <w:tcW w:w="1975" w:type="dxa"/>
            <w:vAlign w:val="center"/>
          </w:tcPr>
          <w:p w14:paraId="54DAB285" w14:textId="77777777" w:rsidR="00B54D0D" w:rsidRPr="00C31CF6" w:rsidRDefault="00B54D0D" w:rsidP="0027176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C31CF6">
              <w:rPr>
                <w:b/>
                <w:bCs/>
                <w:color w:val="000000" w:themeColor="text1"/>
                <w:sz w:val="18"/>
                <w:szCs w:val="18"/>
              </w:rPr>
              <w:t>CBHC 1</w:t>
            </w:r>
          </w:p>
        </w:tc>
        <w:tc>
          <w:tcPr>
            <w:tcW w:w="1800" w:type="dxa"/>
            <w:vAlign w:val="center"/>
          </w:tcPr>
          <w:p w14:paraId="64FF6B8F" w14:textId="20AA94C5" w:rsidR="00B54D0D" w:rsidRDefault="00B54D0D" w:rsidP="00271768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EA6A1A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35CE4596" w14:textId="77777777" w:rsidR="00B54D0D" w:rsidRPr="008F2E79" w:rsidRDefault="00B54D0D" w:rsidP="0027176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45504FE7" w14:textId="77777777" w:rsidR="00B54D0D" w:rsidRPr="008F2E79" w:rsidRDefault="00B54D0D" w:rsidP="0027176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515" w:type="dxa"/>
            <w:vAlign w:val="center"/>
          </w:tcPr>
          <w:p w14:paraId="4175D5D0" w14:textId="6B9EC445" w:rsidR="00EA6A1A" w:rsidRDefault="00B54D0D" w:rsidP="00271768">
            <w:pPr>
              <w:contextualSpacing/>
              <w:jc w:val="center"/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4F0465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1</w:t>
            </w:r>
            <w:r w:rsidR="00EA6A1A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EA6A1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</w:t>
            </w:r>
            <w:r w:rsidRPr="00322B9F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 = </w:t>
            </w:r>
            <w:r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10 pts</w:t>
            </w:r>
          </w:p>
          <w:p w14:paraId="2D8490E2" w14:textId="18D2B1F1" w:rsidR="00B54D0D" w:rsidRPr="008F2E79" w:rsidRDefault="00175EA1" w:rsidP="00271768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</w:t>
            </w:r>
            <w:r w:rsidR="00F6478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B54D0D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 w:rsidR="00B54D0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="00B54D0D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 w:rsidR="00B54D0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="00B54D0D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  <w:tr w:rsidR="00D927D9" w:rsidRPr="00504672" w14:paraId="3CE719F2" w14:textId="77777777" w:rsidTr="006809BE">
        <w:trPr>
          <w:trHeight w:val="654"/>
        </w:trPr>
        <w:tc>
          <w:tcPr>
            <w:tcW w:w="1975" w:type="dxa"/>
            <w:vAlign w:val="center"/>
          </w:tcPr>
          <w:p w14:paraId="752BA08F" w14:textId="77777777" w:rsidR="00B54D0D" w:rsidRPr="00C31CF6" w:rsidRDefault="00B54D0D" w:rsidP="00271768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31CF6">
              <w:rPr>
                <w:b/>
                <w:bCs/>
                <w:color w:val="000000" w:themeColor="text1"/>
                <w:sz w:val="18"/>
                <w:szCs w:val="18"/>
              </w:rPr>
              <w:t>CBHC 2</w:t>
            </w:r>
          </w:p>
        </w:tc>
        <w:tc>
          <w:tcPr>
            <w:tcW w:w="1800" w:type="dxa"/>
            <w:vAlign w:val="center"/>
          </w:tcPr>
          <w:p w14:paraId="25BB7175" w14:textId="149FA5E2" w:rsidR="00B54D0D" w:rsidRDefault="00EA6A1A" w:rsidP="00271768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22FC5160" w14:textId="77777777" w:rsidR="00B54D0D" w:rsidRPr="007547E9" w:rsidRDefault="00B54D0D" w:rsidP="0027176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44CA885F" w14:textId="77777777" w:rsidR="00B54D0D" w:rsidRDefault="00B54D0D" w:rsidP="0027176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515" w:type="dxa"/>
            <w:vAlign w:val="center"/>
          </w:tcPr>
          <w:p w14:paraId="28DE7CB4" w14:textId="4642198A" w:rsidR="00B54D0D" w:rsidRPr="007547E9" w:rsidRDefault="00B54D0D" w:rsidP="0027176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4F0465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 w:rsidR="00EA6A1A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20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B140BA" w:rsidRPr="00550A1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-6 pts </w:t>
            </w:r>
            <w:r w:rsidR="00B140BA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=</w:t>
            </w:r>
            <w:r w:rsidR="00B140BA" w:rsidRPr="00B140BA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0</w:t>
            </w:r>
            <w:r w:rsidRPr="00B140BA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322B9F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>pts</w:t>
            </w:r>
          </w:p>
          <w:p w14:paraId="7A62D736" w14:textId="2CEBE51B" w:rsidR="00B54D0D" w:rsidRDefault="00175EA1" w:rsidP="00271768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   </w:t>
            </w:r>
            <w:r w:rsidR="00B54D0D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 w:rsidR="00B54D0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="00B54D0D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 w:rsidR="00B54D0D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="00B54D0D"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  <w:tr w:rsidR="00D927D9" w:rsidRPr="00504672" w14:paraId="5F56A451" w14:textId="77777777" w:rsidTr="006809BE">
        <w:trPr>
          <w:trHeight w:val="654"/>
        </w:trPr>
        <w:tc>
          <w:tcPr>
            <w:tcW w:w="1975" w:type="dxa"/>
            <w:vAlign w:val="center"/>
          </w:tcPr>
          <w:p w14:paraId="08DB1EFA" w14:textId="77777777" w:rsidR="00B54D0D" w:rsidRPr="00C31CF6" w:rsidRDefault="00B54D0D" w:rsidP="00271768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31CF6">
              <w:rPr>
                <w:b/>
                <w:bCs/>
                <w:color w:val="000000" w:themeColor="text1"/>
                <w:sz w:val="18"/>
                <w:szCs w:val="18"/>
              </w:rPr>
              <w:t>CBHC 3</w:t>
            </w:r>
          </w:p>
        </w:tc>
        <w:tc>
          <w:tcPr>
            <w:tcW w:w="1800" w:type="dxa"/>
            <w:vAlign w:val="center"/>
          </w:tcPr>
          <w:p w14:paraId="594009ED" w14:textId="0965DA38" w:rsidR="00B54D0D" w:rsidRDefault="00EA6A1A" w:rsidP="00271768">
            <w:p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34.09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08C9B047" w14:textId="77777777" w:rsidR="00B54D0D" w:rsidRPr="007547E9" w:rsidRDefault="00B54D0D" w:rsidP="0027176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00" w:type="dxa"/>
            <w:shd w:val="clear" w:color="auto" w:fill="DCDCDC" w:themeFill="text2" w:themeFillTint="33"/>
            <w:vAlign w:val="center"/>
          </w:tcPr>
          <w:p w14:paraId="3C7C4BD7" w14:textId="77777777" w:rsidR="00B54D0D" w:rsidRDefault="00B54D0D" w:rsidP="0027176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515" w:type="dxa"/>
            <w:vAlign w:val="center"/>
          </w:tcPr>
          <w:p w14:paraId="07764BDA" w14:textId="70DAABCF" w:rsidR="00B54D0D" w:rsidRPr="007547E9" w:rsidRDefault="00B54D0D" w:rsidP="00271768">
            <w:pPr>
              <w:contextualSpacing/>
              <w:jc w:val="center"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10 </w:t>
            </w:r>
            <w:r w:rsidR="004F0465">
              <w:rPr>
                <w:rStyle w:val="Intens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t>×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(</w:t>
            </w:r>
            <w:r w:rsidR="00B140BA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34.09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  <w:u w:val="single"/>
              </w:rPr>
              <w:t>)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= </w:t>
            </w:r>
            <w:r w:rsidR="00175EA1" w:rsidRPr="00550A1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-3.18</w:t>
            </w:r>
            <w:r w:rsidRPr="00550A16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pts</w:t>
            </w:r>
            <w:r w:rsidR="00175EA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="00175EA1" w:rsidRPr="00175EA1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=</w:t>
            </w:r>
            <w:r w:rsidR="00175EA1">
              <w:rPr>
                <w:rStyle w:val="IntenseEmphasis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0 pts</w:t>
            </w:r>
          </w:p>
          <w:p w14:paraId="6048AE61" w14:textId="7878073A" w:rsidR="00B54D0D" w:rsidRDefault="00B54D0D" w:rsidP="00271768">
            <w:pPr>
              <w:contextualSpacing/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            </w:t>
            </w:r>
            <w:r w:rsidR="00F64783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(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100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 xml:space="preserve"> – </w:t>
            </w:r>
            <w:r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50</w:t>
            </w:r>
            <w:r w:rsidRPr="007547E9">
              <w:rPr>
                <w:rStyle w:val="IntenseEmphasis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</w:tr>
    </w:tbl>
    <w:p w14:paraId="12A566D4" w14:textId="77777777" w:rsidR="0001353A" w:rsidRPr="0001353A" w:rsidRDefault="0001353A" w:rsidP="00171153">
      <w:pPr>
        <w:rPr>
          <w:b/>
          <w:bCs/>
          <w:color w:val="000000" w:themeColor="text1"/>
        </w:rPr>
      </w:pPr>
    </w:p>
    <w:sectPr w:rsidR="0001353A" w:rsidRPr="0001353A" w:rsidSect="00343901">
      <w:footerReference w:type="default" r:id="rId13"/>
      <w:pgSz w:w="12240" w:h="15840"/>
      <w:pgMar w:top="1440" w:right="1080" w:bottom="144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04A2" w14:textId="77777777" w:rsidR="00315E7D" w:rsidRDefault="00315E7D" w:rsidP="00240F61">
      <w:r>
        <w:separator/>
      </w:r>
    </w:p>
  </w:endnote>
  <w:endnote w:type="continuationSeparator" w:id="0">
    <w:p w14:paraId="3FFE2117" w14:textId="77777777" w:rsidR="00315E7D" w:rsidRDefault="00315E7D" w:rsidP="00240F61">
      <w:r>
        <w:continuationSeparator/>
      </w:r>
    </w:p>
  </w:endnote>
  <w:endnote w:type="continuationNotice" w:id="1">
    <w:p w14:paraId="562180DD" w14:textId="77777777" w:rsidR="00315E7D" w:rsidRDefault="00315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9159" w14:textId="77777777" w:rsidR="00976464" w:rsidRDefault="00976464" w:rsidP="00976464">
    <w:pPr>
      <w:pStyle w:val="Footer"/>
      <w:ind w:left="-1080" w:right="-1080"/>
    </w:pPr>
    <w:r w:rsidRPr="00FA43C1">
      <w:rPr>
        <w:noProof/>
      </w:rPr>
      <mc:AlternateContent>
        <mc:Choice Requires="wpg">
          <w:drawing>
            <wp:inline distT="0" distB="0" distL="0" distR="0" wp14:anchorId="10E2CECF" wp14:editId="6824A12E">
              <wp:extent cx="7772400" cy="182880"/>
              <wp:effectExtent l="0" t="0" r="0" b="0"/>
              <wp:docPr id="981881639" name="Group 9818816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82880"/>
                        <a:chOff x="-1" y="0"/>
                        <a:chExt cx="11400582" cy="436455"/>
                      </a:xfrm>
                    </wpg:grpSpPr>
                    <wps:wsp>
                      <wps:cNvPr id="1119657080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-1" y="0"/>
                          <a:ext cx="2011515" cy="43645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636403878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2011490" y="0"/>
                          <a:ext cx="3352525" cy="436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1250067797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5363938" y="0"/>
                          <a:ext cx="670738" cy="4364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368878539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6034674" y="0"/>
                          <a:ext cx="5365907" cy="4364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</wpg:wgp>
                </a:graphicData>
              </a:graphic>
            </wp:inline>
          </w:drawing>
        </mc:Choice>
        <mc:Fallback>
          <w:pict>
            <v:group w14:anchorId="52A3EF21" id="Group 981881639" o:spid="_x0000_s1026" alt="&quot;&quot;" style="width:612pt;height:14.4pt;mso-position-horizontal-relative:char;mso-position-vertical-relative:line" coordorigin="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">
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" fillcolor="#f6c51b [3207]" stroked="f">
                <v:textbox inset="2.59156mm,1.2958mm,2.59156mm,1.2958mm"/>
              </v:rect>
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" fillcolor="#489ae5 [1940]" stroked="f">
                <v:textbox inset="2.59156mm,1.2958mm,2.59156mm,1.2958mm"/>
              </v:rect>
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" fillcolor="#14558f [3204]" stroked="f">
                <v:textbox inset="2.59156mm,1.2958mm,2.59156mm,1.2958mm"/>
              </v:rect>
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" fillcolor="#388557 [3205]" stroked="f">
                <v:textbox inset="2.59156mm,1.2958mm,2.59156mm,1.2958mm"/>
              </v:rect>
              <w10:anchorlock/>
            </v:group>
          </w:pict>
        </mc:Fallback>
      </mc:AlternateContent>
    </w:r>
  </w:p>
  <w:p w14:paraId="7929393C" w14:textId="77777777" w:rsidR="00EE3CC9" w:rsidRDefault="00EE3CC9" w:rsidP="00976464">
    <w:pPr>
      <w:pStyle w:val="Footer"/>
      <w:tabs>
        <w:tab w:val="right" w:pos="9630"/>
      </w:tabs>
      <w:jc w:val="left"/>
    </w:pPr>
  </w:p>
  <w:p w14:paraId="0F04B52A" w14:textId="514C5A18" w:rsidR="00976464" w:rsidRDefault="00976464" w:rsidP="00976464">
    <w:pPr>
      <w:pStyle w:val="Footer"/>
      <w:tabs>
        <w:tab w:val="right" w:pos="9630"/>
      </w:tabs>
      <w:jc w:val="left"/>
    </w:pPr>
    <w:r>
      <w:t>Performance Assessment Methodology (PAM) Manual for the MassHealth CBHC Clinical Quality Incentive (CCQI) Program: Performance Years 1</w:t>
    </w:r>
    <w:r w:rsidR="00F26981">
      <w:t xml:space="preserve"> </w:t>
    </w:r>
    <w:r w:rsidR="00F26981" w:rsidRPr="00F26981">
      <w:t xml:space="preserve">– </w:t>
    </w:r>
    <w:r>
      <w:t>5 (Calendar Years 2024</w:t>
    </w:r>
    <w:r w:rsidR="00F26981">
      <w:t xml:space="preserve"> </w:t>
    </w:r>
    <w:r w:rsidR="00F26981" w:rsidRPr="00F26981">
      <w:t xml:space="preserve">– </w:t>
    </w:r>
    <w:r>
      <w:t xml:space="preserve">2028) </w:t>
    </w:r>
  </w:p>
  <w:p w14:paraId="55FADCAC" w14:textId="3A42C735" w:rsidR="00976464" w:rsidRDefault="00976464" w:rsidP="00E9713C">
    <w:pPr>
      <w:pStyle w:val="Footer"/>
      <w:tabs>
        <w:tab w:val="left" w:pos="2905"/>
      </w:tabs>
      <w:jc w:val="left"/>
    </w:pPr>
    <w:r w:rsidRPr="00C03C8F">
      <w:rPr>
        <w:i/>
        <w:iCs/>
      </w:rPr>
      <w:t xml:space="preserve">Version: </w:t>
    </w:r>
    <w:r>
      <w:rPr>
        <w:i/>
        <w:iCs/>
      </w:rPr>
      <w:t>October 2025</w:t>
    </w:r>
    <w:r w:rsidR="00953319">
      <w:rPr>
        <w:i/>
        <w:iCs/>
      </w:rPr>
      <w:tab/>
    </w:r>
    <w:r w:rsidR="00E9713C">
      <w:rPr>
        <w:i/>
        <w:iCs/>
      </w:rPr>
      <w:tab/>
    </w:r>
    <w:r w:rsidR="00953319">
      <w:rPr>
        <w:i/>
        <w:iCs/>
      </w:rPr>
      <w:tab/>
    </w:r>
    <w:sdt>
      <w:sdtPr>
        <w:id w:val="-20818133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53319">
          <w:fldChar w:fldCharType="begin"/>
        </w:r>
        <w:r w:rsidR="00953319">
          <w:instrText xml:space="preserve"> PAGE   \* MERGEFORMAT </w:instrText>
        </w:r>
        <w:r w:rsidR="00953319">
          <w:fldChar w:fldCharType="separate"/>
        </w:r>
        <w:r w:rsidR="00953319">
          <w:t>11</w:t>
        </w:r>
        <w:r w:rsidR="00953319">
          <w:rPr>
            <w:noProof/>
          </w:rPr>
          <w:fldChar w:fldCharType="end"/>
        </w:r>
      </w:sdtContent>
    </w:sdt>
  </w:p>
  <w:p w14:paraId="261F2C4E" w14:textId="5EE4FEE3" w:rsidR="00E27212" w:rsidRDefault="00E27212" w:rsidP="00075D2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7661" w14:textId="77777777" w:rsidR="00315E7D" w:rsidRDefault="00315E7D" w:rsidP="00240F61">
      <w:r>
        <w:separator/>
      </w:r>
    </w:p>
  </w:footnote>
  <w:footnote w:type="continuationSeparator" w:id="0">
    <w:p w14:paraId="7B19D7A2" w14:textId="77777777" w:rsidR="00315E7D" w:rsidRDefault="00315E7D" w:rsidP="00240F61">
      <w:r>
        <w:continuationSeparator/>
      </w:r>
    </w:p>
  </w:footnote>
  <w:footnote w:type="continuationNotice" w:id="1">
    <w:p w14:paraId="246D81BB" w14:textId="77777777" w:rsidR="00315E7D" w:rsidRDefault="00315E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352CD"/>
    <w:multiLevelType w:val="hybridMultilevel"/>
    <w:tmpl w:val="1A48AAE2"/>
    <w:lvl w:ilvl="0" w:tplc="FFFFFFFF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25A6"/>
    <w:multiLevelType w:val="hybridMultilevel"/>
    <w:tmpl w:val="2190F100"/>
    <w:lvl w:ilvl="0" w:tplc="4E2C5E7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142CF4"/>
    <w:multiLevelType w:val="hybridMultilevel"/>
    <w:tmpl w:val="5CC20106"/>
    <w:lvl w:ilvl="0" w:tplc="C2386970">
      <w:start w:val="1"/>
      <w:numFmt w:val="upperLetter"/>
      <w:lvlText w:val="%1."/>
      <w:lvlJc w:val="left"/>
      <w:pPr>
        <w:ind w:left="360" w:hanging="360"/>
      </w:pPr>
      <w:rPr>
        <w:b/>
        <w:bCs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26C2A12">
      <w:start w:val="1"/>
      <w:numFmt w:val="bullet"/>
      <w:lvlText w:val="•"/>
      <w:lvlJc w:val="left"/>
      <w:pPr>
        <w:ind w:left="2340" w:hanging="720"/>
      </w:pPr>
      <w:rPr>
        <w:rFonts w:ascii="Arial" w:eastAsiaTheme="minorEastAsia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44C4E"/>
    <w:multiLevelType w:val="hybridMultilevel"/>
    <w:tmpl w:val="27BCC980"/>
    <w:lvl w:ilvl="0" w:tplc="4E94FDD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E33A9"/>
    <w:multiLevelType w:val="hybridMultilevel"/>
    <w:tmpl w:val="1A48AAE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72D5F"/>
    <w:multiLevelType w:val="multilevel"/>
    <w:tmpl w:val="A10836D2"/>
    <w:lvl w:ilvl="0">
      <w:start w:val="18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66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8" w15:restartNumberingAfterBreak="0">
    <w:nsid w:val="736F3960"/>
    <w:multiLevelType w:val="multilevel"/>
    <w:tmpl w:val="BEB0E3CE"/>
    <w:lvl w:ilvl="0">
      <w:start w:val="18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66"/>
      <w:numFmt w:val="decimal"/>
      <w:lvlText w:val="%1.%2"/>
      <w:lvlJc w:val="left"/>
      <w:pPr>
        <w:ind w:left="117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num w:numId="1" w16cid:durableId="1279026860">
    <w:abstractNumId w:val="0"/>
  </w:num>
  <w:num w:numId="2" w16cid:durableId="1182932387">
    <w:abstractNumId w:val="4"/>
  </w:num>
  <w:num w:numId="3" w16cid:durableId="226310431">
    <w:abstractNumId w:val="3"/>
  </w:num>
  <w:num w:numId="4" w16cid:durableId="1377512117">
    <w:abstractNumId w:val="6"/>
  </w:num>
  <w:num w:numId="5" w16cid:durableId="345138861">
    <w:abstractNumId w:val="2"/>
  </w:num>
  <w:num w:numId="6" w16cid:durableId="2053722625">
    <w:abstractNumId w:val="5"/>
  </w:num>
  <w:num w:numId="7" w16cid:durableId="1548566012">
    <w:abstractNumId w:val="1"/>
  </w:num>
  <w:num w:numId="8" w16cid:durableId="1141581785">
    <w:abstractNumId w:val="7"/>
  </w:num>
  <w:num w:numId="9" w16cid:durableId="194970176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131"/>
    <w:rsid w:val="00000175"/>
    <w:rsid w:val="00000A00"/>
    <w:rsid w:val="00000BD1"/>
    <w:rsid w:val="00001826"/>
    <w:rsid w:val="00001A2C"/>
    <w:rsid w:val="00002240"/>
    <w:rsid w:val="00002415"/>
    <w:rsid w:val="0000301B"/>
    <w:rsid w:val="0000346E"/>
    <w:rsid w:val="000034A1"/>
    <w:rsid w:val="000034C1"/>
    <w:rsid w:val="000036A1"/>
    <w:rsid w:val="00003914"/>
    <w:rsid w:val="00003AC0"/>
    <w:rsid w:val="00003E71"/>
    <w:rsid w:val="0000449F"/>
    <w:rsid w:val="00004727"/>
    <w:rsid w:val="00004D83"/>
    <w:rsid w:val="00004EF7"/>
    <w:rsid w:val="000052A0"/>
    <w:rsid w:val="000059AA"/>
    <w:rsid w:val="00005B75"/>
    <w:rsid w:val="00005E3D"/>
    <w:rsid w:val="00005FF0"/>
    <w:rsid w:val="000064D6"/>
    <w:rsid w:val="00006974"/>
    <w:rsid w:val="00006FA9"/>
    <w:rsid w:val="00007DF2"/>
    <w:rsid w:val="00010381"/>
    <w:rsid w:val="00010448"/>
    <w:rsid w:val="0001063F"/>
    <w:rsid w:val="000106D6"/>
    <w:rsid w:val="00010C30"/>
    <w:rsid w:val="00010F10"/>
    <w:rsid w:val="000119F8"/>
    <w:rsid w:val="000129A4"/>
    <w:rsid w:val="000130E5"/>
    <w:rsid w:val="000134A2"/>
    <w:rsid w:val="00013523"/>
    <w:rsid w:val="0001353A"/>
    <w:rsid w:val="00014A12"/>
    <w:rsid w:val="00014A22"/>
    <w:rsid w:val="00014E8F"/>
    <w:rsid w:val="00015286"/>
    <w:rsid w:val="00015581"/>
    <w:rsid w:val="00015D87"/>
    <w:rsid w:val="0001615E"/>
    <w:rsid w:val="000161C0"/>
    <w:rsid w:val="00016B66"/>
    <w:rsid w:val="00016FAA"/>
    <w:rsid w:val="00017F85"/>
    <w:rsid w:val="00020B46"/>
    <w:rsid w:val="000215F6"/>
    <w:rsid w:val="00021BF3"/>
    <w:rsid w:val="0002216D"/>
    <w:rsid w:val="00022236"/>
    <w:rsid w:val="0002245B"/>
    <w:rsid w:val="000229A9"/>
    <w:rsid w:val="00023A78"/>
    <w:rsid w:val="00023E3F"/>
    <w:rsid w:val="0002438A"/>
    <w:rsid w:val="00024527"/>
    <w:rsid w:val="000245B0"/>
    <w:rsid w:val="000251CB"/>
    <w:rsid w:val="00025291"/>
    <w:rsid w:val="000252C4"/>
    <w:rsid w:val="00025353"/>
    <w:rsid w:val="0002579D"/>
    <w:rsid w:val="00026200"/>
    <w:rsid w:val="000262A2"/>
    <w:rsid w:val="00027A3E"/>
    <w:rsid w:val="00027B4A"/>
    <w:rsid w:val="00027DAD"/>
    <w:rsid w:val="00027E8D"/>
    <w:rsid w:val="00030337"/>
    <w:rsid w:val="0003051F"/>
    <w:rsid w:val="00030939"/>
    <w:rsid w:val="00031321"/>
    <w:rsid w:val="00031AF4"/>
    <w:rsid w:val="00031D7A"/>
    <w:rsid w:val="00032151"/>
    <w:rsid w:val="0003260D"/>
    <w:rsid w:val="00032779"/>
    <w:rsid w:val="00033322"/>
    <w:rsid w:val="0003400C"/>
    <w:rsid w:val="00034372"/>
    <w:rsid w:val="00035D87"/>
    <w:rsid w:val="000360D1"/>
    <w:rsid w:val="000365AB"/>
    <w:rsid w:val="00036876"/>
    <w:rsid w:val="000368AB"/>
    <w:rsid w:val="000400CA"/>
    <w:rsid w:val="000406CF"/>
    <w:rsid w:val="00040AAF"/>
    <w:rsid w:val="00040D7C"/>
    <w:rsid w:val="00041679"/>
    <w:rsid w:val="00041845"/>
    <w:rsid w:val="00041B49"/>
    <w:rsid w:val="00041E14"/>
    <w:rsid w:val="00041F57"/>
    <w:rsid w:val="00043023"/>
    <w:rsid w:val="00043335"/>
    <w:rsid w:val="000433D9"/>
    <w:rsid w:val="00043717"/>
    <w:rsid w:val="00043BAD"/>
    <w:rsid w:val="00044328"/>
    <w:rsid w:val="0004470D"/>
    <w:rsid w:val="00044788"/>
    <w:rsid w:val="00044D61"/>
    <w:rsid w:val="00045452"/>
    <w:rsid w:val="000454A7"/>
    <w:rsid w:val="00046332"/>
    <w:rsid w:val="00046E82"/>
    <w:rsid w:val="00047013"/>
    <w:rsid w:val="0004756F"/>
    <w:rsid w:val="0005051E"/>
    <w:rsid w:val="00050C76"/>
    <w:rsid w:val="0005105D"/>
    <w:rsid w:val="000514E3"/>
    <w:rsid w:val="000519D0"/>
    <w:rsid w:val="00051D25"/>
    <w:rsid w:val="0005279A"/>
    <w:rsid w:val="00052803"/>
    <w:rsid w:val="00052ABE"/>
    <w:rsid w:val="00052BBF"/>
    <w:rsid w:val="00052C94"/>
    <w:rsid w:val="00052EB2"/>
    <w:rsid w:val="0005301B"/>
    <w:rsid w:val="0005301E"/>
    <w:rsid w:val="00053158"/>
    <w:rsid w:val="00053B94"/>
    <w:rsid w:val="00055493"/>
    <w:rsid w:val="000556FD"/>
    <w:rsid w:val="00055BA9"/>
    <w:rsid w:val="0005626E"/>
    <w:rsid w:val="000563C0"/>
    <w:rsid w:val="00056A13"/>
    <w:rsid w:val="00056D67"/>
    <w:rsid w:val="0005768C"/>
    <w:rsid w:val="00057D40"/>
    <w:rsid w:val="00057EEA"/>
    <w:rsid w:val="00060904"/>
    <w:rsid w:val="00061535"/>
    <w:rsid w:val="0006166A"/>
    <w:rsid w:val="00061705"/>
    <w:rsid w:val="00061BDE"/>
    <w:rsid w:val="00062186"/>
    <w:rsid w:val="000626BE"/>
    <w:rsid w:val="00063041"/>
    <w:rsid w:val="000630C2"/>
    <w:rsid w:val="0006351D"/>
    <w:rsid w:val="000637D3"/>
    <w:rsid w:val="0006448A"/>
    <w:rsid w:val="000648D9"/>
    <w:rsid w:val="00064A99"/>
    <w:rsid w:val="00064D73"/>
    <w:rsid w:val="00065EAC"/>
    <w:rsid w:val="00066B33"/>
    <w:rsid w:val="00066D04"/>
    <w:rsid w:val="00066F5A"/>
    <w:rsid w:val="00067624"/>
    <w:rsid w:val="000679CB"/>
    <w:rsid w:val="00067B26"/>
    <w:rsid w:val="00067F32"/>
    <w:rsid w:val="00070279"/>
    <w:rsid w:val="0007093F"/>
    <w:rsid w:val="00070C32"/>
    <w:rsid w:val="00070D6A"/>
    <w:rsid w:val="00070E34"/>
    <w:rsid w:val="00070EC2"/>
    <w:rsid w:val="00071305"/>
    <w:rsid w:val="00072082"/>
    <w:rsid w:val="00072373"/>
    <w:rsid w:val="00072396"/>
    <w:rsid w:val="00072598"/>
    <w:rsid w:val="00072DD3"/>
    <w:rsid w:val="00072F82"/>
    <w:rsid w:val="0007322D"/>
    <w:rsid w:val="00073484"/>
    <w:rsid w:val="00073535"/>
    <w:rsid w:val="000737D3"/>
    <w:rsid w:val="00073D5E"/>
    <w:rsid w:val="00073DB6"/>
    <w:rsid w:val="00073F9C"/>
    <w:rsid w:val="000742D7"/>
    <w:rsid w:val="00074E39"/>
    <w:rsid w:val="000757E3"/>
    <w:rsid w:val="000758E3"/>
    <w:rsid w:val="00075D27"/>
    <w:rsid w:val="00076DE8"/>
    <w:rsid w:val="00077201"/>
    <w:rsid w:val="000772CB"/>
    <w:rsid w:val="0007776B"/>
    <w:rsid w:val="000778C0"/>
    <w:rsid w:val="00077A0B"/>
    <w:rsid w:val="00077C5A"/>
    <w:rsid w:val="00080407"/>
    <w:rsid w:val="0008082B"/>
    <w:rsid w:val="00080CAE"/>
    <w:rsid w:val="00081420"/>
    <w:rsid w:val="0008185D"/>
    <w:rsid w:val="00081AA1"/>
    <w:rsid w:val="00082A9D"/>
    <w:rsid w:val="00082B0C"/>
    <w:rsid w:val="00082C15"/>
    <w:rsid w:val="00082FD3"/>
    <w:rsid w:val="0008381E"/>
    <w:rsid w:val="0008382B"/>
    <w:rsid w:val="00083ED2"/>
    <w:rsid w:val="00084146"/>
    <w:rsid w:val="000843FE"/>
    <w:rsid w:val="00084E06"/>
    <w:rsid w:val="000852AF"/>
    <w:rsid w:val="00085773"/>
    <w:rsid w:val="000859DD"/>
    <w:rsid w:val="00085A0B"/>
    <w:rsid w:val="00085AA8"/>
    <w:rsid w:val="00085C87"/>
    <w:rsid w:val="00085D4C"/>
    <w:rsid w:val="00086342"/>
    <w:rsid w:val="0008697D"/>
    <w:rsid w:val="00086A75"/>
    <w:rsid w:val="0008704E"/>
    <w:rsid w:val="0008714D"/>
    <w:rsid w:val="000873C1"/>
    <w:rsid w:val="0009005C"/>
    <w:rsid w:val="00090400"/>
    <w:rsid w:val="000905A5"/>
    <w:rsid w:val="00090DF5"/>
    <w:rsid w:val="00091112"/>
    <w:rsid w:val="0009154C"/>
    <w:rsid w:val="00091721"/>
    <w:rsid w:val="00091A86"/>
    <w:rsid w:val="000923D7"/>
    <w:rsid w:val="000927BE"/>
    <w:rsid w:val="000933E9"/>
    <w:rsid w:val="00093C3C"/>
    <w:rsid w:val="00093EB6"/>
    <w:rsid w:val="000941E8"/>
    <w:rsid w:val="00096479"/>
    <w:rsid w:val="00096779"/>
    <w:rsid w:val="00096846"/>
    <w:rsid w:val="00097086"/>
    <w:rsid w:val="00097195"/>
    <w:rsid w:val="000973A1"/>
    <w:rsid w:val="00097431"/>
    <w:rsid w:val="00097891"/>
    <w:rsid w:val="00097B61"/>
    <w:rsid w:val="000A0A53"/>
    <w:rsid w:val="000A0ABF"/>
    <w:rsid w:val="000A178C"/>
    <w:rsid w:val="000A19C7"/>
    <w:rsid w:val="000A19F9"/>
    <w:rsid w:val="000A1C6B"/>
    <w:rsid w:val="000A2367"/>
    <w:rsid w:val="000A26B9"/>
    <w:rsid w:val="000A3165"/>
    <w:rsid w:val="000A389E"/>
    <w:rsid w:val="000A4A89"/>
    <w:rsid w:val="000A4FA5"/>
    <w:rsid w:val="000A546D"/>
    <w:rsid w:val="000A597C"/>
    <w:rsid w:val="000A5F9C"/>
    <w:rsid w:val="000A62BC"/>
    <w:rsid w:val="000A6C7F"/>
    <w:rsid w:val="000A739D"/>
    <w:rsid w:val="000A7515"/>
    <w:rsid w:val="000A76C4"/>
    <w:rsid w:val="000B016E"/>
    <w:rsid w:val="000B0EA2"/>
    <w:rsid w:val="000B1AF4"/>
    <w:rsid w:val="000B1BA5"/>
    <w:rsid w:val="000B1C93"/>
    <w:rsid w:val="000B1D60"/>
    <w:rsid w:val="000B1E12"/>
    <w:rsid w:val="000B24E3"/>
    <w:rsid w:val="000B284A"/>
    <w:rsid w:val="000B28DE"/>
    <w:rsid w:val="000B29CB"/>
    <w:rsid w:val="000B2E4F"/>
    <w:rsid w:val="000B33C7"/>
    <w:rsid w:val="000B3A58"/>
    <w:rsid w:val="000B3D5D"/>
    <w:rsid w:val="000B4641"/>
    <w:rsid w:val="000B47C5"/>
    <w:rsid w:val="000B4B58"/>
    <w:rsid w:val="000B52BE"/>
    <w:rsid w:val="000B5F6F"/>
    <w:rsid w:val="000B610A"/>
    <w:rsid w:val="000B61E0"/>
    <w:rsid w:val="000B62B8"/>
    <w:rsid w:val="000B67AA"/>
    <w:rsid w:val="000B68D9"/>
    <w:rsid w:val="000B6A2E"/>
    <w:rsid w:val="000B6E3B"/>
    <w:rsid w:val="000B7DE1"/>
    <w:rsid w:val="000C0285"/>
    <w:rsid w:val="000C113E"/>
    <w:rsid w:val="000C13B5"/>
    <w:rsid w:val="000C2139"/>
    <w:rsid w:val="000C224B"/>
    <w:rsid w:val="000C2A90"/>
    <w:rsid w:val="000C2D25"/>
    <w:rsid w:val="000C3561"/>
    <w:rsid w:val="000C3A8D"/>
    <w:rsid w:val="000C3D06"/>
    <w:rsid w:val="000C3EBA"/>
    <w:rsid w:val="000C4A30"/>
    <w:rsid w:val="000C6216"/>
    <w:rsid w:val="000C6A20"/>
    <w:rsid w:val="000C6AE9"/>
    <w:rsid w:val="000C6C61"/>
    <w:rsid w:val="000D0BC6"/>
    <w:rsid w:val="000D1378"/>
    <w:rsid w:val="000D1C8E"/>
    <w:rsid w:val="000D1F1D"/>
    <w:rsid w:val="000D2195"/>
    <w:rsid w:val="000D2224"/>
    <w:rsid w:val="000D2E71"/>
    <w:rsid w:val="000D3286"/>
    <w:rsid w:val="000D33F9"/>
    <w:rsid w:val="000D37B3"/>
    <w:rsid w:val="000D3BEF"/>
    <w:rsid w:val="000D3CFC"/>
    <w:rsid w:val="000D3D23"/>
    <w:rsid w:val="000D3D24"/>
    <w:rsid w:val="000D4083"/>
    <w:rsid w:val="000D4967"/>
    <w:rsid w:val="000D4B64"/>
    <w:rsid w:val="000D52FF"/>
    <w:rsid w:val="000D538F"/>
    <w:rsid w:val="000D55CE"/>
    <w:rsid w:val="000D6319"/>
    <w:rsid w:val="000D70A7"/>
    <w:rsid w:val="000D7220"/>
    <w:rsid w:val="000D724C"/>
    <w:rsid w:val="000D7764"/>
    <w:rsid w:val="000D7EDB"/>
    <w:rsid w:val="000D7EFF"/>
    <w:rsid w:val="000E007C"/>
    <w:rsid w:val="000E0273"/>
    <w:rsid w:val="000E08B0"/>
    <w:rsid w:val="000E0B43"/>
    <w:rsid w:val="000E0FBB"/>
    <w:rsid w:val="000E1202"/>
    <w:rsid w:val="000E13DE"/>
    <w:rsid w:val="000E13E7"/>
    <w:rsid w:val="000E20B7"/>
    <w:rsid w:val="000E2F54"/>
    <w:rsid w:val="000E2FB0"/>
    <w:rsid w:val="000E3B89"/>
    <w:rsid w:val="000E497B"/>
    <w:rsid w:val="000E58EE"/>
    <w:rsid w:val="000E6083"/>
    <w:rsid w:val="000E611F"/>
    <w:rsid w:val="000E6330"/>
    <w:rsid w:val="000E7657"/>
    <w:rsid w:val="000E7BA6"/>
    <w:rsid w:val="000F034A"/>
    <w:rsid w:val="000F052B"/>
    <w:rsid w:val="000F05FD"/>
    <w:rsid w:val="000F077C"/>
    <w:rsid w:val="000F0B30"/>
    <w:rsid w:val="000F0CA5"/>
    <w:rsid w:val="000F0E99"/>
    <w:rsid w:val="000F0FD6"/>
    <w:rsid w:val="000F1320"/>
    <w:rsid w:val="000F15C2"/>
    <w:rsid w:val="000F171F"/>
    <w:rsid w:val="000F3F75"/>
    <w:rsid w:val="000F451E"/>
    <w:rsid w:val="000F4CA6"/>
    <w:rsid w:val="000F5349"/>
    <w:rsid w:val="000F59FB"/>
    <w:rsid w:val="000F6268"/>
    <w:rsid w:val="000F6563"/>
    <w:rsid w:val="000F65BA"/>
    <w:rsid w:val="000F6EF0"/>
    <w:rsid w:val="000F7056"/>
    <w:rsid w:val="0010002A"/>
    <w:rsid w:val="00100CC4"/>
    <w:rsid w:val="00100CF6"/>
    <w:rsid w:val="00100F94"/>
    <w:rsid w:val="001018E6"/>
    <w:rsid w:val="00101CD5"/>
    <w:rsid w:val="00102079"/>
    <w:rsid w:val="00102C79"/>
    <w:rsid w:val="001030B6"/>
    <w:rsid w:val="001034C3"/>
    <w:rsid w:val="0010376A"/>
    <w:rsid w:val="001037E2"/>
    <w:rsid w:val="00103C39"/>
    <w:rsid w:val="00103C8E"/>
    <w:rsid w:val="00104207"/>
    <w:rsid w:val="00104EC5"/>
    <w:rsid w:val="00105618"/>
    <w:rsid w:val="00105633"/>
    <w:rsid w:val="0010567A"/>
    <w:rsid w:val="001056FF"/>
    <w:rsid w:val="00105D94"/>
    <w:rsid w:val="00106950"/>
    <w:rsid w:val="00106B4D"/>
    <w:rsid w:val="00106B95"/>
    <w:rsid w:val="00106EFE"/>
    <w:rsid w:val="001073B5"/>
    <w:rsid w:val="001073CD"/>
    <w:rsid w:val="0010745A"/>
    <w:rsid w:val="001076CD"/>
    <w:rsid w:val="00107B0F"/>
    <w:rsid w:val="00107C3B"/>
    <w:rsid w:val="001101DA"/>
    <w:rsid w:val="00110B7F"/>
    <w:rsid w:val="001117FC"/>
    <w:rsid w:val="001118B6"/>
    <w:rsid w:val="00111DA5"/>
    <w:rsid w:val="00111F0D"/>
    <w:rsid w:val="00111FFD"/>
    <w:rsid w:val="001124A0"/>
    <w:rsid w:val="00113AD4"/>
    <w:rsid w:val="00113B96"/>
    <w:rsid w:val="001151E8"/>
    <w:rsid w:val="0011599C"/>
    <w:rsid w:val="00115B60"/>
    <w:rsid w:val="00115E53"/>
    <w:rsid w:val="0011637F"/>
    <w:rsid w:val="00116855"/>
    <w:rsid w:val="00116AD2"/>
    <w:rsid w:val="0011700B"/>
    <w:rsid w:val="0011788E"/>
    <w:rsid w:val="00117C60"/>
    <w:rsid w:val="00117F36"/>
    <w:rsid w:val="00120941"/>
    <w:rsid w:val="00120A2D"/>
    <w:rsid w:val="00120B62"/>
    <w:rsid w:val="00120CE5"/>
    <w:rsid w:val="0012144E"/>
    <w:rsid w:val="0012162A"/>
    <w:rsid w:val="00121CEC"/>
    <w:rsid w:val="00122502"/>
    <w:rsid w:val="00122C25"/>
    <w:rsid w:val="00122C5E"/>
    <w:rsid w:val="00124250"/>
    <w:rsid w:val="00124B65"/>
    <w:rsid w:val="001255A0"/>
    <w:rsid w:val="00125669"/>
    <w:rsid w:val="0012571E"/>
    <w:rsid w:val="001258D2"/>
    <w:rsid w:val="00125A57"/>
    <w:rsid w:val="00125AE3"/>
    <w:rsid w:val="00127E80"/>
    <w:rsid w:val="0013026F"/>
    <w:rsid w:val="001306F2"/>
    <w:rsid w:val="00130F51"/>
    <w:rsid w:val="001315C8"/>
    <w:rsid w:val="001325BA"/>
    <w:rsid w:val="00132EE9"/>
    <w:rsid w:val="0013362F"/>
    <w:rsid w:val="00133976"/>
    <w:rsid w:val="00133C4E"/>
    <w:rsid w:val="00134F5F"/>
    <w:rsid w:val="00135CD5"/>
    <w:rsid w:val="0013613B"/>
    <w:rsid w:val="00136D57"/>
    <w:rsid w:val="00137476"/>
    <w:rsid w:val="00137507"/>
    <w:rsid w:val="001405E9"/>
    <w:rsid w:val="001409F2"/>
    <w:rsid w:val="00140B93"/>
    <w:rsid w:val="00140F29"/>
    <w:rsid w:val="001410B0"/>
    <w:rsid w:val="001415E9"/>
    <w:rsid w:val="00141BB7"/>
    <w:rsid w:val="00141ECA"/>
    <w:rsid w:val="00142363"/>
    <w:rsid w:val="00142EA6"/>
    <w:rsid w:val="001438EC"/>
    <w:rsid w:val="00144834"/>
    <w:rsid w:val="00144B42"/>
    <w:rsid w:val="00144BFB"/>
    <w:rsid w:val="00145C49"/>
    <w:rsid w:val="001464D6"/>
    <w:rsid w:val="00146649"/>
    <w:rsid w:val="001467F6"/>
    <w:rsid w:val="001469A1"/>
    <w:rsid w:val="00146A49"/>
    <w:rsid w:val="00146AA7"/>
    <w:rsid w:val="00146C99"/>
    <w:rsid w:val="001470E1"/>
    <w:rsid w:val="00147616"/>
    <w:rsid w:val="00147CA1"/>
    <w:rsid w:val="00150306"/>
    <w:rsid w:val="0015064C"/>
    <w:rsid w:val="0015072B"/>
    <w:rsid w:val="001507D8"/>
    <w:rsid w:val="001509C3"/>
    <w:rsid w:val="00150B93"/>
    <w:rsid w:val="00150DA0"/>
    <w:rsid w:val="00150FED"/>
    <w:rsid w:val="00151AEE"/>
    <w:rsid w:val="0015201D"/>
    <w:rsid w:val="0015287C"/>
    <w:rsid w:val="00152C72"/>
    <w:rsid w:val="00153716"/>
    <w:rsid w:val="00154466"/>
    <w:rsid w:val="00154644"/>
    <w:rsid w:val="00154ABF"/>
    <w:rsid w:val="00154F47"/>
    <w:rsid w:val="0015518B"/>
    <w:rsid w:val="0015525C"/>
    <w:rsid w:val="0015596D"/>
    <w:rsid w:val="00155AA9"/>
    <w:rsid w:val="0015634F"/>
    <w:rsid w:val="0015670A"/>
    <w:rsid w:val="00156A2D"/>
    <w:rsid w:val="00157108"/>
    <w:rsid w:val="00157129"/>
    <w:rsid w:val="00157621"/>
    <w:rsid w:val="00157B90"/>
    <w:rsid w:val="001603CD"/>
    <w:rsid w:val="00160526"/>
    <w:rsid w:val="001615B5"/>
    <w:rsid w:val="00161C7B"/>
    <w:rsid w:val="00161F79"/>
    <w:rsid w:val="001623D5"/>
    <w:rsid w:val="00162921"/>
    <w:rsid w:val="00162E1B"/>
    <w:rsid w:val="00163191"/>
    <w:rsid w:val="001631D2"/>
    <w:rsid w:val="001636F4"/>
    <w:rsid w:val="001638CC"/>
    <w:rsid w:val="001654D8"/>
    <w:rsid w:val="001659F8"/>
    <w:rsid w:val="00166254"/>
    <w:rsid w:val="00166334"/>
    <w:rsid w:val="0016727E"/>
    <w:rsid w:val="0016729A"/>
    <w:rsid w:val="00167D6E"/>
    <w:rsid w:val="00167E9F"/>
    <w:rsid w:val="00167F98"/>
    <w:rsid w:val="00170255"/>
    <w:rsid w:val="00171153"/>
    <w:rsid w:val="00171799"/>
    <w:rsid w:val="00171B66"/>
    <w:rsid w:val="00171C56"/>
    <w:rsid w:val="001726BB"/>
    <w:rsid w:val="001728CF"/>
    <w:rsid w:val="001730E3"/>
    <w:rsid w:val="001731A8"/>
    <w:rsid w:val="00173567"/>
    <w:rsid w:val="001735FA"/>
    <w:rsid w:val="001736D1"/>
    <w:rsid w:val="00173A5E"/>
    <w:rsid w:val="00173B1A"/>
    <w:rsid w:val="00174B37"/>
    <w:rsid w:val="00175759"/>
    <w:rsid w:val="001757D0"/>
    <w:rsid w:val="00175C79"/>
    <w:rsid w:val="00175EA1"/>
    <w:rsid w:val="00175EBF"/>
    <w:rsid w:val="0017611D"/>
    <w:rsid w:val="0017639D"/>
    <w:rsid w:val="00176527"/>
    <w:rsid w:val="00176F65"/>
    <w:rsid w:val="001770D8"/>
    <w:rsid w:val="00177EB4"/>
    <w:rsid w:val="00177F6B"/>
    <w:rsid w:val="001801CB"/>
    <w:rsid w:val="00180301"/>
    <w:rsid w:val="001803BB"/>
    <w:rsid w:val="001807E5"/>
    <w:rsid w:val="00180906"/>
    <w:rsid w:val="00180F9A"/>
    <w:rsid w:val="00180FD5"/>
    <w:rsid w:val="001815D6"/>
    <w:rsid w:val="0018232B"/>
    <w:rsid w:val="0018242A"/>
    <w:rsid w:val="001824E9"/>
    <w:rsid w:val="00183995"/>
    <w:rsid w:val="00184221"/>
    <w:rsid w:val="00184399"/>
    <w:rsid w:val="0018469B"/>
    <w:rsid w:val="0018476A"/>
    <w:rsid w:val="001849B0"/>
    <w:rsid w:val="00185618"/>
    <w:rsid w:val="001858EC"/>
    <w:rsid w:val="00185D1D"/>
    <w:rsid w:val="001860D7"/>
    <w:rsid w:val="0018791E"/>
    <w:rsid w:val="00187A6E"/>
    <w:rsid w:val="00187B65"/>
    <w:rsid w:val="00187C47"/>
    <w:rsid w:val="001905BF"/>
    <w:rsid w:val="00190A88"/>
    <w:rsid w:val="00190D43"/>
    <w:rsid w:val="001917C2"/>
    <w:rsid w:val="0019226C"/>
    <w:rsid w:val="00192C6D"/>
    <w:rsid w:val="00192ED8"/>
    <w:rsid w:val="001936E8"/>
    <w:rsid w:val="00193B4C"/>
    <w:rsid w:val="0019440E"/>
    <w:rsid w:val="001948B2"/>
    <w:rsid w:val="0019496C"/>
    <w:rsid w:val="0019498D"/>
    <w:rsid w:val="001949E0"/>
    <w:rsid w:val="0019547B"/>
    <w:rsid w:val="001954D5"/>
    <w:rsid w:val="00195591"/>
    <w:rsid w:val="00195765"/>
    <w:rsid w:val="00195A95"/>
    <w:rsid w:val="00195AA4"/>
    <w:rsid w:val="00195D8D"/>
    <w:rsid w:val="00195F45"/>
    <w:rsid w:val="001968A1"/>
    <w:rsid w:val="00197186"/>
    <w:rsid w:val="001A01DA"/>
    <w:rsid w:val="001A0413"/>
    <w:rsid w:val="001A04CE"/>
    <w:rsid w:val="001A0634"/>
    <w:rsid w:val="001A068F"/>
    <w:rsid w:val="001A09CD"/>
    <w:rsid w:val="001A0B31"/>
    <w:rsid w:val="001A0EC6"/>
    <w:rsid w:val="001A14E8"/>
    <w:rsid w:val="001A1ADD"/>
    <w:rsid w:val="001A1E64"/>
    <w:rsid w:val="001A2FF4"/>
    <w:rsid w:val="001A3DEF"/>
    <w:rsid w:val="001A42D6"/>
    <w:rsid w:val="001A4604"/>
    <w:rsid w:val="001A4851"/>
    <w:rsid w:val="001A486C"/>
    <w:rsid w:val="001A4DA7"/>
    <w:rsid w:val="001A4EE1"/>
    <w:rsid w:val="001A5B6F"/>
    <w:rsid w:val="001A64FD"/>
    <w:rsid w:val="001A6A29"/>
    <w:rsid w:val="001A6A73"/>
    <w:rsid w:val="001A6C23"/>
    <w:rsid w:val="001A717A"/>
    <w:rsid w:val="001A7194"/>
    <w:rsid w:val="001A7B2E"/>
    <w:rsid w:val="001A7F9C"/>
    <w:rsid w:val="001B04D1"/>
    <w:rsid w:val="001B1139"/>
    <w:rsid w:val="001B14D4"/>
    <w:rsid w:val="001B1D96"/>
    <w:rsid w:val="001B3662"/>
    <w:rsid w:val="001B412B"/>
    <w:rsid w:val="001B41F8"/>
    <w:rsid w:val="001B48C1"/>
    <w:rsid w:val="001B4969"/>
    <w:rsid w:val="001B4F33"/>
    <w:rsid w:val="001B52C9"/>
    <w:rsid w:val="001B5CB5"/>
    <w:rsid w:val="001B5CD9"/>
    <w:rsid w:val="001B5E55"/>
    <w:rsid w:val="001B6008"/>
    <w:rsid w:val="001B633D"/>
    <w:rsid w:val="001B644C"/>
    <w:rsid w:val="001B683D"/>
    <w:rsid w:val="001B72CA"/>
    <w:rsid w:val="001B750E"/>
    <w:rsid w:val="001C0073"/>
    <w:rsid w:val="001C0086"/>
    <w:rsid w:val="001C030F"/>
    <w:rsid w:val="001C0A4A"/>
    <w:rsid w:val="001C0D4E"/>
    <w:rsid w:val="001C1164"/>
    <w:rsid w:val="001C37B5"/>
    <w:rsid w:val="001C3CD8"/>
    <w:rsid w:val="001C4E4D"/>
    <w:rsid w:val="001C580E"/>
    <w:rsid w:val="001C598C"/>
    <w:rsid w:val="001C6551"/>
    <w:rsid w:val="001C677A"/>
    <w:rsid w:val="001C68C0"/>
    <w:rsid w:val="001C6A43"/>
    <w:rsid w:val="001C7068"/>
    <w:rsid w:val="001C726E"/>
    <w:rsid w:val="001C768C"/>
    <w:rsid w:val="001C7863"/>
    <w:rsid w:val="001C79F9"/>
    <w:rsid w:val="001D0652"/>
    <w:rsid w:val="001D0DEA"/>
    <w:rsid w:val="001D0E48"/>
    <w:rsid w:val="001D0ECA"/>
    <w:rsid w:val="001D1DB1"/>
    <w:rsid w:val="001D2B3C"/>
    <w:rsid w:val="001D2FDC"/>
    <w:rsid w:val="001D30EB"/>
    <w:rsid w:val="001D502E"/>
    <w:rsid w:val="001D5253"/>
    <w:rsid w:val="001D5930"/>
    <w:rsid w:val="001D5EF6"/>
    <w:rsid w:val="001D6947"/>
    <w:rsid w:val="001D69E4"/>
    <w:rsid w:val="001D6BD8"/>
    <w:rsid w:val="001D6CFE"/>
    <w:rsid w:val="001D7179"/>
    <w:rsid w:val="001D7B04"/>
    <w:rsid w:val="001E0298"/>
    <w:rsid w:val="001E035B"/>
    <w:rsid w:val="001E14B5"/>
    <w:rsid w:val="001E14C4"/>
    <w:rsid w:val="001E1AB1"/>
    <w:rsid w:val="001E22BF"/>
    <w:rsid w:val="001E22E1"/>
    <w:rsid w:val="001E2439"/>
    <w:rsid w:val="001E24A0"/>
    <w:rsid w:val="001E2E74"/>
    <w:rsid w:val="001E3BDD"/>
    <w:rsid w:val="001E3FFF"/>
    <w:rsid w:val="001E4BEB"/>
    <w:rsid w:val="001E4C00"/>
    <w:rsid w:val="001E4D3A"/>
    <w:rsid w:val="001E4F20"/>
    <w:rsid w:val="001E6168"/>
    <w:rsid w:val="001E6713"/>
    <w:rsid w:val="001E6977"/>
    <w:rsid w:val="001E6FD6"/>
    <w:rsid w:val="001E730A"/>
    <w:rsid w:val="001E7A62"/>
    <w:rsid w:val="001E7B1F"/>
    <w:rsid w:val="001F0F46"/>
    <w:rsid w:val="001F10FA"/>
    <w:rsid w:val="001F15AE"/>
    <w:rsid w:val="001F1A29"/>
    <w:rsid w:val="001F1F72"/>
    <w:rsid w:val="001F1FC4"/>
    <w:rsid w:val="001F3091"/>
    <w:rsid w:val="001F33F1"/>
    <w:rsid w:val="001F3731"/>
    <w:rsid w:val="001F3F4A"/>
    <w:rsid w:val="001F4056"/>
    <w:rsid w:val="001F406B"/>
    <w:rsid w:val="001F510B"/>
    <w:rsid w:val="001F5529"/>
    <w:rsid w:val="001F5721"/>
    <w:rsid w:val="001F5C88"/>
    <w:rsid w:val="001F66BF"/>
    <w:rsid w:val="001F746C"/>
    <w:rsid w:val="001F7654"/>
    <w:rsid w:val="001F76E4"/>
    <w:rsid w:val="00200466"/>
    <w:rsid w:val="0020048C"/>
    <w:rsid w:val="0020057B"/>
    <w:rsid w:val="00200B12"/>
    <w:rsid w:val="00200EBB"/>
    <w:rsid w:val="00201326"/>
    <w:rsid w:val="00201FAE"/>
    <w:rsid w:val="00202346"/>
    <w:rsid w:val="00202638"/>
    <w:rsid w:val="00203E39"/>
    <w:rsid w:val="0020463E"/>
    <w:rsid w:val="00205C08"/>
    <w:rsid w:val="00205DDB"/>
    <w:rsid w:val="00205F5C"/>
    <w:rsid w:val="00206AD7"/>
    <w:rsid w:val="00206C5B"/>
    <w:rsid w:val="00206FDA"/>
    <w:rsid w:val="0020769F"/>
    <w:rsid w:val="002076A5"/>
    <w:rsid w:val="00210436"/>
    <w:rsid w:val="002106E2"/>
    <w:rsid w:val="00210D7C"/>
    <w:rsid w:val="00211351"/>
    <w:rsid w:val="0021168E"/>
    <w:rsid w:val="002117C0"/>
    <w:rsid w:val="00211940"/>
    <w:rsid w:val="00211B5A"/>
    <w:rsid w:val="00211D10"/>
    <w:rsid w:val="00212600"/>
    <w:rsid w:val="00212678"/>
    <w:rsid w:val="002128BB"/>
    <w:rsid w:val="00213107"/>
    <w:rsid w:val="00213135"/>
    <w:rsid w:val="0021318B"/>
    <w:rsid w:val="00213484"/>
    <w:rsid w:val="0021356D"/>
    <w:rsid w:val="00214762"/>
    <w:rsid w:val="002147BF"/>
    <w:rsid w:val="00214D4F"/>
    <w:rsid w:val="002153D9"/>
    <w:rsid w:val="00215A27"/>
    <w:rsid w:val="00215B54"/>
    <w:rsid w:val="00215F51"/>
    <w:rsid w:val="002161A3"/>
    <w:rsid w:val="00216AFC"/>
    <w:rsid w:val="00216D74"/>
    <w:rsid w:val="0021777E"/>
    <w:rsid w:val="00220252"/>
    <w:rsid w:val="002203D0"/>
    <w:rsid w:val="00220785"/>
    <w:rsid w:val="002209EE"/>
    <w:rsid w:val="00220BB3"/>
    <w:rsid w:val="00220DD9"/>
    <w:rsid w:val="002210CB"/>
    <w:rsid w:val="00221A95"/>
    <w:rsid w:val="00222191"/>
    <w:rsid w:val="00222252"/>
    <w:rsid w:val="002235AD"/>
    <w:rsid w:val="002238A4"/>
    <w:rsid w:val="0022396B"/>
    <w:rsid w:val="00224064"/>
    <w:rsid w:val="002242F6"/>
    <w:rsid w:val="0022441E"/>
    <w:rsid w:val="00224E8D"/>
    <w:rsid w:val="00225164"/>
    <w:rsid w:val="002254EA"/>
    <w:rsid w:val="00226177"/>
    <w:rsid w:val="002263ED"/>
    <w:rsid w:val="0022658C"/>
    <w:rsid w:val="002268B9"/>
    <w:rsid w:val="00226E6D"/>
    <w:rsid w:val="002270F3"/>
    <w:rsid w:val="00227421"/>
    <w:rsid w:val="00227454"/>
    <w:rsid w:val="00227C53"/>
    <w:rsid w:val="002301DE"/>
    <w:rsid w:val="00230490"/>
    <w:rsid w:val="00230649"/>
    <w:rsid w:val="002306E2"/>
    <w:rsid w:val="002315EB"/>
    <w:rsid w:val="002325C6"/>
    <w:rsid w:val="002329C8"/>
    <w:rsid w:val="00232AE3"/>
    <w:rsid w:val="002334F9"/>
    <w:rsid w:val="00233AF9"/>
    <w:rsid w:val="00234457"/>
    <w:rsid w:val="002344E9"/>
    <w:rsid w:val="002347AB"/>
    <w:rsid w:val="00234C70"/>
    <w:rsid w:val="00234F95"/>
    <w:rsid w:val="00234FF1"/>
    <w:rsid w:val="00235329"/>
    <w:rsid w:val="0023540D"/>
    <w:rsid w:val="002354FC"/>
    <w:rsid w:val="002355A9"/>
    <w:rsid w:val="002357FB"/>
    <w:rsid w:val="00235C91"/>
    <w:rsid w:val="00235D94"/>
    <w:rsid w:val="002360D1"/>
    <w:rsid w:val="00236900"/>
    <w:rsid w:val="002369A4"/>
    <w:rsid w:val="00236C2F"/>
    <w:rsid w:val="002379B9"/>
    <w:rsid w:val="00237C9C"/>
    <w:rsid w:val="00237F2F"/>
    <w:rsid w:val="002401AB"/>
    <w:rsid w:val="00240F61"/>
    <w:rsid w:val="00241495"/>
    <w:rsid w:val="002418FB"/>
    <w:rsid w:val="0024197C"/>
    <w:rsid w:val="00242671"/>
    <w:rsid w:val="00242705"/>
    <w:rsid w:val="00243121"/>
    <w:rsid w:val="002438C7"/>
    <w:rsid w:val="00244529"/>
    <w:rsid w:val="0024459C"/>
    <w:rsid w:val="00244843"/>
    <w:rsid w:val="00244AD4"/>
    <w:rsid w:val="00245188"/>
    <w:rsid w:val="00245277"/>
    <w:rsid w:val="00245632"/>
    <w:rsid w:val="00245DF6"/>
    <w:rsid w:val="002464E8"/>
    <w:rsid w:val="002465AA"/>
    <w:rsid w:val="00246F83"/>
    <w:rsid w:val="0024787F"/>
    <w:rsid w:val="00250313"/>
    <w:rsid w:val="002507D1"/>
    <w:rsid w:val="00250DBC"/>
    <w:rsid w:val="00250F44"/>
    <w:rsid w:val="00251483"/>
    <w:rsid w:val="002514B4"/>
    <w:rsid w:val="002516DC"/>
    <w:rsid w:val="00251C11"/>
    <w:rsid w:val="00252852"/>
    <w:rsid w:val="00252A00"/>
    <w:rsid w:val="00253182"/>
    <w:rsid w:val="002534F9"/>
    <w:rsid w:val="002537B2"/>
    <w:rsid w:val="00253B6C"/>
    <w:rsid w:val="00253C91"/>
    <w:rsid w:val="0025441E"/>
    <w:rsid w:val="00254706"/>
    <w:rsid w:val="00254777"/>
    <w:rsid w:val="002548F2"/>
    <w:rsid w:val="002549A5"/>
    <w:rsid w:val="002552F9"/>
    <w:rsid w:val="00255FF0"/>
    <w:rsid w:val="002567D8"/>
    <w:rsid w:val="00256A4D"/>
    <w:rsid w:val="00256E21"/>
    <w:rsid w:val="00257368"/>
    <w:rsid w:val="00257A09"/>
    <w:rsid w:val="002600DA"/>
    <w:rsid w:val="0026081D"/>
    <w:rsid w:val="0026174E"/>
    <w:rsid w:val="002618BF"/>
    <w:rsid w:val="00261925"/>
    <w:rsid w:val="00261C1A"/>
    <w:rsid w:val="002624E1"/>
    <w:rsid w:val="0026315C"/>
    <w:rsid w:val="002631D9"/>
    <w:rsid w:val="00263402"/>
    <w:rsid w:val="002636E3"/>
    <w:rsid w:val="00263B3A"/>
    <w:rsid w:val="00263E20"/>
    <w:rsid w:val="00263F8B"/>
    <w:rsid w:val="002652E4"/>
    <w:rsid w:val="00265A3F"/>
    <w:rsid w:val="002662D0"/>
    <w:rsid w:val="002662ED"/>
    <w:rsid w:val="00266328"/>
    <w:rsid w:val="002671F1"/>
    <w:rsid w:val="002673E3"/>
    <w:rsid w:val="00267C6F"/>
    <w:rsid w:val="00267D31"/>
    <w:rsid w:val="00270765"/>
    <w:rsid w:val="002715FE"/>
    <w:rsid w:val="00271768"/>
    <w:rsid w:val="002724E8"/>
    <w:rsid w:val="0027271D"/>
    <w:rsid w:val="002729C8"/>
    <w:rsid w:val="00273544"/>
    <w:rsid w:val="00274314"/>
    <w:rsid w:val="00275376"/>
    <w:rsid w:val="002758CD"/>
    <w:rsid w:val="00275FFB"/>
    <w:rsid w:val="00276EF1"/>
    <w:rsid w:val="002774E1"/>
    <w:rsid w:val="00277777"/>
    <w:rsid w:val="002777B0"/>
    <w:rsid w:val="00277B27"/>
    <w:rsid w:val="00277EFB"/>
    <w:rsid w:val="00277FAD"/>
    <w:rsid w:val="00280729"/>
    <w:rsid w:val="00280783"/>
    <w:rsid w:val="00280ADD"/>
    <w:rsid w:val="0028104F"/>
    <w:rsid w:val="00281427"/>
    <w:rsid w:val="00281CC0"/>
    <w:rsid w:val="00282241"/>
    <w:rsid w:val="0028237C"/>
    <w:rsid w:val="002827C8"/>
    <w:rsid w:val="00282BBA"/>
    <w:rsid w:val="00282D5E"/>
    <w:rsid w:val="002836C4"/>
    <w:rsid w:val="0028443E"/>
    <w:rsid w:val="00284692"/>
    <w:rsid w:val="00284EB6"/>
    <w:rsid w:val="00285149"/>
    <w:rsid w:val="0028521D"/>
    <w:rsid w:val="00285A23"/>
    <w:rsid w:val="00285E14"/>
    <w:rsid w:val="002869D8"/>
    <w:rsid w:val="002870D1"/>
    <w:rsid w:val="002874DA"/>
    <w:rsid w:val="00287A71"/>
    <w:rsid w:val="00287B09"/>
    <w:rsid w:val="00287B46"/>
    <w:rsid w:val="00290B3D"/>
    <w:rsid w:val="002914FB"/>
    <w:rsid w:val="00291502"/>
    <w:rsid w:val="00291606"/>
    <w:rsid w:val="00291B50"/>
    <w:rsid w:val="00291E36"/>
    <w:rsid w:val="00291F6F"/>
    <w:rsid w:val="0029212A"/>
    <w:rsid w:val="00292B8E"/>
    <w:rsid w:val="00292F05"/>
    <w:rsid w:val="0029404C"/>
    <w:rsid w:val="00294C01"/>
    <w:rsid w:val="00295796"/>
    <w:rsid w:val="002959FA"/>
    <w:rsid w:val="00295C6C"/>
    <w:rsid w:val="00295CD9"/>
    <w:rsid w:val="00295FCC"/>
    <w:rsid w:val="00296007"/>
    <w:rsid w:val="002960C6"/>
    <w:rsid w:val="002962EE"/>
    <w:rsid w:val="00296400"/>
    <w:rsid w:val="00296AEA"/>
    <w:rsid w:val="0029752D"/>
    <w:rsid w:val="002977FC"/>
    <w:rsid w:val="00297B81"/>
    <w:rsid w:val="00297F30"/>
    <w:rsid w:val="00297FAD"/>
    <w:rsid w:val="002A00D6"/>
    <w:rsid w:val="002A012A"/>
    <w:rsid w:val="002A032B"/>
    <w:rsid w:val="002A052F"/>
    <w:rsid w:val="002A067D"/>
    <w:rsid w:val="002A0DC5"/>
    <w:rsid w:val="002A1346"/>
    <w:rsid w:val="002A1636"/>
    <w:rsid w:val="002A1994"/>
    <w:rsid w:val="002A1EE7"/>
    <w:rsid w:val="002A4256"/>
    <w:rsid w:val="002A4393"/>
    <w:rsid w:val="002A477A"/>
    <w:rsid w:val="002A48C2"/>
    <w:rsid w:val="002A4BAB"/>
    <w:rsid w:val="002A523D"/>
    <w:rsid w:val="002A5522"/>
    <w:rsid w:val="002A595F"/>
    <w:rsid w:val="002A5D9D"/>
    <w:rsid w:val="002A5FF2"/>
    <w:rsid w:val="002A6ED1"/>
    <w:rsid w:val="002A7BE0"/>
    <w:rsid w:val="002A7E91"/>
    <w:rsid w:val="002B0B36"/>
    <w:rsid w:val="002B0E90"/>
    <w:rsid w:val="002B0FE0"/>
    <w:rsid w:val="002B233E"/>
    <w:rsid w:val="002B26E8"/>
    <w:rsid w:val="002B305A"/>
    <w:rsid w:val="002B3D40"/>
    <w:rsid w:val="002B3EDE"/>
    <w:rsid w:val="002B4320"/>
    <w:rsid w:val="002B479A"/>
    <w:rsid w:val="002B4B1F"/>
    <w:rsid w:val="002B4E47"/>
    <w:rsid w:val="002B50EF"/>
    <w:rsid w:val="002B5481"/>
    <w:rsid w:val="002B551C"/>
    <w:rsid w:val="002B622D"/>
    <w:rsid w:val="002B72BD"/>
    <w:rsid w:val="002B75EA"/>
    <w:rsid w:val="002B799F"/>
    <w:rsid w:val="002C199C"/>
    <w:rsid w:val="002C1D29"/>
    <w:rsid w:val="002C20F8"/>
    <w:rsid w:val="002C2156"/>
    <w:rsid w:val="002C23BC"/>
    <w:rsid w:val="002C2407"/>
    <w:rsid w:val="002C2425"/>
    <w:rsid w:val="002C27E5"/>
    <w:rsid w:val="002C29A8"/>
    <w:rsid w:val="002C3227"/>
    <w:rsid w:val="002C33F0"/>
    <w:rsid w:val="002C3548"/>
    <w:rsid w:val="002C389D"/>
    <w:rsid w:val="002C3D3D"/>
    <w:rsid w:val="002C3D65"/>
    <w:rsid w:val="002C3DE9"/>
    <w:rsid w:val="002C3EBB"/>
    <w:rsid w:val="002C3F0D"/>
    <w:rsid w:val="002C407B"/>
    <w:rsid w:val="002C4503"/>
    <w:rsid w:val="002C52BA"/>
    <w:rsid w:val="002C560E"/>
    <w:rsid w:val="002C60DF"/>
    <w:rsid w:val="002C61B8"/>
    <w:rsid w:val="002C67C2"/>
    <w:rsid w:val="002C6F44"/>
    <w:rsid w:val="002C77D3"/>
    <w:rsid w:val="002C7C2F"/>
    <w:rsid w:val="002D0556"/>
    <w:rsid w:val="002D0622"/>
    <w:rsid w:val="002D0926"/>
    <w:rsid w:val="002D09D4"/>
    <w:rsid w:val="002D1D8A"/>
    <w:rsid w:val="002D1EC6"/>
    <w:rsid w:val="002D219E"/>
    <w:rsid w:val="002D2288"/>
    <w:rsid w:val="002D23A1"/>
    <w:rsid w:val="002D2A62"/>
    <w:rsid w:val="002D2B26"/>
    <w:rsid w:val="002D2CBA"/>
    <w:rsid w:val="002D4084"/>
    <w:rsid w:val="002D4103"/>
    <w:rsid w:val="002D4FAD"/>
    <w:rsid w:val="002D4FBD"/>
    <w:rsid w:val="002D5B22"/>
    <w:rsid w:val="002D5DA5"/>
    <w:rsid w:val="002D61F7"/>
    <w:rsid w:val="002D741F"/>
    <w:rsid w:val="002D74D3"/>
    <w:rsid w:val="002D75DD"/>
    <w:rsid w:val="002D7FCE"/>
    <w:rsid w:val="002E0053"/>
    <w:rsid w:val="002E01AE"/>
    <w:rsid w:val="002E01D4"/>
    <w:rsid w:val="002E0446"/>
    <w:rsid w:val="002E0763"/>
    <w:rsid w:val="002E1B91"/>
    <w:rsid w:val="002E1DA2"/>
    <w:rsid w:val="002E223B"/>
    <w:rsid w:val="002E2556"/>
    <w:rsid w:val="002E28B1"/>
    <w:rsid w:val="002E2B40"/>
    <w:rsid w:val="002E35A2"/>
    <w:rsid w:val="002E3AF3"/>
    <w:rsid w:val="002E43A8"/>
    <w:rsid w:val="002E4454"/>
    <w:rsid w:val="002E4F1B"/>
    <w:rsid w:val="002E4FD5"/>
    <w:rsid w:val="002E5525"/>
    <w:rsid w:val="002E5628"/>
    <w:rsid w:val="002E577F"/>
    <w:rsid w:val="002E57B9"/>
    <w:rsid w:val="002E585D"/>
    <w:rsid w:val="002E5AE0"/>
    <w:rsid w:val="002E5AFF"/>
    <w:rsid w:val="002E62BB"/>
    <w:rsid w:val="002E6A95"/>
    <w:rsid w:val="002E6ABE"/>
    <w:rsid w:val="002E6FD2"/>
    <w:rsid w:val="002E762C"/>
    <w:rsid w:val="002E786C"/>
    <w:rsid w:val="002E7D3E"/>
    <w:rsid w:val="002F0A7A"/>
    <w:rsid w:val="002F0A99"/>
    <w:rsid w:val="002F0C22"/>
    <w:rsid w:val="002F0F0C"/>
    <w:rsid w:val="002F14DA"/>
    <w:rsid w:val="002F1EFC"/>
    <w:rsid w:val="002F2215"/>
    <w:rsid w:val="002F2381"/>
    <w:rsid w:val="002F254C"/>
    <w:rsid w:val="002F2B8B"/>
    <w:rsid w:val="002F3029"/>
    <w:rsid w:val="002F35C6"/>
    <w:rsid w:val="002F3D94"/>
    <w:rsid w:val="002F3DFB"/>
    <w:rsid w:val="002F428F"/>
    <w:rsid w:val="002F4B65"/>
    <w:rsid w:val="002F567E"/>
    <w:rsid w:val="002F58E7"/>
    <w:rsid w:val="002F5C4D"/>
    <w:rsid w:val="002F5E92"/>
    <w:rsid w:val="002F6640"/>
    <w:rsid w:val="002F6744"/>
    <w:rsid w:val="002F6933"/>
    <w:rsid w:val="002F7204"/>
    <w:rsid w:val="002F72F6"/>
    <w:rsid w:val="002F752E"/>
    <w:rsid w:val="002F7915"/>
    <w:rsid w:val="002F7BB9"/>
    <w:rsid w:val="0030086B"/>
    <w:rsid w:val="00300A70"/>
    <w:rsid w:val="00300C53"/>
    <w:rsid w:val="00300D42"/>
    <w:rsid w:val="00300E7C"/>
    <w:rsid w:val="00300EDC"/>
    <w:rsid w:val="003010C6"/>
    <w:rsid w:val="003014B3"/>
    <w:rsid w:val="00301C14"/>
    <w:rsid w:val="0030206E"/>
    <w:rsid w:val="00302123"/>
    <w:rsid w:val="003024D9"/>
    <w:rsid w:val="00303525"/>
    <w:rsid w:val="00303C0D"/>
    <w:rsid w:val="00303CAB"/>
    <w:rsid w:val="00304843"/>
    <w:rsid w:val="00304E4B"/>
    <w:rsid w:val="00304E62"/>
    <w:rsid w:val="0030594F"/>
    <w:rsid w:val="003060E1"/>
    <w:rsid w:val="00307600"/>
    <w:rsid w:val="003078D2"/>
    <w:rsid w:val="003101D2"/>
    <w:rsid w:val="00311044"/>
    <w:rsid w:val="0031136F"/>
    <w:rsid w:val="003115C0"/>
    <w:rsid w:val="00311734"/>
    <w:rsid w:val="00312BAA"/>
    <w:rsid w:val="00312F06"/>
    <w:rsid w:val="00312F25"/>
    <w:rsid w:val="00312FB8"/>
    <w:rsid w:val="0031380F"/>
    <w:rsid w:val="00313CEF"/>
    <w:rsid w:val="003142A8"/>
    <w:rsid w:val="00314CD8"/>
    <w:rsid w:val="00314E89"/>
    <w:rsid w:val="00315B6D"/>
    <w:rsid w:val="00315C9A"/>
    <w:rsid w:val="00315E7D"/>
    <w:rsid w:val="003167AA"/>
    <w:rsid w:val="00316AE2"/>
    <w:rsid w:val="00316DB0"/>
    <w:rsid w:val="00316EB7"/>
    <w:rsid w:val="0031722F"/>
    <w:rsid w:val="003172CB"/>
    <w:rsid w:val="003172ED"/>
    <w:rsid w:val="00317C08"/>
    <w:rsid w:val="00317E02"/>
    <w:rsid w:val="00317F2A"/>
    <w:rsid w:val="00317F2D"/>
    <w:rsid w:val="00317F98"/>
    <w:rsid w:val="003208BF"/>
    <w:rsid w:val="003209CC"/>
    <w:rsid w:val="00320D5B"/>
    <w:rsid w:val="00321745"/>
    <w:rsid w:val="00321EFA"/>
    <w:rsid w:val="00322739"/>
    <w:rsid w:val="003228CD"/>
    <w:rsid w:val="00322B9F"/>
    <w:rsid w:val="00322C9B"/>
    <w:rsid w:val="00322F02"/>
    <w:rsid w:val="00323201"/>
    <w:rsid w:val="003239B0"/>
    <w:rsid w:val="00323B1B"/>
    <w:rsid w:val="00323B21"/>
    <w:rsid w:val="00323B86"/>
    <w:rsid w:val="00323E44"/>
    <w:rsid w:val="00324213"/>
    <w:rsid w:val="003248BE"/>
    <w:rsid w:val="00325563"/>
    <w:rsid w:val="00325DA0"/>
    <w:rsid w:val="0032669D"/>
    <w:rsid w:val="00327D9A"/>
    <w:rsid w:val="00330EBE"/>
    <w:rsid w:val="003310F4"/>
    <w:rsid w:val="0033173D"/>
    <w:rsid w:val="0033185F"/>
    <w:rsid w:val="00331BEF"/>
    <w:rsid w:val="00332128"/>
    <w:rsid w:val="0033276B"/>
    <w:rsid w:val="003328F6"/>
    <w:rsid w:val="00332BB8"/>
    <w:rsid w:val="00333689"/>
    <w:rsid w:val="00333AAE"/>
    <w:rsid w:val="00333B4D"/>
    <w:rsid w:val="00334BA6"/>
    <w:rsid w:val="00335382"/>
    <w:rsid w:val="00335B72"/>
    <w:rsid w:val="00335F79"/>
    <w:rsid w:val="0033635B"/>
    <w:rsid w:val="003365D9"/>
    <w:rsid w:val="00336DF0"/>
    <w:rsid w:val="00337376"/>
    <w:rsid w:val="0033737D"/>
    <w:rsid w:val="0033788E"/>
    <w:rsid w:val="00340FC4"/>
    <w:rsid w:val="003419C6"/>
    <w:rsid w:val="00341D8B"/>
    <w:rsid w:val="00342547"/>
    <w:rsid w:val="00342A4E"/>
    <w:rsid w:val="00342B50"/>
    <w:rsid w:val="00343181"/>
    <w:rsid w:val="0034318B"/>
    <w:rsid w:val="003437A4"/>
    <w:rsid w:val="00343901"/>
    <w:rsid w:val="003439C0"/>
    <w:rsid w:val="00344062"/>
    <w:rsid w:val="0034415F"/>
    <w:rsid w:val="0034569E"/>
    <w:rsid w:val="00345D86"/>
    <w:rsid w:val="00347285"/>
    <w:rsid w:val="00347286"/>
    <w:rsid w:val="00347574"/>
    <w:rsid w:val="00347683"/>
    <w:rsid w:val="0034776B"/>
    <w:rsid w:val="00351357"/>
    <w:rsid w:val="00351399"/>
    <w:rsid w:val="0035164D"/>
    <w:rsid w:val="003521EE"/>
    <w:rsid w:val="0035224D"/>
    <w:rsid w:val="003524DE"/>
    <w:rsid w:val="00352E87"/>
    <w:rsid w:val="00352FF2"/>
    <w:rsid w:val="00353220"/>
    <w:rsid w:val="00353281"/>
    <w:rsid w:val="00354108"/>
    <w:rsid w:val="00354EF8"/>
    <w:rsid w:val="00356223"/>
    <w:rsid w:val="0035680B"/>
    <w:rsid w:val="00356FF5"/>
    <w:rsid w:val="003572EB"/>
    <w:rsid w:val="00357ED2"/>
    <w:rsid w:val="00360891"/>
    <w:rsid w:val="00360CC7"/>
    <w:rsid w:val="00361A35"/>
    <w:rsid w:val="00361BCF"/>
    <w:rsid w:val="00361F0F"/>
    <w:rsid w:val="00361F8A"/>
    <w:rsid w:val="00363487"/>
    <w:rsid w:val="0036363A"/>
    <w:rsid w:val="003637DD"/>
    <w:rsid w:val="003639BC"/>
    <w:rsid w:val="003645ED"/>
    <w:rsid w:val="00364B95"/>
    <w:rsid w:val="00364CF0"/>
    <w:rsid w:val="0036551B"/>
    <w:rsid w:val="003658CE"/>
    <w:rsid w:val="00365CF3"/>
    <w:rsid w:val="0036697E"/>
    <w:rsid w:val="00366A1F"/>
    <w:rsid w:val="00366AB4"/>
    <w:rsid w:val="00366F56"/>
    <w:rsid w:val="00367C6A"/>
    <w:rsid w:val="00367FD9"/>
    <w:rsid w:val="00370310"/>
    <w:rsid w:val="00370789"/>
    <w:rsid w:val="003708FB"/>
    <w:rsid w:val="00370D9B"/>
    <w:rsid w:val="00372154"/>
    <w:rsid w:val="00372347"/>
    <w:rsid w:val="00372F97"/>
    <w:rsid w:val="0037310F"/>
    <w:rsid w:val="00373C83"/>
    <w:rsid w:val="003742EE"/>
    <w:rsid w:val="00374909"/>
    <w:rsid w:val="00374DA1"/>
    <w:rsid w:val="003750C6"/>
    <w:rsid w:val="00375268"/>
    <w:rsid w:val="003759B6"/>
    <w:rsid w:val="00375AC3"/>
    <w:rsid w:val="00375AE7"/>
    <w:rsid w:val="00375CCD"/>
    <w:rsid w:val="00375D56"/>
    <w:rsid w:val="00375E91"/>
    <w:rsid w:val="003761CB"/>
    <w:rsid w:val="003764CB"/>
    <w:rsid w:val="003765D8"/>
    <w:rsid w:val="00376D8D"/>
    <w:rsid w:val="00376E02"/>
    <w:rsid w:val="003778A6"/>
    <w:rsid w:val="00377B1C"/>
    <w:rsid w:val="00377BDE"/>
    <w:rsid w:val="00377D53"/>
    <w:rsid w:val="00380CF5"/>
    <w:rsid w:val="00380E75"/>
    <w:rsid w:val="0038107B"/>
    <w:rsid w:val="003817E6"/>
    <w:rsid w:val="0038219E"/>
    <w:rsid w:val="003823AE"/>
    <w:rsid w:val="00382535"/>
    <w:rsid w:val="00383D56"/>
    <w:rsid w:val="0038444B"/>
    <w:rsid w:val="00384873"/>
    <w:rsid w:val="00384967"/>
    <w:rsid w:val="003851C1"/>
    <w:rsid w:val="0038562C"/>
    <w:rsid w:val="0038586A"/>
    <w:rsid w:val="00385B9A"/>
    <w:rsid w:val="00386888"/>
    <w:rsid w:val="0038756F"/>
    <w:rsid w:val="0038779D"/>
    <w:rsid w:val="00387DEA"/>
    <w:rsid w:val="0039019C"/>
    <w:rsid w:val="00391EE0"/>
    <w:rsid w:val="003920AA"/>
    <w:rsid w:val="00392245"/>
    <w:rsid w:val="00392316"/>
    <w:rsid w:val="00392461"/>
    <w:rsid w:val="003924E4"/>
    <w:rsid w:val="00392816"/>
    <w:rsid w:val="00392F74"/>
    <w:rsid w:val="0039409B"/>
    <w:rsid w:val="00394836"/>
    <w:rsid w:val="00394B5C"/>
    <w:rsid w:val="00395428"/>
    <w:rsid w:val="00395810"/>
    <w:rsid w:val="00395B16"/>
    <w:rsid w:val="00395BD1"/>
    <w:rsid w:val="00395C5F"/>
    <w:rsid w:val="00395D5C"/>
    <w:rsid w:val="0039633A"/>
    <w:rsid w:val="00396879"/>
    <w:rsid w:val="0039694E"/>
    <w:rsid w:val="003969AD"/>
    <w:rsid w:val="0039765D"/>
    <w:rsid w:val="00397C7F"/>
    <w:rsid w:val="003A071F"/>
    <w:rsid w:val="003A0C65"/>
    <w:rsid w:val="003A1334"/>
    <w:rsid w:val="003A18D5"/>
    <w:rsid w:val="003A23F9"/>
    <w:rsid w:val="003A2790"/>
    <w:rsid w:val="003A2A8D"/>
    <w:rsid w:val="003A2D85"/>
    <w:rsid w:val="003A2F6C"/>
    <w:rsid w:val="003A341B"/>
    <w:rsid w:val="003A34D4"/>
    <w:rsid w:val="003A3914"/>
    <w:rsid w:val="003A3C16"/>
    <w:rsid w:val="003A43EF"/>
    <w:rsid w:val="003A4AF7"/>
    <w:rsid w:val="003A4DFD"/>
    <w:rsid w:val="003A50BB"/>
    <w:rsid w:val="003A5303"/>
    <w:rsid w:val="003A59D9"/>
    <w:rsid w:val="003A59EB"/>
    <w:rsid w:val="003A5D1F"/>
    <w:rsid w:val="003A5E76"/>
    <w:rsid w:val="003A607F"/>
    <w:rsid w:val="003A60F0"/>
    <w:rsid w:val="003A656E"/>
    <w:rsid w:val="003A6A90"/>
    <w:rsid w:val="003A70CE"/>
    <w:rsid w:val="003A7338"/>
    <w:rsid w:val="003A73AB"/>
    <w:rsid w:val="003A791D"/>
    <w:rsid w:val="003A7A7B"/>
    <w:rsid w:val="003B01AF"/>
    <w:rsid w:val="003B0260"/>
    <w:rsid w:val="003B0B43"/>
    <w:rsid w:val="003B12A2"/>
    <w:rsid w:val="003B1455"/>
    <w:rsid w:val="003B1A05"/>
    <w:rsid w:val="003B2806"/>
    <w:rsid w:val="003B2981"/>
    <w:rsid w:val="003B29A0"/>
    <w:rsid w:val="003B2A64"/>
    <w:rsid w:val="003B2BC7"/>
    <w:rsid w:val="003B4020"/>
    <w:rsid w:val="003B46C4"/>
    <w:rsid w:val="003B492B"/>
    <w:rsid w:val="003B4EDA"/>
    <w:rsid w:val="003B4F37"/>
    <w:rsid w:val="003B5051"/>
    <w:rsid w:val="003B5174"/>
    <w:rsid w:val="003B5418"/>
    <w:rsid w:val="003B5811"/>
    <w:rsid w:val="003B5D68"/>
    <w:rsid w:val="003B72B3"/>
    <w:rsid w:val="003B7445"/>
    <w:rsid w:val="003B766E"/>
    <w:rsid w:val="003B7895"/>
    <w:rsid w:val="003B7FC0"/>
    <w:rsid w:val="003C09CF"/>
    <w:rsid w:val="003C0BAD"/>
    <w:rsid w:val="003C0D67"/>
    <w:rsid w:val="003C1316"/>
    <w:rsid w:val="003C1464"/>
    <w:rsid w:val="003C1AF9"/>
    <w:rsid w:val="003C1BFB"/>
    <w:rsid w:val="003C1EF9"/>
    <w:rsid w:val="003C2A88"/>
    <w:rsid w:val="003C2F2B"/>
    <w:rsid w:val="003C2FE6"/>
    <w:rsid w:val="003C3100"/>
    <w:rsid w:val="003C31CE"/>
    <w:rsid w:val="003C3E3D"/>
    <w:rsid w:val="003C498F"/>
    <w:rsid w:val="003C5063"/>
    <w:rsid w:val="003C5285"/>
    <w:rsid w:val="003C541D"/>
    <w:rsid w:val="003C5519"/>
    <w:rsid w:val="003C5752"/>
    <w:rsid w:val="003C5CD6"/>
    <w:rsid w:val="003C5EDB"/>
    <w:rsid w:val="003C64B7"/>
    <w:rsid w:val="003C75E0"/>
    <w:rsid w:val="003C76F8"/>
    <w:rsid w:val="003D014B"/>
    <w:rsid w:val="003D0731"/>
    <w:rsid w:val="003D103A"/>
    <w:rsid w:val="003D1917"/>
    <w:rsid w:val="003D3AE8"/>
    <w:rsid w:val="003D3D2D"/>
    <w:rsid w:val="003D4714"/>
    <w:rsid w:val="003D48F4"/>
    <w:rsid w:val="003D4D91"/>
    <w:rsid w:val="003D4EC6"/>
    <w:rsid w:val="003D4EDC"/>
    <w:rsid w:val="003D5106"/>
    <w:rsid w:val="003D5368"/>
    <w:rsid w:val="003D5923"/>
    <w:rsid w:val="003D5DD6"/>
    <w:rsid w:val="003D5E37"/>
    <w:rsid w:val="003D6549"/>
    <w:rsid w:val="003D6C14"/>
    <w:rsid w:val="003D705F"/>
    <w:rsid w:val="003D7453"/>
    <w:rsid w:val="003D765F"/>
    <w:rsid w:val="003E050E"/>
    <w:rsid w:val="003E056B"/>
    <w:rsid w:val="003E09D4"/>
    <w:rsid w:val="003E1249"/>
    <w:rsid w:val="003E1392"/>
    <w:rsid w:val="003E18BD"/>
    <w:rsid w:val="003E2151"/>
    <w:rsid w:val="003E3F69"/>
    <w:rsid w:val="003E3FC4"/>
    <w:rsid w:val="003E404E"/>
    <w:rsid w:val="003E4360"/>
    <w:rsid w:val="003E44B5"/>
    <w:rsid w:val="003E46B8"/>
    <w:rsid w:val="003E4F35"/>
    <w:rsid w:val="003E50B0"/>
    <w:rsid w:val="003E5613"/>
    <w:rsid w:val="003E5CCE"/>
    <w:rsid w:val="003E5D88"/>
    <w:rsid w:val="003E5E67"/>
    <w:rsid w:val="003E6263"/>
    <w:rsid w:val="003E6882"/>
    <w:rsid w:val="003E6AE1"/>
    <w:rsid w:val="003E6C88"/>
    <w:rsid w:val="003E74DB"/>
    <w:rsid w:val="003E7B34"/>
    <w:rsid w:val="003E7D23"/>
    <w:rsid w:val="003E7F71"/>
    <w:rsid w:val="003F03D4"/>
    <w:rsid w:val="003F04EA"/>
    <w:rsid w:val="003F05EF"/>
    <w:rsid w:val="003F0E14"/>
    <w:rsid w:val="003F1398"/>
    <w:rsid w:val="003F1477"/>
    <w:rsid w:val="003F15EE"/>
    <w:rsid w:val="003F1A4B"/>
    <w:rsid w:val="003F26E7"/>
    <w:rsid w:val="003F2B3C"/>
    <w:rsid w:val="003F2E39"/>
    <w:rsid w:val="003F2EA3"/>
    <w:rsid w:val="003F312A"/>
    <w:rsid w:val="003F35D0"/>
    <w:rsid w:val="003F3774"/>
    <w:rsid w:val="003F3C12"/>
    <w:rsid w:val="003F3C38"/>
    <w:rsid w:val="003F3DD0"/>
    <w:rsid w:val="003F4005"/>
    <w:rsid w:val="003F4126"/>
    <w:rsid w:val="003F55FD"/>
    <w:rsid w:val="003F5CB6"/>
    <w:rsid w:val="003F65B7"/>
    <w:rsid w:val="003F756E"/>
    <w:rsid w:val="003F79E5"/>
    <w:rsid w:val="003F7EF2"/>
    <w:rsid w:val="003F7F6D"/>
    <w:rsid w:val="0040025E"/>
    <w:rsid w:val="00400471"/>
    <w:rsid w:val="00400A38"/>
    <w:rsid w:val="00401689"/>
    <w:rsid w:val="004021DF"/>
    <w:rsid w:val="004022C0"/>
    <w:rsid w:val="0040271F"/>
    <w:rsid w:val="004028A0"/>
    <w:rsid w:val="00402C4D"/>
    <w:rsid w:val="00402D37"/>
    <w:rsid w:val="00402DE7"/>
    <w:rsid w:val="00403041"/>
    <w:rsid w:val="00403416"/>
    <w:rsid w:val="00403499"/>
    <w:rsid w:val="00403655"/>
    <w:rsid w:val="004036AB"/>
    <w:rsid w:val="00403EED"/>
    <w:rsid w:val="00404015"/>
    <w:rsid w:val="0040477D"/>
    <w:rsid w:val="00404B4B"/>
    <w:rsid w:val="00405014"/>
    <w:rsid w:val="004051DA"/>
    <w:rsid w:val="00405272"/>
    <w:rsid w:val="004052B0"/>
    <w:rsid w:val="0040582B"/>
    <w:rsid w:val="0040628D"/>
    <w:rsid w:val="004070F4"/>
    <w:rsid w:val="00407D11"/>
    <w:rsid w:val="00411061"/>
    <w:rsid w:val="0041156E"/>
    <w:rsid w:val="00411BFB"/>
    <w:rsid w:val="00411FE2"/>
    <w:rsid w:val="004130D5"/>
    <w:rsid w:val="004133BC"/>
    <w:rsid w:val="00413748"/>
    <w:rsid w:val="00413A88"/>
    <w:rsid w:val="00413D7A"/>
    <w:rsid w:val="00414900"/>
    <w:rsid w:val="0041525A"/>
    <w:rsid w:val="004161FC"/>
    <w:rsid w:val="0041635B"/>
    <w:rsid w:val="00416F49"/>
    <w:rsid w:val="004170B4"/>
    <w:rsid w:val="004176DA"/>
    <w:rsid w:val="00417DC0"/>
    <w:rsid w:val="00420089"/>
    <w:rsid w:val="00420238"/>
    <w:rsid w:val="004205E6"/>
    <w:rsid w:val="00420D42"/>
    <w:rsid w:val="004221AA"/>
    <w:rsid w:val="00422284"/>
    <w:rsid w:val="00422385"/>
    <w:rsid w:val="00422697"/>
    <w:rsid w:val="00422ABB"/>
    <w:rsid w:val="004238F3"/>
    <w:rsid w:val="00423DFD"/>
    <w:rsid w:val="004248C9"/>
    <w:rsid w:val="00425656"/>
    <w:rsid w:val="004267E6"/>
    <w:rsid w:val="004275EC"/>
    <w:rsid w:val="0042765C"/>
    <w:rsid w:val="00427971"/>
    <w:rsid w:val="004301D6"/>
    <w:rsid w:val="004303FD"/>
    <w:rsid w:val="004304AA"/>
    <w:rsid w:val="004307E6"/>
    <w:rsid w:val="00430D11"/>
    <w:rsid w:val="00431885"/>
    <w:rsid w:val="00431AD1"/>
    <w:rsid w:val="00432299"/>
    <w:rsid w:val="00432397"/>
    <w:rsid w:val="004330AB"/>
    <w:rsid w:val="004339C7"/>
    <w:rsid w:val="00433BBA"/>
    <w:rsid w:val="00433D8F"/>
    <w:rsid w:val="00433EB3"/>
    <w:rsid w:val="004340BF"/>
    <w:rsid w:val="00434834"/>
    <w:rsid w:val="0043486F"/>
    <w:rsid w:val="00436023"/>
    <w:rsid w:val="00436505"/>
    <w:rsid w:val="00436669"/>
    <w:rsid w:val="00437223"/>
    <w:rsid w:val="004378C4"/>
    <w:rsid w:val="00437CD8"/>
    <w:rsid w:val="0044055E"/>
    <w:rsid w:val="004409A2"/>
    <w:rsid w:val="00441BF2"/>
    <w:rsid w:val="00441E4B"/>
    <w:rsid w:val="004423FA"/>
    <w:rsid w:val="00442599"/>
    <w:rsid w:val="004425F5"/>
    <w:rsid w:val="004428EA"/>
    <w:rsid w:val="004430CD"/>
    <w:rsid w:val="0044369D"/>
    <w:rsid w:val="004437E7"/>
    <w:rsid w:val="00443B58"/>
    <w:rsid w:val="00443F3A"/>
    <w:rsid w:val="0044417E"/>
    <w:rsid w:val="004441F5"/>
    <w:rsid w:val="00444486"/>
    <w:rsid w:val="004445D3"/>
    <w:rsid w:val="004452FF"/>
    <w:rsid w:val="00445404"/>
    <w:rsid w:val="0044632C"/>
    <w:rsid w:val="00446A3B"/>
    <w:rsid w:val="00446B81"/>
    <w:rsid w:val="00446EFC"/>
    <w:rsid w:val="004473F7"/>
    <w:rsid w:val="00447A13"/>
    <w:rsid w:val="0045017D"/>
    <w:rsid w:val="004503E2"/>
    <w:rsid w:val="00450653"/>
    <w:rsid w:val="004515D1"/>
    <w:rsid w:val="00451739"/>
    <w:rsid w:val="00451A42"/>
    <w:rsid w:val="00451B4E"/>
    <w:rsid w:val="00452291"/>
    <w:rsid w:val="00452647"/>
    <w:rsid w:val="00452B94"/>
    <w:rsid w:val="00452CC7"/>
    <w:rsid w:val="004539BD"/>
    <w:rsid w:val="00453BB0"/>
    <w:rsid w:val="00453FE1"/>
    <w:rsid w:val="004540E2"/>
    <w:rsid w:val="0045412E"/>
    <w:rsid w:val="004547D6"/>
    <w:rsid w:val="00454FA1"/>
    <w:rsid w:val="004550C4"/>
    <w:rsid w:val="004553EA"/>
    <w:rsid w:val="004555F1"/>
    <w:rsid w:val="00455690"/>
    <w:rsid w:val="00456440"/>
    <w:rsid w:val="00456999"/>
    <w:rsid w:val="00457081"/>
    <w:rsid w:val="004571F6"/>
    <w:rsid w:val="004573EC"/>
    <w:rsid w:val="0045763D"/>
    <w:rsid w:val="004579D8"/>
    <w:rsid w:val="00457DB6"/>
    <w:rsid w:val="00460406"/>
    <w:rsid w:val="00460C08"/>
    <w:rsid w:val="00460D8B"/>
    <w:rsid w:val="00461AC7"/>
    <w:rsid w:val="00461C26"/>
    <w:rsid w:val="00461D1C"/>
    <w:rsid w:val="00461D7E"/>
    <w:rsid w:val="00461DC1"/>
    <w:rsid w:val="004625C4"/>
    <w:rsid w:val="004628A8"/>
    <w:rsid w:val="004628E5"/>
    <w:rsid w:val="00462A89"/>
    <w:rsid w:val="00462EDA"/>
    <w:rsid w:val="00463558"/>
    <w:rsid w:val="00463F94"/>
    <w:rsid w:val="00464252"/>
    <w:rsid w:val="004642C1"/>
    <w:rsid w:val="00464BA8"/>
    <w:rsid w:val="00464FE1"/>
    <w:rsid w:val="00465390"/>
    <w:rsid w:val="00465874"/>
    <w:rsid w:val="00465B6A"/>
    <w:rsid w:val="00465C72"/>
    <w:rsid w:val="004669A6"/>
    <w:rsid w:val="0046705D"/>
    <w:rsid w:val="0046759A"/>
    <w:rsid w:val="004678B9"/>
    <w:rsid w:val="0047049B"/>
    <w:rsid w:val="004704E3"/>
    <w:rsid w:val="00470FC9"/>
    <w:rsid w:val="00471547"/>
    <w:rsid w:val="004719E4"/>
    <w:rsid w:val="00471A09"/>
    <w:rsid w:val="004720E1"/>
    <w:rsid w:val="00472794"/>
    <w:rsid w:val="00472CAA"/>
    <w:rsid w:val="00472CC4"/>
    <w:rsid w:val="00472DC8"/>
    <w:rsid w:val="00472E33"/>
    <w:rsid w:val="004730C1"/>
    <w:rsid w:val="00473193"/>
    <w:rsid w:val="004738AA"/>
    <w:rsid w:val="00474335"/>
    <w:rsid w:val="004743D9"/>
    <w:rsid w:val="0047451C"/>
    <w:rsid w:val="00474C67"/>
    <w:rsid w:val="00476CF2"/>
    <w:rsid w:val="00477005"/>
    <w:rsid w:val="00477575"/>
    <w:rsid w:val="004778A7"/>
    <w:rsid w:val="00480704"/>
    <w:rsid w:val="004807C5"/>
    <w:rsid w:val="00480F51"/>
    <w:rsid w:val="00481336"/>
    <w:rsid w:val="00481A20"/>
    <w:rsid w:val="00481C48"/>
    <w:rsid w:val="004825B3"/>
    <w:rsid w:val="004828E3"/>
    <w:rsid w:val="00483874"/>
    <w:rsid w:val="00483BA3"/>
    <w:rsid w:val="00484790"/>
    <w:rsid w:val="00484F9D"/>
    <w:rsid w:val="004852C5"/>
    <w:rsid w:val="00486444"/>
    <w:rsid w:val="004872C0"/>
    <w:rsid w:val="00487521"/>
    <w:rsid w:val="00487AE1"/>
    <w:rsid w:val="00487D7C"/>
    <w:rsid w:val="0049019C"/>
    <w:rsid w:val="00490A77"/>
    <w:rsid w:val="00490B4D"/>
    <w:rsid w:val="00491C80"/>
    <w:rsid w:val="0049244A"/>
    <w:rsid w:val="00492780"/>
    <w:rsid w:val="00492A13"/>
    <w:rsid w:val="00493890"/>
    <w:rsid w:val="00493C89"/>
    <w:rsid w:val="0049411F"/>
    <w:rsid w:val="00494209"/>
    <w:rsid w:val="0049452C"/>
    <w:rsid w:val="004955A9"/>
    <w:rsid w:val="0049571D"/>
    <w:rsid w:val="00495BC7"/>
    <w:rsid w:val="00495CAE"/>
    <w:rsid w:val="00495F7F"/>
    <w:rsid w:val="00496211"/>
    <w:rsid w:val="0049635E"/>
    <w:rsid w:val="0049743F"/>
    <w:rsid w:val="004979C4"/>
    <w:rsid w:val="004979F3"/>
    <w:rsid w:val="004A0FB9"/>
    <w:rsid w:val="004A1C1C"/>
    <w:rsid w:val="004A1DA6"/>
    <w:rsid w:val="004A2003"/>
    <w:rsid w:val="004A21EB"/>
    <w:rsid w:val="004A26F4"/>
    <w:rsid w:val="004A2A9F"/>
    <w:rsid w:val="004A439B"/>
    <w:rsid w:val="004A4651"/>
    <w:rsid w:val="004A501F"/>
    <w:rsid w:val="004A541C"/>
    <w:rsid w:val="004A5A30"/>
    <w:rsid w:val="004A5F01"/>
    <w:rsid w:val="004A6136"/>
    <w:rsid w:val="004A6D26"/>
    <w:rsid w:val="004A73B0"/>
    <w:rsid w:val="004A7783"/>
    <w:rsid w:val="004A7802"/>
    <w:rsid w:val="004A7E24"/>
    <w:rsid w:val="004B011E"/>
    <w:rsid w:val="004B0B79"/>
    <w:rsid w:val="004B0BFA"/>
    <w:rsid w:val="004B16DD"/>
    <w:rsid w:val="004B1A0B"/>
    <w:rsid w:val="004B29C1"/>
    <w:rsid w:val="004B2A26"/>
    <w:rsid w:val="004B2AB7"/>
    <w:rsid w:val="004B2B71"/>
    <w:rsid w:val="004B34B5"/>
    <w:rsid w:val="004B354A"/>
    <w:rsid w:val="004B36BD"/>
    <w:rsid w:val="004B3BC6"/>
    <w:rsid w:val="004B400B"/>
    <w:rsid w:val="004B4663"/>
    <w:rsid w:val="004B53AE"/>
    <w:rsid w:val="004B5B29"/>
    <w:rsid w:val="004B63D6"/>
    <w:rsid w:val="004B6BE2"/>
    <w:rsid w:val="004B6BF6"/>
    <w:rsid w:val="004B6D8F"/>
    <w:rsid w:val="004B7997"/>
    <w:rsid w:val="004B7A42"/>
    <w:rsid w:val="004B7ECC"/>
    <w:rsid w:val="004C00C5"/>
    <w:rsid w:val="004C0462"/>
    <w:rsid w:val="004C061C"/>
    <w:rsid w:val="004C079A"/>
    <w:rsid w:val="004C0BBE"/>
    <w:rsid w:val="004C0BCA"/>
    <w:rsid w:val="004C1006"/>
    <w:rsid w:val="004C1147"/>
    <w:rsid w:val="004C116D"/>
    <w:rsid w:val="004C1555"/>
    <w:rsid w:val="004C1D7A"/>
    <w:rsid w:val="004C228B"/>
    <w:rsid w:val="004C2787"/>
    <w:rsid w:val="004C27EC"/>
    <w:rsid w:val="004C2C47"/>
    <w:rsid w:val="004C2F27"/>
    <w:rsid w:val="004C2F30"/>
    <w:rsid w:val="004C35B7"/>
    <w:rsid w:val="004C3B72"/>
    <w:rsid w:val="004C3D9C"/>
    <w:rsid w:val="004C409D"/>
    <w:rsid w:val="004C40B1"/>
    <w:rsid w:val="004C4AAB"/>
    <w:rsid w:val="004C4DB2"/>
    <w:rsid w:val="004C5531"/>
    <w:rsid w:val="004C57BF"/>
    <w:rsid w:val="004C594D"/>
    <w:rsid w:val="004C6668"/>
    <w:rsid w:val="004C66E8"/>
    <w:rsid w:val="004C67E5"/>
    <w:rsid w:val="004C6880"/>
    <w:rsid w:val="004C6928"/>
    <w:rsid w:val="004C7482"/>
    <w:rsid w:val="004C77EB"/>
    <w:rsid w:val="004C7C92"/>
    <w:rsid w:val="004D00B9"/>
    <w:rsid w:val="004D00CA"/>
    <w:rsid w:val="004D0201"/>
    <w:rsid w:val="004D076E"/>
    <w:rsid w:val="004D0780"/>
    <w:rsid w:val="004D09C0"/>
    <w:rsid w:val="004D0E62"/>
    <w:rsid w:val="004D13C3"/>
    <w:rsid w:val="004D2053"/>
    <w:rsid w:val="004D28AF"/>
    <w:rsid w:val="004D28B1"/>
    <w:rsid w:val="004D35D2"/>
    <w:rsid w:val="004D44A7"/>
    <w:rsid w:val="004D4837"/>
    <w:rsid w:val="004D499C"/>
    <w:rsid w:val="004D4E5A"/>
    <w:rsid w:val="004D5022"/>
    <w:rsid w:val="004D570D"/>
    <w:rsid w:val="004D5941"/>
    <w:rsid w:val="004D5FC5"/>
    <w:rsid w:val="004D7725"/>
    <w:rsid w:val="004D7C4D"/>
    <w:rsid w:val="004D7D04"/>
    <w:rsid w:val="004E04F8"/>
    <w:rsid w:val="004E07D5"/>
    <w:rsid w:val="004E0ACD"/>
    <w:rsid w:val="004E136B"/>
    <w:rsid w:val="004E14DE"/>
    <w:rsid w:val="004E16E9"/>
    <w:rsid w:val="004E16EF"/>
    <w:rsid w:val="004E192C"/>
    <w:rsid w:val="004E1C5E"/>
    <w:rsid w:val="004E1F0A"/>
    <w:rsid w:val="004E27DE"/>
    <w:rsid w:val="004E2A05"/>
    <w:rsid w:val="004E2D6D"/>
    <w:rsid w:val="004E30CA"/>
    <w:rsid w:val="004E3B62"/>
    <w:rsid w:val="004E4179"/>
    <w:rsid w:val="004E4AF0"/>
    <w:rsid w:val="004E4F20"/>
    <w:rsid w:val="004E599C"/>
    <w:rsid w:val="004E5C7B"/>
    <w:rsid w:val="004E63DB"/>
    <w:rsid w:val="004E65F8"/>
    <w:rsid w:val="004E73DC"/>
    <w:rsid w:val="004E7E38"/>
    <w:rsid w:val="004F02A3"/>
    <w:rsid w:val="004F0465"/>
    <w:rsid w:val="004F049A"/>
    <w:rsid w:val="004F0EF2"/>
    <w:rsid w:val="004F1285"/>
    <w:rsid w:val="004F2395"/>
    <w:rsid w:val="004F25B0"/>
    <w:rsid w:val="004F3316"/>
    <w:rsid w:val="004F3A09"/>
    <w:rsid w:val="004F3B18"/>
    <w:rsid w:val="004F3D7F"/>
    <w:rsid w:val="004F3ECA"/>
    <w:rsid w:val="004F41D9"/>
    <w:rsid w:val="004F5863"/>
    <w:rsid w:val="0050063F"/>
    <w:rsid w:val="00500685"/>
    <w:rsid w:val="005007AF"/>
    <w:rsid w:val="005021C8"/>
    <w:rsid w:val="005026BC"/>
    <w:rsid w:val="005026DE"/>
    <w:rsid w:val="0050343C"/>
    <w:rsid w:val="0050365B"/>
    <w:rsid w:val="00504357"/>
    <w:rsid w:val="00504672"/>
    <w:rsid w:val="005056C0"/>
    <w:rsid w:val="00506020"/>
    <w:rsid w:val="0051026C"/>
    <w:rsid w:val="00510385"/>
    <w:rsid w:val="00510476"/>
    <w:rsid w:val="0051054B"/>
    <w:rsid w:val="005108A3"/>
    <w:rsid w:val="00510F33"/>
    <w:rsid w:val="005110E7"/>
    <w:rsid w:val="005114D1"/>
    <w:rsid w:val="00511663"/>
    <w:rsid w:val="00511855"/>
    <w:rsid w:val="00511895"/>
    <w:rsid w:val="005125FB"/>
    <w:rsid w:val="00512901"/>
    <w:rsid w:val="00512DBD"/>
    <w:rsid w:val="00513E3C"/>
    <w:rsid w:val="005158F8"/>
    <w:rsid w:val="00515A13"/>
    <w:rsid w:val="00515F6B"/>
    <w:rsid w:val="00516437"/>
    <w:rsid w:val="005172EF"/>
    <w:rsid w:val="005174E2"/>
    <w:rsid w:val="005178AD"/>
    <w:rsid w:val="00517DED"/>
    <w:rsid w:val="00520416"/>
    <w:rsid w:val="005204F6"/>
    <w:rsid w:val="0052073F"/>
    <w:rsid w:val="00520FE3"/>
    <w:rsid w:val="0052106A"/>
    <w:rsid w:val="0052108B"/>
    <w:rsid w:val="005213A3"/>
    <w:rsid w:val="0052153A"/>
    <w:rsid w:val="00521B17"/>
    <w:rsid w:val="00522404"/>
    <w:rsid w:val="00522AA8"/>
    <w:rsid w:val="00522AC7"/>
    <w:rsid w:val="00523917"/>
    <w:rsid w:val="00523DD2"/>
    <w:rsid w:val="005240B7"/>
    <w:rsid w:val="0052438E"/>
    <w:rsid w:val="005243D8"/>
    <w:rsid w:val="00524D99"/>
    <w:rsid w:val="00525009"/>
    <w:rsid w:val="0052500E"/>
    <w:rsid w:val="005250A6"/>
    <w:rsid w:val="00525213"/>
    <w:rsid w:val="00525ACB"/>
    <w:rsid w:val="00526762"/>
    <w:rsid w:val="00526BB3"/>
    <w:rsid w:val="00526FD2"/>
    <w:rsid w:val="00527D35"/>
    <w:rsid w:val="00527E5D"/>
    <w:rsid w:val="00527F9A"/>
    <w:rsid w:val="00530078"/>
    <w:rsid w:val="0053072B"/>
    <w:rsid w:val="00530AB1"/>
    <w:rsid w:val="00530E9F"/>
    <w:rsid w:val="00531D17"/>
    <w:rsid w:val="00532464"/>
    <w:rsid w:val="005335B8"/>
    <w:rsid w:val="00533A1C"/>
    <w:rsid w:val="00533B12"/>
    <w:rsid w:val="00534366"/>
    <w:rsid w:val="0053495A"/>
    <w:rsid w:val="00534A5F"/>
    <w:rsid w:val="00535541"/>
    <w:rsid w:val="00535589"/>
    <w:rsid w:val="00535812"/>
    <w:rsid w:val="0053591B"/>
    <w:rsid w:val="00535A6F"/>
    <w:rsid w:val="0053616E"/>
    <w:rsid w:val="00536344"/>
    <w:rsid w:val="00536554"/>
    <w:rsid w:val="00536563"/>
    <w:rsid w:val="005373D5"/>
    <w:rsid w:val="0053764D"/>
    <w:rsid w:val="0054055A"/>
    <w:rsid w:val="005406E5"/>
    <w:rsid w:val="00540B22"/>
    <w:rsid w:val="0054190E"/>
    <w:rsid w:val="00541947"/>
    <w:rsid w:val="00541963"/>
    <w:rsid w:val="00542201"/>
    <w:rsid w:val="005422AA"/>
    <w:rsid w:val="00542580"/>
    <w:rsid w:val="005426FF"/>
    <w:rsid w:val="00542F2C"/>
    <w:rsid w:val="005431A2"/>
    <w:rsid w:val="005432B6"/>
    <w:rsid w:val="0054361D"/>
    <w:rsid w:val="00543DB6"/>
    <w:rsid w:val="005440E5"/>
    <w:rsid w:val="005449A1"/>
    <w:rsid w:val="00544D29"/>
    <w:rsid w:val="00544F6C"/>
    <w:rsid w:val="005454A4"/>
    <w:rsid w:val="00546BD2"/>
    <w:rsid w:val="00547011"/>
    <w:rsid w:val="005474C3"/>
    <w:rsid w:val="005475CF"/>
    <w:rsid w:val="005477AD"/>
    <w:rsid w:val="00547CE8"/>
    <w:rsid w:val="0055010F"/>
    <w:rsid w:val="00550A16"/>
    <w:rsid w:val="005516C1"/>
    <w:rsid w:val="0055186F"/>
    <w:rsid w:val="00551E9A"/>
    <w:rsid w:val="00552025"/>
    <w:rsid w:val="005525AB"/>
    <w:rsid w:val="0055262F"/>
    <w:rsid w:val="00553AEC"/>
    <w:rsid w:val="00553BD5"/>
    <w:rsid w:val="00554769"/>
    <w:rsid w:val="0055492A"/>
    <w:rsid w:val="005549E3"/>
    <w:rsid w:val="005557EB"/>
    <w:rsid w:val="00555DFB"/>
    <w:rsid w:val="005564B0"/>
    <w:rsid w:val="005566D0"/>
    <w:rsid w:val="00556A5A"/>
    <w:rsid w:val="0055703F"/>
    <w:rsid w:val="0055728F"/>
    <w:rsid w:val="0055776B"/>
    <w:rsid w:val="005579C8"/>
    <w:rsid w:val="00560189"/>
    <w:rsid w:val="005601CD"/>
    <w:rsid w:val="00560E46"/>
    <w:rsid w:val="005614E6"/>
    <w:rsid w:val="00561752"/>
    <w:rsid w:val="00561786"/>
    <w:rsid w:val="00561859"/>
    <w:rsid w:val="00561F0D"/>
    <w:rsid w:val="00562524"/>
    <w:rsid w:val="00562711"/>
    <w:rsid w:val="00562AF2"/>
    <w:rsid w:val="00563829"/>
    <w:rsid w:val="0056396F"/>
    <w:rsid w:val="00563D45"/>
    <w:rsid w:val="00564009"/>
    <w:rsid w:val="00564591"/>
    <w:rsid w:val="00564733"/>
    <w:rsid w:val="00564ABC"/>
    <w:rsid w:val="00565065"/>
    <w:rsid w:val="00565613"/>
    <w:rsid w:val="005656F9"/>
    <w:rsid w:val="0056581D"/>
    <w:rsid w:val="0056615E"/>
    <w:rsid w:val="005669DB"/>
    <w:rsid w:val="00566DCD"/>
    <w:rsid w:val="00566FEA"/>
    <w:rsid w:val="00567385"/>
    <w:rsid w:val="0057049F"/>
    <w:rsid w:val="00570651"/>
    <w:rsid w:val="0057090B"/>
    <w:rsid w:val="00570912"/>
    <w:rsid w:val="00571341"/>
    <w:rsid w:val="00571DF8"/>
    <w:rsid w:val="00571E1A"/>
    <w:rsid w:val="00572111"/>
    <w:rsid w:val="00572320"/>
    <w:rsid w:val="00572398"/>
    <w:rsid w:val="00572478"/>
    <w:rsid w:val="00572A76"/>
    <w:rsid w:val="00572DC1"/>
    <w:rsid w:val="005733B2"/>
    <w:rsid w:val="00573970"/>
    <w:rsid w:val="00573C8A"/>
    <w:rsid w:val="0057472F"/>
    <w:rsid w:val="005751E4"/>
    <w:rsid w:val="00575700"/>
    <w:rsid w:val="00575902"/>
    <w:rsid w:val="00575D30"/>
    <w:rsid w:val="00576458"/>
    <w:rsid w:val="00576C67"/>
    <w:rsid w:val="00577526"/>
    <w:rsid w:val="00577CB5"/>
    <w:rsid w:val="00580C7A"/>
    <w:rsid w:val="0058142A"/>
    <w:rsid w:val="005822E0"/>
    <w:rsid w:val="00582953"/>
    <w:rsid w:val="00584242"/>
    <w:rsid w:val="00584249"/>
    <w:rsid w:val="00584320"/>
    <w:rsid w:val="005845FC"/>
    <w:rsid w:val="00584BC8"/>
    <w:rsid w:val="00584E75"/>
    <w:rsid w:val="00584F2B"/>
    <w:rsid w:val="00585277"/>
    <w:rsid w:val="005856D6"/>
    <w:rsid w:val="00585C4C"/>
    <w:rsid w:val="00585D49"/>
    <w:rsid w:val="0058640E"/>
    <w:rsid w:val="00586699"/>
    <w:rsid w:val="005866B1"/>
    <w:rsid w:val="005869BF"/>
    <w:rsid w:val="00587C6F"/>
    <w:rsid w:val="005908E6"/>
    <w:rsid w:val="00590A15"/>
    <w:rsid w:val="00592048"/>
    <w:rsid w:val="00592664"/>
    <w:rsid w:val="00592978"/>
    <w:rsid w:val="00592F78"/>
    <w:rsid w:val="00593147"/>
    <w:rsid w:val="00593275"/>
    <w:rsid w:val="005936F3"/>
    <w:rsid w:val="0059442A"/>
    <w:rsid w:val="00594508"/>
    <w:rsid w:val="005946AA"/>
    <w:rsid w:val="00594BEC"/>
    <w:rsid w:val="00594BF9"/>
    <w:rsid w:val="00594C63"/>
    <w:rsid w:val="0059536C"/>
    <w:rsid w:val="00595B3D"/>
    <w:rsid w:val="00595C8B"/>
    <w:rsid w:val="00595E41"/>
    <w:rsid w:val="00596261"/>
    <w:rsid w:val="00596751"/>
    <w:rsid w:val="005969B7"/>
    <w:rsid w:val="00596D1D"/>
    <w:rsid w:val="00596DE6"/>
    <w:rsid w:val="00597C08"/>
    <w:rsid w:val="005A0128"/>
    <w:rsid w:val="005A0599"/>
    <w:rsid w:val="005A0A5C"/>
    <w:rsid w:val="005A0BCF"/>
    <w:rsid w:val="005A0D46"/>
    <w:rsid w:val="005A0FFF"/>
    <w:rsid w:val="005A1260"/>
    <w:rsid w:val="005A1309"/>
    <w:rsid w:val="005A17F5"/>
    <w:rsid w:val="005A1A7A"/>
    <w:rsid w:val="005A1B93"/>
    <w:rsid w:val="005A3CC6"/>
    <w:rsid w:val="005A3E97"/>
    <w:rsid w:val="005A3EE1"/>
    <w:rsid w:val="005A4219"/>
    <w:rsid w:val="005A44C1"/>
    <w:rsid w:val="005A470E"/>
    <w:rsid w:val="005A4854"/>
    <w:rsid w:val="005A526B"/>
    <w:rsid w:val="005A530C"/>
    <w:rsid w:val="005A5744"/>
    <w:rsid w:val="005A58AC"/>
    <w:rsid w:val="005A5B1E"/>
    <w:rsid w:val="005A5D3B"/>
    <w:rsid w:val="005A629B"/>
    <w:rsid w:val="005A6537"/>
    <w:rsid w:val="005A6F76"/>
    <w:rsid w:val="005A7203"/>
    <w:rsid w:val="005A7425"/>
    <w:rsid w:val="005A7503"/>
    <w:rsid w:val="005A7E71"/>
    <w:rsid w:val="005B0123"/>
    <w:rsid w:val="005B02DD"/>
    <w:rsid w:val="005B06BE"/>
    <w:rsid w:val="005B07BF"/>
    <w:rsid w:val="005B0AF3"/>
    <w:rsid w:val="005B0CB3"/>
    <w:rsid w:val="005B20B2"/>
    <w:rsid w:val="005B2863"/>
    <w:rsid w:val="005B2ACE"/>
    <w:rsid w:val="005B2FC4"/>
    <w:rsid w:val="005B3368"/>
    <w:rsid w:val="005B3C3A"/>
    <w:rsid w:val="005B3EAB"/>
    <w:rsid w:val="005B4F78"/>
    <w:rsid w:val="005B540C"/>
    <w:rsid w:val="005B5632"/>
    <w:rsid w:val="005B5C42"/>
    <w:rsid w:val="005B61BC"/>
    <w:rsid w:val="005B7847"/>
    <w:rsid w:val="005B799C"/>
    <w:rsid w:val="005B7F41"/>
    <w:rsid w:val="005C0469"/>
    <w:rsid w:val="005C0B75"/>
    <w:rsid w:val="005C0F4E"/>
    <w:rsid w:val="005C147A"/>
    <w:rsid w:val="005C1D8D"/>
    <w:rsid w:val="005C3157"/>
    <w:rsid w:val="005C32B0"/>
    <w:rsid w:val="005C34AC"/>
    <w:rsid w:val="005C385C"/>
    <w:rsid w:val="005C52E5"/>
    <w:rsid w:val="005C62E8"/>
    <w:rsid w:val="005C67B9"/>
    <w:rsid w:val="005C7B1C"/>
    <w:rsid w:val="005C7FB9"/>
    <w:rsid w:val="005D0080"/>
    <w:rsid w:val="005D05A5"/>
    <w:rsid w:val="005D06A8"/>
    <w:rsid w:val="005D22B9"/>
    <w:rsid w:val="005D23B9"/>
    <w:rsid w:val="005D2512"/>
    <w:rsid w:val="005D2918"/>
    <w:rsid w:val="005D32D3"/>
    <w:rsid w:val="005D35CB"/>
    <w:rsid w:val="005D367C"/>
    <w:rsid w:val="005D37EB"/>
    <w:rsid w:val="005D3C57"/>
    <w:rsid w:val="005D3F9B"/>
    <w:rsid w:val="005D4086"/>
    <w:rsid w:val="005D42D0"/>
    <w:rsid w:val="005D519A"/>
    <w:rsid w:val="005D5549"/>
    <w:rsid w:val="005D5BDD"/>
    <w:rsid w:val="005D6B03"/>
    <w:rsid w:val="005D70BF"/>
    <w:rsid w:val="005D716C"/>
    <w:rsid w:val="005D76CD"/>
    <w:rsid w:val="005D7AC5"/>
    <w:rsid w:val="005D7DCC"/>
    <w:rsid w:val="005E0282"/>
    <w:rsid w:val="005E082F"/>
    <w:rsid w:val="005E08EF"/>
    <w:rsid w:val="005E0A6D"/>
    <w:rsid w:val="005E147A"/>
    <w:rsid w:val="005E1543"/>
    <w:rsid w:val="005E1600"/>
    <w:rsid w:val="005E1865"/>
    <w:rsid w:val="005E21A0"/>
    <w:rsid w:val="005E2569"/>
    <w:rsid w:val="005E2769"/>
    <w:rsid w:val="005E31C9"/>
    <w:rsid w:val="005E3635"/>
    <w:rsid w:val="005E41CA"/>
    <w:rsid w:val="005E4A14"/>
    <w:rsid w:val="005E4E27"/>
    <w:rsid w:val="005E53F3"/>
    <w:rsid w:val="005E5A3B"/>
    <w:rsid w:val="005E5E72"/>
    <w:rsid w:val="005E64BB"/>
    <w:rsid w:val="005E68D5"/>
    <w:rsid w:val="005E6BDE"/>
    <w:rsid w:val="005E7418"/>
    <w:rsid w:val="005E7CBE"/>
    <w:rsid w:val="005E7FF0"/>
    <w:rsid w:val="005F0046"/>
    <w:rsid w:val="005F01B8"/>
    <w:rsid w:val="005F05B5"/>
    <w:rsid w:val="005F05E0"/>
    <w:rsid w:val="005F0BB3"/>
    <w:rsid w:val="005F171B"/>
    <w:rsid w:val="005F197E"/>
    <w:rsid w:val="005F1DC8"/>
    <w:rsid w:val="005F2495"/>
    <w:rsid w:val="005F27BC"/>
    <w:rsid w:val="005F294A"/>
    <w:rsid w:val="005F3A28"/>
    <w:rsid w:val="005F40A2"/>
    <w:rsid w:val="005F4CE8"/>
    <w:rsid w:val="005F4DE7"/>
    <w:rsid w:val="005F4FCD"/>
    <w:rsid w:val="005F5083"/>
    <w:rsid w:val="005F51FB"/>
    <w:rsid w:val="005F520A"/>
    <w:rsid w:val="005F575C"/>
    <w:rsid w:val="005F5F29"/>
    <w:rsid w:val="005F65B5"/>
    <w:rsid w:val="005F74FD"/>
    <w:rsid w:val="005F7CD0"/>
    <w:rsid w:val="006007DB"/>
    <w:rsid w:val="00601410"/>
    <w:rsid w:val="00601815"/>
    <w:rsid w:val="0060194F"/>
    <w:rsid w:val="006020F5"/>
    <w:rsid w:val="006021CA"/>
    <w:rsid w:val="0060237C"/>
    <w:rsid w:val="006027B5"/>
    <w:rsid w:val="006028CA"/>
    <w:rsid w:val="00602B09"/>
    <w:rsid w:val="00603243"/>
    <w:rsid w:val="00603929"/>
    <w:rsid w:val="00603F0C"/>
    <w:rsid w:val="00604329"/>
    <w:rsid w:val="00604828"/>
    <w:rsid w:val="00604845"/>
    <w:rsid w:val="00604B2E"/>
    <w:rsid w:val="00604D5B"/>
    <w:rsid w:val="0060538A"/>
    <w:rsid w:val="006053A1"/>
    <w:rsid w:val="0060547E"/>
    <w:rsid w:val="00605F6E"/>
    <w:rsid w:val="0060634B"/>
    <w:rsid w:val="00606927"/>
    <w:rsid w:val="006073F1"/>
    <w:rsid w:val="00607E11"/>
    <w:rsid w:val="0061055B"/>
    <w:rsid w:val="00610905"/>
    <w:rsid w:val="00610B79"/>
    <w:rsid w:val="0061199C"/>
    <w:rsid w:val="00612323"/>
    <w:rsid w:val="006125EE"/>
    <w:rsid w:val="00612B6B"/>
    <w:rsid w:val="00613394"/>
    <w:rsid w:val="006133DC"/>
    <w:rsid w:val="0061341F"/>
    <w:rsid w:val="00613AF7"/>
    <w:rsid w:val="00614C67"/>
    <w:rsid w:val="00614DBD"/>
    <w:rsid w:val="00615449"/>
    <w:rsid w:val="00615518"/>
    <w:rsid w:val="00616356"/>
    <w:rsid w:val="00616E13"/>
    <w:rsid w:val="00617DDD"/>
    <w:rsid w:val="0062099D"/>
    <w:rsid w:val="00621355"/>
    <w:rsid w:val="006214F0"/>
    <w:rsid w:val="00622027"/>
    <w:rsid w:val="006223A3"/>
    <w:rsid w:val="0062262D"/>
    <w:rsid w:val="0062271C"/>
    <w:rsid w:val="00622796"/>
    <w:rsid w:val="006228C8"/>
    <w:rsid w:val="00622F9F"/>
    <w:rsid w:val="006236C2"/>
    <w:rsid w:val="00623EBB"/>
    <w:rsid w:val="00623F12"/>
    <w:rsid w:val="00623FC5"/>
    <w:rsid w:val="006244F5"/>
    <w:rsid w:val="00624547"/>
    <w:rsid w:val="00624A7F"/>
    <w:rsid w:val="00624FBA"/>
    <w:rsid w:val="006250EF"/>
    <w:rsid w:val="00625383"/>
    <w:rsid w:val="00625CA7"/>
    <w:rsid w:val="006261C6"/>
    <w:rsid w:val="006267AA"/>
    <w:rsid w:val="00626CF0"/>
    <w:rsid w:val="00627AF0"/>
    <w:rsid w:val="00627FBD"/>
    <w:rsid w:val="00630324"/>
    <w:rsid w:val="0063044D"/>
    <w:rsid w:val="006304B4"/>
    <w:rsid w:val="0063122E"/>
    <w:rsid w:val="0063185F"/>
    <w:rsid w:val="006320E7"/>
    <w:rsid w:val="0063230B"/>
    <w:rsid w:val="006323B7"/>
    <w:rsid w:val="00632E8B"/>
    <w:rsid w:val="006331A3"/>
    <w:rsid w:val="00633316"/>
    <w:rsid w:val="00633AD9"/>
    <w:rsid w:val="00634400"/>
    <w:rsid w:val="0063488C"/>
    <w:rsid w:val="0063532E"/>
    <w:rsid w:val="0063548C"/>
    <w:rsid w:val="006354E5"/>
    <w:rsid w:val="00635789"/>
    <w:rsid w:val="0063595E"/>
    <w:rsid w:val="00635A74"/>
    <w:rsid w:val="0063653C"/>
    <w:rsid w:val="0063764F"/>
    <w:rsid w:val="00637952"/>
    <w:rsid w:val="00637ACC"/>
    <w:rsid w:val="00637DA3"/>
    <w:rsid w:val="00640100"/>
    <w:rsid w:val="0064019A"/>
    <w:rsid w:val="00640A5E"/>
    <w:rsid w:val="00641B0F"/>
    <w:rsid w:val="006422CD"/>
    <w:rsid w:val="006423D3"/>
    <w:rsid w:val="00642FA7"/>
    <w:rsid w:val="0064309A"/>
    <w:rsid w:val="00644B6F"/>
    <w:rsid w:val="00644C27"/>
    <w:rsid w:val="00645212"/>
    <w:rsid w:val="0064551C"/>
    <w:rsid w:val="00645579"/>
    <w:rsid w:val="006458A2"/>
    <w:rsid w:val="00645C03"/>
    <w:rsid w:val="006464E0"/>
    <w:rsid w:val="006469D9"/>
    <w:rsid w:val="00646A6B"/>
    <w:rsid w:val="00646C8F"/>
    <w:rsid w:val="00646CEE"/>
    <w:rsid w:val="0064764F"/>
    <w:rsid w:val="0064782B"/>
    <w:rsid w:val="006507EA"/>
    <w:rsid w:val="00651343"/>
    <w:rsid w:val="006516EA"/>
    <w:rsid w:val="006518BA"/>
    <w:rsid w:val="0065214D"/>
    <w:rsid w:val="00652780"/>
    <w:rsid w:val="0065285F"/>
    <w:rsid w:val="00652E46"/>
    <w:rsid w:val="006534E6"/>
    <w:rsid w:val="00653751"/>
    <w:rsid w:val="00653F00"/>
    <w:rsid w:val="00654CF3"/>
    <w:rsid w:val="006565F2"/>
    <w:rsid w:val="00656C77"/>
    <w:rsid w:val="00656EA3"/>
    <w:rsid w:val="0065723F"/>
    <w:rsid w:val="00657753"/>
    <w:rsid w:val="0066082A"/>
    <w:rsid w:val="006609FA"/>
    <w:rsid w:val="006614CF"/>
    <w:rsid w:val="006619E4"/>
    <w:rsid w:val="00661AF9"/>
    <w:rsid w:val="00662226"/>
    <w:rsid w:val="0066259E"/>
    <w:rsid w:val="006629B9"/>
    <w:rsid w:val="00662E33"/>
    <w:rsid w:val="006632EA"/>
    <w:rsid w:val="006635F2"/>
    <w:rsid w:val="00663826"/>
    <w:rsid w:val="00663998"/>
    <w:rsid w:val="0066410F"/>
    <w:rsid w:val="00664CC5"/>
    <w:rsid w:val="006657E3"/>
    <w:rsid w:val="00665D59"/>
    <w:rsid w:val="00666187"/>
    <w:rsid w:val="0066642A"/>
    <w:rsid w:val="006665E1"/>
    <w:rsid w:val="006668A2"/>
    <w:rsid w:val="00666E4A"/>
    <w:rsid w:val="00667340"/>
    <w:rsid w:val="006673E0"/>
    <w:rsid w:val="00667C65"/>
    <w:rsid w:val="00667E72"/>
    <w:rsid w:val="00670F13"/>
    <w:rsid w:val="00670F53"/>
    <w:rsid w:val="0067151F"/>
    <w:rsid w:val="00671A0D"/>
    <w:rsid w:val="00671FBE"/>
    <w:rsid w:val="006725C6"/>
    <w:rsid w:val="00672A7E"/>
    <w:rsid w:val="00672AB9"/>
    <w:rsid w:val="00672D94"/>
    <w:rsid w:val="0067303B"/>
    <w:rsid w:val="006738C7"/>
    <w:rsid w:val="00673DB8"/>
    <w:rsid w:val="006741A9"/>
    <w:rsid w:val="0067459B"/>
    <w:rsid w:val="00674D54"/>
    <w:rsid w:val="00675C92"/>
    <w:rsid w:val="00675F8E"/>
    <w:rsid w:val="00676574"/>
    <w:rsid w:val="00676817"/>
    <w:rsid w:val="00676C63"/>
    <w:rsid w:val="00677959"/>
    <w:rsid w:val="00677986"/>
    <w:rsid w:val="00677BBE"/>
    <w:rsid w:val="006809BE"/>
    <w:rsid w:val="006810E6"/>
    <w:rsid w:val="006816EE"/>
    <w:rsid w:val="0068176E"/>
    <w:rsid w:val="0068184F"/>
    <w:rsid w:val="00681BCF"/>
    <w:rsid w:val="0068233B"/>
    <w:rsid w:val="0068240B"/>
    <w:rsid w:val="006827A2"/>
    <w:rsid w:val="006830EA"/>
    <w:rsid w:val="006834AF"/>
    <w:rsid w:val="00683D5C"/>
    <w:rsid w:val="00684632"/>
    <w:rsid w:val="006847D2"/>
    <w:rsid w:val="006847E7"/>
    <w:rsid w:val="00684B27"/>
    <w:rsid w:val="0068505F"/>
    <w:rsid w:val="00685B54"/>
    <w:rsid w:val="00685C17"/>
    <w:rsid w:val="00686B7A"/>
    <w:rsid w:val="00687316"/>
    <w:rsid w:val="00687398"/>
    <w:rsid w:val="00687641"/>
    <w:rsid w:val="006877F6"/>
    <w:rsid w:val="00687EE6"/>
    <w:rsid w:val="006902AF"/>
    <w:rsid w:val="00690F2B"/>
    <w:rsid w:val="00691766"/>
    <w:rsid w:val="00691D26"/>
    <w:rsid w:val="00691DDD"/>
    <w:rsid w:val="006920CE"/>
    <w:rsid w:val="00692AEB"/>
    <w:rsid w:val="00692D29"/>
    <w:rsid w:val="006937CB"/>
    <w:rsid w:val="00693F45"/>
    <w:rsid w:val="00695C18"/>
    <w:rsid w:val="00695DC7"/>
    <w:rsid w:val="0069668D"/>
    <w:rsid w:val="00696883"/>
    <w:rsid w:val="00696FDD"/>
    <w:rsid w:val="006976FD"/>
    <w:rsid w:val="00697ABD"/>
    <w:rsid w:val="00697BA3"/>
    <w:rsid w:val="006A0A60"/>
    <w:rsid w:val="006A130E"/>
    <w:rsid w:val="006A19AB"/>
    <w:rsid w:val="006A1B0C"/>
    <w:rsid w:val="006A24FC"/>
    <w:rsid w:val="006A2FFE"/>
    <w:rsid w:val="006A3619"/>
    <w:rsid w:val="006A3D09"/>
    <w:rsid w:val="006A3DFD"/>
    <w:rsid w:val="006A448D"/>
    <w:rsid w:val="006A49F4"/>
    <w:rsid w:val="006A4B62"/>
    <w:rsid w:val="006A5259"/>
    <w:rsid w:val="006A5265"/>
    <w:rsid w:val="006A5507"/>
    <w:rsid w:val="006A64B7"/>
    <w:rsid w:val="006A6A5A"/>
    <w:rsid w:val="006A76AA"/>
    <w:rsid w:val="006A7D5C"/>
    <w:rsid w:val="006B01F4"/>
    <w:rsid w:val="006B0B38"/>
    <w:rsid w:val="006B0F65"/>
    <w:rsid w:val="006B10A9"/>
    <w:rsid w:val="006B13D9"/>
    <w:rsid w:val="006B1587"/>
    <w:rsid w:val="006B218E"/>
    <w:rsid w:val="006B29C0"/>
    <w:rsid w:val="006B29DF"/>
    <w:rsid w:val="006B2F60"/>
    <w:rsid w:val="006B304A"/>
    <w:rsid w:val="006B3340"/>
    <w:rsid w:val="006B3653"/>
    <w:rsid w:val="006B3964"/>
    <w:rsid w:val="006B39B3"/>
    <w:rsid w:val="006B3E4A"/>
    <w:rsid w:val="006B3F34"/>
    <w:rsid w:val="006B5196"/>
    <w:rsid w:val="006B53AC"/>
    <w:rsid w:val="006B53F3"/>
    <w:rsid w:val="006B7BE7"/>
    <w:rsid w:val="006B7EFE"/>
    <w:rsid w:val="006C01F8"/>
    <w:rsid w:val="006C0237"/>
    <w:rsid w:val="006C09BD"/>
    <w:rsid w:val="006C0EF3"/>
    <w:rsid w:val="006C0F6D"/>
    <w:rsid w:val="006C2A21"/>
    <w:rsid w:val="006C3080"/>
    <w:rsid w:val="006C3412"/>
    <w:rsid w:val="006C3B85"/>
    <w:rsid w:val="006C43F7"/>
    <w:rsid w:val="006C4540"/>
    <w:rsid w:val="006C4FE6"/>
    <w:rsid w:val="006C514F"/>
    <w:rsid w:val="006C59FF"/>
    <w:rsid w:val="006C634A"/>
    <w:rsid w:val="006C6968"/>
    <w:rsid w:val="006C6C43"/>
    <w:rsid w:val="006C7127"/>
    <w:rsid w:val="006C7185"/>
    <w:rsid w:val="006C7D69"/>
    <w:rsid w:val="006C7E77"/>
    <w:rsid w:val="006C7ED7"/>
    <w:rsid w:val="006D025F"/>
    <w:rsid w:val="006D0756"/>
    <w:rsid w:val="006D103C"/>
    <w:rsid w:val="006D159E"/>
    <w:rsid w:val="006D15AD"/>
    <w:rsid w:val="006D1882"/>
    <w:rsid w:val="006D1F78"/>
    <w:rsid w:val="006D25CB"/>
    <w:rsid w:val="006D329C"/>
    <w:rsid w:val="006D38C9"/>
    <w:rsid w:val="006D392D"/>
    <w:rsid w:val="006D42B4"/>
    <w:rsid w:val="006D4660"/>
    <w:rsid w:val="006D46D5"/>
    <w:rsid w:val="006D4994"/>
    <w:rsid w:val="006D5368"/>
    <w:rsid w:val="006D5788"/>
    <w:rsid w:val="006D5D9E"/>
    <w:rsid w:val="006D5EEB"/>
    <w:rsid w:val="006D601D"/>
    <w:rsid w:val="006D63AB"/>
    <w:rsid w:val="006D69DD"/>
    <w:rsid w:val="006D6CE7"/>
    <w:rsid w:val="006D6E79"/>
    <w:rsid w:val="006D6EF8"/>
    <w:rsid w:val="006D6FCF"/>
    <w:rsid w:val="006D725A"/>
    <w:rsid w:val="006D7703"/>
    <w:rsid w:val="006D7984"/>
    <w:rsid w:val="006E01F7"/>
    <w:rsid w:val="006E05AA"/>
    <w:rsid w:val="006E0A75"/>
    <w:rsid w:val="006E1992"/>
    <w:rsid w:val="006E1AF3"/>
    <w:rsid w:val="006E1CA1"/>
    <w:rsid w:val="006E1EAB"/>
    <w:rsid w:val="006E22E7"/>
    <w:rsid w:val="006E32D3"/>
    <w:rsid w:val="006E38CD"/>
    <w:rsid w:val="006E47A5"/>
    <w:rsid w:val="006E4957"/>
    <w:rsid w:val="006E4D7F"/>
    <w:rsid w:val="006E4D9A"/>
    <w:rsid w:val="006E51EC"/>
    <w:rsid w:val="006E56B7"/>
    <w:rsid w:val="006E5D60"/>
    <w:rsid w:val="006E6942"/>
    <w:rsid w:val="006E7FEC"/>
    <w:rsid w:val="006F06B2"/>
    <w:rsid w:val="006F0D5A"/>
    <w:rsid w:val="006F0F90"/>
    <w:rsid w:val="006F12E2"/>
    <w:rsid w:val="006F13F7"/>
    <w:rsid w:val="006F140E"/>
    <w:rsid w:val="006F157E"/>
    <w:rsid w:val="006F190A"/>
    <w:rsid w:val="006F1A78"/>
    <w:rsid w:val="006F1E70"/>
    <w:rsid w:val="006F2122"/>
    <w:rsid w:val="006F2921"/>
    <w:rsid w:val="006F29CF"/>
    <w:rsid w:val="006F2A57"/>
    <w:rsid w:val="006F300C"/>
    <w:rsid w:val="006F3A55"/>
    <w:rsid w:val="006F3CA8"/>
    <w:rsid w:val="006F3D2F"/>
    <w:rsid w:val="006F3EB8"/>
    <w:rsid w:val="006F4DFA"/>
    <w:rsid w:val="006F644D"/>
    <w:rsid w:val="006F654D"/>
    <w:rsid w:val="006F68AA"/>
    <w:rsid w:val="006F7164"/>
    <w:rsid w:val="006F7251"/>
    <w:rsid w:val="006F75D7"/>
    <w:rsid w:val="00700C23"/>
    <w:rsid w:val="00701999"/>
    <w:rsid w:val="00701A72"/>
    <w:rsid w:val="00701B96"/>
    <w:rsid w:val="00702829"/>
    <w:rsid w:val="0070335A"/>
    <w:rsid w:val="00703775"/>
    <w:rsid w:val="00703E52"/>
    <w:rsid w:val="007042C7"/>
    <w:rsid w:val="00704B56"/>
    <w:rsid w:val="00705808"/>
    <w:rsid w:val="007062CD"/>
    <w:rsid w:val="00706767"/>
    <w:rsid w:val="00706971"/>
    <w:rsid w:val="00706CD5"/>
    <w:rsid w:val="007072E1"/>
    <w:rsid w:val="00707872"/>
    <w:rsid w:val="00707ACF"/>
    <w:rsid w:val="007101A2"/>
    <w:rsid w:val="00710752"/>
    <w:rsid w:val="007108C9"/>
    <w:rsid w:val="00710E61"/>
    <w:rsid w:val="0071141E"/>
    <w:rsid w:val="00711677"/>
    <w:rsid w:val="00711718"/>
    <w:rsid w:val="007119C8"/>
    <w:rsid w:val="00711C13"/>
    <w:rsid w:val="00712CEA"/>
    <w:rsid w:val="00713F5B"/>
    <w:rsid w:val="00714343"/>
    <w:rsid w:val="00714C79"/>
    <w:rsid w:val="00714D70"/>
    <w:rsid w:val="00714E9F"/>
    <w:rsid w:val="00715DF1"/>
    <w:rsid w:val="007165F0"/>
    <w:rsid w:val="007179F5"/>
    <w:rsid w:val="007179F7"/>
    <w:rsid w:val="00717A5E"/>
    <w:rsid w:val="00717FED"/>
    <w:rsid w:val="00720073"/>
    <w:rsid w:val="00720699"/>
    <w:rsid w:val="007210F5"/>
    <w:rsid w:val="0072131A"/>
    <w:rsid w:val="00721E1D"/>
    <w:rsid w:val="00722732"/>
    <w:rsid w:val="00722883"/>
    <w:rsid w:val="007229B3"/>
    <w:rsid w:val="007233A0"/>
    <w:rsid w:val="0072351E"/>
    <w:rsid w:val="00723D58"/>
    <w:rsid w:val="00723E39"/>
    <w:rsid w:val="0072445E"/>
    <w:rsid w:val="0072448D"/>
    <w:rsid w:val="007255E4"/>
    <w:rsid w:val="007259F4"/>
    <w:rsid w:val="00725F5C"/>
    <w:rsid w:val="00727A03"/>
    <w:rsid w:val="00730327"/>
    <w:rsid w:val="0073033C"/>
    <w:rsid w:val="0073061B"/>
    <w:rsid w:val="00730749"/>
    <w:rsid w:val="007308A1"/>
    <w:rsid w:val="007308D7"/>
    <w:rsid w:val="00731821"/>
    <w:rsid w:val="00731857"/>
    <w:rsid w:val="00731D66"/>
    <w:rsid w:val="00732555"/>
    <w:rsid w:val="007327BC"/>
    <w:rsid w:val="007329DB"/>
    <w:rsid w:val="0073326D"/>
    <w:rsid w:val="007348E6"/>
    <w:rsid w:val="00734A2F"/>
    <w:rsid w:val="00734BDC"/>
    <w:rsid w:val="00734F47"/>
    <w:rsid w:val="007354F2"/>
    <w:rsid w:val="007355AA"/>
    <w:rsid w:val="00735E60"/>
    <w:rsid w:val="00735E82"/>
    <w:rsid w:val="00737A84"/>
    <w:rsid w:val="00737D47"/>
    <w:rsid w:val="007411B7"/>
    <w:rsid w:val="007417D9"/>
    <w:rsid w:val="007417ED"/>
    <w:rsid w:val="00741BC9"/>
    <w:rsid w:val="00742D36"/>
    <w:rsid w:val="00742E3E"/>
    <w:rsid w:val="0074353B"/>
    <w:rsid w:val="00743BAE"/>
    <w:rsid w:val="00743E53"/>
    <w:rsid w:val="007440E1"/>
    <w:rsid w:val="00744D0C"/>
    <w:rsid w:val="0074560F"/>
    <w:rsid w:val="00745A95"/>
    <w:rsid w:val="00745A9E"/>
    <w:rsid w:val="00745B8B"/>
    <w:rsid w:val="00745CAA"/>
    <w:rsid w:val="00746018"/>
    <w:rsid w:val="007467B8"/>
    <w:rsid w:val="00746B94"/>
    <w:rsid w:val="00746BCD"/>
    <w:rsid w:val="00746CE3"/>
    <w:rsid w:val="0074712B"/>
    <w:rsid w:val="007474A4"/>
    <w:rsid w:val="00750354"/>
    <w:rsid w:val="00750433"/>
    <w:rsid w:val="007505CE"/>
    <w:rsid w:val="007515D2"/>
    <w:rsid w:val="007516BD"/>
    <w:rsid w:val="007519B7"/>
    <w:rsid w:val="00752F5A"/>
    <w:rsid w:val="007531BC"/>
    <w:rsid w:val="007534F0"/>
    <w:rsid w:val="007538C8"/>
    <w:rsid w:val="00753A26"/>
    <w:rsid w:val="00753B3B"/>
    <w:rsid w:val="00753CFE"/>
    <w:rsid w:val="0075409F"/>
    <w:rsid w:val="007547E9"/>
    <w:rsid w:val="007551A6"/>
    <w:rsid w:val="007554BF"/>
    <w:rsid w:val="0075565B"/>
    <w:rsid w:val="00755B62"/>
    <w:rsid w:val="00755C75"/>
    <w:rsid w:val="0075653D"/>
    <w:rsid w:val="00756B4E"/>
    <w:rsid w:val="00757269"/>
    <w:rsid w:val="00757DCC"/>
    <w:rsid w:val="007607E8"/>
    <w:rsid w:val="00760B06"/>
    <w:rsid w:val="00760D10"/>
    <w:rsid w:val="007610D8"/>
    <w:rsid w:val="00761328"/>
    <w:rsid w:val="00761CC4"/>
    <w:rsid w:val="00761D70"/>
    <w:rsid w:val="00761FD5"/>
    <w:rsid w:val="007620AC"/>
    <w:rsid w:val="00762856"/>
    <w:rsid w:val="00762929"/>
    <w:rsid w:val="00762C67"/>
    <w:rsid w:val="00762EDF"/>
    <w:rsid w:val="00762FC9"/>
    <w:rsid w:val="0076336E"/>
    <w:rsid w:val="00763B7B"/>
    <w:rsid w:val="00763DE9"/>
    <w:rsid w:val="0076418A"/>
    <w:rsid w:val="0076428B"/>
    <w:rsid w:val="007648E6"/>
    <w:rsid w:val="00766761"/>
    <w:rsid w:val="00766A8D"/>
    <w:rsid w:val="00766C72"/>
    <w:rsid w:val="00766F2A"/>
    <w:rsid w:val="0076705A"/>
    <w:rsid w:val="007670DE"/>
    <w:rsid w:val="00767206"/>
    <w:rsid w:val="00767FEE"/>
    <w:rsid w:val="00770732"/>
    <w:rsid w:val="007707E7"/>
    <w:rsid w:val="00770D97"/>
    <w:rsid w:val="00771728"/>
    <w:rsid w:val="00771B98"/>
    <w:rsid w:val="00772370"/>
    <w:rsid w:val="0077273A"/>
    <w:rsid w:val="00772A3E"/>
    <w:rsid w:val="00772E75"/>
    <w:rsid w:val="0077329B"/>
    <w:rsid w:val="00773399"/>
    <w:rsid w:val="00773409"/>
    <w:rsid w:val="00773685"/>
    <w:rsid w:val="00773CA3"/>
    <w:rsid w:val="00773EB1"/>
    <w:rsid w:val="00774292"/>
    <w:rsid w:val="007748C1"/>
    <w:rsid w:val="0077490E"/>
    <w:rsid w:val="0077591E"/>
    <w:rsid w:val="00775E31"/>
    <w:rsid w:val="00775E34"/>
    <w:rsid w:val="00775F0B"/>
    <w:rsid w:val="007764E1"/>
    <w:rsid w:val="00776580"/>
    <w:rsid w:val="00776691"/>
    <w:rsid w:val="007766E4"/>
    <w:rsid w:val="007769E2"/>
    <w:rsid w:val="00776AAC"/>
    <w:rsid w:val="007776C8"/>
    <w:rsid w:val="00777BF2"/>
    <w:rsid w:val="00777D36"/>
    <w:rsid w:val="00780257"/>
    <w:rsid w:val="00780530"/>
    <w:rsid w:val="00780551"/>
    <w:rsid w:val="00780B07"/>
    <w:rsid w:val="007811B6"/>
    <w:rsid w:val="007818F2"/>
    <w:rsid w:val="00781938"/>
    <w:rsid w:val="00782B82"/>
    <w:rsid w:val="00782BD9"/>
    <w:rsid w:val="00782CD3"/>
    <w:rsid w:val="007835F2"/>
    <w:rsid w:val="00783AD9"/>
    <w:rsid w:val="00784020"/>
    <w:rsid w:val="0078505D"/>
    <w:rsid w:val="0078509C"/>
    <w:rsid w:val="007859A5"/>
    <w:rsid w:val="0078604D"/>
    <w:rsid w:val="007865F1"/>
    <w:rsid w:val="00786AA3"/>
    <w:rsid w:val="00786EBD"/>
    <w:rsid w:val="00790181"/>
    <w:rsid w:val="007905AA"/>
    <w:rsid w:val="00790619"/>
    <w:rsid w:val="00790ECC"/>
    <w:rsid w:val="007912D9"/>
    <w:rsid w:val="007917FF"/>
    <w:rsid w:val="00791806"/>
    <w:rsid w:val="00791BF2"/>
    <w:rsid w:val="00792984"/>
    <w:rsid w:val="007929D1"/>
    <w:rsid w:val="00792FF3"/>
    <w:rsid w:val="007933E6"/>
    <w:rsid w:val="00793529"/>
    <w:rsid w:val="007937C5"/>
    <w:rsid w:val="00793B62"/>
    <w:rsid w:val="00793F7D"/>
    <w:rsid w:val="0079459A"/>
    <w:rsid w:val="0079491C"/>
    <w:rsid w:val="007953E4"/>
    <w:rsid w:val="00795853"/>
    <w:rsid w:val="00795A75"/>
    <w:rsid w:val="007960F4"/>
    <w:rsid w:val="00796DEB"/>
    <w:rsid w:val="00796F7E"/>
    <w:rsid w:val="00796FBB"/>
    <w:rsid w:val="00797A6E"/>
    <w:rsid w:val="00797D61"/>
    <w:rsid w:val="007A0208"/>
    <w:rsid w:val="007A0693"/>
    <w:rsid w:val="007A081C"/>
    <w:rsid w:val="007A0B5E"/>
    <w:rsid w:val="007A1148"/>
    <w:rsid w:val="007A1683"/>
    <w:rsid w:val="007A169C"/>
    <w:rsid w:val="007A2208"/>
    <w:rsid w:val="007A286C"/>
    <w:rsid w:val="007A2886"/>
    <w:rsid w:val="007A2D39"/>
    <w:rsid w:val="007A3259"/>
    <w:rsid w:val="007A382B"/>
    <w:rsid w:val="007A3920"/>
    <w:rsid w:val="007A39AD"/>
    <w:rsid w:val="007A3D9F"/>
    <w:rsid w:val="007A404F"/>
    <w:rsid w:val="007A40AC"/>
    <w:rsid w:val="007A45EF"/>
    <w:rsid w:val="007A4A0A"/>
    <w:rsid w:val="007A55AD"/>
    <w:rsid w:val="007A585D"/>
    <w:rsid w:val="007A59C3"/>
    <w:rsid w:val="007A5B79"/>
    <w:rsid w:val="007A5CB9"/>
    <w:rsid w:val="007A6231"/>
    <w:rsid w:val="007A70A1"/>
    <w:rsid w:val="007A7123"/>
    <w:rsid w:val="007A7163"/>
    <w:rsid w:val="007A718A"/>
    <w:rsid w:val="007A7BB4"/>
    <w:rsid w:val="007A7E4B"/>
    <w:rsid w:val="007B046B"/>
    <w:rsid w:val="007B0893"/>
    <w:rsid w:val="007B0CAF"/>
    <w:rsid w:val="007B0D0E"/>
    <w:rsid w:val="007B1F48"/>
    <w:rsid w:val="007B2632"/>
    <w:rsid w:val="007B275D"/>
    <w:rsid w:val="007B2872"/>
    <w:rsid w:val="007B2C79"/>
    <w:rsid w:val="007B326B"/>
    <w:rsid w:val="007B3319"/>
    <w:rsid w:val="007B3BCF"/>
    <w:rsid w:val="007B4048"/>
    <w:rsid w:val="007B449D"/>
    <w:rsid w:val="007B4C1B"/>
    <w:rsid w:val="007B4C32"/>
    <w:rsid w:val="007B4F0D"/>
    <w:rsid w:val="007B622A"/>
    <w:rsid w:val="007B6B90"/>
    <w:rsid w:val="007B71CA"/>
    <w:rsid w:val="007B763F"/>
    <w:rsid w:val="007C0706"/>
    <w:rsid w:val="007C0926"/>
    <w:rsid w:val="007C0CF9"/>
    <w:rsid w:val="007C1F89"/>
    <w:rsid w:val="007C2A07"/>
    <w:rsid w:val="007C2FF9"/>
    <w:rsid w:val="007C3533"/>
    <w:rsid w:val="007C3592"/>
    <w:rsid w:val="007C3811"/>
    <w:rsid w:val="007C40B0"/>
    <w:rsid w:val="007C428D"/>
    <w:rsid w:val="007C42C3"/>
    <w:rsid w:val="007C45A1"/>
    <w:rsid w:val="007C463B"/>
    <w:rsid w:val="007C510C"/>
    <w:rsid w:val="007C554F"/>
    <w:rsid w:val="007C5632"/>
    <w:rsid w:val="007C5D58"/>
    <w:rsid w:val="007C61A6"/>
    <w:rsid w:val="007C62EA"/>
    <w:rsid w:val="007C6A74"/>
    <w:rsid w:val="007C6EBA"/>
    <w:rsid w:val="007C6EF9"/>
    <w:rsid w:val="007C70BA"/>
    <w:rsid w:val="007D11A3"/>
    <w:rsid w:val="007D12FD"/>
    <w:rsid w:val="007D1C30"/>
    <w:rsid w:val="007D239A"/>
    <w:rsid w:val="007D2C86"/>
    <w:rsid w:val="007D2EE5"/>
    <w:rsid w:val="007D2FE5"/>
    <w:rsid w:val="007D321F"/>
    <w:rsid w:val="007D378A"/>
    <w:rsid w:val="007D4501"/>
    <w:rsid w:val="007D46B0"/>
    <w:rsid w:val="007D4859"/>
    <w:rsid w:val="007D4C35"/>
    <w:rsid w:val="007D4D1A"/>
    <w:rsid w:val="007D55C9"/>
    <w:rsid w:val="007D5EB0"/>
    <w:rsid w:val="007D6522"/>
    <w:rsid w:val="007D6FBB"/>
    <w:rsid w:val="007D7021"/>
    <w:rsid w:val="007D7291"/>
    <w:rsid w:val="007D7C28"/>
    <w:rsid w:val="007E0953"/>
    <w:rsid w:val="007E0E1F"/>
    <w:rsid w:val="007E0F97"/>
    <w:rsid w:val="007E138A"/>
    <w:rsid w:val="007E1AEF"/>
    <w:rsid w:val="007E24AB"/>
    <w:rsid w:val="007E2682"/>
    <w:rsid w:val="007E2CCA"/>
    <w:rsid w:val="007E450D"/>
    <w:rsid w:val="007E4658"/>
    <w:rsid w:val="007E49FE"/>
    <w:rsid w:val="007E4C3D"/>
    <w:rsid w:val="007E4D1C"/>
    <w:rsid w:val="007E51DE"/>
    <w:rsid w:val="007E5A90"/>
    <w:rsid w:val="007E5AE2"/>
    <w:rsid w:val="007E60EF"/>
    <w:rsid w:val="007E6107"/>
    <w:rsid w:val="007E6861"/>
    <w:rsid w:val="007E69B2"/>
    <w:rsid w:val="007E6C1F"/>
    <w:rsid w:val="007F055E"/>
    <w:rsid w:val="007F107C"/>
    <w:rsid w:val="007F10E6"/>
    <w:rsid w:val="007F1FE8"/>
    <w:rsid w:val="007F2DB8"/>
    <w:rsid w:val="007F3076"/>
    <w:rsid w:val="007F3ACE"/>
    <w:rsid w:val="007F3FBA"/>
    <w:rsid w:val="007F4131"/>
    <w:rsid w:val="007F41C4"/>
    <w:rsid w:val="007F489D"/>
    <w:rsid w:val="007F4C90"/>
    <w:rsid w:val="007F4FAF"/>
    <w:rsid w:val="007F61C7"/>
    <w:rsid w:val="007F6584"/>
    <w:rsid w:val="007F66E3"/>
    <w:rsid w:val="007F7041"/>
    <w:rsid w:val="007F7302"/>
    <w:rsid w:val="007F73F5"/>
    <w:rsid w:val="007F7A5B"/>
    <w:rsid w:val="00800266"/>
    <w:rsid w:val="008006A4"/>
    <w:rsid w:val="008011E3"/>
    <w:rsid w:val="008012B2"/>
    <w:rsid w:val="00801BEF"/>
    <w:rsid w:val="00801F2C"/>
    <w:rsid w:val="008034A1"/>
    <w:rsid w:val="008034FC"/>
    <w:rsid w:val="00803B3B"/>
    <w:rsid w:val="00804185"/>
    <w:rsid w:val="00804C5F"/>
    <w:rsid w:val="00804E7F"/>
    <w:rsid w:val="00804F15"/>
    <w:rsid w:val="00805109"/>
    <w:rsid w:val="00805144"/>
    <w:rsid w:val="00805612"/>
    <w:rsid w:val="008061F2"/>
    <w:rsid w:val="00806804"/>
    <w:rsid w:val="00806DB1"/>
    <w:rsid w:val="00807D00"/>
    <w:rsid w:val="00810378"/>
    <w:rsid w:val="00810738"/>
    <w:rsid w:val="00811874"/>
    <w:rsid w:val="00812041"/>
    <w:rsid w:val="008121E9"/>
    <w:rsid w:val="00812815"/>
    <w:rsid w:val="008128AD"/>
    <w:rsid w:val="00812B95"/>
    <w:rsid w:val="00812C42"/>
    <w:rsid w:val="00813E5B"/>
    <w:rsid w:val="00814360"/>
    <w:rsid w:val="008143EB"/>
    <w:rsid w:val="008149A7"/>
    <w:rsid w:val="00814D63"/>
    <w:rsid w:val="00815087"/>
    <w:rsid w:val="008152D8"/>
    <w:rsid w:val="00815FBE"/>
    <w:rsid w:val="00816517"/>
    <w:rsid w:val="0081675B"/>
    <w:rsid w:val="00816DBE"/>
    <w:rsid w:val="0081710C"/>
    <w:rsid w:val="00817374"/>
    <w:rsid w:val="00817B20"/>
    <w:rsid w:val="00817E52"/>
    <w:rsid w:val="008200F4"/>
    <w:rsid w:val="0082064A"/>
    <w:rsid w:val="00820B85"/>
    <w:rsid w:val="0082134C"/>
    <w:rsid w:val="008215A6"/>
    <w:rsid w:val="00821C86"/>
    <w:rsid w:val="008220B6"/>
    <w:rsid w:val="008225C9"/>
    <w:rsid w:val="00822707"/>
    <w:rsid w:val="00822A33"/>
    <w:rsid w:val="00822D19"/>
    <w:rsid w:val="008236FF"/>
    <w:rsid w:val="00823F50"/>
    <w:rsid w:val="00823FDC"/>
    <w:rsid w:val="00824048"/>
    <w:rsid w:val="00824545"/>
    <w:rsid w:val="008249F8"/>
    <w:rsid w:val="00824C61"/>
    <w:rsid w:val="008255BA"/>
    <w:rsid w:val="00825CD7"/>
    <w:rsid w:val="00826054"/>
    <w:rsid w:val="008260ED"/>
    <w:rsid w:val="008263D1"/>
    <w:rsid w:val="008264A1"/>
    <w:rsid w:val="008264D7"/>
    <w:rsid w:val="00826D19"/>
    <w:rsid w:val="008270D2"/>
    <w:rsid w:val="00827817"/>
    <w:rsid w:val="008278DE"/>
    <w:rsid w:val="008279D2"/>
    <w:rsid w:val="00830112"/>
    <w:rsid w:val="00830317"/>
    <w:rsid w:val="00830642"/>
    <w:rsid w:val="0083067D"/>
    <w:rsid w:val="008311DC"/>
    <w:rsid w:val="00831275"/>
    <w:rsid w:val="00831320"/>
    <w:rsid w:val="008316E4"/>
    <w:rsid w:val="00831985"/>
    <w:rsid w:val="00831B6E"/>
    <w:rsid w:val="00831E27"/>
    <w:rsid w:val="00832149"/>
    <w:rsid w:val="00832298"/>
    <w:rsid w:val="00832853"/>
    <w:rsid w:val="00832C9D"/>
    <w:rsid w:val="00833C55"/>
    <w:rsid w:val="00835035"/>
    <w:rsid w:val="00835064"/>
    <w:rsid w:val="008366CD"/>
    <w:rsid w:val="00836B97"/>
    <w:rsid w:val="00836C7F"/>
    <w:rsid w:val="008370DE"/>
    <w:rsid w:val="00837875"/>
    <w:rsid w:val="0084022B"/>
    <w:rsid w:val="00840349"/>
    <w:rsid w:val="0084045A"/>
    <w:rsid w:val="00840B37"/>
    <w:rsid w:val="008410A2"/>
    <w:rsid w:val="00841361"/>
    <w:rsid w:val="00841652"/>
    <w:rsid w:val="00841B4E"/>
    <w:rsid w:val="00842064"/>
    <w:rsid w:val="008423FF"/>
    <w:rsid w:val="0084252A"/>
    <w:rsid w:val="00842700"/>
    <w:rsid w:val="00842B93"/>
    <w:rsid w:val="00842D36"/>
    <w:rsid w:val="00844079"/>
    <w:rsid w:val="0084463D"/>
    <w:rsid w:val="00844651"/>
    <w:rsid w:val="00844861"/>
    <w:rsid w:val="00844DBD"/>
    <w:rsid w:val="00844DC6"/>
    <w:rsid w:val="00845666"/>
    <w:rsid w:val="00845ED0"/>
    <w:rsid w:val="008462F4"/>
    <w:rsid w:val="00846953"/>
    <w:rsid w:val="00846D6C"/>
    <w:rsid w:val="00846EE1"/>
    <w:rsid w:val="008478C5"/>
    <w:rsid w:val="00847BBE"/>
    <w:rsid w:val="00847DCB"/>
    <w:rsid w:val="00847EEB"/>
    <w:rsid w:val="00847F67"/>
    <w:rsid w:val="0085027C"/>
    <w:rsid w:val="008508F3"/>
    <w:rsid w:val="0085172D"/>
    <w:rsid w:val="00851847"/>
    <w:rsid w:val="00851A6B"/>
    <w:rsid w:val="00851B7C"/>
    <w:rsid w:val="00852120"/>
    <w:rsid w:val="00852480"/>
    <w:rsid w:val="00852DCF"/>
    <w:rsid w:val="008530C6"/>
    <w:rsid w:val="00853191"/>
    <w:rsid w:val="00853F87"/>
    <w:rsid w:val="0085408A"/>
    <w:rsid w:val="008542F4"/>
    <w:rsid w:val="0085432D"/>
    <w:rsid w:val="0085495E"/>
    <w:rsid w:val="00854C05"/>
    <w:rsid w:val="008553B8"/>
    <w:rsid w:val="00855ED2"/>
    <w:rsid w:val="00856547"/>
    <w:rsid w:val="008607B2"/>
    <w:rsid w:val="00860910"/>
    <w:rsid w:val="00860E09"/>
    <w:rsid w:val="00860F72"/>
    <w:rsid w:val="008613BF"/>
    <w:rsid w:val="00862500"/>
    <w:rsid w:val="00862B9D"/>
    <w:rsid w:val="00862BA2"/>
    <w:rsid w:val="00862FB1"/>
    <w:rsid w:val="0086339F"/>
    <w:rsid w:val="008634F3"/>
    <w:rsid w:val="00863812"/>
    <w:rsid w:val="00863A93"/>
    <w:rsid w:val="00863BAA"/>
    <w:rsid w:val="008645E4"/>
    <w:rsid w:val="008650F8"/>
    <w:rsid w:val="0086534A"/>
    <w:rsid w:val="00865960"/>
    <w:rsid w:val="00865C3B"/>
    <w:rsid w:val="00865D95"/>
    <w:rsid w:val="00867262"/>
    <w:rsid w:val="008672BF"/>
    <w:rsid w:val="008675F2"/>
    <w:rsid w:val="0086798E"/>
    <w:rsid w:val="0087072D"/>
    <w:rsid w:val="008708FB"/>
    <w:rsid w:val="00870C90"/>
    <w:rsid w:val="00870F60"/>
    <w:rsid w:val="00871895"/>
    <w:rsid w:val="00871CB4"/>
    <w:rsid w:val="00871FE9"/>
    <w:rsid w:val="00872EE3"/>
    <w:rsid w:val="0087342F"/>
    <w:rsid w:val="00873521"/>
    <w:rsid w:val="00873E30"/>
    <w:rsid w:val="00873FD6"/>
    <w:rsid w:val="008741E8"/>
    <w:rsid w:val="008742B0"/>
    <w:rsid w:val="0087446C"/>
    <w:rsid w:val="008744E8"/>
    <w:rsid w:val="00874FC2"/>
    <w:rsid w:val="008755F2"/>
    <w:rsid w:val="00875829"/>
    <w:rsid w:val="00875DE4"/>
    <w:rsid w:val="008760EE"/>
    <w:rsid w:val="008761C3"/>
    <w:rsid w:val="0087624E"/>
    <w:rsid w:val="0087656F"/>
    <w:rsid w:val="008766F4"/>
    <w:rsid w:val="008766F9"/>
    <w:rsid w:val="00876B4E"/>
    <w:rsid w:val="00876D74"/>
    <w:rsid w:val="00877935"/>
    <w:rsid w:val="00877E09"/>
    <w:rsid w:val="00880344"/>
    <w:rsid w:val="008804D7"/>
    <w:rsid w:val="008805C3"/>
    <w:rsid w:val="00880783"/>
    <w:rsid w:val="008810D5"/>
    <w:rsid w:val="00881308"/>
    <w:rsid w:val="0088189D"/>
    <w:rsid w:val="00881DE3"/>
    <w:rsid w:val="00881EFB"/>
    <w:rsid w:val="00881FAA"/>
    <w:rsid w:val="0088252A"/>
    <w:rsid w:val="00882635"/>
    <w:rsid w:val="00883B94"/>
    <w:rsid w:val="00883F01"/>
    <w:rsid w:val="0088416E"/>
    <w:rsid w:val="00884708"/>
    <w:rsid w:val="00884925"/>
    <w:rsid w:val="00884B03"/>
    <w:rsid w:val="00884E9D"/>
    <w:rsid w:val="00885481"/>
    <w:rsid w:val="00885781"/>
    <w:rsid w:val="00887982"/>
    <w:rsid w:val="008908E4"/>
    <w:rsid w:val="00890A4D"/>
    <w:rsid w:val="00890E41"/>
    <w:rsid w:val="00890FF3"/>
    <w:rsid w:val="0089115B"/>
    <w:rsid w:val="008913A5"/>
    <w:rsid w:val="008913AC"/>
    <w:rsid w:val="00891457"/>
    <w:rsid w:val="00891564"/>
    <w:rsid w:val="008915D2"/>
    <w:rsid w:val="00891A84"/>
    <w:rsid w:val="008921A5"/>
    <w:rsid w:val="00892A7D"/>
    <w:rsid w:val="00892F0F"/>
    <w:rsid w:val="00892F24"/>
    <w:rsid w:val="008931B1"/>
    <w:rsid w:val="00894103"/>
    <w:rsid w:val="00894B91"/>
    <w:rsid w:val="00895A2A"/>
    <w:rsid w:val="00895F24"/>
    <w:rsid w:val="00896179"/>
    <w:rsid w:val="008962DD"/>
    <w:rsid w:val="00896935"/>
    <w:rsid w:val="00896A39"/>
    <w:rsid w:val="00896E97"/>
    <w:rsid w:val="008972EC"/>
    <w:rsid w:val="00897B87"/>
    <w:rsid w:val="00897E0C"/>
    <w:rsid w:val="008A03A0"/>
    <w:rsid w:val="008A09A5"/>
    <w:rsid w:val="008A0D38"/>
    <w:rsid w:val="008A26B4"/>
    <w:rsid w:val="008A2A97"/>
    <w:rsid w:val="008A2D3B"/>
    <w:rsid w:val="008A3252"/>
    <w:rsid w:val="008A32CC"/>
    <w:rsid w:val="008A3B0B"/>
    <w:rsid w:val="008A3D6E"/>
    <w:rsid w:val="008A3FBC"/>
    <w:rsid w:val="008A490F"/>
    <w:rsid w:val="008A52CD"/>
    <w:rsid w:val="008A5694"/>
    <w:rsid w:val="008A5B78"/>
    <w:rsid w:val="008A6582"/>
    <w:rsid w:val="008A6737"/>
    <w:rsid w:val="008A6B00"/>
    <w:rsid w:val="008A6F46"/>
    <w:rsid w:val="008A7152"/>
    <w:rsid w:val="008A7201"/>
    <w:rsid w:val="008A7C95"/>
    <w:rsid w:val="008A7C97"/>
    <w:rsid w:val="008B170A"/>
    <w:rsid w:val="008B2091"/>
    <w:rsid w:val="008B20BB"/>
    <w:rsid w:val="008B2CD1"/>
    <w:rsid w:val="008B3089"/>
    <w:rsid w:val="008B31F6"/>
    <w:rsid w:val="008B33E1"/>
    <w:rsid w:val="008B33F6"/>
    <w:rsid w:val="008B340C"/>
    <w:rsid w:val="008B3FBB"/>
    <w:rsid w:val="008B3FD6"/>
    <w:rsid w:val="008B44AD"/>
    <w:rsid w:val="008B493E"/>
    <w:rsid w:val="008B4D00"/>
    <w:rsid w:val="008B4F87"/>
    <w:rsid w:val="008B51CD"/>
    <w:rsid w:val="008B582D"/>
    <w:rsid w:val="008B5987"/>
    <w:rsid w:val="008B62CB"/>
    <w:rsid w:val="008B67B6"/>
    <w:rsid w:val="008B6C6C"/>
    <w:rsid w:val="008B7875"/>
    <w:rsid w:val="008B7B91"/>
    <w:rsid w:val="008C01DA"/>
    <w:rsid w:val="008C02A1"/>
    <w:rsid w:val="008C0885"/>
    <w:rsid w:val="008C1DB1"/>
    <w:rsid w:val="008C212B"/>
    <w:rsid w:val="008C303C"/>
    <w:rsid w:val="008C334C"/>
    <w:rsid w:val="008C3C29"/>
    <w:rsid w:val="008C3EF5"/>
    <w:rsid w:val="008C41A5"/>
    <w:rsid w:val="008C4B61"/>
    <w:rsid w:val="008C56DE"/>
    <w:rsid w:val="008C62E7"/>
    <w:rsid w:val="008C6EF3"/>
    <w:rsid w:val="008C7268"/>
    <w:rsid w:val="008C72BE"/>
    <w:rsid w:val="008C771D"/>
    <w:rsid w:val="008C798C"/>
    <w:rsid w:val="008D0C1E"/>
    <w:rsid w:val="008D0E48"/>
    <w:rsid w:val="008D129B"/>
    <w:rsid w:val="008D1F45"/>
    <w:rsid w:val="008D218C"/>
    <w:rsid w:val="008D2CE8"/>
    <w:rsid w:val="008D2D82"/>
    <w:rsid w:val="008D368D"/>
    <w:rsid w:val="008D372B"/>
    <w:rsid w:val="008D412D"/>
    <w:rsid w:val="008D49D2"/>
    <w:rsid w:val="008D4B34"/>
    <w:rsid w:val="008D582C"/>
    <w:rsid w:val="008D58E9"/>
    <w:rsid w:val="008D59FC"/>
    <w:rsid w:val="008D5CAF"/>
    <w:rsid w:val="008D5DF3"/>
    <w:rsid w:val="008D6625"/>
    <w:rsid w:val="008D6ADE"/>
    <w:rsid w:val="008D798D"/>
    <w:rsid w:val="008E14EB"/>
    <w:rsid w:val="008E1548"/>
    <w:rsid w:val="008E1BD9"/>
    <w:rsid w:val="008E1F98"/>
    <w:rsid w:val="008E200C"/>
    <w:rsid w:val="008E2211"/>
    <w:rsid w:val="008E25CC"/>
    <w:rsid w:val="008E325B"/>
    <w:rsid w:val="008E355D"/>
    <w:rsid w:val="008E3BA2"/>
    <w:rsid w:val="008E4398"/>
    <w:rsid w:val="008E4C5D"/>
    <w:rsid w:val="008E4E2C"/>
    <w:rsid w:val="008E5D37"/>
    <w:rsid w:val="008E5D8A"/>
    <w:rsid w:val="008E64CC"/>
    <w:rsid w:val="008E729C"/>
    <w:rsid w:val="008E76E1"/>
    <w:rsid w:val="008E7870"/>
    <w:rsid w:val="008E7CDF"/>
    <w:rsid w:val="008E7D9C"/>
    <w:rsid w:val="008E7DDD"/>
    <w:rsid w:val="008F0448"/>
    <w:rsid w:val="008F04D6"/>
    <w:rsid w:val="008F0C60"/>
    <w:rsid w:val="008F1D23"/>
    <w:rsid w:val="008F2AD6"/>
    <w:rsid w:val="008F2E79"/>
    <w:rsid w:val="008F3493"/>
    <w:rsid w:val="008F486F"/>
    <w:rsid w:val="008F4A44"/>
    <w:rsid w:val="008F4DFE"/>
    <w:rsid w:val="008F52A1"/>
    <w:rsid w:val="008F5F48"/>
    <w:rsid w:val="008F6F22"/>
    <w:rsid w:val="008F6F5F"/>
    <w:rsid w:val="008F74EF"/>
    <w:rsid w:val="009002F3"/>
    <w:rsid w:val="00900714"/>
    <w:rsid w:val="0090076B"/>
    <w:rsid w:val="00901638"/>
    <w:rsid w:val="00901B84"/>
    <w:rsid w:val="00901FCE"/>
    <w:rsid w:val="00902707"/>
    <w:rsid w:val="00902991"/>
    <w:rsid w:val="00903D87"/>
    <w:rsid w:val="00904747"/>
    <w:rsid w:val="00904B48"/>
    <w:rsid w:val="00904CCB"/>
    <w:rsid w:val="00904FC1"/>
    <w:rsid w:val="00905A44"/>
    <w:rsid w:val="00905CA4"/>
    <w:rsid w:val="00905D46"/>
    <w:rsid w:val="00906822"/>
    <w:rsid w:val="009073D1"/>
    <w:rsid w:val="00907B9C"/>
    <w:rsid w:val="00910C09"/>
    <w:rsid w:val="00910CD6"/>
    <w:rsid w:val="00910D38"/>
    <w:rsid w:val="0091231B"/>
    <w:rsid w:val="0091290D"/>
    <w:rsid w:val="00912E2D"/>
    <w:rsid w:val="00913834"/>
    <w:rsid w:val="00914016"/>
    <w:rsid w:val="0091488A"/>
    <w:rsid w:val="009148FD"/>
    <w:rsid w:val="00914E9A"/>
    <w:rsid w:val="00914FB9"/>
    <w:rsid w:val="009150B9"/>
    <w:rsid w:val="00915250"/>
    <w:rsid w:val="009157F8"/>
    <w:rsid w:val="00915C3D"/>
    <w:rsid w:val="00915D30"/>
    <w:rsid w:val="00915FD6"/>
    <w:rsid w:val="009165BB"/>
    <w:rsid w:val="00916F20"/>
    <w:rsid w:val="00917420"/>
    <w:rsid w:val="0091774C"/>
    <w:rsid w:val="009201B3"/>
    <w:rsid w:val="00921555"/>
    <w:rsid w:val="00921A67"/>
    <w:rsid w:val="00921B7A"/>
    <w:rsid w:val="00922FA7"/>
    <w:rsid w:val="0092305C"/>
    <w:rsid w:val="0092321D"/>
    <w:rsid w:val="0092362B"/>
    <w:rsid w:val="00923685"/>
    <w:rsid w:val="00923F51"/>
    <w:rsid w:val="009242E4"/>
    <w:rsid w:val="009244E1"/>
    <w:rsid w:val="00924ADC"/>
    <w:rsid w:val="00924DAC"/>
    <w:rsid w:val="00925964"/>
    <w:rsid w:val="00925CD6"/>
    <w:rsid w:val="00925DF8"/>
    <w:rsid w:val="00925E48"/>
    <w:rsid w:val="009263E9"/>
    <w:rsid w:val="0092646F"/>
    <w:rsid w:val="00926A32"/>
    <w:rsid w:val="00927221"/>
    <w:rsid w:val="0093071F"/>
    <w:rsid w:val="00930F28"/>
    <w:rsid w:val="00931163"/>
    <w:rsid w:val="0093159C"/>
    <w:rsid w:val="00931AD9"/>
    <w:rsid w:val="00932895"/>
    <w:rsid w:val="00932E40"/>
    <w:rsid w:val="00932F43"/>
    <w:rsid w:val="00933000"/>
    <w:rsid w:val="00933293"/>
    <w:rsid w:val="0093347B"/>
    <w:rsid w:val="00934215"/>
    <w:rsid w:val="00934348"/>
    <w:rsid w:val="00934389"/>
    <w:rsid w:val="009343E4"/>
    <w:rsid w:val="00934A5C"/>
    <w:rsid w:val="00934A90"/>
    <w:rsid w:val="00934EEB"/>
    <w:rsid w:val="009354E3"/>
    <w:rsid w:val="0093559C"/>
    <w:rsid w:val="00935F06"/>
    <w:rsid w:val="0093642C"/>
    <w:rsid w:val="00936DB0"/>
    <w:rsid w:val="009374B9"/>
    <w:rsid w:val="00937787"/>
    <w:rsid w:val="00937A71"/>
    <w:rsid w:val="009400FD"/>
    <w:rsid w:val="00940302"/>
    <w:rsid w:val="009403C0"/>
    <w:rsid w:val="009403D1"/>
    <w:rsid w:val="0094057A"/>
    <w:rsid w:val="00940BEE"/>
    <w:rsid w:val="00941B19"/>
    <w:rsid w:val="00942289"/>
    <w:rsid w:val="009427D2"/>
    <w:rsid w:val="00942A37"/>
    <w:rsid w:val="00942D6C"/>
    <w:rsid w:val="00943122"/>
    <w:rsid w:val="00943142"/>
    <w:rsid w:val="009437AD"/>
    <w:rsid w:val="00943E0C"/>
    <w:rsid w:val="009447E8"/>
    <w:rsid w:val="00944916"/>
    <w:rsid w:val="009450E2"/>
    <w:rsid w:val="0094594E"/>
    <w:rsid w:val="00945D77"/>
    <w:rsid w:val="00946184"/>
    <w:rsid w:val="00946229"/>
    <w:rsid w:val="0094626E"/>
    <w:rsid w:val="009466FD"/>
    <w:rsid w:val="00946FCB"/>
    <w:rsid w:val="0094794E"/>
    <w:rsid w:val="00947A08"/>
    <w:rsid w:val="00947AFD"/>
    <w:rsid w:val="0095056F"/>
    <w:rsid w:val="009506F2"/>
    <w:rsid w:val="00951A2B"/>
    <w:rsid w:val="00951D6B"/>
    <w:rsid w:val="00952306"/>
    <w:rsid w:val="0095287D"/>
    <w:rsid w:val="00952B1E"/>
    <w:rsid w:val="00953319"/>
    <w:rsid w:val="00953352"/>
    <w:rsid w:val="00953B9A"/>
    <w:rsid w:val="00953F90"/>
    <w:rsid w:val="0095456A"/>
    <w:rsid w:val="00954D16"/>
    <w:rsid w:val="00954DCD"/>
    <w:rsid w:val="00954FE9"/>
    <w:rsid w:val="00955B1A"/>
    <w:rsid w:val="00955F82"/>
    <w:rsid w:val="009564CE"/>
    <w:rsid w:val="00956679"/>
    <w:rsid w:val="00956C36"/>
    <w:rsid w:val="009570D8"/>
    <w:rsid w:val="009579F2"/>
    <w:rsid w:val="00957DB5"/>
    <w:rsid w:val="0096008B"/>
    <w:rsid w:val="00961596"/>
    <w:rsid w:val="00961949"/>
    <w:rsid w:val="00961A17"/>
    <w:rsid w:val="009624D2"/>
    <w:rsid w:val="009625D0"/>
    <w:rsid w:val="00962A78"/>
    <w:rsid w:val="00962FE2"/>
    <w:rsid w:val="00963351"/>
    <w:rsid w:val="00963416"/>
    <w:rsid w:val="0096392C"/>
    <w:rsid w:val="00963E61"/>
    <w:rsid w:val="009644E1"/>
    <w:rsid w:val="00964C23"/>
    <w:rsid w:val="00965800"/>
    <w:rsid w:val="00966144"/>
    <w:rsid w:val="0096615C"/>
    <w:rsid w:val="009664A6"/>
    <w:rsid w:val="00966576"/>
    <w:rsid w:val="00966E63"/>
    <w:rsid w:val="009703D7"/>
    <w:rsid w:val="009704E1"/>
    <w:rsid w:val="00970625"/>
    <w:rsid w:val="00970BC2"/>
    <w:rsid w:val="00970D87"/>
    <w:rsid w:val="0097102E"/>
    <w:rsid w:val="00971110"/>
    <w:rsid w:val="009715E4"/>
    <w:rsid w:val="009719C8"/>
    <w:rsid w:val="00971CBF"/>
    <w:rsid w:val="0097286A"/>
    <w:rsid w:val="0097305A"/>
    <w:rsid w:val="00974119"/>
    <w:rsid w:val="00974231"/>
    <w:rsid w:val="00974751"/>
    <w:rsid w:val="00974CF5"/>
    <w:rsid w:val="0097508F"/>
    <w:rsid w:val="009750B8"/>
    <w:rsid w:val="00975391"/>
    <w:rsid w:val="00975B32"/>
    <w:rsid w:val="00976046"/>
    <w:rsid w:val="00976103"/>
    <w:rsid w:val="00976464"/>
    <w:rsid w:val="00976796"/>
    <w:rsid w:val="00976BC5"/>
    <w:rsid w:val="00976DC7"/>
    <w:rsid w:val="00976E75"/>
    <w:rsid w:val="00977B72"/>
    <w:rsid w:val="00977F4A"/>
    <w:rsid w:val="00980067"/>
    <w:rsid w:val="00980246"/>
    <w:rsid w:val="00980745"/>
    <w:rsid w:val="009808CD"/>
    <w:rsid w:val="00980915"/>
    <w:rsid w:val="009818AC"/>
    <w:rsid w:val="00981AEC"/>
    <w:rsid w:val="009828B7"/>
    <w:rsid w:val="00982BCE"/>
    <w:rsid w:val="009830D7"/>
    <w:rsid w:val="0098327B"/>
    <w:rsid w:val="009835D8"/>
    <w:rsid w:val="0098367E"/>
    <w:rsid w:val="00983F89"/>
    <w:rsid w:val="00985E3E"/>
    <w:rsid w:val="0098639E"/>
    <w:rsid w:val="009865EA"/>
    <w:rsid w:val="00986F53"/>
    <w:rsid w:val="00987315"/>
    <w:rsid w:val="0099067D"/>
    <w:rsid w:val="00991540"/>
    <w:rsid w:val="0099187E"/>
    <w:rsid w:val="00991C2D"/>
    <w:rsid w:val="009936E7"/>
    <w:rsid w:val="009941A7"/>
    <w:rsid w:val="009941EB"/>
    <w:rsid w:val="00995A0A"/>
    <w:rsid w:val="00995D9F"/>
    <w:rsid w:val="00996775"/>
    <w:rsid w:val="009968DE"/>
    <w:rsid w:val="00996984"/>
    <w:rsid w:val="00997A7E"/>
    <w:rsid w:val="009A04D3"/>
    <w:rsid w:val="009A07B4"/>
    <w:rsid w:val="009A0D7B"/>
    <w:rsid w:val="009A1297"/>
    <w:rsid w:val="009A18A9"/>
    <w:rsid w:val="009A1A79"/>
    <w:rsid w:val="009A246F"/>
    <w:rsid w:val="009A3190"/>
    <w:rsid w:val="009A31D9"/>
    <w:rsid w:val="009A32B7"/>
    <w:rsid w:val="009A36E5"/>
    <w:rsid w:val="009A3711"/>
    <w:rsid w:val="009A3BA5"/>
    <w:rsid w:val="009A3EE1"/>
    <w:rsid w:val="009A4DD4"/>
    <w:rsid w:val="009A516A"/>
    <w:rsid w:val="009A527B"/>
    <w:rsid w:val="009A555A"/>
    <w:rsid w:val="009A5873"/>
    <w:rsid w:val="009A5952"/>
    <w:rsid w:val="009A5C95"/>
    <w:rsid w:val="009A6C1B"/>
    <w:rsid w:val="009A6F0C"/>
    <w:rsid w:val="009A6F85"/>
    <w:rsid w:val="009A70A5"/>
    <w:rsid w:val="009A7415"/>
    <w:rsid w:val="009A7892"/>
    <w:rsid w:val="009A7BEB"/>
    <w:rsid w:val="009B1924"/>
    <w:rsid w:val="009B34A0"/>
    <w:rsid w:val="009B440F"/>
    <w:rsid w:val="009B4D04"/>
    <w:rsid w:val="009B4F17"/>
    <w:rsid w:val="009B4F59"/>
    <w:rsid w:val="009B5C7D"/>
    <w:rsid w:val="009B5DF8"/>
    <w:rsid w:val="009B5E78"/>
    <w:rsid w:val="009B5ECA"/>
    <w:rsid w:val="009B6226"/>
    <w:rsid w:val="009B6C98"/>
    <w:rsid w:val="009B6F4F"/>
    <w:rsid w:val="009B7BF7"/>
    <w:rsid w:val="009B7FD8"/>
    <w:rsid w:val="009C0179"/>
    <w:rsid w:val="009C0611"/>
    <w:rsid w:val="009C06B4"/>
    <w:rsid w:val="009C1910"/>
    <w:rsid w:val="009C1DD8"/>
    <w:rsid w:val="009C1F04"/>
    <w:rsid w:val="009C23F3"/>
    <w:rsid w:val="009C2526"/>
    <w:rsid w:val="009C2F62"/>
    <w:rsid w:val="009C32BE"/>
    <w:rsid w:val="009C34BD"/>
    <w:rsid w:val="009C3F98"/>
    <w:rsid w:val="009C4123"/>
    <w:rsid w:val="009C43F8"/>
    <w:rsid w:val="009C4430"/>
    <w:rsid w:val="009C4C90"/>
    <w:rsid w:val="009C4EB6"/>
    <w:rsid w:val="009C4F9B"/>
    <w:rsid w:val="009C547C"/>
    <w:rsid w:val="009C5B0E"/>
    <w:rsid w:val="009C5CFF"/>
    <w:rsid w:val="009C6C6A"/>
    <w:rsid w:val="009C6E20"/>
    <w:rsid w:val="009C72F1"/>
    <w:rsid w:val="009D0035"/>
    <w:rsid w:val="009D0306"/>
    <w:rsid w:val="009D1E1E"/>
    <w:rsid w:val="009D2146"/>
    <w:rsid w:val="009D28B4"/>
    <w:rsid w:val="009D2B0A"/>
    <w:rsid w:val="009D321B"/>
    <w:rsid w:val="009D3357"/>
    <w:rsid w:val="009D35F5"/>
    <w:rsid w:val="009D3A5F"/>
    <w:rsid w:val="009D3C6E"/>
    <w:rsid w:val="009D44BD"/>
    <w:rsid w:val="009D44D7"/>
    <w:rsid w:val="009D48C4"/>
    <w:rsid w:val="009D5744"/>
    <w:rsid w:val="009D5EB3"/>
    <w:rsid w:val="009D62FA"/>
    <w:rsid w:val="009D64FB"/>
    <w:rsid w:val="009D6DA5"/>
    <w:rsid w:val="009D70AD"/>
    <w:rsid w:val="009D73C7"/>
    <w:rsid w:val="009D7731"/>
    <w:rsid w:val="009D7E6F"/>
    <w:rsid w:val="009E0327"/>
    <w:rsid w:val="009E0367"/>
    <w:rsid w:val="009E06FF"/>
    <w:rsid w:val="009E08D2"/>
    <w:rsid w:val="009E10E1"/>
    <w:rsid w:val="009E1617"/>
    <w:rsid w:val="009E18D2"/>
    <w:rsid w:val="009E345A"/>
    <w:rsid w:val="009E34D0"/>
    <w:rsid w:val="009E38DC"/>
    <w:rsid w:val="009E3C6A"/>
    <w:rsid w:val="009E3E2F"/>
    <w:rsid w:val="009E3E82"/>
    <w:rsid w:val="009E3F4B"/>
    <w:rsid w:val="009E4360"/>
    <w:rsid w:val="009E4532"/>
    <w:rsid w:val="009E4679"/>
    <w:rsid w:val="009E47C5"/>
    <w:rsid w:val="009E5342"/>
    <w:rsid w:val="009E558F"/>
    <w:rsid w:val="009E64D0"/>
    <w:rsid w:val="009E6C67"/>
    <w:rsid w:val="009E7346"/>
    <w:rsid w:val="009E7389"/>
    <w:rsid w:val="009E7BA2"/>
    <w:rsid w:val="009E7E2D"/>
    <w:rsid w:val="009E7E55"/>
    <w:rsid w:val="009E7FD1"/>
    <w:rsid w:val="009F01F6"/>
    <w:rsid w:val="009F074E"/>
    <w:rsid w:val="009F0C16"/>
    <w:rsid w:val="009F0E94"/>
    <w:rsid w:val="009F1538"/>
    <w:rsid w:val="009F1B4F"/>
    <w:rsid w:val="009F1FEA"/>
    <w:rsid w:val="009F22FC"/>
    <w:rsid w:val="009F24C6"/>
    <w:rsid w:val="009F2A4C"/>
    <w:rsid w:val="009F468A"/>
    <w:rsid w:val="009F49C2"/>
    <w:rsid w:val="009F4A1D"/>
    <w:rsid w:val="009F557E"/>
    <w:rsid w:val="009F6336"/>
    <w:rsid w:val="009F67CF"/>
    <w:rsid w:val="009F7108"/>
    <w:rsid w:val="009F7D4D"/>
    <w:rsid w:val="00A0009B"/>
    <w:rsid w:val="00A00CF6"/>
    <w:rsid w:val="00A01110"/>
    <w:rsid w:val="00A01E78"/>
    <w:rsid w:val="00A01EC8"/>
    <w:rsid w:val="00A01F99"/>
    <w:rsid w:val="00A02970"/>
    <w:rsid w:val="00A02C79"/>
    <w:rsid w:val="00A02D3F"/>
    <w:rsid w:val="00A03044"/>
    <w:rsid w:val="00A0315A"/>
    <w:rsid w:val="00A03774"/>
    <w:rsid w:val="00A03C6E"/>
    <w:rsid w:val="00A04123"/>
    <w:rsid w:val="00A04C9C"/>
    <w:rsid w:val="00A04E67"/>
    <w:rsid w:val="00A054F4"/>
    <w:rsid w:val="00A05DBB"/>
    <w:rsid w:val="00A0654A"/>
    <w:rsid w:val="00A06A9D"/>
    <w:rsid w:val="00A06CAC"/>
    <w:rsid w:val="00A06D21"/>
    <w:rsid w:val="00A07473"/>
    <w:rsid w:val="00A10FDA"/>
    <w:rsid w:val="00A11330"/>
    <w:rsid w:val="00A11FED"/>
    <w:rsid w:val="00A120AC"/>
    <w:rsid w:val="00A12641"/>
    <w:rsid w:val="00A13608"/>
    <w:rsid w:val="00A13930"/>
    <w:rsid w:val="00A1431D"/>
    <w:rsid w:val="00A1434F"/>
    <w:rsid w:val="00A14B21"/>
    <w:rsid w:val="00A14CDC"/>
    <w:rsid w:val="00A14D3E"/>
    <w:rsid w:val="00A150EB"/>
    <w:rsid w:val="00A153BA"/>
    <w:rsid w:val="00A16CA7"/>
    <w:rsid w:val="00A17712"/>
    <w:rsid w:val="00A200B7"/>
    <w:rsid w:val="00A2053E"/>
    <w:rsid w:val="00A208EB"/>
    <w:rsid w:val="00A20E5E"/>
    <w:rsid w:val="00A22854"/>
    <w:rsid w:val="00A232EB"/>
    <w:rsid w:val="00A23749"/>
    <w:rsid w:val="00A24606"/>
    <w:rsid w:val="00A247BD"/>
    <w:rsid w:val="00A24DFC"/>
    <w:rsid w:val="00A251CF"/>
    <w:rsid w:val="00A2586B"/>
    <w:rsid w:val="00A2618D"/>
    <w:rsid w:val="00A27606"/>
    <w:rsid w:val="00A276DC"/>
    <w:rsid w:val="00A30EF6"/>
    <w:rsid w:val="00A313E3"/>
    <w:rsid w:val="00A31DCF"/>
    <w:rsid w:val="00A32767"/>
    <w:rsid w:val="00A32811"/>
    <w:rsid w:val="00A32892"/>
    <w:rsid w:val="00A32A37"/>
    <w:rsid w:val="00A331B8"/>
    <w:rsid w:val="00A33A1A"/>
    <w:rsid w:val="00A33AEB"/>
    <w:rsid w:val="00A33B3C"/>
    <w:rsid w:val="00A33DF4"/>
    <w:rsid w:val="00A33E8D"/>
    <w:rsid w:val="00A3469A"/>
    <w:rsid w:val="00A34FBB"/>
    <w:rsid w:val="00A353F9"/>
    <w:rsid w:val="00A3547F"/>
    <w:rsid w:val="00A355C3"/>
    <w:rsid w:val="00A35AF8"/>
    <w:rsid w:val="00A3624C"/>
    <w:rsid w:val="00A3626F"/>
    <w:rsid w:val="00A378A7"/>
    <w:rsid w:val="00A37D02"/>
    <w:rsid w:val="00A40168"/>
    <w:rsid w:val="00A40AD2"/>
    <w:rsid w:val="00A40FA8"/>
    <w:rsid w:val="00A414D6"/>
    <w:rsid w:val="00A42374"/>
    <w:rsid w:val="00A42515"/>
    <w:rsid w:val="00A42E1E"/>
    <w:rsid w:val="00A44442"/>
    <w:rsid w:val="00A444BC"/>
    <w:rsid w:val="00A44AC6"/>
    <w:rsid w:val="00A44ACA"/>
    <w:rsid w:val="00A45589"/>
    <w:rsid w:val="00A45D7B"/>
    <w:rsid w:val="00A45EBE"/>
    <w:rsid w:val="00A4672E"/>
    <w:rsid w:val="00A47C1F"/>
    <w:rsid w:val="00A50D0C"/>
    <w:rsid w:val="00A5150D"/>
    <w:rsid w:val="00A51867"/>
    <w:rsid w:val="00A51953"/>
    <w:rsid w:val="00A51A97"/>
    <w:rsid w:val="00A523A7"/>
    <w:rsid w:val="00A5253C"/>
    <w:rsid w:val="00A52B0D"/>
    <w:rsid w:val="00A52B20"/>
    <w:rsid w:val="00A5335D"/>
    <w:rsid w:val="00A5368E"/>
    <w:rsid w:val="00A5389B"/>
    <w:rsid w:val="00A53CB9"/>
    <w:rsid w:val="00A54759"/>
    <w:rsid w:val="00A54959"/>
    <w:rsid w:val="00A54FBD"/>
    <w:rsid w:val="00A55215"/>
    <w:rsid w:val="00A55923"/>
    <w:rsid w:val="00A55A76"/>
    <w:rsid w:val="00A56160"/>
    <w:rsid w:val="00A56EC5"/>
    <w:rsid w:val="00A570BE"/>
    <w:rsid w:val="00A57723"/>
    <w:rsid w:val="00A57CE0"/>
    <w:rsid w:val="00A604E6"/>
    <w:rsid w:val="00A6071C"/>
    <w:rsid w:val="00A60842"/>
    <w:rsid w:val="00A61EBE"/>
    <w:rsid w:val="00A6250F"/>
    <w:rsid w:val="00A6262D"/>
    <w:rsid w:val="00A628DF"/>
    <w:rsid w:val="00A62ADF"/>
    <w:rsid w:val="00A62BF8"/>
    <w:rsid w:val="00A62C4C"/>
    <w:rsid w:val="00A62D55"/>
    <w:rsid w:val="00A633F6"/>
    <w:rsid w:val="00A636F3"/>
    <w:rsid w:val="00A63F25"/>
    <w:rsid w:val="00A64211"/>
    <w:rsid w:val="00A644D6"/>
    <w:rsid w:val="00A64DBF"/>
    <w:rsid w:val="00A65231"/>
    <w:rsid w:val="00A66665"/>
    <w:rsid w:val="00A666F8"/>
    <w:rsid w:val="00A66C4B"/>
    <w:rsid w:val="00A66E92"/>
    <w:rsid w:val="00A67414"/>
    <w:rsid w:val="00A6761A"/>
    <w:rsid w:val="00A67959"/>
    <w:rsid w:val="00A70322"/>
    <w:rsid w:val="00A70816"/>
    <w:rsid w:val="00A70FDF"/>
    <w:rsid w:val="00A713DF"/>
    <w:rsid w:val="00A71431"/>
    <w:rsid w:val="00A71528"/>
    <w:rsid w:val="00A71CCD"/>
    <w:rsid w:val="00A72124"/>
    <w:rsid w:val="00A7338B"/>
    <w:rsid w:val="00A7384A"/>
    <w:rsid w:val="00A742DD"/>
    <w:rsid w:val="00A74FCF"/>
    <w:rsid w:val="00A755FE"/>
    <w:rsid w:val="00A75739"/>
    <w:rsid w:val="00A75865"/>
    <w:rsid w:val="00A76744"/>
    <w:rsid w:val="00A778C3"/>
    <w:rsid w:val="00A77A81"/>
    <w:rsid w:val="00A803EC"/>
    <w:rsid w:val="00A808E2"/>
    <w:rsid w:val="00A80A48"/>
    <w:rsid w:val="00A811E7"/>
    <w:rsid w:val="00A820D3"/>
    <w:rsid w:val="00A8260E"/>
    <w:rsid w:val="00A826BE"/>
    <w:rsid w:val="00A8299E"/>
    <w:rsid w:val="00A82F4D"/>
    <w:rsid w:val="00A83276"/>
    <w:rsid w:val="00A84216"/>
    <w:rsid w:val="00A84311"/>
    <w:rsid w:val="00A8478B"/>
    <w:rsid w:val="00A851F4"/>
    <w:rsid w:val="00A8549C"/>
    <w:rsid w:val="00A859D9"/>
    <w:rsid w:val="00A860B4"/>
    <w:rsid w:val="00A86F71"/>
    <w:rsid w:val="00A90C46"/>
    <w:rsid w:val="00A90D24"/>
    <w:rsid w:val="00A9213E"/>
    <w:rsid w:val="00A92F61"/>
    <w:rsid w:val="00A93EB0"/>
    <w:rsid w:val="00A94355"/>
    <w:rsid w:val="00A9446A"/>
    <w:rsid w:val="00A94CC4"/>
    <w:rsid w:val="00A94DD0"/>
    <w:rsid w:val="00A95D1C"/>
    <w:rsid w:val="00A95D63"/>
    <w:rsid w:val="00A96168"/>
    <w:rsid w:val="00A9642D"/>
    <w:rsid w:val="00A9643F"/>
    <w:rsid w:val="00A96CE2"/>
    <w:rsid w:val="00A97183"/>
    <w:rsid w:val="00A9766B"/>
    <w:rsid w:val="00A9793B"/>
    <w:rsid w:val="00AA04DE"/>
    <w:rsid w:val="00AA1C6C"/>
    <w:rsid w:val="00AA1EB2"/>
    <w:rsid w:val="00AA2206"/>
    <w:rsid w:val="00AA2EDF"/>
    <w:rsid w:val="00AA3BE2"/>
    <w:rsid w:val="00AA3E3F"/>
    <w:rsid w:val="00AA3FD9"/>
    <w:rsid w:val="00AA4205"/>
    <w:rsid w:val="00AA4BBB"/>
    <w:rsid w:val="00AA4C5C"/>
    <w:rsid w:val="00AA4D2D"/>
    <w:rsid w:val="00AA52FE"/>
    <w:rsid w:val="00AA6EA8"/>
    <w:rsid w:val="00AA708B"/>
    <w:rsid w:val="00AA71A5"/>
    <w:rsid w:val="00AA7366"/>
    <w:rsid w:val="00AA7482"/>
    <w:rsid w:val="00AA766B"/>
    <w:rsid w:val="00AA7CFA"/>
    <w:rsid w:val="00AB0176"/>
    <w:rsid w:val="00AB01B3"/>
    <w:rsid w:val="00AB0B51"/>
    <w:rsid w:val="00AB146B"/>
    <w:rsid w:val="00AB1513"/>
    <w:rsid w:val="00AB2119"/>
    <w:rsid w:val="00AB2148"/>
    <w:rsid w:val="00AB2FC8"/>
    <w:rsid w:val="00AB31D4"/>
    <w:rsid w:val="00AB32D5"/>
    <w:rsid w:val="00AB3498"/>
    <w:rsid w:val="00AB398F"/>
    <w:rsid w:val="00AB3C61"/>
    <w:rsid w:val="00AB4030"/>
    <w:rsid w:val="00AB4428"/>
    <w:rsid w:val="00AB480D"/>
    <w:rsid w:val="00AB4A6F"/>
    <w:rsid w:val="00AB5439"/>
    <w:rsid w:val="00AB5ED8"/>
    <w:rsid w:val="00AB620E"/>
    <w:rsid w:val="00AB6F12"/>
    <w:rsid w:val="00AB778D"/>
    <w:rsid w:val="00AC0177"/>
    <w:rsid w:val="00AC02EE"/>
    <w:rsid w:val="00AC0656"/>
    <w:rsid w:val="00AC0E42"/>
    <w:rsid w:val="00AC12C3"/>
    <w:rsid w:val="00AC16D9"/>
    <w:rsid w:val="00AC1B8F"/>
    <w:rsid w:val="00AC2FD2"/>
    <w:rsid w:val="00AC33A4"/>
    <w:rsid w:val="00AC4658"/>
    <w:rsid w:val="00AC4D0C"/>
    <w:rsid w:val="00AC5385"/>
    <w:rsid w:val="00AC5587"/>
    <w:rsid w:val="00AC5EB2"/>
    <w:rsid w:val="00AC67ED"/>
    <w:rsid w:val="00AC6E50"/>
    <w:rsid w:val="00AC71A4"/>
    <w:rsid w:val="00AC72E1"/>
    <w:rsid w:val="00AC7364"/>
    <w:rsid w:val="00AC73E2"/>
    <w:rsid w:val="00AC78BC"/>
    <w:rsid w:val="00AC7BCB"/>
    <w:rsid w:val="00AD007A"/>
    <w:rsid w:val="00AD0087"/>
    <w:rsid w:val="00AD08E3"/>
    <w:rsid w:val="00AD0917"/>
    <w:rsid w:val="00AD0B2D"/>
    <w:rsid w:val="00AD0E6B"/>
    <w:rsid w:val="00AD0F16"/>
    <w:rsid w:val="00AD106C"/>
    <w:rsid w:val="00AD1281"/>
    <w:rsid w:val="00AD1DDA"/>
    <w:rsid w:val="00AD2195"/>
    <w:rsid w:val="00AD3345"/>
    <w:rsid w:val="00AD3E6B"/>
    <w:rsid w:val="00AD40AE"/>
    <w:rsid w:val="00AD412C"/>
    <w:rsid w:val="00AD4825"/>
    <w:rsid w:val="00AD48DB"/>
    <w:rsid w:val="00AD4973"/>
    <w:rsid w:val="00AD498F"/>
    <w:rsid w:val="00AD4D57"/>
    <w:rsid w:val="00AD503C"/>
    <w:rsid w:val="00AD5234"/>
    <w:rsid w:val="00AD5941"/>
    <w:rsid w:val="00AD5F9B"/>
    <w:rsid w:val="00AD6109"/>
    <w:rsid w:val="00AD6EF9"/>
    <w:rsid w:val="00AD7303"/>
    <w:rsid w:val="00AD7587"/>
    <w:rsid w:val="00AD75E2"/>
    <w:rsid w:val="00AD7793"/>
    <w:rsid w:val="00AD7954"/>
    <w:rsid w:val="00AD7B9C"/>
    <w:rsid w:val="00AD7C70"/>
    <w:rsid w:val="00AD7F3F"/>
    <w:rsid w:val="00AE0057"/>
    <w:rsid w:val="00AE053E"/>
    <w:rsid w:val="00AE0645"/>
    <w:rsid w:val="00AE177B"/>
    <w:rsid w:val="00AE22EF"/>
    <w:rsid w:val="00AE232B"/>
    <w:rsid w:val="00AE28A4"/>
    <w:rsid w:val="00AE299A"/>
    <w:rsid w:val="00AE2A85"/>
    <w:rsid w:val="00AE3492"/>
    <w:rsid w:val="00AE35AE"/>
    <w:rsid w:val="00AE3939"/>
    <w:rsid w:val="00AE3E0B"/>
    <w:rsid w:val="00AE4724"/>
    <w:rsid w:val="00AE49C6"/>
    <w:rsid w:val="00AE4C0D"/>
    <w:rsid w:val="00AE4F90"/>
    <w:rsid w:val="00AE554F"/>
    <w:rsid w:val="00AE5994"/>
    <w:rsid w:val="00AE5A23"/>
    <w:rsid w:val="00AE613A"/>
    <w:rsid w:val="00AE6505"/>
    <w:rsid w:val="00AE654A"/>
    <w:rsid w:val="00AE65E0"/>
    <w:rsid w:val="00AE67A3"/>
    <w:rsid w:val="00AE6A89"/>
    <w:rsid w:val="00AE7651"/>
    <w:rsid w:val="00AE7C84"/>
    <w:rsid w:val="00AF003B"/>
    <w:rsid w:val="00AF096F"/>
    <w:rsid w:val="00AF0AA9"/>
    <w:rsid w:val="00AF1846"/>
    <w:rsid w:val="00AF1AA6"/>
    <w:rsid w:val="00AF21DD"/>
    <w:rsid w:val="00AF222B"/>
    <w:rsid w:val="00AF2992"/>
    <w:rsid w:val="00AF2F7D"/>
    <w:rsid w:val="00AF3085"/>
    <w:rsid w:val="00AF3D82"/>
    <w:rsid w:val="00AF4495"/>
    <w:rsid w:val="00AF47C3"/>
    <w:rsid w:val="00AF48E8"/>
    <w:rsid w:val="00AF497C"/>
    <w:rsid w:val="00AF4B06"/>
    <w:rsid w:val="00AF4D47"/>
    <w:rsid w:val="00AF4E73"/>
    <w:rsid w:val="00AF5633"/>
    <w:rsid w:val="00AF57F8"/>
    <w:rsid w:val="00AF605E"/>
    <w:rsid w:val="00AF62BA"/>
    <w:rsid w:val="00AF69B1"/>
    <w:rsid w:val="00AF74BD"/>
    <w:rsid w:val="00AF78BF"/>
    <w:rsid w:val="00AF7A62"/>
    <w:rsid w:val="00AF7D21"/>
    <w:rsid w:val="00B00419"/>
    <w:rsid w:val="00B00A83"/>
    <w:rsid w:val="00B00E44"/>
    <w:rsid w:val="00B01872"/>
    <w:rsid w:val="00B01C88"/>
    <w:rsid w:val="00B01D40"/>
    <w:rsid w:val="00B0234E"/>
    <w:rsid w:val="00B029C6"/>
    <w:rsid w:val="00B02A6D"/>
    <w:rsid w:val="00B032E4"/>
    <w:rsid w:val="00B0371B"/>
    <w:rsid w:val="00B037A7"/>
    <w:rsid w:val="00B03D68"/>
    <w:rsid w:val="00B0408E"/>
    <w:rsid w:val="00B04149"/>
    <w:rsid w:val="00B04282"/>
    <w:rsid w:val="00B049CD"/>
    <w:rsid w:val="00B04DBA"/>
    <w:rsid w:val="00B050F1"/>
    <w:rsid w:val="00B05384"/>
    <w:rsid w:val="00B060A3"/>
    <w:rsid w:val="00B06328"/>
    <w:rsid w:val="00B068ED"/>
    <w:rsid w:val="00B06A9D"/>
    <w:rsid w:val="00B06BE4"/>
    <w:rsid w:val="00B06DAB"/>
    <w:rsid w:val="00B07036"/>
    <w:rsid w:val="00B1021A"/>
    <w:rsid w:val="00B106F4"/>
    <w:rsid w:val="00B1156A"/>
    <w:rsid w:val="00B11740"/>
    <w:rsid w:val="00B11E5B"/>
    <w:rsid w:val="00B11EA3"/>
    <w:rsid w:val="00B12278"/>
    <w:rsid w:val="00B12743"/>
    <w:rsid w:val="00B12870"/>
    <w:rsid w:val="00B13857"/>
    <w:rsid w:val="00B140BA"/>
    <w:rsid w:val="00B14664"/>
    <w:rsid w:val="00B14849"/>
    <w:rsid w:val="00B1487D"/>
    <w:rsid w:val="00B15932"/>
    <w:rsid w:val="00B1599B"/>
    <w:rsid w:val="00B15A58"/>
    <w:rsid w:val="00B15B0F"/>
    <w:rsid w:val="00B15B8F"/>
    <w:rsid w:val="00B15C2B"/>
    <w:rsid w:val="00B162F6"/>
    <w:rsid w:val="00B16D77"/>
    <w:rsid w:val="00B16F4A"/>
    <w:rsid w:val="00B1739C"/>
    <w:rsid w:val="00B179D3"/>
    <w:rsid w:val="00B2056C"/>
    <w:rsid w:val="00B20B7B"/>
    <w:rsid w:val="00B214E1"/>
    <w:rsid w:val="00B2170B"/>
    <w:rsid w:val="00B21BB4"/>
    <w:rsid w:val="00B21CE7"/>
    <w:rsid w:val="00B21F03"/>
    <w:rsid w:val="00B2252C"/>
    <w:rsid w:val="00B22C29"/>
    <w:rsid w:val="00B231CA"/>
    <w:rsid w:val="00B24155"/>
    <w:rsid w:val="00B243A4"/>
    <w:rsid w:val="00B246B8"/>
    <w:rsid w:val="00B249CC"/>
    <w:rsid w:val="00B24A6F"/>
    <w:rsid w:val="00B24E63"/>
    <w:rsid w:val="00B25A6C"/>
    <w:rsid w:val="00B25D2C"/>
    <w:rsid w:val="00B2611C"/>
    <w:rsid w:val="00B26168"/>
    <w:rsid w:val="00B263C5"/>
    <w:rsid w:val="00B26D65"/>
    <w:rsid w:val="00B272BA"/>
    <w:rsid w:val="00B305DC"/>
    <w:rsid w:val="00B307B7"/>
    <w:rsid w:val="00B30E5A"/>
    <w:rsid w:val="00B3118C"/>
    <w:rsid w:val="00B3146F"/>
    <w:rsid w:val="00B3148C"/>
    <w:rsid w:val="00B31FC8"/>
    <w:rsid w:val="00B33516"/>
    <w:rsid w:val="00B33860"/>
    <w:rsid w:val="00B3392E"/>
    <w:rsid w:val="00B340DB"/>
    <w:rsid w:val="00B345CA"/>
    <w:rsid w:val="00B347A1"/>
    <w:rsid w:val="00B349E7"/>
    <w:rsid w:val="00B34ADB"/>
    <w:rsid w:val="00B35011"/>
    <w:rsid w:val="00B355BA"/>
    <w:rsid w:val="00B35AFC"/>
    <w:rsid w:val="00B35B28"/>
    <w:rsid w:val="00B35EF6"/>
    <w:rsid w:val="00B35F82"/>
    <w:rsid w:val="00B36446"/>
    <w:rsid w:val="00B36FD4"/>
    <w:rsid w:val="00B372D8"/>
    <w:rsid w:val="00B37BF7"/>
    <w:rsid w:val="00B406AD"/>
    <w:rsid w:val="00B40B29"/>
    <w:rsid w:val="00B40BBE"/>
    <w:rsid w:val="00B40CFC"/>
    <w:rsid w:val="00B41819"/>
    <w:rsid w:val="00B41C28"/>
    <w:rsid w:val="00B420C9"/>
    <w:rsid w:val="00B4252F"/>
    <w:rsid w:val="00B44386"/>
    <w:rsid w:val="00B44440"/>
    <w:rsid w:val="00B45036"/>
    <w:rsid w:val="00B45FE2"/>
    <w:rsid w:val="00B4652A"/>
    <w:rsid w:val="00B4681F"/>
    <w:rsid w:val="00B4690D"/>
    <w:rsid w:val="00B46AD3"/>
    <w:rsid w:val="00B47714"/>
    <w:rsid w:val="00B477BA"/>
    <w:rsid w:val="00B47996"/>
    <w:rsid w:val="00B5016C"/>
    <w:rsid w:val="00B50736"/>
    <w:rsid w:val="00B50AD2"/>
    <w:rsid w:val="00B50BD8"/>
    <w:rsid w:val="00B51669"/>
    <w:rsid w:val="00B51690"/>
    <w:rsid w:val="00B518EC"/>
    <w:rsid w:val="00B51DCD"/>
    <w:rsid w:val="00B51E8F"/>
    <w:rsid w:val="00B5258C"/>
    <w:rsid w:val="00B52698"/>
    <w:rsid w:val="00B529C0"/>
    <w:rsid w:val="00B52F55"/>
    <w:rsid w:val="00B5366A"/>
    <w:rsid w:val="00B544BC"/>
    <w:rsid w:val="00B54C4D"/>
    <w:rsid w:val="00B54D0D"/>
    <w:rsid w:val="00B5536A"/>
    <w:rsid w:val="00B554E5"/>
    <w:rsid w:val="00B5564F"/>
    <w:rsid w:val="00B55911"/>
    <w:rsid w:val="00B55B27"/>
    <w:rsid w:val="00B55F44"/>
    <w:rsid w:val="00B560A1"/>
    <w:rsid w:val="00B56156"/>
    <w:rsid w:val="00B562A6"/>
    <w:rsid w:val="00B565B7"/>
    <w:rsid w:val="00B56A12"/>
    <w:rsid w:val="00B578E0"/>
    <w:rsid w:val="00B579D7"/>
    <w:rsid w:val="00B57B7E"/>
    <w:rsid w:val="00B57EAA"/>
    <w:rsid w:val="00B6040B"/>
    <w:rsid w:val="00B608DD"/>
    <w:rsid w:val="00B60F2F"/>
    <w:rsid w:val="00B6125E"/>
    <w:rsid w:val="00B613F7"/>
    <w:rsid w:val="00B616AF"/>
    <w:rsid w:val="00B61DA7"/>
    <w:rsid w:val="00B61ED7"/>
    <w:rsid w:val="00B6230B"/>
    <w:rsid w:val="00B62A86"/>
    <w:rsid w:val="00B62D96"/>
    <w:rsid w:val="00B62EB7"/>
    <w:rsid w:val="00B6367A"/>
    <w:rsid w:val="00B63E2E"/>
    <w:rsid w:val="00B64036"/>
    <w:rsid w:val="00B6480B"/>
    <w:rsid w:val="00B64AA6"/>
    <w:rsid w:val="00B6570C"/>
    <w:rsid w:val="00B65E3D"/>
    <w:rsid w:val="00B6606A"/>
    <w:rsid w:val="00B660D9"/>
    <w:rsid w:val="00B669BF"/>
    <w:rsid w:val="00B66A2C"/>
    <w:rsid w:val="00B66C6C"/>
    <w:rsid w:val="00B66E3C"/>
    <w:rsid w:val="00B66E4A"/>
    <w:rsid w:val="00B67521"/>
    <w:rsid w:val="00B6775E"/>
    <w:rsid w:val="00B6795B"/>
    <w:rsid w:val="00B67CD1"/>
    <w:rsid w:val="00B67D57"/>
    <w:rsid w:val="00B70365"/>
    <w:rsid w:val="00B704D6"/>
    <w:rsid w:val="00B72501"/>
    <w:rsid w:val="00B72709"/>
    <w:rsid w:val="00B72995"/>
    <w:rsid w:val="00B72CA5"/>
    <w:rsid w:val="00B73107"/>
    <w:rsid w:val="00B739F8"/>
    <w:rsid w:val="00B73B56"/>
    <w:rsid w:val="00B741C2"/>
    <w:rsid w:val="00B74FAD"/>
    <w:rsid w:val="00B75165"/>
    <w:rsid w:val="00B75FF4"/>
    <w:rsid w:val="00B76837"/>
    <w:rsid w:val="00B76AFD"/>
    <w:rsid w:val="00B76C92"/>
    <w:rsid w:val="00B76D40"/>
    <w:rsid w:val="00B7783F"/>
    <w:rsid w:val="00B77CC5"/>
    <w:rsid w:val="00B807AF"/>
    <w:rsid w:val="00B80925"/>
    <w:rsid w:val="00B80929"/>
    <w:rsid w:val="00B81068"/>
    <w:rsid w:val="00B816E0"/>
    <w:rsid w:val="00B8173E"/>
    <w:rsid w:val="00B81927"/>
    <w:rsid w:val="00B81D04"/>
    <w:rsid w:val="00B8230B"/>
    <w:rsid w:val="00B82E6B"/>
    <w:rsid w:val="00B83055"/>
    <w:rsid w:val="00B838A5"/>
    <w:rsid w:val="00B83EA0"/>
    <w:rsid w:val="00B84473"/>
    <w:rsid w:val="00B84DE5"/>
    <w:rsid w:val="00B851F1"/>
    <w:rsid w:val="00B856E4"/>
    <w:rsid w:val="00B863A8"/>
    <w:rsid w:val="00B867C4"/>
    <w:rsid w:val="00B86B2E"/>
    <w:rsid w:val="00B87FDA"/>
    <w:rsid w:val="00B900D7"/>
    <w:rsid w:val="00B900DE"/>
    <w:rsid w:val="00B904EE"/>
    <w:rsid w:val="00B9083F"/>
    <w:rsid w:val="00B90A74"/>
    <w:rsid w:val="00B9123A"/>
    <w:rsid w:val="00B912D0"/>
    <w:rsid w:val="00B91A0B"/>
    <w:rsid w:val="00B9224C"/>
    <w:rsid w:val="00B93229"/>
    <w:rsid w:val="00B9341E"/>
    <w:rsid w:val="00B93B24"/>
    <w:rsid w:val="00B95A27"/>
    <w:rsid w:val="00B9617C"/>
    <w:rsid w:val="00B96499"/>
    <w:rsid w:val="00B964A2"/>
    <w:rsid w:val="00B96AD4"/>
    <w:rsid w:val="00B96B9F"/>
    <w:rsid w:val="00B976FA"/>
    <w:rsid w:val="00B97920"/>
    <w:rsid w:val="00B97B54"/>
    <w:rsid w:val="00BA04BF"/>
    <w:rsid w:val="00BA149D"/>
    <w:rsid w:val="00BA2246"/>
    <w:rsid w:val="00BA22A7"/>
    <w:rsid w:val="00BA23A2"/>
    <w:rsid w:val="00BA28E4"/>
    <w:rsid w:val="00BA2BE6"/>
    <w:rsid w:val="00BA324A"/>
    <w:rsid w:val="00BA3DD5"/>
    <w:rsid w:val="00BA3ED0"/>
    <w:rsid w:val="00BA45A3"/>
    <w:rsid w:val="00BA4675"/>
    <w:rsid w:val="00BA4E52"/>
    <w:rsid w:val="00BA4F60"/>
    <w:rsid w:val="00BA50CD"/>
    <w:rsid w:val="00BA5490"/>
    <w:rsid w:val="00BA5BE3"/>
    <w:rsid w:val="00BA68CF"/>
    <w:rsid w:val="00BA6BB3"/>
    <w:rsid w:val="00BA758D"/>
    <w:rsid w:val="00BA77C2"/>
    <w:rsid w:val="00BA7DDA"/>
    <w:rsid w:val="00BB07AF"/>
    <w:rsid w:val="00BB0A39"/>
    <w:rsid w:val="00BB10BB"/>
    <w:rsid w:val="00BB1A4E"/>
    <w:rsid w:val="00BB1BA1"/>
    <w:rsid w:val="00BB1DE2"/>
    <w:rsid w:val="00BB20C0"/>
    <w:rsid w:val="00BB244A"/>
    <w:rsid w:val="00BB2520"/>
    <w:rsid w:val="00BB2AD9"/>
    <w:rsid w:val="00BB3499"/>
    <w:rsid w:val="00BB36D5"/>
    <w:rsid w:val="00BB38EB"/>
    <w:rsid w:val="00BB3A71"/>
    <w:rsid w:val="00BB3ACC"/>
    <w:rsid w:val="00BB3CAE"/>
    <w:rsid w:val="00BB45CE"/>
    <w:rsid w:val="00BB4C1D"/>
    <w:rsid w:val="00BB50AF"/>
    <w:rsid w:val="00BB50F9"/>
    <w:rsid w:val="00BB53E6"/>
    <w:rsid w:val="00BB5A1D"/>
    <w:rsid w:val="00BB7A0A"/>
    <w:rsid w:val="00BC05F1"/>
    <w:rsid w:val="00BC0875"/>
    <w:rsid w:val="00BC0997"/>
    <w:rsid w:val="00BC110C"/>
    <w:rsid w:val="00BC159F"/>
    <w:rsid w:val="00BC1796"/>
    <w:rsid w:val="00BC2800"/>
    <w:rsid w:val="00BC2A9F"/>
    <w:rsid w:val="00BC2B6A"/>
    <w:rsid w:val="00BC2B8B"/>
    <w:rsid w:val="00BC3163"/>
    <w:rsid w:val="00BC32FB"/>
    <w:rsid w:val="00BC35A6"/>
    <w:rsid w:val="00BC3907"/>
    <w:rsid w:val="00BC3C72"/>
    <w:rsid w:val="00BC43FF"/>
    <w:rsid w:val="00BC4812"/>
    <w:rsid w:val="00BC4B04"/>
    <w:rsid w:val="00BC4B4E"/>
    <w:rsid w:val="00BC551F"/>
    <w:rsid w:val="00BC5768"/>
    <w:rsid w:val="00BC592B"/>
    <w:rsid w:val="00BC5A41"/>
    <w:rsid w:val="00BC5B71"/>
    <w:rsid w:val="00BC5CA7"/>
    <w:rsid w:val="00BC5EB5"/>
    <w:rsid w:val="00BC6341"/>
    <w:rsid w:val="00BC6AB2"/>
    <w:rsid w:val="00BC6D07"/>
    <w:rsid w:val="00BC700D"/>
    <w:rsid w:val="00BC7255"/>
    <w:rsid w:val="00BC7926"/>
    <w:rsid w:val="00BC7AF0"/>
    <w:rsid w:val="00BC7F9D"/>
    <w:rsid w:val="00BD0170"/>
    <w:rsid w:val="00BD0367"/>
    <w:rsid w:val="00BD05F3"/>
    <w:rsid w:val="00BD0978"/>
    <w:rsid w:val="00BD0C36"/>
    <w:rsid w:val="00BD0ED6"/>
    <w:rsid w:val="00BD2798"/>
    <w:rsid w:val="00BD2A10"/>
    <w:rsid w:val="00BD2B2F"/>
    <w:rsid w:val="00BD31AF"/>
    <w:rsid w:val="00BD3F37"/>
    <w:rsid w:val="00BD402A"/>
    <w:rsid w:val="00BD422F"/>
    <w:rsid w:val="00BD42CD"/>
    <w:rsid w:val="00BD4797"/>
    <w:rsid w:val="00BD47A9"/>
    <w:rsid w:val="00BD4A58"/>
    <w:rsid w:val="00BD5634"/>
    <w:rsid w:val="00BD5CCF"/>
    <w:rsid w:val="00BD657A"/>
    <w:rsid w:val="00BD668A"/>
    <w:rsid w:val="00BD6718"/>
    <w:rsid w:val="00BD6954"/>
    <w:rsid w:val="00BD73D3"/>
    <w:rsid w:val="00BD764A"/>
    <w:rsid w:val="00BE0025"/>
    <w:rsid w:val="00BE02B2"/>
    <w:rsid w:val="00BE0534"/>
    <w:rsid w:val="00BE0966"/>
    <w:rsid w:val="00BE1FC4"/>
    <w:rsid w:val="00BE2539"/>
    <w:rsid w:val="00BE25CB"/>
    <w:rsid w:val="00BE2A7D"/>
    <w:rsid w:val="00BE2E88"/>
    <w:rsid w:val="00BE318D"/>
    <w:rsid w:val="00BE347B"/>
    <w:rsid w:val="00BE3FB0"/>
    <w:rsid w:val="00BE4AF1"/>
    <w:rsid w:val="00BE4D07"/>
    <w:rsid w:val="00BE571F"/>
    <w:rsid w:val="00BE5BCD"/>
    <w:rsid w:val="00BE61D1"/>
    <w:rsid w:val="00BE6456"/>
    <w:rsid w:val="00BE6D84"/>
    <w:rsid w:val="00BE72A3"/>
    <w:rsid w:val="00BE7D9D"/>
    <w:rsid w:val="00BF09E2"/>
    <w:rsid w:val="00BF146A"/>
    <w:rsid w:val="00BF1CC6"/>
    <w:rsid w:val="00BF1E02"/>
    <w:rsid w:val="00BF1F4E"/>
    <w:rsid w:val="00BF1FFF"/>
    <w:rsid w:val="00BF216C"/>
    <w:rsid w:val="00BF2230"/>
    <w:rsid w:val="00BF2366"/>
    <w:rsid w:val="00BF247F"/>
    <w:rsid w:val="00BF2A82"/>
    <w:rsid w:val="00BF2D22"/>
    <w:rsid w:val="00BF2E9A"/>
    <w:rsid w:val="00BF3036"/>
    <w:rsid w:val="00BF38BE"/>
    <w:rsid w:val="00BF4038"/>
    <w:rsid w:val="00BF4357"/>
    <w:rsid w:val="00BF46CE"/>
    <w:rsid w:val="00BF4CF4"/>
    <w:rsid w:val="00BF5524"/>
    <w:rsid w:val="00BF55D9"/>
    <w:rsid w:val="00BF56CA"/>
    <w:rsid w:val="00BF5777"/>
    <w:rsid w:val="00BF57FB"/>
    <w:rsid w:val="00BF5AED"/>
    <w:rsid w:val="00BF5EDB"/>
    <w:rsid w:val="00BF6540"/>
    <w:rsid w:val="00BF6F8E"/>
    <w:rsid w:val="00BF7752"/>
    <w:rsid w:val="00BF778F"/>
    <w:rsid w:val="00BF79C6"/>
    <w:rsid w:val="00BF7A37"/>
    <w:rsid w:val="00BF7B3D"/>
    <w:rsid w:val="00C005CE"/>
    <w:rsid w:val="00C0060E"/>
    <w:rsid w:val="00C00B7E"/>
    <w:rsid w:val="00C01562"/>
    <w:rsid w:val="00C019B4"/>
    <w:rsid w:val="00C01F7F"/>
    <w:rsid w:val="00C02510"/>
    <w:rsid w:val="00C028FB"/>
    <w:rsid w:val="00C02B4F"/>
    <w:rsid w:val="00C02BFF"/>
    <w:rsid w:val="00C02C3A"/>
    <w:rsid w:val="00C02DFD"/>
    <w:rsid w:val="00C02F22"/>
    <w:rsid w:val="00C03391"/>
    <w:rsid w:val="00C03C8F"/>
    <w:rsid w:val="00C0400D"/>
    <w:rsid w:val="00C04109"/>
    <w:rsid w:val="00C04902"/>
    <w:rsid w:val="00C04E41"/>
    <w:rsid w:val="00C04F53"/>
    <w:rsid w:val="00C050A2"/>
    <w:rsid w:val="00C051B3"/>
    <w:rsid w:val="00C05664"/>
    <w:rsid w:val="00C0609B"/>
    <w:rsid w:val="00C06107"/>
    <w:rsid w:val="00C062C7"/>
    <w:rsid w:val="00C063B2"/>
    <w:rsid w:val="00C066D7"/>
    <w:rsid w:val="00C069DD"/>
    <w:rsid w:val="00C07802"/>
    <w:rsid w:val="00C10946"/>
    <w:rsid w:val="00C11057"/>
    <w:rsid w:val="00C114D5"/>
    <w:rsid w:val="00C1199B"/>
    <w:rsid w:val="00C121A8"/>
    <w:rsid w:val="00C123B5"/>
    <w:rsid w:val="00C12D44"/>
    <w:rsid w:val="00C1412C"/>
    <w:rsid w:val="00C14448"/>
    <w:rsid w:val="00C144C3"/>
    <w:rsid w:val="00C14712"/>
    <w:rsid w:val="00C14D2B"/>
    <w:rsid w:val="00C14D30"/>
    <w:rsid w:val="00C153C9"/>
    <w:rsid w:val="00C15739"/>
    <w:rsid w:val="00C16822"/>
    <w:rsid w:val="00C17367"/>
    <w:rsid w:val="00C17A26"/>
    <w:rsid w:val="00C17A85"/>
    <w:rsid w:val="00C17B14"/>
    <w:rsid w:val="00C20301"/>
    <w:rsid w:val="00C20359"/>
    <w:rsid w:val="00C20EC8"/>
    <w:rsid w:val="00C20F3D"/>
    <w:rsid w:val="00C211C2"/>
    <w:rsid w:val="00C21E09"/>
    <w:rsid w:val="00C22ED5"/>
    <w:rsid w:val="00C230CD"/>
    <w:rsid w:val="00C2329C"/>
    <w:rsid w:val="00C23B95"/>
    <w:rsid w:val="00C2441B"/>
    <w:rsid w:val="00C2477D"/>
    <w:rsid w:val="00C24A29"/>
    <w:rsid w:val="00C24C05"/>
    <w:rsid w:val="00C24F0A"/>
    <w:rsid w:val="00C24F78"/>
    <w:rsid w:val="00C255DD"/>
    <w:rsid w:val="00C25815"/>
    <w:rsid w:val="00C26690"/>
    <w:rsid w:val="00C26D05"/>
    <w:rsid w:val="00C26F91"/>
    <w:rsid w:val="00C277AA"/>
    <w:rsid w:val="00C3007F"/>
    <w:rsid w:val="00C3031B"/>
    <w:rsid w:val="00C3050D"/>
    <w:rsid w:val="00C30554"/>
    <w:rsid w:val="00C3055E"/>
    <w:rsid w:val="00C30FB9"/>
    <w:rsid w:val="00C315B8"/>
    <w:rsid w:val="00C31B37"/>
    <w:rsid w:val="00C31CF6"/>
    <w:rsid w:val="00C31FA2"/>
    <w:rsid w:val="00C323DD"/>
    <w:rsid w:val="00C328E3"/>
    <w:rsid w:val="00C32EA8"/>
    <w:rsid w:val="00C32FC6"/>
    <w:rsid w:val="00C33554"/>
    <w:rsid w:val="00C3359A"/>
    <w:rsid w:val="00C338C6"/>
    <w:rsid w:val="00C339C1"/>
    <w:rsid w:val="00C345B4"/>
    <w:rsid w:val="00C347F9"/>
    <w:rsid w:val="00C34B32"/>
    <w:rsid w:val="00C35299"/>
    <w:rsid w:val="00C35841"/>
    <w:rsid w:val="00C359DD"/>
    <w:rsid w:val="00C363B0"/>
    <w:rsid w:val="00C37B79"/>
    <w:rsid w:val="00C404D5"/>
    <w:rsid w:val="00C405A8"/>
    <w:rsid w:val="00C40779"/>
    <w:rsid w:val="00C40917"/>
    <w:rsid w:val="00C41257"/>
    <w:rsid w:val="00C41A18"/>
    <w:rsid w:val="00C41BF2"/>
    <w:rsid w:val="00C41FE0"/>
    <w:rsid w:val="00C421D1"/>
    <w:rsid w:val="00C427FC"/>
    <w:rsid w:val="00C42F6E"/>
    <w:rsid w:val="00C43A50"/>
    <w:rsid w:val="00C43E07"/>
    <w:rsid w:val="00C44086"/>
    <w:rsid w:val="00C44733"/>
    <w:rsid w:val="00C44C97"/>
    <w:rsid w:val="00C44D77"/>
    <w:rsid w:val="00C44E00"/>
    <w:rsid w:val="00C45028"/>
    <w:rsid w:val="00C451F5"/>
    <w:rsid w:val="00C45641"/>
    <w:rsid w:val="00C4567F"/>
    <w:rsid w:val="00C4572B"/>
    <w:rsid w:val="00C462A8"/>
    <w:rsid w:val="00C46D39"/>
    <w:rsid w:val="00C50D7F"/>
    <w:rsid w:val="00C50DDA"/>
    <w:rsid w:val="00C50FC3"/>
    <w:rsid w:val="00C5127A"/>
    <w:rsid w:val="00C51CC1"/>
    <w:rsid w:val="00C51D33"/>
    <w:rsid w:val="00C524C9"/>
    <w:rsid w:val="00C52638"/>
    <w:rsid w:val="00C529B0"/>
    <w:rsid w:val="00C52C7A"/>
    <w:rsid w:val="00C532BE"/>
    <w:rsid w:val="00C539FA"/>
    <w:rsid w:val="00C53A33"/>
    <w:rsid w:val="00C53E30"/>
    <w:rsid w:val="00C5495A"/>
    <w:rsid w:val="00C54DBF"/>
    <w:rsid w:val="00C54FE8"/>
    <w:rsid w:val="00C551B7"/>
    <w:rsid w:val="00C55BDD"/>
    <w:rsid w:val="00C567FB"/>
    <w:rsid w:val="00C56CCF"/>
    <w:rsid w:val="00C56D03"/>
    <w:rsid w:val="00C57B8A"/>
    <w:rsid w:val="00C57E31"/>
    <w:rsid w:val="00C6017F"/>
    <w:rsid w:val="00C604B4"/>
    <w:rsid w:val="00C60A76"/>
    <w:rsid w:val="00C60B26"/>
    <w:rsid w:val="00C610E3"/>
    <w:rsid w:val="00C61985"/>
    <w:rsid w:val="00C61E61"/>
    <w:rsid w:val="00C62879"/>
    <w:rsid w:val="00C62BEB"/>
    <w:rsid w:val="00C63437"/>
    <w:rsid w:val="00C63599"/>
    <w:rsid w:val="00C6383E"/>
    <w:rsid w:val="00C6397F"/>
    <w:rsid w:val="00C63BC8"/>
    <w:rsid w:val="00C6407E"/>
    <w:rsid w:val="00C642EE"/>
    <w:rsid w:val="00C64383"/>
    <w:rsid w:val="00C64E0F"/>
    <w:rsid w:val="00C6509F"/>
    <w:rsid w:val="00C657FC"/>
    <w:rsid w:val="00C65887"/>
    <w:rsid w:val="00C6588B"/>
    <w:rsid w:val="00C658A5"/>
    <w:rsid w:val="00C65F62"/>
    <w:rsid w:val="00C664B0"/>
    <w:rsid w:val="00C66BEE"/>
    <w:rsid w:val="00C66EC6"/>
    <w:rsid w:val="00C670C8"/>
    <w:rsid w:val="00C6765F"/>
    <w:rsid w:val="00C67971"/>
    <w:rsid w:val="00C679A5"/>
    <w:rsid w:val="00C6F40E"/>
    <w:rsid w:val="00C702D9"/>
    <w:rsid w:val="00C703AD"/>
    <w:rsid w:val="00C70737"/>
    <w:rsid w:val="00C70F9F"/>
    <w:rsid w:val="00C7172E"/>
    <w:rsid w:val="00C7176A"/>
    <w:rsid w:val="00C72728"/>
    <w:rsid w:val="00C72790"/>
    <w:rsid w:val="00C732A6"/>
    <w:rsid w:val="00C73E5A"/>
    <w:rsid w:val="00C73FB5"/>
    <w:rsid w:val="00C745C3"/>
    <w:rsid w:val="00C748FD"/>
    <w:rsid w:val="00C74946"/>
    <w:rsid w:val="00C74E5F"/>
    <w:rsid w:val="00C7546C"/>
    <w:rsid w:val="00C75704"/>
    <w:rsid w:val="00C75A71"/>
    <w:rsid w:val="00C75DB5"/>
    <w:rsid w:val="00C7688D"/>
    <w:rsid w:val="00C76EA9"/>
    <w:rsid w:val="00C77258"/>
    <w:rsid w:val="00C806A3"/>
    <w:rsid w:val="00C80B1E"/>
    <w:rsid w:val="00C80D67"/>
    <w:rsid w:val="00C80ECD"/>
    <w:rsid w:val="00C81DE7"/>
    <w:rsid w:val="00C8277E"/>
    <w:rsid w:val="00C82803"/>
    <w:rsid w:val="00C83041"/>
    <w:rsid w:val="00C8369F"/>
    <w:rsid w:val="00C83D0D"/>
    <w:rsid w:val="00C84364"/>
    <w:rsid w:val="00C849E3"/>
    <w:rsid w:val="00C84A40"/>
    <w:rsid w:val="00C857EB"/>
    <w:rsid w:val="00C85C42"/>
    <w:rsid w:val="00C85CB6"/>
    <w:rsid w:val="00C85EC1"/>
    <w:rsid w:val="00C86074"/>
    <w:rsid w:val="00C86189"/>
    <w:rsid w:val="00C86BE1"/>
    <w:rsid w:val="00C87B74"/>
    <w:rsid w:val="00C9015B"/>
    <w:rsid w:val="00C90470"/>
    <w:rsid w:val="00C91140"/>
    <w:rsid w:val="00C913BF"/>
    <w:rsid w:val="00C91446"/>
    <w:rsid w:val="00C917AB"/>
    <w:rsid w:val="00C923ED"/>
    <w:rsid w:val="00C9287F"/>
    <w:rsid w:val="00C92B63"/>
    <w:rsid w:val="00C92DD6"/>
    <w:rsid w:val="00C92FB1"/>
    <w:rsid w:val="00C93666"/>
    <w:rsid w:val="00C93910"/>
    <w:rsid w:val="00C93F30"/>
    <w:rsid w:val="00C942F6"/>
    <w:rsid w:val="00C948D8"/>
    <w:rsid w:val="00C949D2"/>
    <w:rsid w:val="00C94BE4"/>
    <w:rsid w:val="00C94E18"/>
    <w:rsid w:val="00C94F1E"/>
    <w:rsid w:val="00C9626C"/>
    <w:rsid w:val="00C9675F"/>
    <w:rsid w:val="00C9693C"/>
    <w:rsid w:val="00C96C91"/>
    <w:rsid w:val="00C96DF5"/>
    <w:rsid w:val="00C9700C"/>
    <w:rsid w:val="00C97034"/>
    <w:rsid w:val="00C9704B"/>
    <w:rsid w:val="00C978E9"/>
    <w:rsid w:val="00C97B2E"/>
    <w:rsid w:val="00CA0181"/>
    <w:rsid w:val="00CA045B"/>
    <w:rsid w:val="00CA1B97"/>
    <w:rsid w:val="00CA2546"/>
    <w:rsid w:val="00CA2B3C"/>
    <w:rsid w:val="00CA4B3D"/>
    <w:rsid w:val="00CA4EFA"/>
    <w:rsid w:val="00CA51C7"/>
    <w:rsid w:val="00CA5404"/>
    <w:rsid w:val="00CA593A"/>
    <w:rsid w:val="00CA5F1E"/>
    <w:rsid w:val="00CA6332"/>
    <w:rsid w:val="00CA66F0"/>
    <w:rsid w:val="00CA686F"/>
    <w:rsid w:val="00CA70F8"/>
    <w:rsid w:val="00CB0654"/>
    <w:rsid w:val="00CB0A26"/>
    <w:rsid w:val="00CB0B7D"/>
    <w:rsid w:val="00CB0C02"/>
    <w:rsid w:val="00CB0CCF"/>
    <w:rsid w:val="00CB1226"/>
    <w:rsid w:val="00CB180E"/>
    <w:rsid w:val="00CB1C93"/>
    <w:rsid w:val="00CB1CE9"/>
    <w:rsid w:val="00CB1ED2"/>
    <w:rsid w:val="00CB1F74"/>
    <w:rsid w:val="00CB2C9E"/>
    <w:rsid w:val="00CB32CA"/>
    <w:rsid w:val="00CB415F"/>
    <w:rsid w:val="00CB468F"/>
    <w:rsid w:val="00CB5240"/>
    <w:rsid w:val="00CB5BC5"/>
    <w:rsid w:val="00CB5C6D"/>
    <w:rsid w:val="00CB5D14"/>
    <w:rsid w:val="00CB6E66"/>
    <w:rsid w:val="00CB6E8C"/>
    <w:rsid w:val="00CB77B5"/>
    <w:rsid w:val="00CC0563"/>
    <w:rsid w:val="00CC1A0D"/>
    <w:rsid w:val="00CC1CA7"/>
    <w:rsid w:val="00CC1E18"/>
    <w:rsid w:val="00CC1F0E"/>
    <w:rsid w:val="00CC3163"/>
    <w:rsid w:val="00CC3384"/>
    <w:rsid w:val="00CC3F4A"/>
    <w:rsid w:val="00CC4425"/>
    <w:rsid w:val="00CC49E0"/>
    <w:rsid w:val="00CC4B32"/>
    <w:rsid w:val="00CC5508"/>
    <w:rsid w:val="00CC55C8"/>
    <w:rsid w:val="00CC5861"/>
    <w:rsid w:val="00CC5A8A"/>
    <w:rsid w:val="00CC5F73"/>
    <w:rsid w:val="00CC65CE"/>
    <w:rsid w:val="00CC68EA"/>
    <w:rsid w:val="00CC69CF"/>
    <w:rsid w:val="00CC766F"/>
    <w:rsid w:val="00CC7A03"/>
    <w:rsid w:val="00CC7C4D"/>
    <w:rsid w:val="00CD06AD"/>
    <w:rsid w:val="00CD1198"/>
    <w:rsid w:val="00CD1249"/>
    <w:rsid w:val="00CD1D0E"/>
    <w:rsid w:val="00CD21CC"/>
    <w:rsid w:val="00CD238D"/>
    <w:rsid w:val="00CD2532"/>
    <w:rsid w:val="00CD26E3"/>
    <w:rsid w:val="00CD2B11"/>
    <w:rsid w:val="00CD2E21"/>
    <w:rsid w:val="00CD3E14"/>
    <w:rsid w:val="00CD3E88"/>
    <w:rsid w:val="00CD3FB3"/>
    <w:rsid w:val="00CD4225"/>
    <w:rsid w:val="00CD4253"/>
    <w:rsid w:val="00CD43AE"/>
    <w:rsid w:val="00CD4CCD"/>
    <w:rsid w:val="00CD519A"/>
    <w:rsid w:val="00CD5C17"/>
    <w:rsid w:val="00CD5DDF"/>
    <w:rsid w:val="00CD6275"/>
    <w:rsid w:val="00CD7306"/>
    <w:rsid w:val="00CD7D46"/>
    <w:rsid w:val="00CD7ECF"/>
    <w:rsid w:val="00CE0726"/>
    <w:rsid w:val="00CE0EFE"/>
    <w:rsid w:val="00CE124C"/>
    <w:rsid w:val="00CE1ADE"/>
    <w:rsid w:val="00CE221C"/>
    <w:rsid w:val="00CE2A8A"/>
    <w:rsid w:val="00CE3364"/>
    <w:rsid w:val="00CE3942"/>
    <w:rsid w:val="00CE3ED6"/>
    <w:rsid w:val="00CE4DA2"/>
    <w:rsid w:val="00CE53BC"/>
    <w:rsid w:val="00CE54CA"/>
    <w:rsid w:val="00CE5C5D"/>
    <w:rsid w:val="00CE6AC0"/>
    <w:rsid w:val="00CE71E2"/>
    <w:rsid w:val="00CF008A"/>
    <w:rsid w:val="00CF04CA"/>
    <w:rsid w:val="00CF0A70"/>
    <w:rsid w:val="00CF0D82"/>
    <w:rsid w:val="00CF0EF4"/>
    <w:rsid w:val="00CF1041"/>
    <w:rsid w:val="00CF164D"/>
    <w:rsid w:val="00CF170E"/>
    <w:rsid w:val="00CF1CF6"/>
    <w:rsid w:val="00CF2C43"/>
    <w:rsid w:val="00CF381A"/>
    <w:rsid w:val="00CF3BD3"/>
    <w:rsid w:val="00CF4105"/>
    <w:rsid w:val="00CF4119"/>
    <w:rsid w:val="00CF45E6"/>
    <w:rsid w:val="00CF476D"/>
    <w:rsid w:val="00CF55E3"/>
    <w:rsid w:val="00CF5615"/>
    <w:rsid w:val="00CF5A21"/>
    <w:rsid w:val="00CF5CFE"/>
    <w:rsid w:val="00CF5DAE"/>
    <w:rsid w:val="00CF66C0"/>
    <w:rsid w:val="00CF6774"/>
    <w:rsid w:val="00CF6907"/>
    <w:rsid w:val="00CF708B"/>
    <w:rsid w:val="00D0003E"/>
    <w:rsid w:val="00D00088"/>
    <w:rsid w:val="00D009AC"/>
    <w:rsid w:val="00D00A38"/>
    <w:rsid w:val="00D00BB1"/>
    <w:rsid w:val="00D00F3E"/>
    <w:rsid w:val="00D01302"/>
    <w:rsid w:val="00D01887"/>
    <w:rsid w:val="00D03068"/>
    <w:rsid w:val="00D0403A"/>
    <w:rsid w:val="00D040A8"/>
    <w:rsid w:val="00D05516"/>
    <w:rsid w:val="00D055EE"/>
    <w:rsid w:val="00D056D8"/>
    <w:rsid w:val="00D066D6"/>
    <w:rsid w:val="00D06742"/>
    <w:rsid w:val="00D06947"/>
    <w:rsid w:val="00D06FE1"/>
    <w:rsid w:val="00D07152"/>
    <w:rsid w:val="00D074CC"/>
    <w:rsid w:val="00D07914"/>
    <w:rsid w:val="00D079DE"/>
    <w:rsid w:val="00D07A39"/>
    <w:rsid w:val="00D07BEA"/>
    <w:rsid w:val="00D07D44"/>
    <w:rsid w:val="00D07DD2"/>
    <w:rsid w:val="00D100BE"/>
    <w:rsid w:val="00D10862"/>
    <w:rsid w:val="00D1091A"/>
    <w:rsid w:val="00D10C65"/>
    <w:rsid w:val="00D10FD9"/>
    <w:rsid w:val="00D112A8"/>
    <w:rsid w:val="00D1149F"/>
    <w:rsid w:val="00D12004"/>
    <w:rsid w:val="00D12195"/>
    <w:rsid w:val="00D12C99"/>
    <w:rsid w:val="00D134B3"/>
    <w:rsid w:val="00D13B62"/>
    <w:rsid w:val="00D13F29"/>
    <w:rsid w:val="00D14B94"/>
    <w:rsid w:val="00D1559A"/>
    <w:rsid w:val="00D16224"/>
    <w:rsid w:val="00D16949"/>
    <w:rsid w:val="00D16A5A"/>
    <w:rsid w:val="00D16E52"/>
    <w:rsid w:val="00D1763C"/>
    <w:rsid w:val="00D177FC"/>
    <w:rsid w:val="00D17FA4"/>
    <w:rsid w:val="00D20694"/>
    <w:rsid w:val="00D20762"/>
    <w:rsid w:val="00D207C5"/>
    <w:rsid w:val="00D21EA5"/>
    <w:rsid w:val="00D233A2"/>
    <w:rsid w:val="00D24643"/>
    <w:rsid w:val="00D25157"/>
    <w:rsid w:val="00D253B6"/>
    <w:rsid w:val="00D25A53"/>
    <w:rsid w:val="00D261C9"/>
    <w:rsid w:val="00D2671D"/>
    <w:rsid w:val="00D268A8"/>
    <w:rsid w:val="00D26AF2"/>
    <w:rsid w:val="00D2715B"/>
    <w:rsid w:val="00D27598"/>
    <w:rsid w:val="00D2762B"/>
    <w:rsid w:val="00D2785D"/>
    <w:rsid w:val="00D27DB3"/>
    <w:rsid w:val="00D27EB3"/>
    <w:rsid w:val="00D3014D"/>
    <w:rsid w:val="00D301FA"/>
    <w:rsid w:val="00D30741"/>
    <w:rsid w:val="00D30EBF"/>
    <w:rsid w:val="00D31096"/>
    <w:rsid w:val="00D31125"/>
    <w:rsid w:val="00D31D94"/>
    <w:rsid w:val="00D322BF"/>
    <w:rsid w:val="00D32A2F"/>
    <w:rsid w:val="00D3306F"/>
    <w:rsid w:val="00D337F0"/>
    <w:rsid w:val="00D33DCF"/>
    <w:rsid w:val="00D34127"/>
    <w:rsid w:val="00D341F4"/>
    <w:rsid w:val="00D3456B"/>
    <w:rsid w:val="00D347AB"/>
    <w:rsid w:val="00D3544D"/>
    <w:rsid w:val="00D3584F"/>
    <w:rsid w:val="00D36195"/>
    <w:rsid w:val="00D36602"/>
    <w:rsid w:val="00D36BFA"/>
    <w:rsid w:val="00D36C2E"/>
    <w:rsid w:val="00D371CE"/>
    <w:rsid w:val="00D374BF"/>
    <w:rsid w:val="00D37508"/>
    <w:rsid w:val="00D37B5F"/>
    <w:rsid w:val="00D37E0E"/>
    <w:rsid w:val="00D40030"/>
    <w:rsid w:val="00D404DA"/>
    <w:rsid w:val="00D40A05"/>
    <w:rsid w:val="00D40A2E"/>
    <w:rsid w:val="00D413D9"/>
    <w:rsid w:val="00D41656"/>
    <w:rsid w:val="00D4231C"/>
    <w:rsid w:val="00D4252D"/>
    <w:rsid w:val="00D4277D"/>
    <w:rsid w:val="00D42B50"/>
    <w:rsid w:val="00D43971"/>
    <w:rsid w:val="00D43A5D"/>
    <w:rsid w:val="00D43BFA"/>
    <w:rsid w:val="00D43CF4"/>
    <w:rsid w:val="00D4400A"/>
    <w:rsid w:val="00D45324"/>
    <w:rsid w:val="00D4552A"/>
    <w:rsid w:val="00D4586F"/>
    <w:rsid w:val="00D46717"/>
    <w:rsid w:val="00D47062"/>
    <w:rsid w:val="00D47295"/>
    <w:rsid w:val="00D4786A"/>
    <w:rsid w:val="00D47A25"/>
    <w:rsid w:val="00D47B01"/>
    <w:rsid w:val="00D47F47"/>
    <w:rsid w:val="00D4F60F"/>
    <w:rsid w:val="00D50DE2"/>
    <w:rsid w:val="00D510BB"/>
    <w:rsid w:val="00D51A3E"/>
    <w:rsid w:val="00D522F8"/>
    <w:rsid w:val="00D52F52"/>
    <w:rsid w:val="00D53239"/>
    <w:rsid w:val="00D53357"/>
    <w:rsid w:val="00D535C5"/>
    <w:rsid w:val="00D53B18"/>
    <w:rsid w:val="00D54D13"/>
    <w:rsid w:val="00D55220"/>
    <w:rsid w:val="00D556FF"/>
    <w:rsid w:val="00D56221"/>
    <w:rsid w:val="00D56EB1"/>
    <w:rsid w:val="00D572CF"/>
    <w:rsid w:val="00D57489"/>
    <w:rsid w:val="00D5767D"/>
    <w:rsid w:val="00D57C19"/>
    <w:rsid w:val="00D57E44"/>
    <w:rsid w:val="00D57ED6"/>
    <w:rsid w:val="00D618ED"/>
    <w:rsid w:val="00D61E21"/>
    <w:rsid w:val="00D61FB9"/>
    <w:rsid w:val="00D62403"/>
    <w:rsid w:val="00D62662"/>
    <w:rsid w:val="00D62840"/>
    <w:rsid w:val="00D63039"/>
    <w:rsid w:val="00D63665"/>
    <w:rsid w:val="00D64069"/>
    <w:rsid w:val="00D64359"/>
    <w:rsid w:val="00D64490"/>
    <w:rsid w:val="00D64CDE"/>
    <w:rsid w:val="00D658EC"/>
    <w:rsid w:val="00D65F50"/>
    <w:rsid w:val="00D664E6"/>
    <w:rsid w:val="00D67794"/>
    <w:rsid w:val="00D67C53"/>
    <w:rsid w:val="00D70DAE"/>
    <w:rsid w:val="00D71A9A"/>
    <w:rsid w:val="00D71BB5"/>
    <w:rsid w:val="00D71DF8"/>
    <w:rsid w:val="00D72542"/>
    <w:rsid w:val="00D72F4E"/>
    <w:rsid w:val="00D73168"/>
    <w:rsid w:val="00D73866"/>
    <w:rsid w:val="00D73B01"/>
    <w:rsid w:val="00D73CE3"/>
    <w:rsid w:val="00D73F76"/>
    <w:rsid w:val="00D74238"/>
    <w:rsid w:val="00D74CEC"/>
    <w:rsid w:val="00D75133"/>
    <w:rsid w:val="00D75659"/>
    <w:rsid w:val="00D75A60"/>
    <w:rsid w:val="00D767CC"/>
    <w:rsid w:val="00D76811"/>
    <w:rsid w:val="00D76D90"/>
    <w:rsid w:val="00D76E57"/>
    <w:rsid w:val="00D7719F"/>
    <w:rsid w:val="00D77615"/>
    <w:rsid w:val="00D776E3"/>
    <w:rsid w:val="00D77BD1"/>
    <w:rsid w:val="00D77F85"/>
    <w:rsid w:val="00D803EE"/>
    <w:rsid w:val="00D806EC"/>
    <w:rsid w:val="00D813E4"/>
    <w:rsid w:val="00D81C78"/>
    <w:rsid w:val="00D820E0"/>
    <w:rsid w:val="00D82C78"/>
    <w:rsid w:val="00D82D83"/>
    <w:rsid w:val="00D82F97"/>
    <w:rsid w:val="00D830D4"/>
    <w:rsid w:val="00D83B93"/>
    <w:rsid w:val="00D83ED1"/>
    <w:rsid w:val="00D85437"/>
    <w:rsid w:val="00D85497"/>
    <w:rsid w:val="00D85554"/>
    <w:rsid w:val="00D85768"/>
    <w:rsid w:val="00D860D2"/>
    <w:rsid w:val="00D8630F"/>
    <w:rsid w:val="00D8656F"/>
    <w:rsid w:val="00D86EC6"/>
    <w:rsid w:val="00D874D9"/>
    <w:rsid w:val="00D87586"/>
    <w:rsid w:val="00D876CA"/>
    <w:rsid w:val="00D901DF"/>
    <w:rsid w:val="00D907F5"/>
    <w:rsid w:val="00D90F7A"/>
    <w:rsid w:val="00D91975"/>
    <w:rsid w:val="00D922FA"/>
    <w:rsid w:val="00D9262F"/>
    <w:rsid w:val="00D927D9"/>
    <w:rsid w:val="00D928A2"/>
    <w:rsid w:val="00D92C58"/>
    <w:rsid w:val="00D930E2"/>
    <w:rsid w:val="00D931C6"/>
    <w:rsid w:val="00D93826"/>
    <w:rsid w:val="00D938D7"/>
    <w:rsid w:val="00D93914"/>
    <w:rsid w:val="00D939D3"/>
    <w:rsid w:val="00D942AD"/>
    <w:rsid w:val="00D94EAE"/>
    <w:rsid w:val="00D950E8"/>
    <w:rsid w:val="00D958CA"/>
    <w:rsid w:val="00D96143"/>
    <w:rsid w:val="00D964B9"/>
    <w:rsid w:val="00D96AFF"/>
    <w:rsid w:val="00D96B17"/>
    <w:rsid w:val="00D96EC3"/>
    <w:rsid w:val="00D9731A"/>
    <w:rsid w:val="00D976CC"/>
    <w:rsid w:val="00DA023C"/>
    <w:rsid w:val="00DA0788"/>
    <w:rsid w:val="00DA099D"/>
    <w:rsid w:val="00DA0A01"/>
    <w:rsid w:val="00DA0A9D"/>
    <w:rsid w:val="00DA0C5E"/>
    <w:rsid w:val="00DA0DAF"/>
    <w:rsid w:val="00DA0F3C"/>
    <w:rsid w:val="00DA138D"/>
    <w:rsid w:val="00DA199A"/>
    <w:rsid w:val="00DA2044"/>
    <w:rsid w:val="00DA22E0"/>
    <w:rsid w:val="00DA3ABD"/>
    <w:rsid w:val="00DA3F5B"/>
    <w:rsid w:val="00DA489A"/>
    <w:rsid w:val="00DA4911"/>
    <w:rsid w:val="00DA5F5B"/>
    <w:rsid w:val="00DA6675"/>
    <w:rsid w:val="00DA69B6"/>
    <w:rsid w:val="00DA6A47"/>
    <w:rsid w:val="00DA6DCD"/>
    <w:rsid w:val="00DA6EC4"/>
    <w:rsid w:val="00DA6FAB"/>
    <w:rsid w:val="00DA72CA"/>
    <w:rsid w:val="00DA7606"/>
    <w:rsid w:val="00DA76C3"/>
    <w:rsid w:val="00DA79CB"/>
    <w:rsid w:val="00DA7FF3"/>
    <w:rsid w:val="00DB0671"/>
    <w:rsid w:val="00DB075E"/>
    <w:rsid w:val="00DB0A93"/>
    <w:rsid w:val="00DB0F3C"/>
    <w:rsid w:val="00DB13DF"/>
    <w:rsid w:val="00DB15B9"/>
    <w:rsid w:val="00DB19CD"/>
    <w:rsid w:val="00DB1F31"/>
    <w:rsid w:val="00DB27FB"/>
    <w:rsid w:val="00DB2906"/>
    <w:rsid w:val="00DB32C7"/>
    <w:rsid w:val="00DB361B"/>
    <w:rsid w:val="00DB3FFB"/>
    <w:rsid w:val="00DB4416"/>
    <w:rsid w:val="00DB4F8C"/>
    <w:rsid w:val="00DB5A29"/>
    <w:rsid w:val="00DB5AE8"/>
    <w:rsid w:val="00DB5BF7"/>
    <w:rsid w:val="00DB637A"/>
    <w:rsid w:val="00DB6456"/>
    <w:rsid w:val="00DB685C"/>
    <w:rsid w:val="00DB6C99"/>
    <w:rsid w:val="00DB70EA"/>
    <w:rsid w:val="00DB75FD"/>
    <w:rsid w:val="00DB7662"/>
    <w:rsid w:val="00DB7A56"/>
    <w:rsid w:val="00DC15B7"/>
    <w:rsid w:val="00DC1807"/>
    <w:rsid w:val="00DC1A03"/>
    <w:rsid w:val="00DC269D"/>
    <w:rsid w:val="00DC29DA"/>
    <w:rsid w:val="00DC31B1"/>
    <w:rsid w:val="00DC3A7A"/>
    <w:rsid w:val="00DC3AF5"/>
    <w:rsid w:val="00DC3D7F"/>
    <w:rsid w:val="00DC3F6D"/>
    <w:rsid w:val="00DC4D86"/>
    <w:rsid w:val="00DC5EB0"/>
    <w:rsid w:val="00DC5F74"/>
    <w:rsid w:val="00DC6482"/>
    <w:rsid w:val="00DC6738"/>
    <w:rsid w:val="00DC781C"/>
    <w:rsid w:val="00DC7FF2"/>
    <w:rsid w:val="00DD047E"/>
    <w:rsid w:val="00DD0EA4"/>
    <w:rsid w:val="00DD0EE8"/>
    <w:rsid w:val="00DD17C8"/>
    <w:rsid w:val="00DD1843"/>
    <w:rsid w:val="00DD270B"/>
    <w:rsid w:val="00DD2B20"/>
    <w:rsid w:val="00DD4401"/>
    <w:rsid w:val="00DD4FCF"/>
    <w:rsid w:val="00DD5092"/>
    <w:rsid w:val="00DD6EE7"/>
    <w:rsid w:val="00DD74DE"/>
    <w:rsid w:val="00DD776B"/>
    <w:rsid w:val="00DD783E"/>
    <w:rsid w:val="00DD7A35"/>
    <w:rsid w:val="00DE0299"/>
    <w:rsid w:val="00DE0743"/>
    <w:rsid w:val="00DE086C"/>
    <w:rsid w:val="00DE0AB8"/>
    <w:rsid w:val="00DE12FC"/>
    <w:rsid w:val="00DE1823"/>
    <w:rsid w:val="00DE1B69"/>
    <w:rsid w:val="00DE232B"/>
    <w:rsid w:val="00DE23EC"/>
    <w:rsid w:val="00DE240F"/>
    <w:rsid w:val="00DE2622"/>
    <w:rsid w:val="00DE2C29"/>
    <w:rsid w:val="00DE2FA0"/>
    <w:rsid w:val="00DE30C4"/>
    <w:rsid w:val="00DE37E6"/>
    <w:rsid w:val="00DE3995"/>
    <w:rsid w:val="00DE3999"/>
    <w:rsid w:val="00DE4C02"/>
    <w:rsid w:val="00DE4D53"/>
    <w:rsid w:val="00DE4DDD"/>
    <w:rsid w:val="00DE4DF1"/>
    <w:rsid w:val="00DE4F91"/>
    <w:rsid w:val="00DE5B59"/>
    <w:rsid w:val="00DE727A"/>
    <w:rsid w:val="00DE7397"/>
    <w:rsid w:val="00DE7404"/>
    <w:rsid w:val="00DF1335"/>
    <w:rsid w:val="00DF2A32"/>
    <w:rsid w:val="00DF312B"/>
    <w:rsid w:val="00DF3200"/>
    <w:rsid w:val="00DF328B"/>
    <w:rsid w:val="00DF3CA5"/>
    <w:rsid w:val="00DF43E0"/>
    <w:rsid w:val="00DF44A9"/>
    <w:rsid w:val="00DF48AA"/>
    <w:rsid w:val="00DF4981"/>
    <w:rsid w:val="00DF4A17"/>
    <w:rsid w:val="00DF509F"/>
    <w:rsid w:val="00DF519D"/>
    <w:rsid w:val="00DF5A9C"/>
    <w:rsid w:val="00DF6024"/>
    <w:rsid w:val="00DF755D"/>
    <w:rsid w:val="00E002C7"/>
    <w:rsid w:val="00E00915"/>
    <w:rsid w:val="00E0162E"/>
    <w:rsid w:val="00E018D7"/>
    <w:rsid w:val="00E023E4"/>
    <w:rsid w:val="00E02564"/>
    <w:rsid w:val="00E026C1"/>
    <w:rsid w:val="00E029FD"/>
    <w:rsid w:val="00E02F1D"/>
    <w:rsid w:val="00E035B0"/>
    <w:rsid w:val="00E03AD4"/>
    <w:rsid w:val="00E046D4"/>
    <w:rsid w:val="00E04AFF"/>
    <w:rsid w:val="00E04E7A"/>
    <w:rsid w:val="00E0521B"/>
    <w:rsid w:val="00E06067"/>
    <w:rsid w:val="00E06E6A"/>
    <w:rsid w:val="00E06F0F"/>
    <w:rsid w:val="00E0750A"/>
    <w:rsid w:val="00E07B66"/>
    <w:rsid w:val="00E07CE0"/>
    <w:rsid w:val="00E07D94"/>
    <w:rsid w:val="00E1041B"/>
    <w:rsid w:val="00E10F84"/>
    <w:rsid w:val="00E10FBB"/>
    <w:rsid w:val="00E11B4E"/>
    <w:rsid w:val="00E11F20"/>
    <w:rsid w:val="00E1219D"/>
    <w:rsid w:val="00E12DEA"/>
    <w:rsid w:val="00E13CC2"/>
    <w:rsid w:val="00E13D24"/>
    <w:rsid w:val="00E143D1"/>
    <w:rsid w:val="00E1475C"/>
    <w:rsid w:val="00E14EE6"/>
    <w:rsid w:val="00E155D4"/>
    <w:rsid w:val="00E15A4A"/>
    <w:rsid w:val="00E15A82"/>
    <w:rsid w:val="00E167AD"/>
    <w:rsid w:val="00E16E90"/>
    <w:rsid w:val="00E16E9D"/>
    <w:rsid w:val="00E1715D"/>
    <w:rsid w:val="00E17840"/>
    <w:rsid w:val="00E17D21"/>
    <w:rsid w:val="00E17FBA"/>
    <w:rsid w:val="00E2030F"/>
    <w:rsid w:val="00E206BB"/>
    <w:rsid w:val="00E20B10"/>
    <w:rsid w:val="00E20C57"/>
    <w:rsid w:val="00E20C62"/>
    <w:rsid w:val="00E21181"/>
    <w:rsid w:val="00E21759"/>
    <w:rsid w:val="00E21C60"/>
    <w:rsid w:val="00E22365"/>
    <w:rsid w:val="00E226CB"/>
    <w:rsid w:val="00E22716"/>
    <w:rsid w:val="00E22C43"/>
    <w:rsid w:val="00E22EAE"/>
    <w:rsid w:val="00E2352B"/>
    <w:rsid w:val="00E241AF"/>
    <w:rsid w:val="00E24AD5"/>
    <w:rsid w:val="00E27212"/>
    <w:rsid w:val="00E27C86"/>
    <w:rsid w:val="00E302AA"/>
    <w:rsid w:val="00E30890"/>
    <w:rsid w:val="00E308C1"/>
    <w:rsid w:val="00E30967"/>
    <w:rsid w:val="00E30C71"/>
    <w:rsid w:val="00E310E9"/>
    <w:rsid w:val="00E314CF"/>
    <w:rsid w:val="00E314FB"/>
    <w:rsid w:val="00E31EDD"/>
    <w:rsid w:val="00E31EEF"/>
    <w:rsid w:val="00E3248D"/>
    <w:rsid w:val="00E325F9"/>
    <w:rsid w:val="00E32861"/>
    <w:rsid w:val="00E3289A"/>
    <w:rsid w:val="00E32B90"/>
    <w:rsid w:val="00E32DCC"/>
    <w:rsid w:val="00E333FE"/>
    <w:rsid w:val="00E338A7"/>
    <w:rsid w:val="00E33BDC"/>
    <w:rsid w:val="00E33D97"/>
    <w:rsid w:val="00E34291"/>
    <w:rsid w:val="00E347D9"/>
    <w:rsid w:val="00E35495"/>
    <w:rsid w:val="00E35E0D"/>
    <w:rsid w:val="00E35F1A"/>
    <w:rsid w:val="00E36F45"/>
    <w:rsid w:val="00E37DC1"/>
    <w:rsid w:val="00E37FFE"/>
    <w:rsid w:val="00E404A9"/>
    <w:rsid w:val="00E40A53"/>
    <w:rsid w:val="00E40B95"/>
    <w:rsid w:val="00E41526"/>
    <w:rsid w:val="00E418FE"/>
    <w:rsid w:val="00E42074"/>
    <w:rsid w:val="00E421AD"/>
    <w:rsid w:val="00E421B6"/>
    <w:rsid w:val="00E42ECA"/>
    <w:rsid w:val="00E435ED"/>
    <w:rsid w:val="00E43855"/>
    <w:rsid w:val="00E442F9"/>
    <w:rsid w:val="00E44404"/>
    <w:rsid w:val="00E44470"/>
    <w:rsid w:val="00E44AA9"/>
    <w:rsid w:val="00E44C42"/>
    <w:rsid w:val="00E453D1"/>
    <w:rsid w:val="00E45925"/>
    <w:rsid w:val="00E45C4D"/>
    <w:rsid w:val="00E4617D"/>
    <w:rsid w:val="00E461A7"/>
    <w:rsid w:val="00E461DF"/>
    <w:rsid w:val="00E46A5E"/>
    <w:rsid w:val="00E46C0E"/>
    <w:rsid w:val="00E47A73"/>
    <w:rsid w:val="00E47D84"/>
    <w:rsid w:val="00E47F76"/>
    <w:rsid w:val="00E513CE"/>
    <w:rsid w:val="00E525CC"/>
    <w:rsid w:val="00E526C8"/>
    <w:rsid w:val="00E53966"/>
    <w:rsid w:val="00E53970"/>
    <w:rsid w:val="00E53D4F"/>
    <w:rsid w:val="00E53D73"/>
    <w:rsid w:val="00E543E3"/>
    <w:rsid w:val="00E54B4D"/>
    <w:rsid w:val="00E55B11"/>
    <w:rsid w:val="00E562BF"/>
    <w:rsid w:val="00E56C31"/>
    <w:rsid w:val="00E57788"/>
    <w:rsid w:val="00E578A6"/>
    <w:rsid w:val="00E57AD5"/>
    <w:rsid w:val="00E6026E"/>
    <w:rsid w:val="00E61745"/>
    <w:rsid w:val="00E61B3F"/>
    <w:rsid w:val="00E61CB4"/>
    <w:rsid w:val="00E620AF"/>
    <w:rsid w:val="00E625EE"/>
    <w:rsid w:val="00E6382E"/>
    <w:rsid w:val="00E63E0A"/>
    <w:rsid w:val="00E64C62"/>
    <w:rsid w:val="00E64FD3"/>
    <w:rsid w:val="00E66BB4"/>
    <w:rsid w:val="00E6700E"/>
    <w:rsid w:val="00E67C5A"/>
    <w:rsid w:val="00E67F59"/>
    <w:rsid w:val="00E700CA"/>
    <w:rsid w:val="00E70356"/>
    <w:rsid w:val="00E70A1D"/>
    <w:rsid w:val="00E72312"/>
    <w:rsid w:val="00E72ED3"/>
    <w:rsid w:val="00E73245"/>
    <w:rsid w:val="00E73316"/>
    <w:rsid w:val="00E74930"/>
    <w:rsid w:val="00E74AD0"/>
    <w:rsid w:val="00E75B34"/>
    <w:rsid w:val="00E75E9A"/>
    <w:rsid w:val="00E7662E"/>
    <w:rsid w:val="00E767F9"/>
    <w:rsid w:val="00E773A9"/>
    <w:rsid w:val="00E776A1"/>
    <w:rsid w:val="00E77883"/>
    <w:rsid w:val="00E8061B"/>
    <w:rsid w:val="00E80DCA"/>
    <w:rsid w:val="00E81B80"/>
    <w:rsid w:val="00E81E25"/>
    <w:rsid w:val="00E81E26"/>
    <w:rsid w:val="00E8224D"/>
    <w:rsid w:val="00E82545"/>
    <w:rsid w:val="00E8317F"/>
    <w:rsid w:val="00E8321B"/>
    <w:rsid w:val="00E83360"/>
    <w:rsid w:val="00E8399E"/>
    <w:rsid w:val="00E8410E"/>
    <w:rsid w:val="00E84334"/>
    <w:rsid w:val="00E84959"/>
    <w:rsid w:val="00E84971"/>
    <w:rsid w:val="00E84BF0"/>
    <w:rsid w:val="00E84C97"/>
    <w:rsid w:val="00E84D9B"/>
    <w:rsid w:val="00E84EFC"/>
    <w:rsid w:val="00E858EF"/>
    <w:rsid w:val="00E85919"/>
    <w:rsid w:val="00E86390"/>
    <w:rsid w:val="00E86F81"/>
    <w:rsid w:val="00E872A5"/>
    <w:rsid w:val="00E87512"/>
    <w:rsid w:val="00E87E4E"/>
    <w:rsid w:val="00E902CA"/>
    <w:rsid w:val="00E903A3"/>
    <w:rsid w:val="00E90896"/>
    <w:rsid w:val="00E90A62"/>
    <w:rsid w:val="00E91355"/>
    <w:rsid w:val="00E918A0"/>
    <w:rsid w:val="00E918F0"/>
    <w:rsid w:val="00E91B9E"/>
    <w:rsid w:val="00E91F4A"/>
    <w:rsid w:val="00E924BF"/>
    <w:rsid w:val="00E929AB"/>
    <w:rsid w:val="00E92EF6"/>
    <w:rsid w:val="00E935AB"/>
    <w:rsid w:val="00E93654"/>
    <w:rsid w:val="00E938D3"/>
    <w:rsid w:val="00E93DF7"/>
    <w:rsid w:val="00E94105"/>
    <w:rsid w:val="00E944C4"/>
    <w:rsid w:val="00E9490A"/>
    <w:rsid w:val="00E94CEE"/>
    <w:rsid w:val="00E94DAA"/>
    <w:rsid w:val="00E95628"/>
    <w:rsid w:val="00E9563E"/>
    <w:rsid w:val="00E95CEA"/>
    <w:rsid w:val="00E96309"/>
    <w:rsid w:val="00E9713C"/>
    <w:rsid w:val="00E97C49"/>
    <w:rsid w:val="00EA05D7"/>
    <w:rsid w:val="00EA0BEE"/>
    <w:rsid w:val="00EA0DE5"/>
    <w:rsid w:val="00EA10D7"/>
    <w:rsid w:val="00EA12EB"/>
    <w:rsid w:val="00EA1425"/>
    <w:rsid w:val="00EA142F"/>
    <w:rsid w:val="00EA16FC"/>
    <w:rsid w:val="00EA1B4E"/>
    <w:rsid w:val="00EA2330"/>
    <w:rsid w:val="00EA2AC0"/>
    <w:rsid w:val="00EA2BC3"/>
    <w:rsid w:val="00EA2CEA"/>
    <w:rsid w:val="00EA45D7"/>
    <w:rsid w:val="00EA48CD"/>
    <w:rsid w:val="00EA4920"/>
    <w:rsid w:val="00EA4FFB"/>
    <w:rsid w:val="00EA5665"/>
    <w:rsid w:val="00EA592E"/>
    <w:rsid w:val="00EA5A11"/>
    <w:rsid w:val="00EA5C7B"/>
    <w:rsid w:val="00EA5D0A"/>
    <w:rsid w:val="00EA6A1A"/>
    <w:rsid w:val="00EA717A"/>
    <w:rsid w:val="00EA7CBB"/>
    <w:rsid w:val="00EB16D6"/>
    <w:rsid w:val="00EB1A70"/>
    <w:rsid w:val="00EB2351"/>
    <w:rsid w:val="00EB2355"/>
    <w:rsid w:val="00EB271C"/>
    <w:rsid w:val="00EB2E40"/>
    <w:rsid w:val="00EB3273"/>
    <w:rsid w:val="00EB35CD"/>
    <w:rsid w:val="00EB3F98"/>
    <w:rsid w:val="00EB4167"/>
    <w:rsid w:val="00EB42B6"/>
    <w:rsid w:val="00EB47B6"/>
    <w:rsid w:val="00EB4BF9"/>
    <w:rsid w:val="00EB5005"/>
    <w:rsid w:val="00EB5394"/>
    <w:rsid w:val="00EB551A"/>
    <w:rsid w:val="00EB5830"/>
    <w:rsid w:val="00EB5A57"/>
    <w:rsid w:val="00EB5EA0"/>
    <w:rsid w:val="00EB646D"/>
    <w:rsid w:val="00EB6553"/>
    <w:rsid w:val="00EB680F"/>
    <w:rsid w:val="00EB6881"/>
    <w:rsid w:val="00EB6CE7"/>
    <w:rsid w:val="00EB6E68"/>
    <w:rsid w:val="00EB6EDE"/>
    <w:rsid w:val="00EB7001"/>
    <w:rsid w:val="00EB7078"/>
    <w:rsid w:val="00EB7267"/>
    <w:rsid w:val="00EB7958"/>
    <w:rsid w:val="00EC0C34"/>
    <w:rsid w:val="00EC140B"/>
    <w:rsid w:val="00EC1A98"/>
    <w:rsid w:val="00EC1B09"/>
    <w:rsid w:val="00EC1D52"/>
    <w:rsid w:val="00EC2273"/>
    <w:rsid w:val="00EC3021"/>
    <w:rsid w:val="00EC3036"/>
    <w:rsid w:val="00EC3DCF"/>
    <w:rsid w:val="00EC41F6"/>
    <w:rsid w:val="00EC43A9"/>
    <w:rsid w:val="00EC4A28"/>
    <w:rsid w:val="00EC5563"/>
    <w:rsid w:val="00EC687D"/>
    <w:rsid w:val="00EC7413"/>
    <w:rsid w:val="00EC754B"/>
    <w:rsid w:val="00EC754D"/>
    <w:rsid w:val="00EC7701"/>
    <w:rsid w:val="00EC7B5F"/>
    <w:rsid w:val="00ED0558"/>
    <w:rsid w:val="00ED0B3D"/>
    <w:rsid w:val="00ED0C27"/>
    <w:rsid w:val="00ED11DF"/>
    <w:rsid w:val="00ED13DF"/>
    <w:rsid w:val="00ED1B55"/>
    <w:rsid w:val="00ED1E6F"/>
    <w:rsid w:val="00ED1FD8"/>
    <w:rsid w:val="00ED219B"/>
    <w:rsid w:val="00ED2DEE"/>
    <w:rsid w:val="00ED3042"/>
    <w:rsid w:val="00ED3427"/>
    <w:rsid w:val="00ED3565"/>
    <w:rsid w:val="00ED4C96"/>
    <w:rsid w:val="00ED5089"/>
    <w:rsid w:val="00ED509E"/>
    <w:rsid w:val="00ED519A"/>
    <w:rsid w:val="00ED5830"/>
    <w:rsid w:val="00ED5C80"/>
    <w:rsid w:val="00ED5FC5"/>
    <w:rsid w:val="00ED6011"/>
    <w:rsid w:val="00ED647C"/>
    <w:rsid w:val="00ED6604"/>
    <w:rsid w:val="00ED6B08"/>
    <w:rsid w:val="00ED7605"/>
    <w:rsid w:val="00ED7F59"/>
    <w:rsid w:val="00EE0862"/>
    <w:rsid w:val="00EE087D"/>
    <w:rsid w:val="00EE08B8"/>
    <w:rsid w:val="00EE0D49"/>
    <w:rsid w:val="00EE0F8F"/>
    <w:rsid w:val="00EE1293"/>
    <w:rsid w:val="00EE16B0"/>
    <w:rsid w:val="00EE235D"/>
    <w:rsid w:val="00EE2AA1"/>
    <w:rsid w:val="00EE2E09"/>
    <w:rsid w:val="00EE3594"/>
    <w:rsid w:val="00EE3CC9"/>
    <w:rsid w:val="00EE3CE6"/>
    <w:rsid w:val="00EE48C1"/>
    <w:rsid w:val="00EE516C"/>
    <w:rsid w:val="00EE5442"/>
    <w:rsid w:val="00EE5728"/>
    <w:rsid w:val="00EE5D74"/>
    <w:rsid w:val="00EE6D97"/>
    <w:rsid w:val="00EE6F05"/>
    <w:rsid w:val="00EE6F52"/>
    <w:rsid w:val="00EE7500"/>
    <w:rsid w:val="00EE758E"/>
    <w:rsid w:val="00EE79ED"/>
    <w:rsid w:val="00EF027C"/>
    <w:rsid w:val="00EF0B5E"/>
    <w:rsid w:val="00EF12C7"/>
    <w:rsid w:val="00EF3040"/>
    <w:rsid w:val="00EF33EE"/>
    <w:rsid w:val="00EF37E8"/>
    <w:rsid w:val="00EF3805"/>
    <w:rsid w:val="00EF3A02"/>
    <w:rsid w:val="00EF3A2F"/>
    <w:rsid w:val="00EF3A8C"/>
    <w:rsid w:val="00EF3D97"/>
    <w:rsid w:val="00EF444B"/>
    <w:rsid w:val="00EF4576"/>
    <w:rsid w:val="00EF499C"/>
    <w:rsid w:val="00EF4B2B"/>
    <w:rsid w:val="00EF5034"/>
    <w:rsid w:val="00EF5763"/>
    <w:rsid w:val="00EF5A95"/>
    <w:rsid w:val="00EF601E"/>
    <w:rsid w:val="00EF6184"/>
    <w:rsid w:val="00EF638E"/>
    <w:rsid w:val="00EF63E7"/>
    <w:rsid w:val="00EF7787"/>
    <w:rsid w:val="00EF7A96"/>
    <w:rsid w:val="00F004CE"/>
    <w:rsid w:val="00F004F5"/>
    <w:rsid w:val="00F00742"/>
    <w:rsid w:val="00F00795"/>
    <w:rsid w:val="00F00B5A"/>
    <w:rsid w:val="00F0122E"/>
    <w:rsid w:val="00F01573"/>
    <w:rsid w:val="00F01D76"/>
    <w:rsid w:val="00F01F93"/>
    <w:rsid w:val="00F02548"/>
    <w:rsid w:val="00F0339C"/>
    <w:rsid w:val="00F038E3"/>
    <w:rsid w:val="00F039D7"/>
    <w:rsid w:val="00F03F3C"/>
    <w:rsid w:val="00F05645"/>
    <w:rsid w:val="00F05AFA"/>
    <w:rsid w:val="00F06BCA"/>
    <w:rsid w:val="00F06E42"/>
    <w:rsid w:val="00F070F6"/>
    <w:rsid w:val="00F07985"/>
    <w:rsid w:val="00F07FC5"/>
    <w:rsid w:val="00F106C7"/>
    <w:rsid w:val="00F10EFB"/>
    <w:rsid w:val="00F10FFD"/>
    <w:rsid w:val="00F12417"/>
    <w:rsid w:val="00F1285E"/>
    <w:rsid w:val="00F12BB5"/>
    <w:rsid w:val="00F1321E"/>
    <w:rsid w:val="00F1351D"/>
    <w:rsid w:val="00F13DA3"/>
    <w:rsid w:val="00F13F0A"/>
    <w:rsid w:val="00F1483F"/>
    <w:rsid w:val="00F15BDF"/>
    <w:rsid w:val="00F16134"/>
    <w:rsid w:val="00F1627A"/>
    <w:rsid w:val="00F166CA"/>
    <w:rsid w:val="00F169BC"/>
    <w:rsid w:val="00F16AD3"/>
    <w:rsid w:val="00F17563"/>
    <w:rsid w:val="00F17955"/>
    <w:rsid w:val="00F17CCD"/>
    <w:rsid w:val="00F17F29"/>
    <w:rsid w:val="00F20C9D"/>
    <w:rsid w:val="00F20E00"/>
    <w:rsid w:val="00F212FD"/>
    <w:rsid w:val="00F2159D"/>
    <w:rsid w:val="00F21D2B"/>
    <w:rsid w:val="00F21E77"/>
    <w:rsid w:val="00F22427"/>
    <w:rsid w:val="00F22479"/>
    <w:rsid w:val="00F227DB"/>
    <w:rsid w:val="00F22879"/>
    <w:rsid w:val="00F22EB8"/>
    <w:rsid w:val="00F23077"/>
    <w:rsid w:val="00F23910"/>
    <w:rsid w:val="00F23A90"/>
    <w:rsid w:val="00F23E57"/>
    <w:rsid w:val="00F240B2"/>
    <w:rsid w:val="00F24B04"/>
    <w:rsid w:val="00F24D5F"/>
    <w:rsid w:val="00F25001"/>
    <w:rsid w:val="00F252E2"/>
    <w:rsid w:val="00F259E0"/>
    <w:rsid w:val="00F2635B"/>
    <w:rsid w:val="00F26799"/>
    <w:rsid w:val="00F267BA"/>
    <w:rsid w:val="00F26981"/>
    <w:rsid w:val="00F269D1"/>
    <w:rsid w:val="00F26B51"/>
    <w:rsid w:val="00F26EA8"/>
    <w:rsid w:val="00F26FB7"/>
    <w:rsid w:val="00F26FC9"/>
    <w:rsid w:val="00F27B55"/>
    <w:rsid w:val="00F30451"/>
    <w:rsid w:val="00F30AD4"/>
    <w:rsid w:val="00F30F42"/>
    <w:rsid w:val="00F31086"/>
    <w:rsid w:val="00F319B4"/>
    <w:rsid w:val="00F31B9E"/>
    <w:rsid w:val="00F325F7"/>
    <w:rsid w:val="00F3269E"/>
    <w:rsid w:val="00F32840"/>
    <w:rsid w:val="00F334D2"/>
    <w:rsid w:val="00F34280"/>
    <w:rsid w:val="00F34337"/>
    <w:rsid w:val="00F34446"/>
    <w:rsid w:val="00F34863"/>
    <w:rsid w:val="00F34ECA"/>
    <w:rsid w:val="00F35091"/>
    <w:rsid w:val="00F35986"/>
    <w:rsid w:val="00F35DB2"/>
    <w:rsid w:val="00F36816"/>
    <w:rsid w:val="00F369A3"/>
    <w:rsid w:val="00F36B8E"/>
    <w:rsid w:val="00F37C9D"/>
    <w:rsid w:val="00F40E36"/>
    <w:rsid w:val="00F410D5"/>
    <w:rsid w:val="00F411D0"/>
    <w:rsid w:val="00F4145E"/>
    <w:rsid w:val="00F41A5C"/>
    <w:rsid w:val="00F42656"/>
    <w:rsid w:val="00F42BD5"/>
    <w:rsid w:val="00F42D6B"/>
    <w:rsid w:val="00F4307A"/>
    <w:rsid w:val="00F4335A"/>
    <w:rsid w:val="00F434C3"/>
    <w:rsid w:val="00F436F5"/>
    <w:rsid w:val="00F43FCD"/>
    <w:rsid w:val="00F44296"/>
    <w:rsid w:val="00F44665"/>
    <w:rsid w:val="00F44C26"/>
    <w:rsid w:val="00F451AC"/>
    <w:rsid w:val="00F453A0"/>
    <w:rsid w:val="00F4598C"/>
    <w:rsid w:val="00F45B01"/>
    <w:rsid w:val="00F46096"/>
    <w:rsid w:val="00F46192"/>
    <w:rsid w:val="00F465E0"/>
    <w:rsid w:val="00F4685A"/>
    <w:rsid w:val="00F46B23"/>
    <w:rsid w:val="00F477F4"/>
    <w:rsid w:val="00F47C9C"/>
    <w:rsid w:val="00F5014E"/>
    <w:rsid w:val="00F51296"/>
    <w:rsid w:val="00F5176C"/>
    <w:rsid w:val="00F51960"/>
    <w:rsid w:val="00F5223A"/>
    <w:rsid w:val="00F52ABA"/>
    <w:rsid w:val="00F52B98"/>
    <w:rsid w:val="00F537F0"/>
    <w:rsid w:val="00F53E95"/>
    <w:rsid w:val="00F544B6"/>
    <w:rsid w:val="00F5454F"/>
    <w:rsid w:val="00F54982"/>
    <w:rsid w:val="00F5521F"/>
    <w:rsid w:val="00F558B7"/>
    <w:rsid w:val="00F55A52"/>
    <w:rsid w:val="00F55FDD"/>
    <w:rsid w:val="00F567D6"/>
    <w:rsid w:val="00F5750F"/>
    <w:rsid w:val="00F57B0C"/>
    <w:rsid w:val="00F57D86"/>
    <w:rsid w:val="00F603CC"/>
    <w:rsid w:val="00F6099E"/>
    <w:rsid w:val="00F60E38"/>
    <w:rsid w:val="00F61D55"/>
    <w:rsid w:val="00F62322"/>
    <w:rsid w:val="00F6350D"/>
    <w:rsid w:val="00F63937"/>
    <w:rsid w:val="00F63A46"/>
    <w:rsid w:val="00F63BAB"/>
    <w:rsid w:val="00F64196"/>
    <w:rsid w:val="00F6475A"/>
    <w:rsid w:val="00F64783"/>
    <w:rsid w:val="00F65075"/>
    <w:rsid w:val="00F656DF"/>
    <w:rsid w:val="00F65720"/>
    <w:rsid w:val="00F65A24"/>
    <w:rsid w:val="00F65E0C"/>
    <w:rsid w:val="00F65E8D"/>
    <w:rsid w:val="00F661E0"/>
    <w:rsid w:val="00F66677"/>
    <w:rsid w:val="00F667AC"/>
    <w:rsid w:val="00F66C16"/>
    <w:rsid w:val="00F66C4F"/>
    <w:rsid w:val="00F67112"/>
    <w:rsid w:val="00F6725D"/>
    <w:rsid w:val="00F7131D"/>
    <w:rsid w:val="00F71444"/>
    <w:rsid w:val="00F71531"/>
    <w:rsid w:val="00F718AE"/>
    <w:rsid w:val="00F71C9C"/>
    <w:rsid w:val="00F71E8A"/>
    <w:rsid w:val="00F720DD"/>
    <w:rsid w:val="00F721F2"/>
    <w:rsid w:val="00F7248F"/>
    <w:rsid w:val="00F728E8"/>
    <w:rsid w:val="00F72C8D"/>
    <w:rsid w:val="00F73464"/>
    <w:rsid w:val="00F735DC"/>
    <w:rsid w:val="00F73B2C"/>
    <w:rsid w:val="00F73CCE"/>
    <w:rsid w:val="00F74DBA"/>
    <w:rsid w:val="00F752A9"/>
    <w:rsid w:val="00F7536B"/>
    <w:rsid w:val="00F75459"/>
    <w:rsid w:val="00F75639"/>
    <w:rsid w:val="00F75D42"/>
    <w:rsid w:val="00F7651E"/>
    <w:rsid w:val="00F775F6"/>
    <w:rsid w:val="00F77FC6"/>
    <w:rsid w:val="00F803F2"/>
    <w:rsid w:val="00F80DFC"/>
    <w:rsid w:val="00F81481"/>
    <w:rsid w:val="00F8197B"/>
    <w:rsid w:val="00F819D3"/>
    <w:rsid w:val="00F8219B"/>
    <w:rsid w:val="00F82318"/>
    <w:rsid w:val="00F8282F"/>
    <w:rsid w:val="00F82C37"/>
    <w:rsid w:val="00F82E50"/>
    <w:rsid w:val="00F8308B"/>
    <w:rsid w:val="00F830AB"/>
    <w:rsid w:val="00F8354B"/>
    <w:rsid w:val="00F83AE5"/>
    <w:rsid w:val="00F83B16"/>
    <w:rsid w:val="00F84919"/>
    <w:rsid w:val="00F849C2"/>
    <w:rsid w:val="00F84D21"/>
    <w:rsid w:val="00F84F6D"/>
    <w:rsid w:val="00F85868"/>
    <w:rsid w:val="00F85F17"/>
    <w:rsid w:val="00F86757"/>
    <w:rsid w:val="00F87BAD"/>
    <w:rsid w:val="00F9080B"/>
    <w:rsid w:val="00F90902"/>
    <w:rsid w:val="00F90952"/>
    <w:rsid w:val="00F90AA6"/>
    <w:rsid w:val="00F9133A"/>
    <w:rsid w:val="00F91E72"/>
    <w:rsid w:val="00F930EB"/>
    <w:rsid w:val="00F931F7"/>
    <w:rsid w:val="00F9332E"/>
    <w:rsid w:val="00F9349B"/>
    <w:rsid w:val="00F93D84"/>
    <w:rsid w:val="00F947EF"/>
    <w:rsid w:val="00F94B08"/>
    <w:rsid w:val="00F95213"/>
    <w:rsid w:val="00F960C3"/>
    <w:rsid w:val="00F963BB"/>
    <w:rsid w:val="00F96502"/>
    <w:rsid w:val="00F96FEB"/>
    <w:rsid w:val="00F970D3"/>
    <w:rsid w:val="00F97543"/>
    <w:rsid w:val="00F97C11"/>
    <w:rsid w:val="00FA0067"/>
    <w:rsid w:val="00FA017A"/>
    <w:rsid w:val="00FA05F2"/>
    <w:rsid w:val="00FA0810"/>
    <w:rsid w:val="00FA1803"/>
    <w:rsid w:val="00FA1B30"/>
    <w:rsid w:val="00FA1B9B"/>
    <w:rsid w:val="00FA1DDC"/>
    <w:rsid w:val="00FA2248"/>
    <w:rsid w:val="00FA2977"/>
    <w:rsid w:val="00FA34E9"/>
    <w:rsid w:val="00FA354F"/>
    <w:rsid w:val="00FA39CC"/>
    <w:rsid w:val="00FA3F26"/>
    <w:rsid w:val="00FA4AF7"/>
    <w:rsid w:val="00FA4F63"/>
    <w:rsid w:val="00FA538D"/>
    <w:rsid w:val="00FA5E09"/>
    <w:rsid w:val="00FA6124"/>
    <w:rsid w:val="00FA61F8"/>
    <w:rsid w:val="00FA6B61"/>
    <w:rsid w:val="00FA73AD"/>
    <w:rsid w:val="00FA7904"/>
    <w:rsid w:val="00FA7E85"/>
    <w:rsid w:val="00FB21E8"/>
    <w:rsid w:val="00FB233C"/>
    <w:rsid w:val="00FB28DC"/>
    <w:rsid w:val="00FB3355"/>
    <w:rsid w:val="00FB3416"/>
    <w:rsid w:val="00FB365B"/>
    <w:rsid w:val="00FB380C"/>
    <w:rsid w:val="00FB3F12"/>
    <w:rsid w:val="00FB4CB8"/>
    <w:rsid w:val="00FB5D9A"/>
    <w:rsid w:val="00FB5F8D"/>
    <w:rsid w:val="00FB61DC"/>
    <w:rsid w:val="00FB62D6"/>
    <w:rsid w:val="00FB62E8"/>
    <w:rsid w:val="00FC0463"/>
    <w:rsid w:val="00FC0846"/>
    <w:rsid w:val="00FC1543"/>
    <w:rsid w:val="00FC1739"/>
    <w:rsid w:val="00FC1843"/>
    <w:rsid w:val="00FC1A83"/>
    <w:rsid w:val="00FC23BC"/>
    <w:rsid w:val="00FC27EE"/>
    <w:rsid w:val="00FC28E5"/>
    <w:rsid w:val="00FC2DB5"/>
    <w:rsid w:val="00FC2DB7"/>
    <w:rsid w:val="00FC30E8"/>
    <w:rsid w:val="00FC3295"/>
    <w:rsid w:val="00FC36D2"/>
    <w:rsid w:val="00FC3F82"/>
    <w:rsid w:val="00FC42D8"/>
    <w:rsid w:val="00FC460E"/>
    <w:rsid w:val="00FC4BD4"/>
    <w:rsid w:val="00FC5151"/>
    <w:rsid w:val="00FC597C"/>
    <w:rsid w:val="00FC5BB1"/>
    <w:rsid w:val="00FC5E0D"/>
    <w:rsid w:val="00FC6F53"/>
    <w:rsid w:val="00FD01FB"/>
    <w:rsid w:val="00FD0292"/>
    <w:rsid w:val="00FD0456"/>
    <w:rsid w:val="00FD1221"/>
    <w:rsid w:val="00FD1898"/>
    <w:rsid w:val="00FD1C62"/>
    <w:rsid w:val="00FD23CC"/>
    <w:rsid w:val="00FD251C"/>
    <w:rsid w:val="00FD261E"/>
    <w:rsid w:val="00FD262C"/>
    <w:rsid w:val="00FD4030"/>
    <w:rsid w:val="00FD42EB"/>
    <w:rsid w:val="00FD4419"/>
    <w:rsid w:val="00FD44AE"/>
    <w:rsid w:val="00FD4730"/>
    <w:rsid w:val="00FD562D"/>
    <w:rsid w:val="00FD6630"/>
    <w:rsid w:val="00FD6748"/>
    <w:rsid w:val="00FD786B"/>
    <w:rsid w:val="00FD7D12"/>
    <w:rsid w:val="00FD7FEB"/>
    <w:rsid w:val="00FE0237"/>
    <w:rsid w:val="00FE0366"/>
    <w:rsid w:val="00FE0D4B"/>
    <w:rsid w:val="00FE23C3"/>
    <w:rsid w:val="00FE2AD2"/>
    <w:rsid w:val="00FE2D7E"/>
    <w:rsid w:val="00FE30BD"/>
    <w:rsid w:val="00FE30D3"/>
    <w:rsid w:val="00FE3518"/>
    <w:rsid w:val="00FE3B8D"/>
    <w:rsid w:val="00FE3EB4"/>
    <w:rsid w:val="00FE41E2"/>
    <w:rsid w:val="00FE4415"/>
    <w:rsid w:val="00FE5322"/>
    <w:rsid w:val="00FE570F"/>
    <w:rsid w:val="00FE5D56"/>
    <w:rsid w:val="00FE70DF"/>
    <w:rsid w:val="00FE7F73"/>
    <w:rsid w:val="00FF0200"/>
    <w:rsid w:val="00FF0584"/>
    <w:rsid w:val="00FF07DD"/>
    <w:rsid w:val="00FF0881"/>
    <w:rsid w:val="00FF0D6E"/>
    <w:rsid w:val="00FF1555"/>
    <w:rsid w:val="00FF1DF0"/>
    <w:rsid w:val="00FF2CD0"/>
    <w:rsid w:val="00FF31CE"/>
    <w:rsid w:val="00FF351A"/>
    <w:rsid w:val="00FF3B98"/>
    <w:rsid w:val="00FF3E29"/>
    <w:rsid w:val="00FF40C2"/>
    <w:rsid w:val="00FF427B"/>
    <w:rsid w:val="00FF4A3B"/>
    <w:rsid w:val="00FF5222"/>
    <w:rsid w:val="00FF5458"/>
    <w:rsid w:val="00FF5553"/>
    <w:rsid w:val="00FF5CA6"/>
    <w:rsid w:val="00FF5DE9"/>
    <w:rsid w:val="00FF6D8F"/>
    <w:rsid w:val="00FF7364"/>
    <w:rsid w:val="00FF77A0"/>
    <w:rsid w:val="00FF7AE0"/>
    <w:rsid w:val="00FF7D6A"/>
    <w:rsid w:val="010BFD57"/>
    <w:rsid w:val="014BFE1A"/>
    <w:rsid w:val="015F35EE"/>
    <w:rsid w:val="018DC64F"/>
    <w:rsid w:val="01978C9F"/>
    <w:rsid w:val="01CC351B"/>
    <w:rsid w:val="01F2D043"/>
    <w:rsid w:val="02978464"/>
    <w:rsid w:val="02CB4561"/>
    <w:rsid w:val="02F2DB59"/>
    <w:rsid w:val="0351D6AD"/>
    <w:rsid w:val="03682C3C"/>
    <w:rsid w:val="036B6C90"/>
    <w:rsid w:val="0370AC7E"/>
    <w:rsid w:val="038183D4"/>
    <w:rsid w:val="03AD5D9E"/>
    <w:rsid w:val="04912563"/>
    <w:rsid w:val="04ACFBDA"/>
    <w:rsid w:val="04BC2947"/>
    <w:rsid w:val="04D78EF5"/>
    <w:rsid w:val="0516B0F6"/>
    <w:rsid w:val="056A4E3A"/>
    <w:rsid w:val="056F32D5"/>
    <w:rsid w:val="05805B8E"/>
    <w:rsid w:val="0584A1A9"/>
    <w:rsid w:val="0585EA6D"/>
    <w:rsid w:val="058CDFF1"/>
    <w:rsid w:val="058D6123"/>
    <w:rsid w:val="05EB8825"/>
    <w:rsid w:val="0688861C"/>
    <w:rsid w:val="06B23638"/>
    <w:rsid w:val="06F7BDB1"/>
    <w:rsid w:val="073F9C8C"/>
    <w:rsid w:val="0754CFD3"/>
    <w:rsid w:val="07B855FB"/>
    <w:rsid w:val="07DF4E28"/>
    <w:rsid w:val="07F7AD51"/>
    <w:rsid w:val="08084976"/>
    <w:rsid w:val="080B7717"/>
    <w:rsid w:val="08884098"/>
    <w:rsid w:val="08DF3B1A"/>
    <w:rsid w:val="0919C544"/>
    <w:rsid w:val="09217549"/>
    <w:rsid w:val="096C86EA"/>
    <w:rsid w:val="09F663CF"/>
    <w:rsid w:val="0A0DE3B5"/>
    <w:rsid w:val="0A2410F9"/>
    <w:rsid w:val="0A8B6EFF"/>
    <w:rsid w:val="0B4EEDBD"/>
    <w:rsid w:val="0BCE9BFF"/>
    <w:rsid w:val="0BE4D6FF"/>
    <w:rsid w:val="0BEBA11D"/>
    <w:rsid w:val="0BF4EACD"/>
    <w:rsid w:val="0C3E1A93"/>
    <w:rsid w:val="0CF71BB3"/>
    <w:rsid w:val="0D51801B"/>
    <w:rsid w:val="0DAC00F1"/>
    <w:rsid w:val="0E2119DD"/>
    <w:rsid w:val="0E3AA410"/>
    <w:rsid w:val="0E3AE063"/>
    <w:rsid w:val="0E49E618"/>
    <w:rsid w:val="0E71F9AF"/>
    <w:rsid w:val="0E91EAB6"/>
    <w:rsid w:val="0E9968BE"/>
    <w:rsid w:val="0F05846C"/>
    <w:rsid w:val="0F327FEC"/>
    <w:rsid w:val="0F9BD0E4"/>
    <w:rsid w:val="0FB33D53"/>
    <w:rsid w:val="0FCB001E"/>
    <w:rsid w:val="0FD3BDDE"/>
    <w:rsid w:val="0FE2A4F0"/>
    <w:rsid w:val="10122192"/>
    <w:rsid w:val="108E1F99"/>
    <w:rsid w:val="1128A307"/>
    <w:rsid w:val="11A71975"/>
    <w:rsid w:val="11B0D0CA"/>
    <w:rsid w:val="11CD986B"/>
    <w:rsid w:val="11D6F588"/>
    <w:rsid w:val="1201BE61"/>
    <w:rsid w:val="124B229E"/>
    <w:rsid w:val="12523A9C"/>
    <w:rsid w:val="129ABBA7"/>
    <w:rsid w:val="133FE373"/>
    <w:rsid w:val="13A17CD7"/>
    <w:rsid w:val="13DFB729"/>
    <w:rsid w:val="13E19BF1"/>
    <w:rsid w:val="13FD1DB0"/>
    <w:rsid w:val="1439E566"/>
    <w:rsid w:val="144F5FE6"/>
    <w:rsid w:val="1477FC6C"/>
    <w:rsid w:val="1494D6E1"/>
    <w:rsid w:val="14A6D8C4"/>
    <w:rsid w:val="14E33EF2"/>
    <w:rsid w:val="14FF197D"/>
    <w:rsid w:val="1527DCD3"/>
    <w:rsid w:val="152E0E55"/>
    <w:rsid w:val="156A88E2"/>
    <w:rsid w:val="156BA2DA"/>
    <w:rsid w:val="1589DB5E"/>
    <w:rsid w:val="161532EA"/>
    <w:rsid w:val="163DEBD5"/>
    <w:rsid w:val="163F18A3"/>
    <w:rsid w:val="168BAE6E"/>
    <w:rsid w:val="1694C098"/>
    <w:rsid w:val="16FC0B6E"/>
    <w:rsid w:val="17304990"/>
    <w:rsid w:val="17915380"/>
    <w:rsid w:val="17974A32"/>
    <w:rsid w:val="17B4A5D4"/>
    <w:rsid w:val="17C33048"/>
    <w:rsid w:val="187B8CFB"/>
    <w:rsid w:val="188A6917"/>
    <w:rsid w:val="18E7FE7C"/>
    <w:rsid w:val="190F5E75"/>
    <w:rsid w:val="194AF8C8"/>
    <w:rsid w:val="19B1DECA"/>
    <w:rsid w:val="19B91F6D"/>
    <w:rsid w:val="19C9833A"/>
    <w:rsid w:val="1A15EB76"/>
    <w:rsid w:val="1A18A684"/>
    <w:rsid w:val="1A198024"/>
    <w:rsid w:val="1A802F98"/>
    <w:rsid w:val="1A86D8CE"/>
    <w:rsid w:val="1A9992C7"/>
    <w:rsid w:val="1B1B84AB"/>
    <w:rsid w:val="1B6EB673"/>
    <w:rsid w:val="1B6F2C67"/>
    <w:rsid w:val="1B73CE68"/>
    <w:rsid w:val="1B75919A"/>
    <w:rsid w:val="1BD60810"/>
    <w:rsid w:val="1BEFDCBC"/>
    <w:rsid w:val="1C0942F9"/>
    <w:rsid w:val="1C4AC7DA"/>
    <w:rsid w:val="1C640188"/>
    <w:rsid w:val="1C6EFF37"/>
    <w:rsid w:val="1C82B224"/>
    <w:rsid w:val="1C9BBBFA"/>
    <w:rsid w:val="1CB1CE90"/>
    <w:rsid w:val="1CE436F8"/>
    <w:rsid w:val="1CEC7417"/>
    <w:rsid w:val="1D036BC6"/>
    <w:rsid w:val="1D08F5F1"/>
    <w:rsid w:val="1D2386FA"/>
    <w:rsid w:val="1D366E74"/>
    <w:rsid w:val="1D46D0D8"/>
    <w:rsid w:val="1D4C2704"/>
    <w:rsid w:val="1D640675"/>
    <w:rsid w:val="1D898AA0"/>
    <w:rsid w:val="1D96C63F"/>
    <w:rsid w:val="1DBC53FD"/>
    <w:rsid w:val="1DDAEAF5"/>
    <w:rsid w:val="1DFBC8A4"/>
    <w:rsid w:val="1E622924"/>
    <w:rsid w:val="1EA5413B"/>
    <w:rsid w:val="1EB5E0EC"/>
    <w:rsid w:val="1EE95996"/>
    <w:rsid w:val="1F11D0F5"/>
    <w:rsid w:val="1F6E7D5D"/>
    <w:rsid w:val="1FA1204A"/>
    <w:rsid w:val="1FC24E42"/>
    <w:rsid w:val="1FC9C480"/>
    <w:rsid w:val="1FD32168"/>
    <w:rsid w:val="1FDFE412"/>
    <w:rsid w:val="1FE8407C"/>
    <w:rsid w:val="1FFB97C4"/>
    <w:rsid w:val="1FFD4B3E"/>
    <w:rsid w:val="201C98A5"/>
    <w:rsid w:val="2027F285"/>
    <w:rsid w:val="203367D3"/>
    <w:rsid w:val="20418CDB"/>
    <w:rsid w:val="2077C6A8"/>
    <w:rsid w:val="2079B80B"/>
    <w:rsid w:val="214B514C"/>
    <w:rsid w:val="214FB97F"/>
    <w:rsid w:val="21A7BFB3"/>
    <w:rsid w:val="21DDF0A6"/>
    <w:rsid w:val="21EB954F"/>
    <w:rsid w:val="21FBCF75"/>
    <w:rsid w:val="2227D91A"/>
    <w:rsid w:val="22704BEC"/>
    <w:rsid w:val="22996840"/>
    <w:rsid w:val="22BA34A5"/>
    <w:rsid w:val="22ED10E6"/>
    <w:rsid w:val="232A1275"/>
    <w:rsid w:val="235BDF4C"/>
    <w:rsid w:val="2394B921"/>
    <w:rsid w:val="23D6A48A"/>
    <w:rsid w:val="24589B9B"/>
    <w:rsid w:val="245DF12B"/>
    <w:rsid w:val="2480C08E"/>
    <w:rsid w:val="2495C8E0"/>
    <w:rsid w:val="24DE8EC5"/>
    <w:rsid w:val="251A08AC"/>
    <w:rsid w:val="257DB37A"/>
    <w:rsid w:val="25948AF1"/>
    <w:rsid w:val="2599AB58"/>
    <w:rsid w:val="25C2746A"/>
    <w:rsid w:val="260C5AD3"/>
    <w:rsid w:val="268A0435"/>
    <w:rsid w:val="268BA7B9"/>
    <w:rsid w:val="2702B26A"/>
    <w:rsid w:val="27698DAC"/>
    <w:rsid w:val="28520DAC"/>
    <w:rsid w:val="28D2DCEB"/>
    <w:rsid w:val="28EC306A"/>
    <w:rsid w:val="28F054F5"/>
    <w:rsid w:val="290D8B01"/>
    <w:rsid w:val="2928223A"/>
    <w:rsid w:val="295EF4AC"/>
    <w:rsid w:val="297EAAC4"/>
    <w:rsid w:val="298B263D"/>
    <w:rsid w:val="29B94F63"/>
    <w:rsid w:val="29E8B7E2"/>
    <w:rsid w:val="2A251FD0"/>
    <w:rsid w:val="2A300B2C"/>
    <w:rsid w:val="2A33804D"/>
    <w:rsid w:val="2A5D3CE9"/>
    <w:rsid w:val="2A85E019"/>
    <w:rsid w:val="2AA59329"/>
    <w:rsid w:val="2B3DB3F1"/>
    <w:rsid w:val="2B746444"/>
    <w:rsid w:val="2B95B014"/>
    <w:rsid w:val="2BC8A4B7"/>
    <w:rsid w:val="2BD91ED8"/>
    <w:rsid w:val="2C00DBEC"/>
    <w:rsid w:val="2C172E32"/>
    <w:rsid w:val="2C240871"/>
    <w:rsid w:val="2C8F9E93"/>
    <w:rsid w:val="2CE1C66B"/>
    <w:rsid w:val="2D047C64"/>
    <w:rsid w:val="2D1152FA"/>
    <w:rsid w:val="2D4A7636"/>
    <w:rsid w:val="2D890C5D"/>
    <w:rsid w:val="2DF47094"/>
    <w:rsid w:val="2E385AF2"/>
    <w:rsid w:val="2E435A4E"/>
    <w:rsid w:val="2E61AE10"/>
    <w:rsid w:val="2E6BA91B"/>
    <w:rsid w:val="2F1E233A"/>
    <w:rsid w:val="2F60AFA1"/>
    <w:rsid w:val="2F92CE55"/>
    <w:rsid w:val="2FA1E6BF"/>
    <w:rsid w:val="303F0C9D"/>
    <w:rsid w:val="30A3F51D"/>
    <w:rsid w:val="311A1AC8"/>
    <w:rsid w:val="31BEC72E"/>
    <w:rsid w:val="31F4E6B2"/>
    <w:rsid w:val="3235EBE7"/>
    <w:rsid w:val="325E261B"/>
    <w:rsid w:val="32736509"/>
    <w:rsid w:val="32C0FA55"/>
    <w:rsid w:val="32ED6497"/>
    <w:rsid w:val="32EE0117"/>
    <w:rsid w:val="333FD588"/>
    <w:rsid w:val="33647A0F"/>
    <w:rsid w:val="33F48C5D"/>
    <w:rsid w:val="341686D1"/>
    <w:rsid w:val="34271705"/>
    <w:rsid w:val="3461E513"/>
    <w:rsid w:val="3467ED9D"/>
    <w:rsid w:val="35080B94"/>
    <w:rsid w:val="3555FA52"/>
    <w:rsid w:val="3587B2C3"/>
    <w:rsid w:val="358F0E9B"/>
    <w:rsid w:val="36255DC8"/>
    <w:rsid w:val="3640D6C9"/>
    <w:rsid w:val="36AA6244"/>
    <w:rsid w:val="36C360ED"/>
    <w:rsid w:val="36C81C5D"/>
    <w:rsid w:val="37201B8F"/>
    <w:rsid w:val="37298E2B"/>
    <w:rsid w:val="373AD98B"/>
    <w:rsid w:val="37441052"/>
    <w:rsid w:val="376E3811"/>
    <w:rsid w:val="37930AF6"/>
    <w:rsid w:val="37935B5B"/>
    <w:rsid w:val="379EAE86"/>
    <w:rsid w:val="37CFFC9A"/>
    <w:rsid w:val="381C4C83"/>
    <w:rsid w:val="38518CF1"/>
    <w:rsid w:val="3860FA1D"/>
    <w:rsid w:val="38623C7E"/>
    <w:rsid w:val="38B320CC"/>
    <w:rsid w:val="38C3D562"/>
    <w:rsid w:val="39035D7D"/>
    <w:rsid w:val="39069DB7"/>
    <w:rsid w:val="391056A2"/>
    <w:rsid w:val="391FA838"/>
    <w:rsid w:val="3950F198"/>
    <w:rsid w:val="395C7013"/>
    <w:rsid w:val="3A1B5592"/>
    <w:rsid w:val="3A7809FE"/>
    <w:rsid w:val="3A8D7A9B"/>
    <w:rsid w:val="3AD5B73D"/>
    <w:rsid w:val="3AE2A168"/>
    <w:rsid w:val="3B12B31A"/>
    <w:rsid w:val="3B2CB9D6"/>
    <w:rsid w:val="3B9DBE6B"/>
    <w:rsid w:val="3BB8B89C"/>
    <w:rsid w:val="3C6C2C91"/>
    <w:rsid w:val="3CCEF24A"/>
    <w:rsid w:val="3CDF36C9"/>
    <w:rsid w:val="3CF61706"/>
    <w:rsid w:val="3D1332D1"/>
    <w:rsid w:val="3D455C20"/>
    <w:rsid w:val="3D4B9D01"/>
    <w:rsid w:val="3D5C9D7B"/>
    <w:rsid w:val="3D897F08"/>
    <w:rsid w:val="3D8FFCA3"/>
    <w:rsid w:val="3DA5F8BB"/>
    <w:rsid w:val="3DB7E786"/>
    <w:rsid w:val="3DFA383E"/>
    <w:rsid w:val="3E4B23BF"/>
    <w:rsid w:val="3E8CD2D7"/>
    <w:rsid w:val="3EC9580B"/>
    <w:rsid w:val="3F1425FF"/>
    <w:rsid w:val="3F53B7E7"/>
    <w:rsid w:val="3F6DBB60"/>
    <w:rsid w:val="3FC73028"/>
    <w:rsid w:val="40109066"/>
    <w:rsid w:val="4012BDE7"/>
    <w:rsid w:val="40280D9A"/>
    <w:rsid w:val="40D5F7C0"/>
    <w:rsid w:val="40EF8848"/>
    <w:rsid w:val="412613BB"/>
    <w:rsid w:val="412A7AB1"/>
    <w:rsid w:val="415CC020"/>
    <w:rsid w:val="41B1E7F5"/>
    <w:rsid w:val="41DB5DB5"/>
    <w:rsid w:val="42207F0E"/>
    <w:rsid w:val="422EA6BF"/>
    <w:rsid w:val="4234C94E"/>
    <w:rsid w:val="4278B97E"/>
    <w:rsid w:val="42FEA26B"/>
    <w:rsid w:val="430EBDAE"/>
    <w:rsid w:val="43379F38"/>
    <w:rsid w:val="43576BEB"/>
    <w:rsid w:val="435B22EA"/>
    <w:rsid w:val="43AEE41B"/>
    <w:rsid w:val="43E11328"/>
    <w:rsid w:val="44022D3A"/>
    <w:rsid w:val="441A85D1"/>
    <w:rsid w:val="4430B2EA"/>
    <w:rsid w:val="4431B38D"/>
    <w:rsid w:val="4472F3CD"/>
    <w:rsid w:val="447AF46B"/>
    <w:rsid w:val="4495118A"/>
    <w:rsid w:val="4507C105"/>
    <w:rsid w:val="450954AA"/>
    <w:rsid w:val="455951F6"/>
    <w:rsid w:val="457DDF5F"/>
    <w:rsid w:val="45923926"/>
    <w:rsid w:val="45C4323A"/>
    <w:rsid w:val="460608AE"/>
    <w:rsid w:val="460A2983"/>
    <w:rsid w:val="467468A1"/>
    <w:rsid w:val="468A882A"/>
    <w:rsid w:val="4698D858"/>
    <w:rsid w:val="46ADB4BC"/>
    <w:rsid w:val="46DC3108"/>
    <w:rsid w:val="47161D32"/>
    <w:rsid w:val="4726961E"/>
    <w:rsid w:val="47641A8E"/>
    <w:rsid w:val="476ED799"/>
    <w:rsid w:val="479FA31B"/>
    <w:rsid w:val="47A0FD48"/>
    <w:rsid w:val="47AFBEFD"/>
    <w:rsid w:val="47D6BE14"/>
    <w:rsid w:val="47E82685"/>
    <w:rsid w:val="483176DC"/>
    <w:rsid w:val="485CB84D"/>
    <w:rsid w:val="4865C4EB"/>
    <w:rsid w:val="48908336"/>
    <w:rsid w:val="489D4096"/>
    <w:rsid w:val="48A2EF38"/>
    <w:rsid w:val="48B8B85C"/>
    <w:rsid w:val="48BD994F"/>
    <w:rsid w:val="48F1D683"/>
    <w:rsid w:val="49049495"/>
    <w:rsid w:val="4959FEBD"/>
    <w:rsid w:val="49A14558"/>
    <w:rsid w:val="49BBED12"/>
    <w:rsid w:val="49C9CABB"/>
    <w:rsid w:val="4A4647B7"/>
    <w:rsid w:val="4A505C39"/>
    <w:rsid w:val="4A81D3D0"/>
    <w:rsid w:val="4A8682B6"/>
    <w:rsid w:val="4A8C0294"/>
    <w:rsid w:val="4AEF4F12"/>
    <w:rsid w:val="4B0F1BC4"/>
    <w:rsid w:val="4B41ADDD"/>
    <w:rsid w:val="4B426EA7"/>
    <w:rsid w:val="4BB18E6D"/>
    <w:rsid w:val="4BB76CC9"/>
    <w:rsid w:val="4BD3F198"/>
    <w:rsid w:val="4C301FD3"/>
    <w:rsid w:val="4C375792"/>
    <w:rsid w:val="4C5641F2"/>
    <w:rsid w:val="4CB1DB8A"/>
    <w:rsid w:val="4CC7F0A7"/>
    <w:rsid w:val="4CE66B0C"/>
    <w:rsid w:val="4D29890A"/>
    <w:rsid w:val="4D3ABD1A"/>
    <w:rsid w:val="4D57C853"/>
    <w:rsid w:val="4DF6B478"/>
    <w:rsid w:val="4E7998AF"/>
    <w:rsid w:val="4E9E9580"/>
    <w:rsid w:val="4EED6C39"/>
    <w:rsid w:val="4F147901"/>
    <w:rsid w:val="4F29A4E6"/>
    <w:rsid w:val="4F7B078F"/>
    <w:rsid w:val="4F884156"/>
    <w:rsid w:val="4FB2CAA9"/>
    <w:rsid w:val="4FD58A30"/>
    <w:rsid w:val="4FE113C0"/>
    <w:rsid w:val="4FE955C1"/>
    <w:rsid w:val="4FF3B8CC"/>
    <w:rsid w:val="500D156F"/>
    <w:rsid w:val="506C0226"/>
    <w:rsid w:val="507187E8"/>
    <w:rsid w:val="5078BA37"/>
    <w:rsid w:val="50C7DACB"/>
    <w:rsid w:val="510C09CB"/>
    <w:rsid w:val="51645B3A"/>
    <w:rsid w:val="51951B7A"/>
    <w:rsid w:val="51B3C405"/>
    <w:rsid w:val="51C2618C"/>
    <w:rsid w:val="51E47262"/>
    <w:rsid w:val="5202C14E"/>
    <w:rsid w:val="5258E876"/>
    <w:rsid w:val="52A0A6B2"/>
    <w:rsid w:val="52D26F59"/>
    <w:rsid w:val="52DD4464"/>
    <w:rsid w:val="52E134C9"/>
    <w:rsid w:val="534C9A5A"/>
    <w:rsid w:val="536A8FDF"/>
    <w:rsid w:val="541775C0"/>
    <w:rsid w:val="541EE432"/>
    <w:rsid w:val="5454ED46"/>
    <w:rsid w:val="54572655"/>
    <w:rsid w:val="548F0603"/>
    <w:rsid w:val="549C4317"/>
    <w:rsid w:val="54A1FDE8"/>
    <w:rsid w:val="54C139EB"/>
    <w:rsid w:val="54DCDCE5"/>
    <w:rsid w:val="54FF5CFA"/>
    <w:rsid w:val="5556FE31"/>
    <w:rsid w:val="55EE0077"/>
    <w:rsid w:val="55F4CB3E"/>
    <w:rsid w:val="563FBBD7"/>
    <w:rsid w:val="56771CDE"/>
    <w:rsid w:val="56796A60"/>
    <w:rsid w:val="568E9463"/>
    <w:rsid w:val="56BD2E34"/>
    <w:rsid w:val="56DF21E5"/>
    <w:rsid w:val="56FB37E2"/>
    <w:rsid w:val="57767601"/>
    <w:rsid w:val="577EFCFF"/>
    <w:rsid w:val="58269A15"/>
    <w:rsid w:val="583B9825"/>
    <w:rsid w:val="586D196D"/>
    <w:rsid w:val="591099D6"/>
    <w:rsid w:val="5945D5BE"/>
    <w:rsid w:val="5968CAA7"/>
    <w:rsid w:val="596A5276"/>
    <w:rsid w:val="599A8752"/>
    <w:rsid w:val="59C6159D"/>
    <w:rsid w:val="59E67747"/>
    <w:rsid w:val="5A12182F"/>
    <w:rsid w:val="5A4F062F"/>
    <w:rsid w:val="5A7DE8E0"/>
    <w:rsid w:val="5A8BD329"/>
    <w:rsid w:val="5ACDED76"/>
    <w:rsid w:val="5AFD53BD"/>
    <w:rsid w:val="5B0A2B97"/>
    <w:rsid w:val="5B56C619"/>
    <w:rsid w:val="5B6BD52B"/>
    <w:rsid w:val="5B844DC1"/>
    <w:rsid w:val="5B979D71"/>
    <w:rsid w:val="5BBE4B9B"/>
    <w:rsid w:val="5BC947E0"/>
    <w:rsid w:val="5BD9345B"/>
    <w:rsid w:val="5BE77015"/>
    <w:rsid w:val="5C1D1933"/>
    <w:rsid w:val="5D0184A0"/>
    <w:rsid w:val="5D2B4FA9"/>
    <w:rsid w:val="5DA1DA64"/>
    <w:rsid w:val="5DC0AF5F"/>
    <w:rsid w:val="5DDE7E20"/>
    <w:rsid w:val="5E06F016"/>
    <w:rsid w:val="5E262D7F"/>
    <w:rsid w:val="5E3E1A7E"/>
    <w:rsid w:val="5E45A700"/>
    <w:rsid w:val="5E53B0CC"/>
    <w:rsid w:val="5ECE88AD"/>
    <w:rsid w:val="5F233CA6"/>
    <w:rsid w:val="5F95848F"/>
    <w:rsid w:val="5FB5BFD6"/>
    <w:rsid w:val="5FCD138E"/>
    <w:rsid w:val="5FF02795"/>
    <w:rsid w:val="601705A7"/>
    <w:rsid w:val="602C2E04"/>
    <w:rsid w:val="603BA49B"/>
    <w:rsid w:val="605DFB8C"/>
    <w:rsid w:val="6068011E"/>
    <w:rsid w:val="60DC2D2B"/>
    <w:rsid w:val="611155B0"/>
    <w:rsid w:val="613162CD"/>
    <w:rsid w:val="613A69D6"/>
    <w:rsid w:val="61423657"/>
    <w:rsid w:val="61598E9F"/>
    <w:rsid w:val="61852A30"/>
    <w:rsid w:val="6199D24F"/>
    <w:rsid w:val="61F71178"/>
    <w:rsid w:val="621DBC4F"/>
    <w:rsid w:val="622A9D57"/>
    <w:rsid w:val="622E89DE"/>
    <w:rsid w:val="62856110"/>
    <w:rsid w:val="6296F8D9"/>
    <w:rsid w:val="629F1E71"/>
    <w:rsid w:val="62B33747"/>
    <w:rsid w:val="6306A513"/>
    <w:rsid w:val="6308B03C"/>
    <w:rsid w:val="6331D7F0"/>
    <w:rsid w:val="63326211"/>
    <w:rsid w:val="6356137F"/>
    <w:rsid w:val="63682961"/>
    <w:rsid w:val="638F8754"/>
    <w:rsid w:val="63B5A04F"/>
    <w:rsid w:val="63D666E3"/>
    <w:rsid w:val="63E80E0C"/>
    <w:rsid w:val="647BAFAA"/>
    <w:rsid w:val="647D866A"/>
    <w:rsid w:val="64829C86"/>
    <w:rsid w:val="655BC66F"/>
    <w:rsid w:val="659461CB"/>
    <w:rsid w:val="6599217E"/>
    <w:rsid w:val="65B86137"/>
    <w:rsid w:val="65DAEE62"/>
    <w:rsid w:val="6697D654"/>
    <w:rsid w:val="66DBBF25"/>
    <w:rsid w:val="67755330"/>
    <w:rsid w:val="67AF78EB"/>
    <w:rsid w:val="67B920BF"/>
    <w:rsid w:val="67BDE8CB"/>
    <w:rsid w:val="67C55487"/>
    <w:rsid w:val="681C5A6C"/>
    <w:rsid w:val="684700CE"/>
    <w:rsid w:val="6898DEFE"/>
    <w:rsid w:val="68CA1967"/>
    <w:rsid w:val="68CCFDDB"/>
    <w:rsid w:val="68D3C81F"/>
    <w:rsid w:val="68D4BAC6"/>
    <w:rsid w:val="68DF0C5A"/>
    <w:rsid w:val="68E55BA0"/>
    <w:rsid w:val="690905CE"/>
    <w:rsid w:val="690A262A"/>
    <w:rsid w:val="691A235F"/>
    <w:rsid w:val="692F6174"/>
    <w:rsid w:val="6957DFFF"/>
    <w:rsid w:val="6999768F"/>
    <w:rsid w:val="69A970C9"/>
    <w:rsid w:val="69D35EA7"/>
    <w:rsid w:val="69DB7AF3"/>
    <w:rsid w:val="69E79987"/>
    <w:rsid w:val="6A37F79F"/>
    <w:rsid w:val="6A77054C"/>
    <w:rsid w:val="6AE9AC95"/>
    <w:rsid w:val="6B7B47DD"/>
    <w:rsid w:val="6BBF2A76"/>
    <w:rsid w:val="6C54CF90"/>
    <w:rsid w:val="6CCA8325"/>
    <w:rsid w:val="6CE18A85"/>
    <w:rsid w:val="6CE4763E"/>
    <w:rsid w:val="6D0484D5"/>
    <w:rsid w:val="6D0A705C"/>
    <w:rsid w:val="6D159E41"/>
    <w:rsid w:val="6D95F9AB"/>
    <w:rsid w:val="6DB31C5D"/>
    <w:rsid w:val="6DC186EE"/>
    <w:rsid w:val="6DE1E638"/>
    <w:rsid w:val="6DEA0689"/>
    <w:rsid w:val="6E8A1D55"/>
    <w:rsid w:val="6EBD96C7"/>
    <w:rsid w:val="6EDFE264"/>
    <w:rsid w:val="6F0E7981"/>
    <w:rsid w:val="6F2867A9"/>
    <w:rsid w:val="6F9C38DC"/>
    <w:rsid w:val="6FC6F84E"/>
    <w:rsid w:val="6FCC7ECE"/>
    <w:rsid w:val="6FF5E970"/>
    <w:rsid w:val="70271069"/>
    <w:rsid w:val="70E4C4C0"/>
    <w:rsid w:val="71276C36"/>
    <w:rsid w:val="716B5608"/>
    <w:rsid w:val="717D4073"/>
    <w:rsid w:val="7196C69A"/>
    <w:rsid w:val="71AEC7DE"/>
    <w:rsid w:val="71D20D1A"/>
    <w:rsid w:val="71FFB4D1"/>
    <w:rsid w:val="72068B57"/>
    <w:rsid w:val="721C03FB"/>
    <w:rsid w:val="727D2630"/>
    <w:rsid w:val="729D3BBA"/>
    <w:rsid w:val="72A8B7BC"/>
    <w:rsid w:val="72B149E6"/>
    <w:rsid w:val="72E6ECF5"/>
    <w:rsid w:val="73046F02"/>
    <w:rsid w:val="730BD493"/>
    <w:rsid w:val="73886C30"/>
    <w:rsid w:val="7416C0B8"/>
    <w:rsid w:val="74586A34"/>
    <w:rsid w:val="74964714"/>
    <w:rsid w:val="74EB8253"/>
    <w:rsid w:val="752AD245"/>
    <w:rsid w:val="755DE2C4"/>
    <w:rsid w:val="757140D9"/>
    <w:rsid w:val="75CEDC48"/>
    <w:rsid w:val="75E52E15"/>
    <w:rsid w:val="75ED6125"/>
    <w:rsid w:val="7603F75B"/>
    <w:rsid w:val="76182A83"/>
    <w:rsid w:val="761C254B"/>
    <w:rsid w:val="762F4B02"/>
    <w:rsid w:val="76494A37"/>
    <w:rsid w:val="76640309"/>
    <w:rsid w:val="767F2A97"/>
    <w:rsid w:val="76CE5EE6"/>
    <w:rsid w:val="76FD2792"/>
    <w:rsid w:val="772216E0"/>
    <w:rsid w:val="7722DA96"/>
    <w:rsid w:val="7727FF9D"/>
    <w:rsid w:val="774F7466"/>
    <w:rsid w:val="775B6704"/>
    <w:rsid w:val="779014A2"/>
    <w:rsid w:val="77C662F8"/>
    <w:rsid w:val="77DF6714"/>
    <w:rsid w:val="77E06622"/>
    <w:rsid w:val="77F4DE69"/>
    <w:rsid w:val="77FCCB40"/>
    <w:rsid w:val="7804AF1C"/>
    <w:rsid w:val="7808DF4D"/>
    <w:rsid w:val="789F2B20"/>
    <w:rsid w:val="78F07BB2"/>
    <w:rsid w:val="7907D9FD"/>
    <w:rsid w:val="79093204"/>
    <w:rsid w:val="793DF0FD"/>
    <w:rsid w:val="7942E9A9"/>
    <w:rsid w:val="7953E93B"/>
    <w:rsid w:val="79D4C887"/>
    <w:rsid w:val="79D4DB80"/>
    <w:rsid w:val="79E8BD76"/>
    <w:rsid w:val="7A3AC79C"/>
    <w:rsid w:val="7A99D3C2"/>
    <w:rsid w:val="7AFA233C"/>
    <w:rsid w:val="7B076050"/>
    <w:rsid w:val="7B1CDA31"/>
    <w:rsid w:val="7B6BD8AE"/>
    <w:rsid w:val="7B7C7BEF"/>
    <w:rsid w:val="7B867A26"/>
    <w:rsid w:val="7B9826E3"/>
    <w:rsid w:val="7B99C46F"/>
    <w:rsid w:val="7BC9FE8B"/>
    <w:rsid w:val="7BFB2813"/>
    <w:rsid w:val="7C4E671D"/>
    <w:rsid w:val="7C536D84"/>
    <w:rsid w:val="7C6F2969"/>
    <w:rsid w:val="7CE02AAC"/>
    <w:rsid w:val="7CF03CC2"/>
    <w:rsid w:val="7D217F88"/>
    <w:rsid w:val="7D6B8CB3"/>
    <w:rsid w:val="7DB1129C"/>
    <w:rsid w:val="7E100D9E"/>
    <w:rsid w:val="7E232A94"/>
    <w:rsid w:val="7E4DFB45"/>
    <w:rsid w:val="7E7CE348"/>
    <w:rsid w:val="7E94888E"/>
    <w:rsid w:val="7ED87186"/>
    <w:rsid w:val="7EE91BF1"/>
    <w:rsid w:val="7F1379DF"/>
    <w:rsid w:val="7F13B3AE"/>
    <w:rsid w:val="7F6B78F7"/>
    <w:rsid w:val="7F8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3E114103-9E7C-460B-B6F7-0A1A66C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5A1"/>
    <w:pPr>
      <w:keepNext/>
      <w:keepLines/>
      <w:spacing w:before="140" w:after="140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unhideWhenUsed/>
    <w:rsid w:val="00240F61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C45A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5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2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4D499C"/>
  </w:style>
  <w:style w:type="paragraph" w:styleId="ListParagraph">
    <w:name w:val="List Paragraph"/>
    <w:aliases w:val="Bullet List,Figure_name,List Paragraph1,Bullet- First level,Use Case List Paragraph,Heading2,Body Bullet,b1,Bullet for no #'s,Ref,List Paragraph Char Char,Bulleted Text,Normal Sentence,numbered,List Paragraph11,List 1 Paragraph,Equipment"/>
    <w:basedOn w:val="Normal"/>
    <w:link w:val="ListParagraphChar"/>
    <w:uiPriority w:val="34"/>
    <w:qFormat/>
    <w:rsid w:val="00323201"/>
    <w:pPr>
      <w:ind w:left="720"/>
      <w:contextualSpacing/>
    </w:pPr>
  </w:style>
  <w:style w:type="character" w:customStyle="1" w:styleId="citationstyleszzef4oo">
    <w:name w:val="citationstyleszzef4oo"/>
    <w:basedOn w:val="DefaultParagraphFont"/>
    <w:rsid w:val="00401689"/>
  </w:style>
  <w:style w:type="character" w:customStyle="1" w:styleId="ListParagraphChar">
    <w:name w:val="List Paragraph Char"/>
    <w:aliases w:val="Bullet List Char,Figure_name Char,List Paragraph1 Char,Bullet- First level Char,Use Case List Paragraph Char,Heading2 Char,Body Bullet Char,b1 Char,Bullet for no #'s Char,Ref Char,List Paragraph Char Char Char,Bulleted Text Char"/>
    <w:basedOn w:val="DefaultParagraphFont"/>
    <w:link w:val="ListParagraph"/>
    <w:uiPriority w:val="34"/>
    <w:rsid w:val="00401689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59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628D"/>
    <w:pPr>
      <w:snapToGrid/>
      <w:spacing w:before="240" w:after="0" w:line="259" w:lineRule="auto"/>
      <w:outlineLvl w:val="9"/>
    </w:pPr>
    <w:rPr>
      <w:b w:val="0"/>
      <w:bCs w:val="0"/>
      <w:color w:val="0F3F6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129A4"/>
    <w:pPr>
      <w:tabs>
        <w:tab w:val="right" w:leader="dot" w:pos="10070"/>
      </w:tabs>
      <w:spacing w:after="100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17A85"/>
    <w:pPr>
      <w:spacing w:after="100"/>
      <w:ind w:left="220"/>
    </w:pPr>
    <w:rPr>
      <w:b/>
    </w:rPr>
  </w:style>
  <w:style w:type="character" w:customStyle="1" w:styleId="eop">
    <w:name w:val="eop"/>
    <w:basedOn w:val="DefaultParagraphFont"/>
    <w:rsid w:val="00E1475C"/>
  </w:style>
  <w:style w:type="character" w:customStyle="1" w:styleId="superscript">
    <w:name w:val="superscript"/>
    <w:basedOn w:val="DefaultParagraphFont"/>
    <w:rsid w:val="00E61CB4"/>
  </w:style>
  <w:style w:type="paragraph" w:customStyle="1" w:styleId="paragraph">
    <w:name w:val="paragraph"/>
    <w:basedOn w:val="Normal"/>
    <w:rsid w:val="00727A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5"/>
    <w:pPr>
      <w:pBdr>
        <w:top w:val="single" w:sz="4" w:space="10" w:color="14558F" w:themeColor="accent1"/>
        <w:bottom w:val="single" w:sz="4" w:space="10" w:color="14558F" w:themeColor="accent1"/>
      </w:pBdr>
      <w:spacing w:before="360" w:after="360"/>
      <w:ind w:left="864" w:right="864"/>
      <w:jc w:val="center"/>
    </w:pPr>
    <w:rPr>
      <w:i/>
      <w:iCs/>
      <w:color w:val="1455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5"/>
    <w:rPr>
      <w:rFonts w:eastAsiaTheme="minorEastAsia"/>
      <w:i/>
      <w:iCs/>
      <w:color w:val="14558F" w:themeColor="accent1"/>
      <w:kern w:val="0"/>
      <w:sz w:val="22"/>
      <w:szCs w:val="22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797D61"/>
    <w:rPr>
      <w:smallCaps/>
      <w:color w:val="5A5A5A" w:themeColor="text1" w:themeTint="A5"/>
    </w:rPr>
  </w:style>
  <w:style w:type="character" w:customStyle="1" w:styleId="scxw268407390">
    <w:name w:val="scxw268407390"/>
    <w:basedOn w:val="DefaultParagraphFont"/>
    <w:rsid w:val="00596261"/>
  </w:style>
  <w:style w:type="character" w:customStyle="1" w:styleId="scxw213166299">
    <w:name w:val="scxw213166299"/>
    <w:basedOn w:val="DefaultParagraphFont"/>
    <w:rsid w:val="00257368"/>
  </w:style>
  <w:style w:type="character" w:styleId="UnresolvedMention">
    <w:name w:val="Unresolved Mention"/>
    <w:basedOn w:val="DefaultParagraphFont"/>
    <w:uiPriority w:val="99"/>
    <w:semiHidden/>
    <w:unhideWhenUsed/>
    <w:rsid w:val="007327BC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4955A9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955A9"/>
    <w:rPr>
      <w:rFonts w:ascii="Times New Roman" w:eastAsia="Times New Roman" w:hAnsi="Times New Roman" w:cs="Times New Roman"/>
      <w:color w:val="000000" w:themeColor="text1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A7366"/>
    <w:rPr>
      <w:i/>
      <w:iCs/>
      <w:color w:val="14558F" w:themeColor="accent1"/>
    </w:rPr>
  </w:style>
  <w:style w:type="paragraph" w:styleId="NormalWeb">
    <w:name w:val="Normal (Web)"/>
    <w:basedOn w:val="Normal"/>
    <w:uiPriority w:val="99"/>
    <w:unhideWhenUsed/>
    <w:rsid w:val="00104E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21181"/>
    <w:pPr>
      <w:spacing w:after="100"/>
      <w:ind w:left="440"/>
    </w:pPr>
  </w:style>
  <w:style w:type="paragraph" w:customStyle="1" w:styleId="Default">
    <w:name w:val="Default"/>
    <w:rsid w:val="00B57B7E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customStyle="1" w:styleId="ui-provider">
    <w:name w:val="ui-provider"/>
    <w:basedOn w:val="DefaultParagraphFont"/>
    <w:rsid w:val="00776580"/>
  </w:style>
  <w:style w:type="paragraph" w:styleId="BodyText">
    <w:name w:val="Body Text"/>
    <w:basedOn w:val="Normal"/>
    <w:link w:val="BodyTextChar"/>
    <w:uiPriority w:val="99"/>
    <w:semiHidden/>
    <w:unhideWhenUsed/>
    <w:rsid w:val="00B96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6499"/>
    <w:rPr>
      <w:rFonts w:eastAsiaTheme="minorEastAsia"/>
      <w:kern w:val="0"/>
      <w:sz w:val="22"/>
      <w:szCs w:val="22"/>
      <w14:ligatures w14:val="none"/>
    </w:rPr>
  </w:style>
  <w:style w:type="table" w:styleId="GridTable5Dark-Accent1">
    <w:name w:val="Grid Table 5 Dark Accent 1"/>
    <w:basedOn w:val="TableNormal"/>
    <w:uiPriority w:val="50"/>
    <w:rsid w:val="00B96499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55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55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558F" w:themeFill="accent1"/>
      </w:tcPr>
    </w:tblStylePr>
    <w:tblStylePr w:type="band1Vert">
      <w:tblPr/>
      <w:tcPr>
        <w:shd w:val="clear" w:color="auto" w:fill="85BCEE" w:themeFill="accent1" w:themeFillTint="66"/>
      </w:tcPr>
    </w:tblStylePr>
    <w:tblStylePr w:type="band1Horz">
      <w:tblPr/>
      <w:tcPr>
        <w:shd w:val="clear" w:color="auto" w:fill="85BCEE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596751"/>
    <w:rPr>
      <w:color w:val="666666"/>
    </w:rPr>
  </w:style>
  <w:style w:type="character" w:styleId="Mention">
    <w:name w:val="Mention"/>
    <w:basedOn w:val="DefaultParagraphFont"/>
    <w:uiPriority w:val="99"/>
    <w:unhideWhenUsed/>
    <w:rsid w:val="0032669D"/>
    <w:rPr>
      <w:color w:val="2B579A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7A4A0A"/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489A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7A4A0A"/>
    <w:tblPr>
      <w:tblStyleRowBandSize w:val="1"/>
      <w:tblStyleColBandSize w:val="1"/>
      <w:tblBorders>
        <w:top w:val="single" w:sz="2" w:space="0" w:color="489AE5" w:themeColor="accent1" w:themeTint="99"/>
        <w:bottom w:val="single" w:sz="2" w:space="0" w:color="489AE5" w:themeColor="accent1" w:themeTint="99"/>
        <w:insideH w:val="single" w:sz="2" w:space="0" w:color="489AE5" w:themeColor="accent1" w:themeTint="99"/>
        <w:insideV w:val="single" w:sz="2" w:space="0" w:color="489A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9A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9A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7A4A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A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A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AA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AAC7" w:themeFill="accent3"/>
      </w:tcPr>
    </w:tblStylePr>
    <w:tblStylePr w:type="band1Vert">
      <w:tblPr/>
      <w:tcPr>
        <w:shd w:val="clear" w:color="auto" w:fill="D0DCE8" w:themeFill="accent3" w:themeFillTint="66"/>
      </w:tcPr>
    </w:tblStylePr>
    <w:tblStylePr w:type="band1Horz">
      <w:tblPr/>
      <w:tcPr>
        <w:shd w:val="clear" w:color="auto" w:fill="D0DCE8" w:themeFill="accent3" w:themeFillTint="66"/>
      </w:tcPr>
    </w:tblStylePr>
  </w:style>
  <w:style w:type="table" w:styleId="GridTable5Dark">
    <w:name w:val="Grid Table 5 Dark"/>
    <w:basedOn w:val="TableNormal"/>
    <w:uiPriority w:val="50"/>
    <w:rsid w:val="007A4A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7A4A0A"/>
    <w:tblPr>
      <w:tblStyleRowBandSize w:val="1"/>
      <w:tblStyleColBandSize w:val="1"/>
      <w:tblBorders>
        <w:top w:val="single" w:sz="4" w:space="0" w:color="B8CBDD" w:themeColor="accent3" w:themeTint="99"/>
        <w:left w:val="single" w:sz="4" w:space="0" w:color="B8CBDD" w:themeColor="accent3" w:themeTint="99"/>
        <w:bottom w:val="single" w:sz="4" w:space="0" w:color="B8CBDD" w:themeColor="accent3" w:themeTint="99"/>
        <w:right w:val="single" w:sz="4" w:space="0" w:color="B8CBDD" w:themeColor="accent3" w:themeTint="99"/>
        <w:insideH w:val="single" w:sz="4" w:space="0" w:color="B8CBDD" w:themeColor="accent3" w:themeTint="99"/>
        <w:insideV w:val="single" w:sz="4" w:space="0" w:color="B8CB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AAC7" w:themeColor="accent3"/>
          <w:left w:val="single" w:sz="4" w:space="0" w:color="8AAAC7" w:themeColor="accent3"/>
          <w:bottom w:val="single" w:sz="4" w:space="0" w:color="8AAAC7" w:themeColor="accent3"/>
          <w:right w:val="single" w:sz="4" w:space="0" w:color="8AAAC7" w:themeColor="accent3"/>
          <w:insideH w:val="nil"/>
          <w:insideV w:val="nil"/>
        </w:tcBorders>
        <w:shd w:val="clear" w:color="auto" w:fill="8AAAC7" w:themeFill="accent3"/>
      </w:tcPr>
    </w:tblStylePr>
    <w:tblStylePr w:type="lastRow">
      <w:rPr>
        <w:b/>
        <w:bCs/>
      </w:rPr>
      <w:tblPr/>
      <w:tcPr>
        <w:tcBorders>
          <w:top w:val="double" w:sz="4" w:space="0" w:color="8AAA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F3" w:themeFill="accent3" w:themeFillTint="33"/>
      </w:tcPr>
    </w:tblStylePr>
    <w:tblStylePr w:type="band1Horz">
      <w:tblPr/>
      <w:tcPr>
        <w:shd w:val="clear" w:color="auto" w:fill="E7EDF3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300D42"/>
    <w:pPr>
      <w:spacing w:after="100"/>
      <w:ind w:left="660"/>
    </w:pPr>
  </w:style>
  <w:style w:type="table" w:styleId="GridTable4">
    <w:name w:val="Grid Table 4"/>
    <w:basedOn w:val="TableNormal"/>
    <w:uiPriority w:val="49"/>
    <w:rsid w:val="00177E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5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8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0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38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59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2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5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3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3" ma:contentTypeDescription="Create a new document." ma:contentTypeScope="" ma:versionID="93af3d28ab2a1116d56066c09c21d40a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ef4f9f39a627c1933a2c0a95069d3e9a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5589b0-f8d5-4d0b-bef3-55eaac4a8b05}" ma:internalName="TaxCatchAll" ma:showField="CatchAllData" ma:web="a36c891a-0252-4974-8600-27cecaf0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e816c-d1fb-4f26-8b49-df26b1d7fe4a">
      <Terms xmlns="http://schemas.microsoft.com/office/infopath/2007/PartnerControls"/>
    </lcf76f155ced4ddcb4097134ff3c332f>
    <SharedWithUsers xmlns="a36c891a-0252-4974-8600-27cecaf0be66">
      <UserInfo>
        <DisplayName>Walia, Hadley (EHS)</DisplayName>
        <AccountId>456</AccountId>
        <AccountType/>
      </UserInfo>
      <UserInfo>
        <DisplayName>Hannon, Meaghan (EHS)</DisplayName>
        <AccountId>281</AccountId>
        <AccountType/>
      </UserInfo>
    </SharedWithUsers>
    <TaxCatchAll xmlns="a36c891a-0252-4974-8600-27cecaf0be66" xsi:nil="true"/>
  </documentManagement>
</p:properties>
</file>

<file path=customXml/itemProps1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5FD45-DE83-4644-972E-EABE8C80A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fd2e816c-d1fb-4f26-8b49-df26b1d7fe4a"/>
    <ds:schemaRef ds:uri="a36c891a-0252-4974-8600-27cecaf0be66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357</TotalTime>
  <Pages>1</Pages>
  <Words>4646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1212</cp:revision>
  <cp:lastPrinted>2025-10-31T19:15:00Z</cp:lastPrinted>
  <dcterms:created xsi:type="dcterms:W3CDTF">2025-10-30T13:30:00Z</dcterms:created>
  <dcterms:modified xsi:type="dcterms:W3CDTF">2025-10-31T19:22:00Z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ccccac94fa07e74fb3a2409f539da9fde73991ffd6ef3473047337c327f756a2</vt:lpwstr>
  </property>
  <property fmtid="{D5CDD505-2E9C-101B-9397-08002B2CF9AE}" pid="4" name="ContentTypeId">
    <vt:lpwstr>0x01010026340F7C52DB8F4A89FAFA8C24F128F9</vt:lpwstr>
  </property>
</Properties>
</file>