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06B0" w14:textId="77777777" w:rsidR="0042318D" w:rsidRDefault="00DA6EBB">
      <w:pPr>
        <w:pStyle w:val="BodyText"/>
        <w:ind w:left="40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B908CB" wp14:editId="40B908CC">
            <wp:extent cx="1207370" cy="598931"/>
            <wp:effectExtent l="0" t="0" r="0" b="0"/>
            <wp:docPr id="3" name="Image 3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ssHealth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370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06B1" w14:textId="77777777" w:rsidR="0042318D" w:rsidRDefault="00DA6EBB">
      <w:pPr>
        <w:pStyle w:val="Title"/>
        <w:spacing w:before="199"/>
        <w:ind w:left="1965" w:right="2321"/>
      </w:pPr>
      <w:bookmarkStart w:id="0" w:name="Clarifications,_Technical_Corrections,_a"/>
      <w:bookmarkEnd w:id="0"/>
      <w:r>
        <w:rPr>
          <w:color w:val="001F5F"/>
        </w:rPr>
        <w:t>Clarifications,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Technical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Corrections,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Policy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 xml:space="preserve">Changes </w:t>
      </w:r>
      <w:bookmarkStart w:id="1" w:name="to_the_Technical_Specifications_for_the"/>
      <w:bookmarkEnd w:id="1"/>
      <w:r>
        <w:rPr>
          <w:color w:val="001F5F"/>
        </w:rPr>
        <w:t>to the Technical Specifications for the</w:t>
      </w:r>
    </w:p>
    <w:p w14:paraId="40B906B2" w14:textId="1697814A" w:rsidR="0042318D" w:rsidRDefault="00DA6EBB">
      <w:pPr>
        <w:pStyle w:val="Title"/>
      </w:pPr>
      <w:bookmarkStart w:id="2" w:name="MassHealth_Hospital_Quality_and_Equity_I"/>
      <w:bookmarkEnd w:id="2"/>
      <w:r>
        <w:rPr>
          <w:color w:val="001F5F"/>
        </w:rPr>
        <w:t>MassHealth</w:t>
      </w:r>
      <w:r>
        <w:rPr>
          <w:color w:val="001F5F"/>
          <w:spacing w:val="-5"/>
        </w:rPr>
        <w:t xml:space="preserve"> </w:t>
      </w:r>
      <w:r w:rsidR="00CE25AC">
        <w:rPr>
          <w:color w:val="001F5F"/>
          <w:spacing w:val="-5"/>
        </w:rPr>
        <w:t xml:space="preserve">CBHC </w:t>
      </w:r>
      <w:r w:rsidR="00CE25AC">
        <w:rPr>
          <w:color w:val="001F5F"/>
        </w:rPr>
        <w:t>Clinical Quality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Incentive</w:t>
      </w:r>
      <w:r>
        <w:rPr>
          <w:color w:val="001F5F"/>
          <w:spacing w:val="-7"/>
        </w:rPr>
        <w:t xml:space="preserve"> </w:t>
      </w:r>
      <w:r w:rsidR="00CE25AC">
        <w:rPr>
          <w:color w:val="001F5F"/>
          <w:spacing w:val="-7"/>
        </w:rPr>
        <w:t xml:space="preserve">(CCQI) </w:t>
      </w:r>
      <w:r>
        <w:rPr>
          <w:color w:val="001F5F"/>
        </w:rPr>
        <w:t xml:space="preserve">Program </w:t>
      </w:r>
      <w:bookmarkStart w:id="3" w:name="Performance_Year_2"/>
      <w:bookmarkEnd w:id="3"/>
      <w:r>
        <w:rPr>
          <w:color w:val="001F5F"/>
        </w:rPr>
        <w:t xml:space="preserve">Performance Year </w:t>
      </w:r>
      <w:r w:rsidR="000C6791">
        <w:rPr>
          <w:color w:val="001F5F"/>
        </w:rPr>
        <w:t>1</w:t>
      </w:r>
      <w:r w:rsidR="00FE284F">
        <w:rPr>
          <w:color w:val="001F5F"/>
        </w:rPr>
        <w:t>–</w:t>
      </w:r>
      <w:r w:rsidR="000C6791">
        <w:rPr>
          <w:color w:val="001F5F"/>
        </w:rPr>
        <w:t>5</w:t>
      </w:r>
    </w:p>
    <w:p w14:paraId="40B906B3" w14:textId="77777777" w:rsidR="0042318D" w:rsidRDefault="0042318D">
      <w:pPr>
        <w:pStyle w:val="BodyText"/>
        <w:spacing w:before="182"/>
        <w:rPr>
          <w:b/>
        </w:rPr>
      </w:pPr>
    </w:p>
    <w:p w14:paraId="2CCDE902" w14:textId="4D47A735" w:rsidR="00FE284F" w:rsidRDefault="00DA6EBB" w:rsidP="00FE284F">
      <w:pPr>
        <w:pStyle w:val="BodyText"/>
        <w:spacing w:line="256" w:lineRule="auto"/>
        <w:ind w:left="360" w:right="427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clarifications,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corrections,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Technical Specifications for Performance Year (PY</w:t>
      </w:r>
      <w:r w:rsidR="00523A32">
        <w:t>1</w:t>
      </w:r>
      <w:r w:rsidR="00FE284F" w:rsidRPr="00FE284F">
        <w:t>–</w:t>
      </w:r>
      <w:r w:rsidR="00523A32">
        <w:t>5</w:t>
      </w:r>
      <w:r>
        <w:t xml:space="preserve">) of the MassHealth </w:t>
      </w:r>
      <w:r w:rsidR="0003200D">
        <w:t>CBHC Clinical Quality</w:t>
      </w:r>
      <w:r>
        <w:t xml:space="preserve"> Incentive </w:t>
      </w:r>
      <w:r w:rsidR="0003200D">
        <w:t xml:space="preserve">(CCQI) </w:t>
      </w:r>
      <w:r>
        <w:t>Program. Updates are incorporated into the change log table below.</w:t>
      </w:r>
    </w:p>
    <w:p w14:paraId="40B906B5" w14:textId="77777777" w:rsidR="0042318D" w:rsidRDefault="00DA6EBB">
      <w:pPr>
        <w:pStyle w:val="BodyText"/>
        <w:spacing w:before="168" w:line="254" w:lineRule="auto"/>
        <w:ind w:left="360" w:right="427"/>
      </w:pPr>
      <w:r>
        <w:t>MassHealth’s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clarification,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40B906B6" w14:textId="77777777" w:rsidR="0042318D" w:rsidRDefault="00DA6EBB">
      <w:pPr>
        <w:pStyle w:val="BodyText"/>
        <w:spacing w:before="166"/>
        <w:ind w:left="1080"/>
      </w:pPr>
      <w:r>
        <w:rPr>
          <w:b/>
        </w:rPr>
        <w:t>Clarification</w:t>
      </w:r>
      <w:r>
        <w:rPr>
          <w:b/>
          <w:spacing w:val="-1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explains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rPr>
          <w:spacing w:val="-2"/>
        </w:rPr>
        <w:t>requirement.</w:t>
      </w:r>
    </w:p>
    <w:p w14:paraId="40B906B7" w14:textId="77777777" w:rsidR="0042318D" w:rsidRDefault="00DA6EBB">
      <w:pPr>
        <w:spacing w:before="179"/>
        <w:ind w:left="1080"/>
      </w:pPr>
      <w:r>
        <w:rPr>
          <w:b/>
        </w:rPr>
        <w:t>Technical</w:t>
      </w:r>
      <w:r>
        <w:rPr>
          <w:b/>
          <w:spacing w:val="-6"/>
        </w:rPr>
        <w:t xml:space="preserve"> </w:t>
      </w:r>
      <w:r>
        <w:rPr>
          <w:b/>
        </w:rPr>
        <w:t>Correction</w:t>
      </w:r>
      <w:r>
        <w:rPr>
          <w:b/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rectify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specification.</w:t>
      </w:r>
    </w:p>
    <w:p w14:paraId="40B906B8" w14:textId="77777777" w:rsidR="0042318D" w:rsidRDefault="00DA6EBB">
      <w:pPr>
        <w:spacing w:before="184"/>
        <w:ind w:left="1080"/>
      </w:pPr>
      <w:r>
        <w:rPr>
          <w:b/>
        </w:rPr>
        <w:t>Policy</w:t>
      </w:r>
      <w:r>
        <w:rPr>
          <w:b/>
          <w:spacing w:val="-5"/>
        </w:rPr>
        <w:t xml:space="preserve"> </w:t>
      </w:r>
      <w:r>
        <w:rPr>
          <w:b/>
        </w:rPr>
        <w:t>Update</w:t>
      </w:r>
      <w:r>
        <w:rPr>
          <w:b/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2"/>
        </w:rPr>
        <w:t>requirement.</w:t>
      </w:r>
    </w:p>
    <w:p w14:paraId="40B906B9" w14:textId="77777777" w:rsidR="0042318D" w:rsidRDefault="0042318D">
      <w:pPr>
        <w:pStyle w:val="BodyText"/>
        <w:spacing w:before="40" w:after="1"/>
        <w:rPr>
          <w:sz w:val="20"/>
        </w:rPr>
      </w:pPr>
    </w:p>
    <w:tbl>
      <w:tblPr>
        <w:tblW w:w="1035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20"/>
        <w:gridCol w:w="1454"/>
        <w:gridCol w:w="1620"/>
        <w:gridCol w:w="3500"/>
        <w:gridCol w:w="1360"/>
      </w:tblGrid>
      <w:tr w:rsidR="0042318D" w14:paraId="40B906C1" w14:textId="77777777" w:rsidTr="00283403">
        <w:trPr>
          <w:trHeight w:val="688"/>
        </w:trPr>
        <w:tc>
          <w:tcPr>
            <w:tcW w:w="1704" w:type="dxa"/>
          </w:tcPr>
          <w:p w14:paraId="40B906BA" w14:textId="77777777" w:rsidR="0042318D" w:rsidRDefault="00DA6EB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Measure</w:t>
            </w:r>
            <w:r>
              <w:rPr>
                <w:b/>
                <w:color w:val="001F5F"/>
                <w:spacing w:val="-10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720" w:type="dxa"/>
          </w:tcPr>
          <w:p w14:paraId="40B906BB" w14:textId="77777777" w:rsidR="0042318D" w:rsidRDefault="00DA6EBB"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 xml:space="preserve">Page </w:t>
            </w:r>
            <w:r>
              <w:rPr>
                <w:b/>
                <w:color w:val="001F5F"/>
                <w:spacing w:val="-10"/>
                <w:sz w:val="20"/>
              </w:rPr>
              <w:t>#</w:t>
            </w:r>
          </w:p>
        </w:tc>
        <w:tc>
          <w:tcPr>
            <w:tcW w:w="1454" w:type="dxa"/>
          </w:tcPr>
          <w:p w14:paraId="40B906BC" w14:textId="77777777" w:rsidR="0042318D" w:rsidRDefault="00DA6EBB">
            <w:pPr>
              <w:pStyle w:val="TableParagraph"/>
              <w:ind w:left="108" w:right="536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>Type</w:t>
            </w:r>
            <w:r>
              <w:rPr>
                <w:b/>
                <w:color w:val="001F5F"/>
                <w:spacing w:val="-10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 xml:space="preserve">of </w:t>
            </w:r>
            <w:r>
              <w:rPr>
                <w:b/>
                <w:color w:val="001F5F"/>
                <w:spacing w:val="-2"/>
                <w:sz w:val="20"/>
              </w:rPr>
              <w:t>Update</w:t>
            </w:r>
          </w:p>
        </w:tc>
        <w:tc>
          <w:tcPr>
            <w:tcW w:w="1620" w:type="dxa"/>
          </w:tcPr>
          <w:p w14:paraId="40B906BD" w14:textId="77777777" w:rsidR="0042318D" w:rsidRDefault="00DA6EBB">
            <w:pPr>
              <w:pStyle w:val="TableParagraph"/>
              <w:ind w:right="775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Section Header</w:t>
            </w:r>
          </w:p>
        </w:tc>
        <w:tc>
          <w:tcPr>
            <w:tcW w:w="3500" w:type="dxa"/>
          </w:tcPr>
          <w:p w14:paraId="40B906BE" w14:textId="77777777" w:rsidR="0042318D" w:rsidRDefault="00DA6EBB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Update</w:t>
            </w:r>
          </w:p>
        </w:tc>
        <w:tc>
          <w:tcPr>
            <w:tcW w:w="1360" w:type="dxa"/>
          </w:tcPr>
          <w:p w14:paraId="40B906BF" w14:textId="77777777" w:rsidR="0042318D" w:rsidRDefault="00DA6EBB">
            <w:pPr>
              <w:pStyle w:val="TableParagraph"/>
              <w:ind w:left="106" w:right="201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Update release</w:t>
            </w:r>
          </w:p>
          <w:p w14:paraId="40B906C0" w14:textId="77777777" w:rsidR="0042318D" w:rsidRDefault="00DA6EBB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>date</w:t>
            </w:r>
          </w:p>
        </w:tc>
      </w:tr>
      <w:tr w:rsidR="0042318D" w14:paraId="40B906C9" w14:textId="77777777" w:rsidTr="00283403">
        <w:trPr>
          <w:trHeight w:val="1152"/>
        </w:trPr>
        <w:tc>
          <w:tcPr>
            <w:tcW w:w="1704" w:type="dxa"/>
          </w:tcPr>
          <w:p w14:paraId="40B906C2" w14:textId="4AC58266" w:rsidR="0042318D" w:rsidRDefault="008A3783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40B906C3" w14:textId="1628504F" w:rsidR="0042318D" w:rsidRDefault="008A378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1454" w:type="dxa"/>
          </w:tcPr>
          <w:p w14:paraId="40B906C4" w14:textId="6462341D" w:rsidR="0042318D" w:rsidRDefault="00C832C2"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40B906C5" w14:textId="267632A0" w:rsidR="0042318D" w:rsidRDefault="004C718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Measure Summary: </w:t>
            </w:r>
            <w:r w:rsidR="00C832C2">
              <w:rPr>
                <w:spacing w:val="-2"/>
                <w:sz w:val="20"/>
              </w:rPr>
              <w:t>Denominator</w:t>
            </w:r>
          </w:p>
        </w:tc>
        <w:tc>
          <w:tcPr>
            <w:tcW w:w="3500" w:type="dxa"/>
          </w:tcPr>
          <w:p w14:paraId="40B906C7" w14:textId="38684612" w:rsidR="0042318D" w:rsidRDefault="00C832C2">
            <w:pPr>
              <w:pStyle w:val="TableParagraph"/>
              <w:spacing w:before="1" w:line="21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Clarified that the eligible population</w:t>
            </w:r>
            <w:r w:rsidR="004C7186">
              <w:rPr>
                <w:spacing w:val="-2"/>
                <w:sz w:val="20"/>
              </w:rPr>
              <w:t xml:space="preserve"> includes members who have had one or more </w:t>
            </w:r>
            <w:r w:rsidR="00F21972">
              <w:rPr>
                <w:spacing w:val="-2"/>
                <w:sz w:val="20"/>
              </w:rPr>
              <w:t>Q</w:t>
            </w:r>
            <w:r w:rsidR="004C7186">
              <w:rPr>
                <w:spacing w:val="-2"/>
                <w:sz w:val="20"/>
              </w:rPr>
              <w:t xml:space="preserve">ualifying </w:t>
            </w:r>
            <w:r w:rsidR="00F21972">
              <w:rPr>
                <w:spacing w:val="-2"/>
                <w:sz w:val="20"/>
              </w:rPr>
              <w:t>T</w:t>
            </w:r>
            <w:r w:rsidR="004C7186">
              <w:rPr>
                <w:spacing w:val="-2"/>
                <w:sz w:val="20"/>
              </w:rPr>
              <w:t xml:space="preserve">riages to the 6 </w:t>
            </w:r>
            <w:r w:rsidR="00F21972">
              <w:rPr>
                <w:spacing w:val="-2"/>
                <w:sz w:val="20"/>
              </w:rPr>
              <w:t>Q</w:t>
            </w:r>
            <w:r w:rsidR="004C7186">
              <w:rPr>
                <w:spacing w:val="-2"/>
                <w:sz w:val="20"/>
              </w:rPr>
              <w:t xml:space="preserve">ualifying </w:t>
            </w:r>
            <w:r w:rsidR="00F21972">
              <w:rPr>
                <w:spacing w:val="-2"/>
                <w:sz w:val="20"/>
              </w:rPr>
              <w:t>V</w:t>
            </w:r>
            <w:r w:rsidR="004C7186">
              <w:rPr>
                <w:spacing w:val="-2"/>
                <w:sz w:val="20"/>
              </w:rPr>
              <w:t>isits</w:t>
            </w:r>
            <w:r w:rsidR="00BD131F">
              <w:rPr>
                <w:spacing w:val="-2"/>
                <w:sz w:val="20"/>
              </w:rPr>
              <w:t xml:space="preserve"> in a performance year</w:t>
            </w:r>
            <w:r w:rsidR="004C7186">
              <w:rPr>
                <w:spacing w:val="-2"/>
                <w:sz w:val="20"/>
              </w:rPr>
              <w:t>.</w:t>
            </w:r>
          </w:p>
        </w:tc>
        <w:tc>
          <w:tcPr>
            <w:tcW w:w="1360" w:type="dxa"/>
          </w:tcPr>
          <w:p w14:paraId="40B906C8" w14:textId="095E4096" w:rsidR="0042318D" w:rsidRDefault="00237E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1/3</w:t>
            </w:r>
            <w:r w:rsidR="009E4B10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/26</w:t>
            </w:r>
          </w:p>
        </w:tc>
      </w:tr>
      <w:tr w:rsidR="009E4B10" w14:paraId="481CA8EF" w14:textId="77777777" w:rsidTr="00283403">
        <w:trPr>
          <w:trHeight w:val="1152"/>
        </w:trPr>
        <w:tc>
          <w:tcPr>
            <w:tcW w:w="1704" w:type="dxa"/>
          </w:tcPr>
          <w:p w14:paraId="3605B419" w14:textId="187A3853" w:rsidR="009E4B10" w:rsidRDefault="009E4B10" w:rsidP="009E4B10">
            <w:pPr>
              <w:pStyle w:val="TableParagraph"/>
              <w:ind w:right="2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13DAF2F5" w14:textId="5F9835A2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1454" w:type="dxa"/>
          </w:tcPr>
          <w:p w14:paraId="51A76C9B" w14:textId="6974C63A" w:rsidR="009E4B10" w:rsidDel="00C832C2" w:rsidRDefault="009E4B10" w:rsidP="009E4B10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1EFE5AB7" w14:textId="66A0E2BB" w:rsidR="009E4B10" w:rsidDel="00C832C2" w:rsidRDefault="009E4B10" w:rsidP="009E4B10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Measure Summary: Denominator</w:t>
            </w:r>
          </w:p>
        </w:tc>
        <w:tc>
          <w:tcPr>
            <w:tcW w:w="3500" w:type="dxa"/>
          </w:tcPr>
          <w:p w14:paraId="1EEAE13E" w14:textId="1354EF5E" w:rsidR="009E4B10" w:rsidDel="00C832C2" w:rsidRDefault="009E4B10" w:rsidP="009E4B10">
            <w:pPr>
              <w:pStyle w:val="TableParagraph"/>
              <w:spacing w:before="1" w:line="211" w:lineRule="exact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Clarified that only MOUD </w:t>
            </w:r>
            <w:r w:rsidR="00F21972"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nduction (not MOUD continuous, follow-up treatment) are included in the denominator.</w:t>
            </w:r>
          </w:p>
        </w:tc>
        <w:tc>
          <w:tcPr>
            <w:tcW w:w="1360" w:type="dxa"/>
          </w:tcPr>
          <w:p w14:paraId="33CFDB4B" w14:textId="380949D6" w:rsidR="009E4B10" w:rsidDel="008A6F31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40B906DB" w14:textId="77777777" w:rsidTr="00283403">
        <w:trPr>
          <w:trHeight w:val="1149"/>
        </w:trPr>
        <w:tc>
          <w:tcPr>
            <w:tcW w:w="1704" w:type="dxa"/>
          </w:tcPr>
          <w:p w14:paraId="40B906D4" w14:textId="7F0D912F" w:rsidR="009E4B10" w:rsidRDefault="009E4B10" w:rsidP="009E4B1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CCQI-1 Access Standards</w:t>
            </w:r>
          </w:p>
        </w:tc>
        <w:tc>
          <w:tcPr>
            <w:tcW w:w="720" w:type="dxa"/>
          </w:tcPr>
          <w:p w14:paraId="40B906D5" w14:textId="3477E4C6" w:rsidR="009E4B10" w:rsidRDefault="009E4B10" w:rsidP="009E4B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1454" w:type="dxa"/>
          </w:tcPr>
          <w:p w14:paraId="40B906D6" w14:textId="3C6F9FEC" w:rsidR="009E4B10" w:rsidRDefault="007D546C" w:rsidP="009E4B1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40B906D7" w14:textId="1B24087E" w:rsidR="009E4B10" w:rsidRDefault="009E4B10" w:rsidP="009E4B10">
            <w:pPr>
              <w:pStyle w:val="TableParagraph"/>
              <w:ind w:right="219"/>
              <w:rPr>
                <w:sz w:val="20"/>
              </w:rPr>
            </w:pPr>
            <w:r>
              <w:rPr>
                <w:spacing w:val="-2"/>
                <w:sz w:val="20"/>
              </w:rPr>
              <w:t>Eligible Population: Continuous Enrollment Date</w:t>
            </w:r>
          </w:p>
        </w:tc>
        <w:tc>
          <w:tcPr>
            <w:tcW w:w="3500" w:type="dxa"/>
          </w:tcPr>
          <w:p w14:paraId="40B906D9" w14:textId="5337D405" w:rsidR="009E4B10" w:rsidRDefault="009E4B10" w:rsidP="009E4B1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Changed the continuous enrollment dates for members to be eligible </w:t>
            </w:r>
            <w:r w:rsidR="00D97382">
              <w:rPr>
                <w:spacing w:val="-4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the measure.  </w:t>
            </w:r>
          </w:p>
        </w:tc>
        <w:tc>
          <w:tcPr>
            <w:tcW w:w="1360" w:type="dxa"/>
          </w:tcPr>
          <w:p w14:paraId="40B906DA" w14:textId="0627DA34" w:rsidR="009E4B10" w:rsidRDefault="009E4B10" w:rsidP="009E4B1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7FAAEF0C" w14:textId="77777777" w:rsidTr="00283403">
        <w:trPr>
          <w:trHeight w:val="1149"/>
        </w:trPr>
        <w:tc>
          <w:tcPr>
            <w:tcW w:w="1704" w:type="dxa"/>
          </w:tcPr>
          <w:p w14:paraId="7F367CB1" w14:textId="55162ACE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CCQI-1 Access Standards</w:t>
            </w:r>
          </w:p>
        </w:tc>
        <w:tc>
          <w:tcPr>
            <w:tcW w:w="720" w:type="dxa"/>
          </w:tcPr>
          <w:p w14:paraId="685A94D3" w14:textId="41EAAB1F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1454" w:type="dxa"/>
          </w:tcPr>
          <w:p w14:paraId="760C4CAC" w14:textId="786594A8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50E66383" w14:textId="202F7856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Eligible Population: PY2 Measurement Period</w:t>
            </w:r>
          </w:p>
        </w:tc>
        <w:tc>
          <w:tcPr>
            <w:tcW w:w="3500" w:type="dxa"/>
          </w:tcPr>
          <w:p w14:paraId="31846A56" w14:textId="58282F3E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Clarified measure-based encounters that occurred prior to January 1</w:t>
            </w:r>
            <w:r w:rsidRPr="00ED1D2F">
              <w:rPr>
                <w:spacing w:val="-2"/>
                <w:sz w:val="20"/>
                <w:vertAlign w:val="superscript"/>
              </w:rPr>
              <w:t>st</w:t>
            </w:r>
            <w:proofErr w:type="gramStart"/>
            <w:r>
              <w:rPr>
                <w:spacing w:val="-2"/>
                <w:sz w:val="20"/>
              </w:rPr>
              <w:t xml:space="preserve"> 2025</w:t>
            </w:r>
            <w:proofErr w:type="gramEnd"/>
            <w:r>
              <w:rPr>
                <w:spacing w:val="-2"/>
                <w:sz w:val="20"/>
              </w:rPr>
              <w:t xml:space="preserve"> do not need to be reported.  Removed last bullet on “New Patient” eligibility.</w:t>
            </w:r>
          </w:p>
        </w:tc>
        <w:tc>
          <w:tcPr>
            <w:tcW w:w="1360" w:type="dxa"/>
          </w:tcPr>
          <w:p w14:paraId="3FF0459A" w14:textId="18A9399D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26367523" w14:textId="77777777" w:rsidTr="00283403">
        <w:trPr>
          <w:trHeight w:val="1149"/>
        </w:trPr>
        <w:tc>
          <w:tcPr>
            <w:tcW w:w="1704" w:type="dxa"/>
          </w:tcPr>
          <w:p w14:paraId="171C4180" w14:textId="0C915573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 CCQI-1 Access Standards</w:t>
            </w:r>
          </w:p>
        </w:tc>
        <w:tc>
          <w:tcPr>
            <w:tcW w:w="720" w:type="dxa"/>
          </w:tcPr>
          <w:p w14:paraId="32097DDB" w14:textId="2F13F894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1454" w:type="dxa"/>
          </w:tcPr>
          <w:p w14:paraId="312E0770" w14:textId="7C473408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4DE01519" w14:textId="65545E7F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New Patients</w:t>
            </w:r>
          </w:p>
        </w:tc>
        <w:tc>
          <w:tcPr>
            <w:tcW w:w="3500" w:type="dxa"/>
          </w:tcPr>
          <w:p w14:paraId="28964FE0" w14:textId="1FFAC428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Clarified that members </w:t>
            </w:r>
            <w:r w:rsidR="00F040BB">
              <w:rPr>
                <w:spacing w:val="-4"/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did not have a </w:t>
            </w:r>
            <w:r w:rsidR="00F21972">
              <w:rPr>
                <w:spacing w:val="-4"/>
                <w:sz w:val="20"/>
              </w:rPr>
              <w:t>L</w:t>
            </w:r>
            <w:r>
              <w:rPr>
                <w:spacing w:val="-4"/>
                <w:sz w:val="20"/>
              </w:rPr>
              <w:t xml:space="preserve">ast </w:t>
            </w:r>
            <w:r w:rsidR="00F21972">
              <w:rPr>
                <w:spacing w:val="-4"/>
                <w:sz w:val="20"/>
              </w:rPr>
              <w:t>Q</w:t>
            </w:r>
            <w:r>
              <w:rPr>
                <w:spacing w:val="-4"/>
                <w:sz w:val="20"/>
              </w:rPr>
              <w:t xml:space="preserve">ualifying </w:t>
            </w:r>
            <w:r w:rsidR="00F21972">
              <w:rPr>
                <w:spacing w:val="-4"/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isit within 90 days of a </w:t>
            </w:r>
            <w:r w:rsidR="00F21972">
              <w:rPr>
                <w:spacing w:val="-4"/>
                <w:sz w:val="20"/>
              </w:rPr>
              <w:t>Q</w:t>
            </w:r>
            <w:r>
              <w:rPr>
                <w:spacing w:val="-4"/>
                <w:sz w:val="20"/>
              </w:rPr>
              <w:t xml:space="preserve">ualifying </w:t>
            </w:r>
            <w:r w:rsidR="00F21972">
              <w:rPr>
                <w:spacing w:val="-4"/>
                <w:sz w:val="20"/>
              </w:rPr>
              <w:t>V</w:t>
            </w:r>
            <w:r>
              <w:rPr>
                <w:spacing w:val="-4"/>
                <w:sz w:val="20"/>
              </w:rPr>
              <w:t>isit are considered “</w:t>
            </w:r>
            <w:r w:rsidR="00F21972">
              <w:rPr>
                <w:spacing w:val="-4"/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ew </w:t>
            </w:r>
            <w:r w:rsidR="00F21972">
              <w:rPr>
                <w:spacing w:val="-4"/>
                <w:sz w:val="20"/>
              </w:rPr>
              <w:t>P</w:t>
            </w:r>
            <w:r>
              <w:rPr>
                <w:spacing w:val="-4"/>
                <w:sz w:val="20"/>
              </w:rPr>
              <w:t>atients”.</w:t>
            </w:r>
          </w:p>
        </w:tc>
        <w:tc>
          <w:tcPr>
            <w:tcW w:w="1360" w:type="dxa"/>
          </w:tcPr>
          <w:p w14:paraId="29831E84" w14:textId="7561BE87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4AB2DDCA" w14:textId="77777777" w:rsidTr="00283403">
        <w:trPr>
          <w:trHeight w:val="1149"/>
        </w:trPr>
        <w:tc>
          <w:tcPr>
            <w:tcW w:w="1704" w:type="dxa"/>
          </w:tcPr>
          <w:p w14:paraId="241E2071" w14:textId="6D4DCE0E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32CF5782" w14:textId="14C4E44F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1454" w:type="dxa"/>
          </w:tcPr>
          <w:p w14:paraId="575CE281" w14:textId="2A8A0A78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216A4542" w14:textId="4AA8A931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New Patients</w:t>
            </w:r>
          </w:p>
        </w:tc>
        <w:tc>
          <w:tcPr>
            <w:tcW w:w="3500" w:type="dxa"/>
          </w:tcPr>
          <w:p w14:paraId="04EFB904" w14:textId="7243F3B7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Clarified that only MOUD inductions count in the measure and </w:t>
            </w:r>
            <w:r w:rsidR="00F21972">
              <w:rPr>
                <w:spacing w:val="-4"/>
                <w:sz w:val="20"/>
              </w:rPr>
              <w:t xml:space="preserve">follow-up/ongoing </w:t>
            </w:r>
            <w:r>
              <w:rPr>
                <w:spacing w:val="-4"/>
                <w:sz w:val="20"/>
              </w:rPr>
              <w:t xml:space="preserve">MOUD treatment at a CBHC would not count.  </w:t>
            </w:r>
          </w:p>
        </w:tc>
        <w:tc>
          <w:tcPr>
            <w:tcW w:w="1360" w:type="dxa"/>
          </w:tcPr>
          <w:p w14:paraId="7B997F3A" w14:textId="7A115E14" w:rsidR="009E4B10" w:rsidRPr="00D10E2F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15A9FE3E" w14:textId="77777777" w:rsidTr="00283403">
        <w:trPr>
          <w:trHeight w:val="1149"/>
        </w:trPr>
        <w:tc>
          <w:tcPr>
            <w:tcW w:w="1704" w:type="dxa"/>
          </w:tcPr>
          <w:p w14:paraId="557790CD" w14:textId="2DF548AA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66FAF498" w14:textId="43F6A88D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454" w:type="dxa"/>
          </w:tcPr>
          <w:p w14:paraId="4486492E" w14:textId="236AEADC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6EB23B01" w14:textId="5E9F886A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Qualifying Triage</w:t>
            </w:r>
          </w:p>
        </w:tc>
        <w:tc>
          <w:tcPr>
            <w:tcW w:w="3500" w:type="dxa"/>
          </w:tcPr>
          <w:p w14:paraId="468E98A3" w14:textId="7CFE28C9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Clarified that unknown/undefined </w:t>
            </w:r>
            <w:r w:rsidR="008D277F">
              <w:rPr>
                <w:spacing w:val="-4"/>
                <w:sz w:val="20"/>
              </w:rPr>
              <w:t>v</w:t>
            </w:r>
            <w:r>
              <w:rPr>
                <w:spacing w:val="-4"/>
                <w:sz w:val="20"/>
              </w:rPr>
              <w:t>isit occurrences will not meet the numerator unless the visit occurrence type can be determined.</w:t>
            </w:r>
          </w:p>
        </w:tc>
        <w:tc>
          <w:tcPr>
            <w:tcW w:w="1360" w:type="dxa"/>
          </w:tcPr>
          <w:p w14:paraId="6782880B" w14:textId="1B21E64F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01DE8DEC" w14:textId="77777777" w:rsidTr="00283403">
        <w:trPr>
          <w:trHeight w:val="1149"/>
        </w:trPr>
        <w:tc>
          <w:tcPr>
            <w:tcW w:w="1704" w:type="dxa"/>
          </w:tcPr>
          <w:p w14:paraId="4A42CEB7" w14:textId="0715E322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00011355" w14:textId="6DB750FC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454" w:type="dxa"/>
          </w:tcPr>
          <w:p w14:paraId="444F56FB" w14:textId="215A14B9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32C8B061" w14:textId="2C261DEC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Qualifying Triage</w:t>
            </w:r>
          </w:p>
        </w:tc>
        <w:tc>
          <w:tcPr>
            <w:tcW w:w="3500" w:type="dxa"/>
          </w:tcPr>
          <w:p w14:paraId="58234EBB" w14:textId="24687E9E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Clarified that there can be more than one </w:t>
            </w:r>
            <w:r w:rsidR="00F040BB">
              <w:rPr>
                <w:spacing w:val="-4"/>
                <w:sz w:val="20"/>
              </w:rPr>
              <w:t>Q</w:t>
            </w:r>
            <w:r>
              <w:rPr>
                <w:spacing w:val="-4"/>
                <w:sz w:val="20"/>
              </w:rPr>
              <w:t xml:space="preserve">ualifying </w:t>
            </w:r>
            <w:r w:rsidR="00F040BB">
              <w:rPr>
                <w:spacing w:val="-4"/>
                <w:sz w:val="20"/>
              </w:rPr>
              <w:t>T</w:t>
            </w:r>
            <w:r>
              <w:rPr>
                <w:spacing w:val="-4"/>
                <w:sz w:val="20"/>
              </w:rPr>
              <w:t>riage per member in the measurement year.</w:t>
            </w:r>
          </w:p>
        </w:tc>
        <w:tc>
          <w:tcPr>
            <w:tcW w:w="1360" w:type="dxa"/>
          </w:tcPr>
          <w:p w14:paraId="5D903F70" w14:textId="05586E5C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58EB3C1B" w14:textId="77777777" w:rsidTr="00283403">
        <w:trPr>
          <w:trHeight w:val="1149"/>
        </w:trPr>
        <w:tc>
          <w:tcPr>
            <w:tcW w:w="1704" w:type="dxa"/>
          </w:tcPr>
          <w:p w14:paraId="23BCE2FA" w14:textId="1B1FDA9A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205C4E1D" w14:textId="301200EA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454" w:type="dxa"/>
          </w:tcPr>
          <w:p w14:paraId="102D7858" w14:textId="6D21786A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Technical Correction</w:t>
            </w:r>
          </w:p>
        </w:tc>
        <w:tc>
          <w:tcPr>
            <w:tcW w:w="1620" w:type="dxa"/>
          </w:tcPr>
          <w:p w14:paraId="3B6E7839" w14:textId="6F881ECC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Qualifying CBHC Visit</w:t>
            </w:r>
          </w:p>
        </w:tc>
        <w:tc>
          <w:tcPr>
            <w:tcW w:w="3500" w:type="dxa"/>
          </w:tcPr>
          <w:p w14:paraId="1806FBA6" w14:textId="57CE42BF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Qualifying Visits scheduled from a Qualifying Triage that were rescheduled can count towards the measure if the same qualifying </w:t>
            </w:r>
            <w:r w:rsidR="00BD131F">
              <w:rPr>
                <w:spacing w:val="-4"/>
                <w:sz w:val="20"/>
              </w:rPr>
              <w:t>V</w:t>
            </w:r>
            <w:r>
              <w:rPr>
                <w:spacing w:val="-4"/>
                <w:sz w:val="20"/>
              </w:rPr>
              <w:t>isit type occurred.</w:t>
            </w:r>
          </w:p>
        </w:tc>
        <w:tc>
          <w:tcPr>
            <w:tcW w:w="1360" w:type="dxa"/>
          </w:tcPr>
          <w:p w14:paraId="5EF0DA15" w14:textId="71506269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0D487348" w14:textId="77777777" w:rsidTr="00283403">
        <w:trPr>
          <w:trHeight w:val="1149"/>
        </w:trPr>
        <w:tc>
          <w:tcPr>
            <w:tcW w:w="1704" w:type="dxa"/>
          </w:tcPr>
          <w:p w14:paraId="27531D0E" w14:textId="55A27AAE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3A8E6B37" w14:textId="1EE380F1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1F70FF" w:rsidRPr="001F70FF">
              <w:rPr>
                <w:spacing w:val="-5"/>
                <w:sz w:val="20"/>
              </w:rPr>
              <w:t>–</w:t>
            </w:r>
            <w:r>
              <w:rPr>
                <w:spacing w:val="-5"/>
                <w:sz w:val="20"/>
              </w:rPr>
              <w:t>9</w:t>
            </w:r>
          </w:p>
        </w:tc>
        <w:tc>
          <w:tcPr>
            <w:tcW w:w="1454" w:type="dxa"/>
          </w:tcPr>
          <w:p w14:paraId="04B4019D" w14:textId="78ADE8BE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7A8C6821" w14:textId="77777777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Definitions: Qualifying CBHC Visit </w:t>
            </w:r>
          </w:p>
          <w:p w14:paraId="3364C493" w14:textId="77777777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</w:p>
          <w:p w14:paraId="08AE9557" w14:textId="4E167FFA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Administrative Specification: Denominator and Numerator</w:t>
            </w:r>
          </w:p>
        </w:tc>
        <w:tc>
          <w:tcPr>
            <w:tcW w:w="3500" w:type="dxa"/>
          </w:tcPr>
          <w:p w14:paraId="2CA3F203" w14:textId="71178967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Updated “MOUD” to “MOUD Induction” as a </w:t>
            </w:r>
            <w:r w:rsidR="00BD131F">
              <w:rPr>
                <w:spacing w:val="-4"/>
                <w:sz w:val="20"/>
              </w:rPr>
              <w:t>Q</w:t>
            </w:r>
            <w:r>
              <w:rPr>
                <w:spacing w:val="-4"/>
                <w:sz w:val="20"/>
              </w:rPr>
              <w:t xml:space="preserve">ualifying </w:t>
            </w:r>
            <w:r w:rsidR="00BD131F">
              <w:rPr>
                <w:spacing w:val="-4"/>
                <w:sz w:val="20"/>
              </w:rPr>
              <w:t>V</w:t>
            </w:r>
            <w:r>
              <w:rPr>
                <w:spacing w:val="-4"/>
                <w:sz w:val="20"/>
              </w:rPr>
              <w:t>isit.</w:t>
            </w:r>
          </w:p>
        </w:tc>
        <w:tc>
          <w:tcPr>
            <w:tcW w:w="1360" w:type="dxa"/>
          </w:tcPr>
          <w:p w14:paraId="28883AE7" w14:textId="270BE487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23C6E934" w14:textId="77777777" w:rsidTr="00283403">
        <w:trPr>
          <w:trHeight w:val="1149"/>
        </w:trPr>
        <w:tc>
          <w:tcPr>
            <w:tcW w:w="1704" w:type="dxa"/>
          </w:tcPr>
          <w:p w14:paraId="2AC9BF2B" w14:textId="0E5F1C14" w:rsidR="009E4B10" w:rsidRDefault="009E4B10" w:rsidP="009E4B10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CCQI-1 Access Standards</w:t>
            </w:r>
          </w:p>
        </w:tc>
        <w:tc>
          <w:tcPr>
            <w:tcW w:w="720" w:type="dxa"/>
          </w:tcPr>
          <w:p w14:paraId="18B7A818" w14:textId="2C07F9E4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54" w:type="dxa"/>
          </w:tcPr>
          <w:p w14:paraId="58B86188" w14:textId="6DAAB617" w:rsidR="009E4B10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34827CD1" w14:textId="5AD0CCAD" w:rsidR="009E4B10" w:rsidRDefault="009E4B10" w:rsidP="009E4B10">
            <w:pPr>
              <w:pStyle w:val="TableParagraph"/>
              <w:ind w:right="2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Administrative Specification: Exclusions</w:t>
            </w:r>
          </w:p>
        </w:tc>
        <w:tc>
          <w:tcPr>
            <w:tcW w:w="3500" w:type="dxa"/>
          </w:tcPr>
          <w:p w14:paraId="0CFB32AC" w14:textId="2EFF20D7" w:rsidR="009E4B10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Clarified that continuing MOUD treatment is not a Qualifying Visit type in the first bullet.</w:t>
            </w:r>
          </w:p>
        </w:tc>
        <w:tc>
          <w:tcPr>
            <w:tcW w:w="1360" w:type="dxa"/>
          </w:tcPr>
          <w:p w14:paraId="1BD3B4AC" w14:textId="6A259FA9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0B5F6A4A" w14:textId="77777777" w:rsidTr="00283403">
        <w:trPr>
          <w:trHeight w:val="1149"/>
        </w:trPr>
        <w:tc>
          <w:tcPr>
            <w:tcW w:w="1704" w:type="dxa"/>
          </w:tcPr>
          <w:p w14:paraId="399D2221" w14:textId="41FD4604" w:rsidR="009E4B10" w:rsidRPr="00C90F63" w:rsidRDefault="009E4B10" w:rsidP="009E4B10">
            <w:pPr>
              <w:pStyle w:val="TableParagraph"/>
              <w:spacing w:before="1"/>
              <w:rPr>
                <w:spacing w:val="-2"/>
                <w:sz w:val="20"/>
                <w:szCs w:val="20"/>
              </w:rPr>
            </w:pPr>
            <w:r w:rsidRPr="00C90F63">
              <w:rPr>
                <w:spacing w:val="-2"/>
                <w:sz w:val="20"/>
                <w:szCs w:val="20"/>
              </w:rPr>
              <w:t>CCQI-2 Follow-up After Acute BH Episode of Care</w:t>
            </w:r>
          </w:p>
        </w:tc>
        <w:tc>
          <w:tcPr>
            <w:tcW w:w="720" w:type="dxa"/>
          </w:tcPr>
          <w:p w14:paraId="5C332779" w14:textId="2C73EC9C" w:rsidR="009E4B10" w:rsidRPr="00C90F63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  <w:szCs w:val="20"/>
              </w:rPr>
            </w:pPr>
            <w:r w:rsidRPr="00C90F6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454" w:type="dxa"/>
          </w:tcPr>
          <w:p w14:paraId="317E44D8" w14:textId="7648D863" w:rsidR="009E4B10" w:rsidRPr="00C90F63" w:rsidRDefault="009E4B10" w:rsidP="009E4B10">
            <w:pPr>
              <w:pStyle w:val="TableParagraph"/>
              <w:spacing w:line="229" w:lineRule="exact"/>
              <w:ind w:left="108"/>
              <w:rPr>
                <w:spacing w:val="-2"/>
                <w:sz w:val="20"/>
                <w:szCs w:val="20"/>
              </w:rPr>
            </w:pPr>
            <w:r w:rsidRPr="00C90F63">
              <w:rPr>
                <w:spacing w:val="-2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423DDEC" w14:textId="63A24540" w:rsidR="009E4B10" w:rsidRPr="00C90F63" w:rsidRDefault="009E4B10" w:rsidP="009E4B10">
            <w:pPr>
              <w:pStyle w:val="TableParagraph"/>
              <w:ind w:right="219"/>
              <w:rPr>
                <w:spacing w:val="-2"/>
                <w:sz w:val="20"/>
                <w:szCs w:val="20"/>
              </w:rPr>
            </w:pPr>
            <w:r w:rsidRPr="00C90F63">
              <w:rPr>
                <w:spacing w:val="-2"/>
                <w:sz w:val="20"/>
                <w:szCs w:val="20"/>
              </w:rPr>
              <w:t>Eligible Population: Eligibility Criteria</w:t>
            </w:r>
          </w:p>
        </w:tc>
        <w:tc>
          <w:tcPr>
            <w:tcW w:w="3500" w:type="dxa"/>
          </w:tcPr>
          <w:p w14:paraId="7F057D33" w14:textId="4A824846" w:rsidR="009E4B10" w:rsidRPr="00C90F63" w:rsidRDefault="009E4B10" w:rsidP="009E4B10">
            <w:pPr>
              <w:pStyle w:val="TableParagraph"/>
              <w:spacing w:line="210" w:lineRule="exact"/>
              <w:ind w:left="106"/>
              <w:rPr>
                <w:spacing w:val="-4"/>
                <w:sz w:val="20"/>
                <w:szCs w:val="20"/>
              </w:rPr>
            </w:pPr>
            <w:r w:rsidRPr="00C90F63">
              <w:rPr>
                <w:sz w:val="20"/>
                <w:szCs w:val="20"/>
              </w:rPr>
              <w:t xml:space="preserve">Clarified that members can have more than one </w:t>
            </w:r>
            <w:r w:rsidR="00BD131F" w:rsidRPr="00C90F63">
              <w:rPr>
                <w:sz w:val="20"/>
                <w:szCs w:val="20"/>
              </w:rPr>
              <w:t>Q</w:t>
            </w:r>
            <w:r w:rsidRPr="00C90F63">
              <w:rPr>
                <w:sz w:val="20"/>
                <w:szCs w:val="20"/>
              </w:rPr>
              <w:t xml:space="preserve">ualifying </w:t>
            </w:r>
            <w:r w:rsidR="00BD131F" w:rsidRPr="00C90F63">
              <w:rPr>
                <w:sz w:val="20"/>
                <w:szCs w:val="20"/>
              </w:rPr>
              <w:t>H</w:t>
            </w:r>
            <w:r w:rsidRPr="00C90F63">
              <w:rPr>
                <w:sz w:val="20"/>
                <w:szCs w:val="20"/>
              </w:rPr>
              <w:t xml:space="preserve">ospital </w:t>
            </w:r>
            <w:r w:rsidR="00BD131F" w:rsidRPr="00C90F63">
              <w:rPr>
                <w:sz w:val="20"/>
                <w:szCs w:val="20"/>
              </w:rPr>
              <w:t>E</w:t>
            </w:r>
            <w:r w:rsidRPr="00C90F63">
              <w:rPr>
                <w:sz w:val="20"/>
                <w:szCs w:val="20"/>
              </w:rPr>
              <w:t xml:space="preserve">ncounter followed by a </w:t>
            </w:r>
            <w:r w:rsidR="00BD131F" w:rsidRPr="00C90F63">
              <w:rPr>
                <w:sz w:val="20"/>
                <w:szCs w:val="20"/>
              </w:rPr>
              <w:t>Q</w:t>
            </w:r>
            <w:r w:rsidRPr="00C90F63">
              <w:rPr>
                <w:sz w:val="20"/>
                <w:szCs w:val="20"/>
              </w:rPr>
              <w:t xml:space="preserve">ualifying CBHC </w:t>
            </w:r>
            <w:r w:rsidR="00BD131F" w:rsidRPr="00C90F63">
              <w:rPr>
                <w:sz w:val="20"/>
                <w:szCs w:val="20"/>
              </w:rPr>
              <w:t>V</w:t>
            </w:r>
            <w:r w:rsidRPr="00C90F63">
              <w:rPr>
                <w:sz w:val="20"/>
                <w:szCs w:val="20"/>
              </w:rPr>
              <w:t>isit within 7 days of discharge.</w:t>
            </w:r>
          </w:p>
        </w:tc>
        <w:tc>
          <w:tcPr>
            <w:tcW w:w="1360" w:type="dxa"/>
          </w:tcPr>
          <w:p w14:paraId="10A0FEE6" w14:textId="64AB3BA5" w:rsidR="009E4B10" w:rsidRPr="00C90F63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  <w:szCs w:val="20"/>
              </w:rPr>
            </w:pPr>
            <w:r w:rsidRPr="00C90F63">
              <w:rPr>
                <w:spacing w:val="-2"/>
                <w:sz w:val="20"/>
                <w:szCs w:val="20"/>
              </w:rPr>
              <w:t>1/30/26</w:t>
            </w:r>
          </w:p>
        </w:tc>
      </w:tr>
      <w:tr w:rsidR="009E4B10" w14:paraId="40B906EB" w14:textId="77777777" w:rsidTr="00283403">
        <w:trPr>
          <w:trHeight w:val="918"/>
        </w:trPr>
        <w:tc>
          <w:tcPr>
            <w:tcW w:w="1704" w:type="dxa"/>
          </w:tcPr>
          <w:p w14:paraId="40B906E4" w14:textId="5D1484F6" w:rsidR="009E4B10" w:rsidRDefault="009E4B10" w:rsidP="009E4B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CCQI-2 Follow-up After Acute BH Episode of Care</w:t>
            </w:r>
          </w:p>
        </w:tc>
        <w:tc>
          <w:tcPr>
            <w:tcW w:w="720" w:type="dxa"/>
          </w:tcPr>
          <w:p w14:paraId="40B906E5" w14:textId="773DAEBA" w:rsidR="009E4B10" w:rsidRDefault="009E4B10" w:rsidP="009E4B1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54" w:type="dxa"/>
          </w:tcPr>
          <w:p w14:paraId="40B906E6" w14:textId="1464FBDA" w:rsidR="009E4B10" w:rsidRDefault="009E4B10" w:rsidP="009E4B10"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40B906E7" w14:textId="0BD7950A" w:rsidR="009E4B10" w:rsidRDefault="009E4B10" w:rsidP="009E4B1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Definitions: Qualifying CBHC Visit</w:t>
            </w:r>
          </w:p>
        </w:tc>
        <w:tc>
          <w:tcPr>
            <w:tcW w:w="3500" w:type="dxa"/>
          </w:tcPr>
          <w:p w14:paraId="40B906E9" w14:textId="04054835" w:rsidR="009E4B10" w:rsidRDefault="009E4B10" w:rsidP="009E4B1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Clarified that </w:t>
            </w:r>
            <w:r w:rsidR="00BD131F">
              <w:rPr>
                <w:spacing w:val="-2"/>
                <w:sz w:val="20"/>
              </w:rPr>
              <w:t>Q</w:t>
            </w:r>
            <w:r>
              <w:rPr>
                <w:spacing w:val="-2"/>
                <w:sz w:val="20"/>
              </w:rPr>
              <w:t xml:space="preserve">ualifying CBHC </w:t>
            </w:r>
            <w:r w:rsidR="00BD131F">
              <w:rPr>
                <w:spacing w:val="-2"/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isits can occur on the same calendar day as the discharge from a </w:t>
            </w:r>
            <w:r w:rsidR="00BD131F">
              <w:rPr>
                <w:spacing w:val="-2"/>
                <w:sz w:val="20"/>
              </w:rPr>
              <w:t>Q</w:t>
            </w:r>
            <w:r>
              <w:rPr>
                <w:spacing w:val="-2"/>
                <w:sz w:val="20"/>
              </w:rPr>
              <w:t xml:space="preserve">ualifying </w:t>
            </w:r>
            <w:r w:rsidR="00BD131F"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ospital </w:t>
            </w:r>
            <w:r w:rsidR="00BD131F"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ncounter.</w:t>
            </w:r>
          </w:p>
        </w:tc>
        <w:tc>
          <w:tcPr>
            <w:tcW w:w="1360" w:type="dxa"/>
          </w:tcPr>
          <w:p w14:paraId="40B906EA" w14:textId="2C470561" w:rsidR="009E4B10" w:rsidRDefault="009E4B10" w:rsidP="009E4B1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69B59AB9" w14:textId="77777777" w:rsidTr="00283403">
        <w:trPr>
          <w:trHeight w:val="918"/>
        </w:trPr>
        <w:tc>
          <w:tcPr>
            <w:tcW w:w="1704" w:type="dxa"/>
          </w:tcPr>
          <w:p w14:paraId="0D032042" w14:textId="3BA62B29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 w:rsidRPr="007C3F45">
              <w:rPr>
                <w:spacing w:val="-2"/>
                <w:sz w:val="20"/>
              </w:rPr>
              <w:t>CCQI-3 Readmission to Acute BH Care</w:t>
            </w:r>
          </w:p>
        </w:tc>
        <w:tc>
          <w:tcPr>
            <w:tcW w:w="720" w:type="dxa"/>
          </w:tcPr>
          <w:p w14:paraId="4BF94A69" w14:textId="70D2A453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54" w:type="dxa"/>
          </w:tcPr>
          <w:p w14:paraId="35A86E18" w14:textId="5BF6FB96" w:rsidR="009E4B10" w:rsidRDefault="009E4B10" w:rsidP="009E4B10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1994614B" w14:textId="2D1E9803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Eligible Population: Eligibility Criteria</w:t>
            </w:r>
          </w:p>
        </w:tc>
        <w:tc>
          <w:tcPr>
            <w:tcW w:w="3500" w:type="dxa"/>
          </w:tcPr>
          <w:p w14:paraId="6C65342A" w14:textId="064EBF49" w:rsidR="009E4B10" w:rsidRDefault="009E4B10" w:rsidP="009E4B1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Clarified that members can have more than one </w:t>
            </w:r>
            <w:r w:rsidR="00BD131F">
              <w:rPr>
                <w:sz w:val="20"/>
              </w:rPr>
              <w:t>Q</w:t>
            </w:r>
            <w:r>
              <w:rPr>
                <w:sz w:val="20"/>
              </w:rPr>
              <w:t xml:space="preserve">ualifying </w:t>
            </w:r>
            <w:r w:rsidR="00BD131F">
              <w:rPr>
                <w:sz w:val="20"/>
              </w:rPr>
              <w:t>H</w:t>
            </w:r>
            <w:r>
              <w:rPr>
                <w:sz w:val="20"/>
              </w:rPr>
              <w:t xml:space="preserve">ospital </w:t>
            </w:r>
            <w:r w:rsidR="00BD131F">
              <w:rPr>
                <w:sz w:val="20"/>
              </w:rPr>
              <w:t>E</w:t>
            </w:r>
            <w:r>
              <w:rPr>
                <w:sz w:val="20"/>
              </w:rPr>
              <w:t xml:space="preserve">ncounter followed by a </w:t>
            </w:r>
            <w:r w:rsidR="00BD131F">
              <w:rPr>
                <w:sz w:val="20"/>
              </w:rPr>
              <w:t>Q</w:t>
            </w:r>
            <w:r>
              <w:rPr>
                <w:sz w:val="20"/>
              </w:rPr>
              <w:t xml:space="preserve">ualifying CBHC </w:t>
            </w:r>
            <w:r w:rsidR="00BD131F">
              <w:rPr>
                <w:sz w:val="20"/>
              </w:rPr>
              <w:t>V</w:t>
            </w:r>
            <w:r>
              <w:rPr>
                <w:sz w:val="20"/>
              </w:rPr>
              <w:t xml:space="preserve">isit within 7 days of </w:t>
            </w:r>
            <w:r>
              <w:rPr>
                <w:sz w:val="20"/>
              </w:rPr>
              <w:lastRenderedPageBreak/>
              <w:t>discharge.</w:t>
            </w:r>
          </w:p>
        </w:tc>
        <w:tc>
          <w:tcPr>
            <w:tcW w:w="1360" w:type="dxa"/>
          </w:tcPr>
          <w:p w14:paraId="018F18C3" w14:textId="5314956F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lastRenderedPageBreak/>
              <w:t>1/30/26</w:t>
            </w:r>
          </w:p>
        </w:tc>
      </w:tr>
      <w:tr w:rsidR="009E4B10" w14:paraId="2D395CDA" w14:textId="77777777" w:rsidTr="00283403">
        <w:trPr>
          <w:trHeight w:val="918"/>
        </w:trPr>
        <w:tc>
          <w:tcPr>
            <w:tcW w:w="1704" w:type="dxa"/>
          </w:tcPr>
          <w:p w14:paraId="25678988" w14:textId="57B5AC39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 w:rsidRPr="007C3F45">
              <w:rPr>
                <w:spacing w:val="-2"/>
                <w:sz w:val="20"/>
              </w:rPr>
              <w:t>CCQI-3 Readmission to Acute BH Care</w:t>
            </w:r>
          </w:p>
        </w:tc>
        <w:tc>
          <w:tcPr>
            <w:tcW w:w="720" w:type="dxa"/>
          </w:tcPr>
          <w:p w14:paraId="1013EBDE" w14:textId="6F9CEBEF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54" w:type="dxa"/>
          </w:tcPr>
          <w:p w14:paraId="674C65BC" w14:textId="721418DF" w:rsidR="009E4B10" w:rsidRDefault="009E4B10" w:rsidP="009E4B10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78E7BF13" w14:textId="080B1655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Definitions: Qualifying CBHC Visit</w:t>
            </w:r>
          </w:p>
        </w:tc>
        <w:tc>
          <w:tcPr>
            <w:tcW w:w="3500" w:type="dxa"/>
          </w:tcPr>
          <w:p w14:paraId="6D9A3DAD" w14:textId="1AAB731F" w:rsidR="009E4B10" w:rsidRPr="009808DA" w:rsidRDefault="009E4B10" w:rsidP="00ED1D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Clarified that </w:t>
            </w:r>
            <w:r w:rsidR="00BD131F">
              <w:rPr>
                <w:spacing w:val="-2"/>
                <w:sz w:val="20"/>
              </w:rPr>
              <w:t>Q</w:t>
            </w:r>
            <w:r>
              <w:rPr>
                <w:spacing w:val="-2"/>
                <w:sz w:val="20"/>
              </w:rPr>
              <w:t xml:space="preserve">ualifying CBHC </w:t>
            </w:r>
            <w:r w:rsidR="00BD131F">
              <w:rPr>
                <w:spacing w:val="-2"/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isits can occur on the same calendar day as the discharge from a </w:t>
            </w:r>
            <w:r w:rsidR="00BD131F">
              <w:rPr>
                <w:spacing w:val="-2"/>
                <w:sz w:val="20"/>
              </w:rPr>
              <w:t>Q</w:t>
            </w:r>
            <w:r>
              <w:rPr>
                <w:spacing w:val="-2"/>
                <w:sz w:val="20"/>
              </w:rPr>
              <w:t xml:space="preserve">ualifying </w:t>
            </w:r>
            <w:r w:rsidR="00BD131F"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ospital </w:t>
            </w:r>
            <w:r w:rsidR="00BD131F"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ncounter.</w:t>
            </w:r>
          </w:p>
        </w:tc>
        <w:tc>
          <w:tcPr>
            <w:tcW w:w="1360" w:type="dxa"/>
          </w:tcPr>
          <w:p w14:paraId="513D06C4" w14:textId="0C9AB907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03D03D65" w14:textId="77777777" w:rsidTr="00283403">
        <w:trPr>
          <w:trHeight w:val="918"/>
        </w:trPr>
        <w:tc>
          <w:tcPr>
            <w:tcW w:w="1704" w:type="dxa"/>
          </w:tcPr>
          <w:p w14:paraId="7F5BA8B3" w14:textId="2CAF70A9" w:rsidR="009E4B10" w:rsidRPr="007C3F45" w:rsidRDefault="009E4B10" w:rsidP="009E4B1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All</w:t>
            </w:r>
          </w:p>
        </w:tc>
        <w:tc>
          <w:tcPr>
            <w:tcW w:w="720" w:type="dxa"/>
          </w:tcPr>
          <w:p w14:paraId="7A63DD79" w14:textId="6181D13E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2, 12, 20</w:t>
            </w:r>
          </w:p>
        </w:tc>
        <w:tc>
          <w:tcPr>
            <w:tcW w:w="1454" w:type="dxa"/>
          </w:tcPr>
          <w:p w14:paraId="6434744C" w14:textId="4C452D29" w:rsidR="009E4B10" w:rsidRDefault="009E4B10" w:rsidP="009E4B10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Clarification</w:t>
            </w:r>
          </w:p>
        </w:tc>
        <w:tc>
          <w:tcPr>
            <w:tcW w:w="1620" w:type="dxa"/>
          </w:tcPr>
          <w:p w14:paraId="4B5E85DD" w14:textId="14E25E7B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Measure ID</w:t>
            </w:r>
          </w:p>
        </w:tc>
        <w:tc>
          <w:tcPr>
            <w:tcW w:w="3500" w:type="dxa"/>
          </w:tcPr>
          <w:p w14:paraId="04424B9A" w14:textId="4B4F4D54" w:rsidR="009E4B10" w:rsidRDefault="009E4B10" w:rsidP="00ED1D2F">
            <w:pPr>
              <w:pStyle w:val="TableParagraph"/>
              <w:spacing w:line="20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Added “Measure ID” sections for each measure.</w:t>
            </w:r>
          </w:p>
        </w:tc>
        <w:tc>
          <w:tcPr>
            <w:tcW w:w="1360" w:type="dxa"/>
          </w:tcPr>
          <w:p w14:paraId="7E5AFE07" w14:textId="496181A9" w:rsidR="009E4B10" w:rsidRPr="00D10E2F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  <w:tr w:rsidR="009E4B10" w14:paraId="68E3BF4F" w14:textId="77777777" w:rsidTr="00283403">
        <w:trPr>
          <w:trHeight w:val="918"/>
        </w:trPr>
        <w:tc>
          <w:tcPr>
            <w:tcW w:w="1704" w:type="dxa"/>
          </w:tcPr>
          <w:p w14:paraId="7306A36A" w14:textId="68E41F74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All</w:t>
            </w:r>
          </w:p>
        </w:tc>
        <w:tc>
          <w:tcPr>
            <w:tcW w:w="720" w:type="dxa"/>
          </w:tcPr>
          <w:p w14:paraId="60B81271" w14:textId="2AA45FD7" w:rsidR="009E4B10" w:rsidRDefault="009E4B10" w:rsidP="009E4B10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3, 1</w:t>
            </w:r>
            <w:r w:rsidR="008D42FE">
              <w:rPr>
                <w:spacing w:val="-5"/>
                <w:sz w:val="20"/>
              </w:rPr>
              <w:t>3- 14</w:t>
            </w:r>
            <w:r>
              <w:rPr>
                <w:spacing w:val="-5"/>
                <w:sz w:val="20"/>
              </w:rPr>
              <w:t>, 21</w:t>
            </w:r>
          </w:p>
        </w:tc>
        <w:tc>
          <w:tcPr>
            <w:tcW w:w="1454" w:type="dxa"/>
          </w:tcPr>
          <w:p w14:paraId="10A8597D" w14:textId="598A6DDF" w:rsidR="009E4B10" w:rsidRDefault="009E4B10" w:rsidP="009E4B10">
            <w:pPr>
              <w:pStyle w:val="TableParagraph"/>
              <w:ind w:left="108" w:right="3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Policy Change</w:t>
            </w:r>
          </w:p>
        </w:tc>
        <w:tc>
          <w:tcPr>
            <w:tcW w:w="1620" w:type="dxa"/>
          </w:tcPr>
          <w:p w14:paraId="257DBB1F" w14:textId="2EA5E50C" w:rsidR="009E4B10" w:rsidRDefault="009E4B10" w:rsidP="009E4B1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Eligible Population: Members</w:t>
            </w:r>
          </w:p>
        </w:tc>
        <w:tc>
          <w:tcPr>
            <w:tcW w:w="3500" w:type="dxa"/>
          </w:tcPr>
          <w:p w14:paraId="63805C44" w14:textId="6892A662" w:rsidR="009E4B10" w:rsidRDefault="008D42FE" w:rsidP="009E4B1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Moved “Members” section from “Definitions” to “Eligible Population” and updated the eligible population by plan.</w:t>
            </w:r>
          </w:p>
        </w:tc>
        <w:tc>
          <w:tcPr>
            <w:tcW w:w="1360" w:type="dxa"/>
          </w:tcPr>
          <w:p w14:paraId="4E608BE5" w14:textId="0CE7648C" w:rsidR="009E4B10" w:rsidRDefault="009E4B10" w:rsidP="009E4B10">
            <w:pPr>
              <w:pStyle w:val="TableParagraph"/>
              <w:spacing w:line="229" w:lineRule="exact"/>
              <w:ind w:left="106"/>
              <w:rPr>
                <w:spacing w:val="-2"/>
                <w:sz w:val="20"/>
              </w:rPr>
            </w:pPr>
            <w:r w:rsidRPr="00F92920">
              <w:rPr>
                <w:spacing w:val="-2"/>
                <w:sz w:val="20"/>
              </w:rPr>
              <w:t>1/30/26</w:t>
            </w:r>
          </w:p>
        </w:tc>
      </w:tr>
    </w:tbl>
    <w:p w14:paraId="40B906EC" w14:textId="77777777" w:rsidR="0042318D" w:rsidRDefault="0042318D">
      <w:pPr>
        <w:pStyle w:val="TableParagraph"/>
        <w:spacing w:line="229" w:lineRule="exact"/>
        <w:rPr>
          <w:sz w:val="20"/>
        </w:rPr>
        <w:sectPr w:rsidR="0042318D">
          <w:footerReference w:type="default" r:id="rId11"/>
          <w:type w:val="continuous"/>
          <w:pgSz w:w="12240" w:h="15840"/>
          <w:pgMar w:top="1440" w:right="720" w:bottom="2300" w:left="1080" w:header="0" w:footer="2107" w:gutter="0"/>
          <w:pgNumType w:start="1"/>
          <w:cols w:space="720"/>
        </w:sectPr>
      </w:pPr>
    </w:p>
    <w:p w14:paraId="40B908CB" w14:textId="77777777" w:rsidR="00DA6EBB" w:rsidRDefault="00DA6EBB"/>
    <w:sectPr w:rsidR="00DA6EBB">
      <w:type w:val="continuous"/>
      <w:pgSz w:w="12240" w:h="15840"/>
      <w:pgMar w:top="1420" w:right="720" w:bottom="2300" w:left="1080" w:header="0" w:footer="2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8796" w14:textId="77777777" w:rsidR="008B4CC1" w:rsidRDefault="008B4CC1">
      <w:r>
        <w:separator/>
      </w:r>
    </w:p>
  </w:endnote>
  <w:endnote w:type="continuationSeparator" w:id="0">
    <w:p w14:paraId="50687A1A" w14:textId="77777777" w:rsidR="008B4CC1" w:rsidRDefault="008B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08CD" w14:textId="77777777" w:rsidR="0042318D" w:rsidRDefault="00DA6E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B908CE" wp14:editId="724DFF0A">
              <wp:simplePos x="0" y="0"/>
              <wp:positionH relativeFrom="page">
                <wp:posOffset>368300</wp:posOffset>
              </wp:positionH>
              <wp:positionV relativeFrom="page">
                <wp:posOffset>9150350</wp:posOffset>
              </wp:positionV>
              <wp:extent cx="6311900" cy="604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0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C4CC9" w14:textId="77777777" w:rsidR="00704935" w:rsidRDefault="00DA6EBB">
                          <w:pPr>
                            <w:spacing w:before="14" w:line="237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Clarifications,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Corrections,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Changes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Specifications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the </w:t>
                          </w:r>
                        </w:p>
                        <w:p w14:paraId="40B908D2" w14:textId="15AABE89" w:rsidR="0042318D" w:rsidRDefault="00DA6EBB">
                          <w:pPr>
                            <w:spacing w:before="14" w:line="237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MassHealth </w:t>
                          </w:r>
                          <w:r w:rsidR="00C36801">
                            <w:rPr>
                              <w:sz w:val="20"/>
                            </w:rPr>
                            <w:t>CBHC Clinical Quality</w:t>
                          </w:r>
                          <w:r>
                            <w:rPr>
                              <w:sz w:val="20"/>
                            </w:rPr>
                            <w:t xml:space="preserve"> Incentive </w:t>
                          </w:r>
                          <w:r w:rsidR="00C36801">
                            <w:rPr>
                              <w:sz w:val="20"/>
                            </w:rPr>
                            <w:t xml:space="preserve">(CCQI)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</w:p>
                        <w:p w14:paraId="40B908D3" w14:textId="0C7653CD" w:rsidR="0042318D" w:rsidRDefault="00DA6EB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Performance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29479A"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 w:rsidR="00FE284F" w:rsidRPr="00FE284F"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 w:rsidR="0029479A">
                            <w:rPr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(Calendar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Year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 w:rsidR="0029479A">
                            <w:rPr>
                              <w:spacing w:val="-4"/>
                              <w:sz w:val="20"/>
                            </w:rPr>
                            <w:t>4</w:t>
                          </w:r>
                          <w:r w:rsidR="00FE284F" w:rsidRPr="00FE284F">
                            <w:rPr>
                              <w:spacing w:val="-4"/>
                              <w:sz w:val="20"/>
                            </w:rPr>
                            <w:t>–</w:t>
                          </w:r>
                          <w:r w:rsidR="0029479A">
                            <w:rPr>
                              <w:spacing w:val="-4"/>
                              <w:sz w:val="20"/>
                            </w:rPr>
                            <w:t>2028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)</w:t>
                          </w:r>
                        </w:p>
                        <w:p w14:paraId="40B908D4" w14:textId="32F297D7" w:rsidR="0042318D" w:rsidRDefault="00DA6EB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CE25AC">
                            <w:rPr>
                              <w:sz w:val="20"/>
                            </w:rPr>
                            <w:t>J</w:t>
                          </w:r>
                          <w:r w:rsidR="008A6F31">
                            <w:rPr>
                              <w:sz w:val="20"/>
                            </w:rPr>
                            <w:t>anuary</w:t>
                          </w:r>
                          <w:r w:rsidR="00CE25AC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</w:t>
                          </w:r>
                          <w:r w:rsidR="008A6F31">
                            <w:rPr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B908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pt;margin-top:720.5pt;width:497pt;height:47.6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kelAEAABsDAAAOAAAAZHJzL2Uyb0RvYy54bWysUsGO0zAQvSPxD5bv1GmBCq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" filled="f" stroked="f">
              <v:textbox inset="0,0,0,0">
                <w:txbxContent>
                  <w:p w14:paraId="525C4CC9" w14:textId="77777777" w:rsidR="00704935" w:rsidRDefault="00DA6EBB">
                    <w:pPr>
                      <w:spacing w:before="14" w:line="237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Clarifications,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Corrections,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Changes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Specifications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the </w:t>
                    </w:r>
                  </w:p>
                  <w:p w14:paraId="40B908D2" w14:textId="15AABE89" w:rsidR="0042318D" w:rsidRDefault="00DA6EBB">
                    <w:pPr>
                      <w:spacing w:before="14" w:line="237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MassHealth </w:t>
                    </w:r>
                    <w:r w:rsidR="00C36801">
                      <w:rPr>
                        <w:sz w:val="20"/>
                      </w:rPr>
                      <w:t>CBHC Clinical Quality</w:t>
                    </w:r>
                    <w:r>
                      <w:rPr>
                        <w:sz w:val="20"/>
                      </w:rPr>
                      <w:t xml:space="preserve"> Incentive </w:t>
                    </w:r>
                    <w:r w:rsidR="00C36801">
                      <w:rPr>
                        <w:sz w:val="20"/>
                      </w:rPr>
                      <w:t xml:space="preserve">(CCQI) </w:t>
                    </w:r>
                    <w:r>
                      <w:rPr>
                        <w:sz w:val="20"/>
                      </w:rPr>
                      <w:t>Program</w:t>
                    </w:r>
                  </w:p>
                  <w:p w14:paraId="40B908D3" w14:textId="0C7653CD" w:rsidR="0042318D" w:rsidRDefault="00DA6EB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Performance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Year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29479A">
                      <w:rPr>
                        <w:spacing w:val="-2"/>
                        <w:sz w:val="20"/>
                      </w:rPr>
                      <w:t>1</w:t>
                    </w:r>
                    <w:r w:rsidR="00FE284F" w:rsidRPr="00FE284F">
                      <w:rPr>
                        <w:spacing w:val="-2"/>
                        <w:sz w:val="20"/>
                      </w:rPr>
                      <w:t>–</w:t>
                    </w:r>
                    <w:r w:rsidR="0029479A">
                      <w:rPr>
                        <w:spacing w:val="-2"/>
                        <w:sz w:val="20"/>
                      </w:rPr>
                      <w:t>5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(Calendar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Year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</w:t>
                    </w:r>
                    <w:r w:rsidR="0029479A">
                      <w:rPr>
                        <w:spacing w:val="-4"/>
                        <w:sz w:val="20"/>
                      </w:rPr>
                      <w:t>4</w:t>
                    </w:r>
                    <w:r w:rsidR="00FE284F" w:rsidRPr="00FE284F">
                      <w:rPr>
                        <w:spacing w:val="-4"/>
                        <w:sz w:val="20"/>
                      </w:rPr>
                      <w:t>–</w:t>
                    </w:r>
                    <w:r w:rsidR="0029479A">
                      <w:rPr>
                        <w:spacing w:val="-4"/>
                        <w:sz w:val="20"/>
                      </w:rPr>
                      <w:t>2028</w:t>
                    </w:r>
                    <w:r>
                      <w:rPr>
                        <w:spacing w:val="-4"/>
                        <w:sz w:val="20"/>
                      </w:rPr>
                      <w:t>)</w:t>
                    </w:r>
                  </w:p>
                  <w:p w14:paraId="40B908D4" w14:textId="32F297D7" w:rsidR="0042318D" w:rsidRDefault="00DA6EB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CE25AC">
                      <w:rPr>
                        <w:sz w:val="20"/>
                      </w:rPr>
                      <w:t>J</w:t>
                    </w:r>
                    <w:r w:rsidR="008A6F31">
                      <w:rPr>
                        <w:sz w:val="20"/>
                      </w:rPr>
                      <w:t>anuary</w:t>
                    </w:r>
                    <w:r w:rsidR="00CE25AC"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</w:t>
                    </w:r>
                    <w:r w:rsidR="008A6F31">
                      <w:rPr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0B908D0" wp14:editId="40B908D1">
              <wp:simplePos x="0" y="0"/>
              <wp:positionH relativeFrom="page">
                <wp:posOffset>6751066</wp:posOffset>
              </wp:positionH>
              <wp:positionV relativeFrom="page">
                <wp:posOffset>9277089</wp:posOffset>
              </wp:positionV>
              <wp:extent cx="1593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908D5" w14:textId="77777777" w:rsidR="0042318D" w:rsidRDefault="00DA6EBB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908D0" id="Textbox 2" o:spid="_x0000_s1027" type="#_x0000_t202" style="position:absolute;margin-left:531.6pt;margin-top:730.5pt;width:12.55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" filled="f" stroked="f">
              <v:textbox inset="0,0,0,0">
                <w:txbxContent>
                  <w:p w14:paraId="40B908D5" w14:textId="77777777" w:rsidR="0042318D" w:rsidRDefault="00DA6EBB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46D3" w14:textId="77777777" w:rsidR="008B4CC1" w:rsidRDefault="008B4CC1">
      <w:r>
        <w:separator/>
      </w:r>
    </w:p>
  </w:footnote>
  <w:footnote w:type="continuationSeparator" w:id="0">
    <w:p w14:paraId="146BEE83" w14:textId="77777777" w:rsidR="008B4CC1" w:rsidRDefault="008B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AB6"/>
    <w:multiLevelType w:val="hybridMultilevel"/>
    <w:tmpl w:val="279E5026"/>
    <w:lvl w:ilvl="0" w:tplc="FED25840">
      <w:start w:val="1"/>
      <w:numFmt w:val="decimal"/>
      <w:lvlText w:val="%1.)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69E2422E"/>
    <w:multiLevelType w:val="hybridMultilevel"/>
    <w:tmpl w:val="D9FC515E"/>
    <w:lvl w:ilvl="0" w:tplc="AA3EADF4">
      <w:start w:val="1"/>
      <w:numFmt w:val="decimal"/>
      <w:lvlText w:val="%1.)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688336815">
    <w:abstractNumId w:val="0"/>
  </w:num>
  <w:num w:numId="2" w16cid:durableId="211597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8D"/>
    <w:rsid w:val="000031A9"/>
    <w:rsid w:val="00005BEE"/>
    <w:rsid w:val="00015050"/>
    <w:rsid w:val="000237C4"/>
    <w:rsid w:val="00024651"/>
    <w:rsid w:val="0003200D"/>
    <w:rsid w:val="00045137"/>
    <w:rsid w:val="00077142"/>
    <w:rsid w:val="00077D64"/>
    <w:rsid w:val="000B5B1E"/>
    <w:rsid w:val="000C6791"/>
    <w:rsid w:val="000E772A"/>
    <w:rsid w:val="00116F98"/>
    <w:rsid w:val="00133044"/>
    <w:rsid w:val="00141A5F"/>
    <w:rsid w:val="00152920"/>
    <w:rsid w:val="001543F3"/>
    <w:rsid w:val="00155051"/>
    <w:rsid w:val="00156113"/>
    <w:rsid w:val="001727DA"/>
    <w:rsid w:val="00186191"/>
    <w:rsid w:val="001A0A9E"/>
    <w:rsid w:val="001A5D6D"/>
    <w:rsid w:val="001D49C6"/>
    <w:rsid w:val="001F55A6"/>
    <w:rsid w:val="001F70FF"/>
    <w:rsid w:val="00215325"/>
    <w:rsid w:val="00236197"/>
    <w:rsid w:val="00237EB3"/>
    <w:rsid w:val="00240410"/>
    <w:rsid w:val="00270052"/>
    <w:rsid w:val="00283403"/>
    <w:rsid w:val="00286BBC"/>
    <w:rsid w:val="0029479A"/>
    <w:rsid w:val="002A23E4"/>
    <w:rsid w:val="002B29C7"/>
    <w:rsid w:val="002C1A64"/>
    <w:rsid w:val="002C506D"/>
    <w:rsid w:val="002D610C"/>
    <w:rsid w:val="002E3151"/>
    <w:rsid w:val="002E328F"/>
    <w:rsid w:val="002F081F"/>
    <w:rsid w:val="002F12E7"/>
    <w:rsid w:val="0030586E"/>
    <w:rsid w:val="00305A40"/>
    <w:rsid w:val="0033487A"/>
    <w:rsid w:val="00337A9E"/>
    <w:rsid w:val="00347C88"/>
    <w:rsid w:val="00371969"/>
    <w:rsid w:val="003735A1"/>
    <w:rsid w:val="00380822"/>
    <w:rsid w:val="003827B1"/>
    <w:rsid w:val="00382D41"/>
    <w:rsid w:val="00394F1D"/>
    <w:rsid w:val="003A081D"/>
    <w:rsid w:val="003D659D"/>
    <w:rsid w:val="003E4824"/>
    <w:rsid w:val="003E5CF6"/>
    <w:rsid w:val="003F724E"/>
    <w:rsid w:val="004005FB"/>
    <w:rsid w:val="0040220F"/>
    <w:rsid w:val="004068C2"/>
    <w:rsid w:val="004069D7"/>
    <w:rsid w:val="00417E35"/>
    <w:rsid w:val="0042318D"/>
    <w:rsid w:val="00426D24"/>
    <w:rsid w:val="00460A30"/>
    <w:rsid w:val="004740FA"/>
    <w:rsid w:val="00475D95"/>
    <w:rsid w:val="00495969"/>
    <w:rsid w:val="004C7186"/>
    <w:rsid w:val="004D1F47"/>
    <w:rsid w:val="00520679"/>
    <w:rsid w:val="00523A32"/>
    <w:rsid w:val="00530729"/>
    <w:rsid w:val="00547D79"/>
    <w:rsid w:val="00550A4E"/>
    <w:rsid w:val="00561EDC"/>
    <w:rsid w:val="00564BDB"/>
    <w:rsid w:val="00566A57"/>
    <w:rsid w:val="005815B3"/>
    <w:rsid w:val="00595073"/>
    <w:rsid w:val="00597803"/>
    <w:rsid w:val="005A0287"/>
    <w:rsid w:val="005B12CD"/>
    <w:rsid w:val="005C4B9C"/>
    <w:rsid w:val="005C64BE"/>
    <w:rsid w:val="005E166A"/>
    <w:rsid w:val="005F4B14"/>
    <w:rsid w:val="005F7C7B"/>
    <w:rsid w:val="00601B7F"/>
    <w:rsid w:val="00610F05"/>
    <w:rsid w:val="00622282"/>
    <w:rsid w:val="00650222"/>
    <w:rsid w:val="00654466"/>
    <w:rsid w:val="006565C3"/>
    <w:rsid w:val="0066445D"/>
    <w:rsid w:val="0066475F"/>
    <w:rsid w:val="006657B5"/>
    <w:rsid w:val="00677596"/>
    <w:rsid w:val="00692136"/>
    <w:rsid w:val="006B26FB"/>
    <w:rsid w:val="006B3434"/>
    <w:rsid w:val="00704935"/>
    <w:rsid w:val="00711903"/>
    <w:rsid w:val="0072191C"/>
    <w:rsid w:val="00724459"/>
    <w:rsid w:val="00741A77"/>
    <w:rsid w:val="007420C9"/>
    <w:rsid w:val="0074562C"/>
    <w:rsid w:val="00751587"/>
    <w:rsid w:val="00776630"/>
    <w:rsid w:val="007923C8"/>
    <w:rsid w:val="007B29D2"/>
    <w:rsid w:val="007D546C"/>
    <w:rsid w:val="007F0615"/>
    <w:rsid w:val="007F2CBC"/>
    <w:rsid w:val="00804625"/>
    <w:rsid w:val="00812D88"/>
    <w:rsid w:val="00820E57"/>
    <w:rsid w:val="008337D8"/>
    <w:rsid w:val="00845597"/>
    <w:rsid w:val="00856AC2"/>
    <w:rsid w:val="008720A4"/>
    <w:rsid w:val="008754DB"/>
    <w:rsid w:val="008A3783"/>
    <w:rsid w:val="008A4C25"/>
    <w:rsid w:val="008A6F31"/>
    <w:rsid w:val="008B4CC1"/>
    <w:rsid w:val="008C60DB"/>
    <w:rsid w:val="008D277F"/>
    <w:rsid w:val="008D42FE"/>
    <w:rsid w:val="008D6245"/>
    <w:rsid w:val="00912AAD"/>
    <w:rsid w:val="009143CF"/>
    <w:rsid w:val="00917F78"/>
    <w:rsid w:val="0092739F"/>
    <w:rsid w:val="00954267"/>
    <w:rsid w:val="00964366"/>
    <w:rsid w:val="009808DA"/>
    <w:rsid w:val="009B1106"/>
    <w:rsid w:val="009B52E0"/>
    <w:rsid w:val="009C5CFA"/>
    <w:rsid w:val="009D3999"/>
    <w:rsid w:val="009E00E3"/>
    <w:rsid w:val="009E4B10"/>
    <w:rsid w:val="009F15DD"/>
    <w:rsid w:val="00A2123D"/>
    <w:rsid w:val="00A23292"/>
    <w:rsid w:val="00A500E0"/>
    <w:rsid w:val="00A52FD6"/>
    <w:rsid w:val="00A54297"/>
    <w:rsid w:val="00A61A9E"/>
    <w:rsid w:val="00A651E8"/>
    <w:rsid w:val="00A659DC"/>
    <w:rsid w:val="00A75077"/>
    <w:rsid w:val="00A76832"/>
    <w:rsid w:val="00A812E5"/>
    <w:rsid w:val="00A8444F"/>
    <w:rsid w:val="00A84D2E"/>
    <w:rsid w:val="00AA6A0C"/>
    <w:rsid w:val="00AC007E"/>
    <w:rsid w:val="00AC03B2"/>
    <w:rsid w:val="00B032A4"/>
    <w:rsid w:val="00B03394"/>
    <w:rsid w:val="00B22A3D"/>
    <w:rsid w:val="00B36297"/>
    <w:rsid w:val="00B62A5F"/>
    <w:rsid w:val="00B94074"/>
    <w:rsid w:val="00BB2752"/>
    <w:rsid w:val="00BB3A60"/>
    <w:rsid w:val="00BD131F"/>
    <w:rsid w:val="00BE7D86"/>
    <w:rsid w:val="00BF2476"/>
    <w:rsid w:val="00BF7A47"/>
    <w:rsid w:val="00C02D15"/>
    <w:rsid w:val="00C045DC"/>
    <w:rsid w:val="00C24438"/>
    <w:rsid w:val="00C25D0A"/>
    <w:rsid w:val="00C36801"/>
    <w:rsid w:val="00C4180D"/>
    <w:rsid w:val="00C42C87"/>
    <w:rsid w:val="00C71030"/>
    <w:rsid w:val="00C73A87"/>
    <w:rsid w:val="00C832C2"/>
    <w:rsid w:val="00C90F63"/>
    <w:rsid w:val="00CA00E6"/>
    <w:rsid w:val="00CA056E"/>
    <w:rsid w:val="00CA5D4C"/>
    <w:rsid w:val="00CB48E0"/>
    <w:rsid w:val="00CC7634"/>
    <w:rsid w:val="00CD3BE9"/>
    <w:rsid w:val="00CD70F2"/>
    <w:rsid w:val="00CE25AC"/>
    <w:rsid w:val="00D00697"/>
    <w:rsid w:val="00D03912"/>
    <w:rsid w:val="00D17F1C"/>
    <w:rsid w:val="00D2655C"/>
    <w:rsid w:val="00D31F63"/>
    <w:rsid w:val="00D73788"/>
    <w:rsid w:val="00D87160"/>
    <w:rsid w:val="00D97382"/>
    <w:rsid w:val="00DA17A5"/>
    <w:rsid w:val="00DA6EBB"/>
    <w:rsid w:val="00DB1EE8"/>
    <w:rsid w:val="00DB7BAB"/>
    <w:rsid w:val="00DC0C53"/>
    <w:rsid w:val="00DC3FD2"/>
    <w:rsid w:val="00DD02D2"/>
    <w:rsid w:val="00DD4385"/>
    <w:rsid w:val="00E06816"/>
    <w:rsid w:val="00E12063"/>
    <w:rsid w:val="00E17862"/>
    <w:rsid w:val="00E21F57"/>
    <w:rsid w:val="00E26A2A"/>
    <w:rsid w:val="00E343A6"/>
    <w:rsid w:val="00E51144"/>
    <w:rsid w:val="00E70576"/>
    <w:rsid w:val="00EA29D7"/>
    <w:rsid w:val="00EA3E94"/>
    <w:rsid w:val="00EC380B"/>
    <w:rsid w:val="00ED1D2F"/>
    <w:rsid w:val="00F040BB"/>
    <w:rsid w:val="00F067BB"/>
    <w:rsid w:val="00F12438"/>
    <w:rsid w:val="00F14646"/>
    <w:rsid w:val="00F167BF"/>
    <w:rsid w:val="00F21972"/>
    <w:rsid w:val="00F25314"/>
    <w:rsid w:val="00F307F7"/>
    <w:rsid w:val="00F52A13"/>
    <w:rsid w:val="00F573B5"/>
    <w:rsid w:val="00F6379E"/>
    <w:rsid w:val="00F725A0"/>
    <w:rsid w:val="00F9048C"/>
    <w:rsid w:val="00F97AF5"/>
    <w:rsid w:val="00FA06C9"/>
    <w:rsid w:val="00FB1688"/>
    <w:rsid w:val="00FB2303"/>
    <w:rsid w:val="00FB7EF4"/>
    <w:rsid w:val="00FD18B1"/>
    <w:rsid w:val="00FE284F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906B0"/>
  <w15:docId w15:val="{80EA5955-B55D-4972-A3B1-AF742DD9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83" w:right="164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36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8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6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80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E25A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3" ma:contentTypeDescription="Create a new document." ma:contentTypeScope="" ma:versionID="dc5cf5c3893931630d082899a37272d5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4f33d264122f3d7c0ad4a3e08603da84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5589b0-f8d5-4d0b-bef3-55eaac4a8b05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c891a-0252-4974-8600-27cecaf0be66" xsi:nil="true"/>
    <lcf76f155ced4ddcb4097134ff3c332f xmlns="fd2e816c-d1fb-4f26-8b49-df26b1d7fe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87648-BF73-4EB7-BAAE-9A652724D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0F615-D680-4FDF-A70D-135BE6D7FEA7}">
  <ds:schemaRefs>
    <ds:schemaRef ds:uri="http://schemas.microsoft.com/office/2006/metadata/properties"/>
    <ds:schemaRef ds:uri="http://schemas.microsoft.com/office/infopath/2007/PartnerControls"/>
    <ds:schemaRef ds:uri="a36c891a-0252-4974-8600-27cecaf0be66"/>
    <ds:schemaRef ds:uri="fd2e816c-d1fb-4f26-8b49-df26b1d7fe4a"/>
  </ds:schemaRefs>
</ds:datastoreItem>
</file>

<file path=customXml/itemProps3.xml><?xml version="1.0" encoding="utf-8"?>
<ds:datastoreItem xmlns:ds="http://schemas.openxmlformats.org/officeDocument/2006/customXml" ds:itemID="{F721420F-4522-407B-98A5-C1A84C480F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Guimaraes, Erica (EHS)</dc:creator>
  <cp:lastModifiedBy>Lin, Jeanne (EHS)</cp:lastModifiedBy>
  <cp:revision>2</cp:revision>
  <dcterms:created xsi:type="dcterms:W3CDTF">2026-01-30T21:56:00Z</dcterms:created>
  <dcterms:modified xsi:type="dcterms:W3CDTF">2026-01-30T21:56:00Z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0x01010026340F7C52DB8F4A89FAFA8C24F128F9</vt:lpwstr>
  </property>
  <property fmtid="{D5CDD505-2E9C-101B-9397-08002B2CF9AE}" pid="7" name="MediaServiceImageTags">
    <vt:lpwstr/>
  </property>
</Properties>
</file>