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16F09" w14:textId="773DEC8B" w:rsidR="00A10484" w:rsidRDefault="00AF12C4" w:rsidP="00A2042F">
      <w:pPr>
        <w:pStyle w:val="Title"/>
        <w:jc w:val="center"/>
        <w:rPr>
          <w:sz w:val="44"/>
          <w:szCs w:val="44"/>
        </w:rPr>
      </w:pPr>
      <w:r w:rsidRPr="00AF12C4">
        <w:rPr>
          <w:sz w:val="44"/>
          <w:szCs w:val="44"/>
        </w:rPr>
        <w:t xml:space="preserve">Massachusetts CDBG Welcome Guide for New </w:t>
      </w:r>
      <w:r w:rsidR="00972EF5">
        <w:rPr>
          <w:sz w:val="44"/>
          <w:szCs w:val="44"/>
        </w:rPr>
        <w:t>Grantee</w:t>
      </w:r>
      <w:r w:rsidR="00FE2D47">
        <w:rPr>
          <w:sz w:val="44"/>
          <w:szCs w:val="44"/>
        </w:rPr>
        <w:t xml:space="preserve"> </w:t>
      </w:r>
      <w:r w:rsidRPr="00AF12C4">
        <w:rPr>
          <w:sz w:val="44"/>
          <w:szCs w:val="44"/>
        </w:rPr>
        <w:t>Staff</w:t>
      </w:r>
      <w:r w:rsidR="007B7E16">
        <w:rPr>
          <w:sz w:val="44"/>
          <w:szCs w:val="44"/>
        </w:rPr>
        <w:t xml:space="preserve"> and Consultants</w:t>
      </w:r>
    </w:p>
    <w:p w14:paraId="624ACA98" w14:textId="6CD1617D" w:rsidR="00AF12C4" w:rsidRDefault="00AF12C4">
      <w:pPr>
        <w:pStyle w:val="Title"/>
        <w:rPr>
          <w:sz w:val="44"/>
          <w:szCs w:val="44"/>
        </w:rPr>
      </w:pPr>
    </w:p>
    <w:p w14:paraId="1BEC78BC" w14:textId="5FA39DAA" w:rsidR="00AF12C4" w:rsidRDefault="00AF12C4" w:rsidP="00AF12C4">
      <w:r>
        <w:t xml:space="preserve">Welcome to the Massachusetts Community Development Block Grant (CDBG) Program!  </w:t>
      </w:r>
      <w:r w:rsidRPr="00D46AC7">
        <w:t>The CDBG Program is one of the leading federal investments in community-based initiatives</w:t>
      </w:r>
      <w:r>
        <w:t>.</w:t>
      </w:r>
      <w:r w:rsidRPr="00D46AC7">
        <w:t xml:space="preserve"> CDBG is flexible, responsive, sustainable, collaborative, and empowering. It is the one of the most successful and highly utilized community development resources in the U.S.  </w:t>
      </w:r>
    </w:p>
    <w:p w14:paraId="2076582C" w14:textId="006A416F" w:rsidR="00AF12C4" w:rsidRPr="00AF12C4" w:rsidRDefault="00AF12C4" w:rsidP="00AF12C4">
      <w:r>
        <w:t xml:space="preserve">The program has many complexities and nuances. This resource sheet for new community development staff is intended to give you a beginning roadmap to learn about the program, where to find information about activities and requirements, and to introduce you to the Massachusetts State CDBG Program that supports projects in over </w:t>
      </w:r>
      <w:r w:rsidR="003600AB">
        <w:t xml:space="preserve">80 </w:t>
      </w:r>
      <w:r>
        <w:t>Massachusetts communities</w:t>
      </w:r>
      <w:r w:rsidR="003600AB">
        <w:t xml:space="preserve"> </w:t>
      </w:r>
      <w:r w:rsidR="003600AB" w:rsidRPr="003600AB">
        <w:t>(</w:t>
      </w:r>
      <w:r w:rsidR="003600AB">
        <w:t>this number represents lead and joint participants)</w:t>
      </w:r>
      <w:r>
        <w:t xml:space="preserve">. Welcome! You are an important part of </w:t>
      </w:r>
      <w:r w:rsidRPr="003B56AE">
        <w:t>implementing projects that have been envisioned and prioritized by local communities.</w:t>
      </w:r>
    </w:p>
    <w:p w14:paraId="421FD807" w14:textId="05434B88" w:rsidR="00855982" w:rsidRDefault="00AF12C4" w:rsidP="00AF12C4">
      <w:pPr>
        <w:pStyle w:val="Heading2"/>
      </w:pPr>
      <w:r>
        <w:t>The CDBG Big Picture</w:t>
      </w:r>
    </w:p>
    <w:p w14:paraId="50646CCD" w14:textId="5A94CD81" w:rsidR="00AF12C4" w:rsidRDefault="00AF12C4" w:rsidP="1703F25F">
      <w:pPr>
        <w:pStyle w:val="NormalWeb"/>
        <w:shd w:val="clear" w:color="auto" w:fill="FFFFFF" w:themeFill="background1"/>
        <w:spacing w:before="0" w:beforeAutospacing="0" w:after="0" w:afterAutospacing="0"/>
        <w:rPr>
          <w:rFonts w:ascii="IBM Plex Serif" w:eastAsia="IBM Plex Serif" w:hAnsi="IBM Plex Serif" w:cs="IBM Plex Serif"/>
          <w:color w:val="000000" w:themeColor="text1"/>
        </w:rPr>
      </w:pPr>
      <w:r w:rsidRPr="1703F25F">
        <w:rPr>
          <w:rFonts w:ascii="Calibri" w:hAnsi="Calibri" w:cs="Calibri"/>
          <w:color w:val="424242"/>
          <w:sz w:val="22"/>
          <w:szCs w:val="22"/>
        </w:rPr>
        <w:t>The Housing and Community Development Act of 1974 (HCDA), authoriz</w:t>
      </w:r>
      <w:r w:rsidR="3CC8B93A" w:rsidRPr="1703F25F">
        <w:rPr>
          <w:rFonts w:ascii="Calibri" w:hAnsi="Calibri" w:cs="Calibri"/>
          <w:color w:val="424242"/>
          <w:sz w:val="22"/>
          <w:szCs w:val="22"/>
        </w:rPr>
        <w:t>es t</w:t>
      </w:r>
      <w:r w:rsidR="3A736DC3" w:rsidRPr="1703F25F">
        <w:rPr>
          <w:rFonts w:ascii="Calibri" w:hAnsi="Calibri" w:cs="Calibri"/>
          <w:color w:val="424242"/>
          <w:sz w:val="22"/>
          <w:szCs w:val="22"/>
        </w:rPr>
        <w:t>he</w:t>
      </w:r>
      <w:r w:rsidR="19198101" w:rsidRPr="1703F25F">
        <w:rPr>
          <w:rFonts w:ascii="Calibri" w:hAnsi="Calibri" w:cs="Calibri"/>
          <w:color w:val="424242"/>
          <w:sz w:val="22"/>
          <w:szCs w:val="22"/>
        </w:rPr>
        <w:t xml:space="preserve"> U.S. </w:t>
      </w:r>
      <w:r w:rsidR="3A736DC3" w:rsidRPr="1703F25F">
        <w:rPr>
          <w:rFonts w:ascii="Calibri" w:hAnsi="Calibri" w:cs="Calibri"/>
          <w:color w:val="424242"/>
          <w:sz w:val="22"/>
          <w:szCs w:val="22"/>
        </w:rPr>
        <w:t xml:space="preserve">Department of Housing </w:t>
      </w:r>
      <w:r w:rsidR="75521D98" w:rsidRPr="1703F25F">
        <w:rPr>
          <w:rFonts w:ascii="Calibri" w:hAnsi="Calibri" w:cs="Calibri"/>
          <w:color w:val="424242"/>
          <w:sz w:val="22"/>
          <w:szCs w:val="22"/>
        </w:rPr>
        <w:t>and</w:t>
      </w:r>
      <w:r w:rsidR="3A736DC3" w:rsidRPr="1703F25F">
        <w:rPr>
          <w:rFonts w:ascii="Calibri" w:hAnsi="Calibri" w:cs="Calibri"/>
          <w:color w:val="424242"/>
          <w:sz w:val="22"/>
          <w:szCs w:val="22"/>
        </w:rPr>
        <w:t xml:space="preserve"> Urban Development (</w:t>
      </w:r>
      <w:r w:rsidR="50948DA2" w:rsidRPr="1703F25F">
        <w:rPr>
          <w:rFonts w:ascii="Calibri" w:hAnsi="Calibri" w:cs="Calibri"/>
          <w:color w:val="424242"/>
          <w:sz w:val="22"/>
          <w:szCs w:val="22"/>
        </w:rPr>
        <w:t xml:space="preserve">HUD) </w:t>
      </w:r>
      <w:r w:rsidRPr="1703F25F">
        <w:rPr>
          <w:rFonts w:ascii="Calibri" w:hAnsi="Calibri" w:cs="Calibri"/>
          <w:color w:val="424242"/>
          <w:sz w:val="22"/>
          <w:szCs w:val="22"/>
        </w:rPr>
        <w:t xml:space="preserve">to make grants under the CDBG Program. Beginning in 1975, it </w:t>
      </w:r>
      <w:r w:rsidR="29625931" w:rsidRPr="1703F25F">
        <w:rPr>
          <w:rFonts w:ascii="Calibri" w:hAnsi="Calibri" w:cs="Calibri"/>
          <w:color w:val="424242"/>
          <w:sz w:val="22"/>
          <w:szCs w:val="22"/>
        </w:rPr>
        <w:t>replaced</w:t>
      </w:r>
      <w:r w:rsidR="7EF203CB" w:rsidRPr="1703F25F">
        <w:rPr>
          <w:rFonts w:ascii="Calibri" w:hAnsi="Calibri" w:cs="Calibri"/>
          <w:color w:val="424242"/>
          <w:sz w:val="22"/>
          <w:szCs w:val="22"/>
        </w:rPr>
        <w:t xml:space="preserve"> </w:t>
      </w:r>
      <w:r w:rsidRPr="1703F25F">
        <w:rPr>
          <w:rFonts w:ascii="Calibri" w:hAnsi="Calibri" w:cs="Calibri"/>
          <w:color w:val="424242"/>
          <w:sz w:val="22"/>
          <w:szCs w:val="22"/>
        </w:rPr>
        <w:t xml:space="preserve">eight </w:t>
      </w:r>
      <w:r w:rsidR="1B5E1E81" w:rsidRPr="1703F25F">
        <w:rPr>
          <w:rFonts w:ascii="Calibri" w:hAnsi="Calibri" w:cs="Calibri"/>
          <w:color w:val="424242"/>
          <w:sz w:val="22"/>
          <w:szCs w:val="22"/>
        </w:rPr>
        <w:t xml:space="preserve">different </w:t>
      </w:r>
      <w:r w:rsidRPr="1703F25F">
        <w:rPr>
          <w:rFonts w:ascii="Calibri" w:hAnsi="Calibri" w:cs="Calibri"/>
          <w:color w:val="424242"/>
          <w:sz w:val="22"/>
          <w:szCs w:val="22"/>
        </w:rPr>
        <w:t>categorical programs into a single non-competitive “block grant” awarded annually</w:t>
      </w:r>
      <w:r w:rsidR="41712614" w:rsidRPr="1703F25F">
        <w:rPr>
          <w:rFonts w:ascii="Calibri" w:hAnsi="Calibri" w:cs="Calibri"/>
          <w:color w:val="424242"/>
          <w:sz w:val="22"/>
          <w:szCs w:val="22"/>
        </w:rPr>
        <w:t xml:space="preserve"> on a formula basis to states, </w:t>
      </w:r>
      <w:proofErr w:type="gramStart"/>
      <w:r w:rsidR="41712614" w:rsidRPr="1703F25F">
        <w:rPr>
          <w:rFonts w:ascii="Calibri" w:hAnsi="Calibri" w:cs="Calibri"/>
          <w:color w:val="424242"/>
          <w:sz w:val="22"/>
          <w:szCs w:val="22"/>
        </w:rPr>
        <w:t>cities</w:t>
      </w:r>
      <w:proofErr w:type="gramEnd"/>
      <w:r w:rsidR="41712614" w:rsidRPr="1703F25F">
        <w:rPr>
          <w:rFonts w:ascii="Calibri" w:hAnsi="Calibri" w:cs="Calibri"/>
          <w:color w:val="424242"/>
          <w:sz w:val="22"/>
          <w:szCs w:val="22"/>
        </w:rPr>
        <w:t xml:space="preserve"> and counties to develop viable urban communities</w:t>
      </w:r>
      <w:r w:rsidR="491F479D" w:rsidRPr="1703F25F">
        <w:rPr>
          <w:rFonts w:ascii="Calibri" w:hAnsi="Calibri" w:cs="Calibri"/>
          <w:color w:val="424242"/>
          <w:sz w:val="22"/>
          <w:szCs w:val="22"/>
        </w:rPr>
        <w:t xml:space="preserve"> by providing decent housing and a suitable living environment, and by expanding econ</w:t>
      </w:r>
      <w:r w:rsidR="5A292E5A" w:rsidRPr="1703F25F">
        <w:rPr>
          <w:rFonts w:ascii="Calibri" w:hAnsi="Calibri" w:cs="Calibri"/>
          <w:color w:val="424242"/>
          <w:sz w:val="22"/>
          <w:szCs w:val="22"/>
        </w:rPr>
        <w:t>o</w:t>
      </w:r>
      <w:r w:rsidR="491F479D" w:rsidRPr="1703F25F">
        <w:rPr>
          <w:rFonts w:ascii="Calibri" w:hAnsi="Calibri" w:cs="Calibri"/>
          <w:color w:val="424242"/>
          <w:sz w:val="22"/>
          <w:szCs w:val="22"/>
        </w:rPr>
        <w:t>mic</w:t>
      </w:r>
      <w:r w:rsidR="2AA00B41" w:rsidRPr="1703F25F">
        <w:rPr>
          <w:rFonts w:ascii="Calibri" w:hAnsi="Calibri" w:cs="Calibri"/>
          <w:color w:val="424242"/>
          <w:sz w:val="22"/>
          <w:szCs w:val="22"/>
        </w:rPr>
        <w:t xml:space="preserve"> opportuniti</w:t>
      </w:r>
      <w:r w:rsidR="3677E585" w:rsidRPr="1703F25F">
        <w:rPr>
          <w:rFonts w:ascii="Calibri" w:hAnsi="Calibri" w:cs="Calibri"/>
          <w:color w:val="424242"/>
          <w:sz w:val="22"/>
          <w:szCs w:val="22"/>
        </w:rPr>
        <w:t>e</w:t>
      </w:r>
      <w:r w:rsidR="2AA00B41" w:rsidRPr="1703F25F">
        <w:rPr>
          <w:rFonts w:ascii="Calibri" w:hAnsi="Calibri" w:cs="Calibri"/>
          <w:color w:val="424242"/>
          <w:sz w:val="22"/>
          <w:szCs w:val="22"/>
        </w:rPr>
        <w:t>s</w:t>
      </w:r>
      <w:r w:rsidR="6EBC6149" w:rsidRPr="1703F25F">
        <w:rPr>
          <w:rFonts w:ascii="Calibri" w:hAnsi="Calibri" w:cs="Calibri"/>
          <w:color w:val="424242"/>
          <w:sz w:val="22"/>
          <w:szCs w:val="22"/>
        </w:rPr>
        <w:t xml:space="preserve">, principally for low and moderate-income persons.  </w:t>
      </w:r>
      <w:r w:rsidRPr="1703F25F">
        <w:rPr>
          <w:rFonts w:ascii="Calibri" w:hAnsi="Calibri" w:cs="Calibri"/>
          <w:color w:val="424242"/>
          <w:sz w:val="22"/>
          <w:szCs w:val="22"/>
        </w:rPr>
        <w:t xml:space="preserve">This new approach allowed </w:t>
      </w:r>
      <w:r w:rsidR="7CB51668" w:rsidRPr="1703F25F">
        <w:rPr>
          <w:rFonts w:ascii="Calibri" w:hAnsi="Calibri" w:cs="Calibri"/>
          <w:color w:val="424242"/>
          <w:sz w:val="22"/>
          <w:szCs w:val="22"/>
        </w:rPr>
        <w:t>c</w:t>
      </w:r>
      <w:r w:rsidRPr="1703F25F">
        <w:rPr>
          <w:rFonts w:ascii="Calibri" w:hAnsi="Calibri" w:cs="Calibri"/>
          <w:color w:val="424242"/>
          <w:sz w:val="22"/>
          <w:szCs w:val="22"/>
        </w:rPr>
        <w:t xml:space="preserve">ommunities </w:t>
      </w:r>
      <w:r w:rsidR="56EAE6E4" w:rsidRPr="1703F25F">
        <w:rPr>
          <w:rFonts w:ascii="Calibri" w:hAnsi="Calibri" w:cs="Calibri"/>
          <w:color w:val="424242"/>
          <w:sz w:val="22"/>
          <w:szCs w:val="22"/>
        </w:rPr>
        <w:t xml:space="preserve">the flexibility </w:t>
      </w:r>
      <w:r w:rsidRPr="1703F25F">
        <w:rPr>
          <w:rFonts w:ascii="Calibri" w:hAnsi="Calibri" w:cs="Calibri"/>
          <w:color w:val="424242"/>
          <w:sz w:val="22"/>
          <w:szCs w:val="22"/>
        </w:rPr>
        <w:t>to design programs that reflect local needs.</w:t>
      </w:r>
      <w:r w:rsidR="035319C8" w:rsidRPr="1703F25F">
        <w:rPr>
          <w:rFonts w:ascii="Calibri" w:hAnsi="Calibri" w:cs="Calibri"/>
          <w:color w:val="424242"/>
          <w:sz w:val="22"/>
          <w:szCs w:val="22"/>
        </w:rPr>
        <w:t xml:space="preserve">  </w:t>
      </w:r>
    </w:p>
    <w:p w14:paraId="179AA78E" w14:textId="730E95BB" w:rsidR="1703F25F" w:rsidRDefault="1703F25F" w:rsidP="1703F25F">
      <w:pPr>
        <w:pStyle w:val="NormalWeb"/>
        <w:shd w:val="clear" w:color="auto" w:fill="FFFFFF" w:themeFill="background1"/>
        <w:spacing w:before="0" w:beforeAutospacing="0" w:after="0" w:afterAutospacing="0"/>
        <w:rPr>
          <w:rFonts w:ascii="Calibri" w:hAnsi="Calibri" w:cs="Calibri"/>
          <w:color w:val="424242"/>
          <w:sz w:val="22"/>
          <w:szCs w:val="22"/>
        </w:rPr>
      </w:pPr>
    </w:p>
    <w:p w14:paraId="37AEC878" w14:textId="77777777" w:rsidR="00AF12C4" w:rsidRDefault="00AF12C4" w:rsidP="00AF12C4">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Statutory changes in the 1980’s clearly focused CDBG so that at least 70% of expenditures must benefit low to moderate-income people. Initially, only “entitlement jurisdictions” (larger cities and urban counties) were eligible to receive CDBG block grants directly from HUD based on a distribution formula. Congress amended the HCDA in 1981 to give each state the opportunity to administer CDBG funds for “non-entitlement” areas – units of local government not eligible to receive a formula allocation. All states, except for Hawaii, operate their own CDBG program.</w:t>
      </w:r>
    </w:p>
    <w:p w14:paraId="474D6ED2" w14:textId="77777777" w:rsidR="00AF12C4" w:rsidRDefault="00AF12C4" w:rsidP="00AF12C4">
      <w:pPr>
        <w:pStyle w:val="NormalWeb"/>
        <w:shd w:val="clear" w:color="auto" w:fill="FFFFFF"/>
        <w:spacing w:before="0" w:beforeAutospacing="0" w:after="0" w:afterAutospacing="0"/>
        <w:rPr>
          <w:rFonts w:ascii="Calibri" w:hAnsi="Calibri" w:cs="Calibri"/>
          <w:color w:val="424242"/>
          <w:sz w:val="22"/>
          <w:szCs w:val="22"/>
        </w:rPr>
      </w:pPr>
    </w:p>
    <w:p w14:paraId="00A15638" w14:textId="13064366" w:rsidR="00AF12C4" w:rsidRDefault="00AF12C4" w:rsidP="1703F25F">
      <w:pPr>
        <w:pStyle w:val="NormalWeb"/>
        <w:shd w:val="clear" w:color="auto" w:fill="FFFFFF" w:themeFill="background1"/>
        <w:spacing w:before="0" w:beforeAutospacing="0" w:after="0" w:afterAutospacing="0"/>
        <w:rPr>
          <w:rFonts w:ascii="Calibri" w:hAnsi="Calibri" w:cs="Calibri"/>
          <w:color w:val="424242"/>
          <w:sz w:val="22"/>
          <w:szCs w:val="22"/>
        </w:rPr>
      </w:pPr>
      <w:r w:rsidRPr="1703F25F">
        <w:rPr>
          <w:rFonts w:ascii="Calibri" w:hAnsi="Calibri" w:cs="Calibri"/>
          <w:color w:val="424242"/>
          <w:sz w:val="22"/>
          <w:szCs w:val="22"/>
        </w:rPr>
        <w:t xml:space="preserve">The Massachusetts CDBG Program is one such state program. It is a federally funded, competitive grant program designed to help small cities and towns meet a broad range of community development needs. </w:t>
      </w:r>
      <w:r w:rsidRPr="1703F25F">
        <w:rPr>
          <w:rFonts w:ascii="Calibri" w:hAnsi="Calibri" w:cs="Calibri"/>
          <w:b/>
          <w:bCs/>
          <w:color w:val="424242"/>
          <w:sz w:val="22"/>
          <w:szCs w:val="22"/>
        </w:rPr>
        <w:t>The Community Development Fund (CDF)</w:t>
      </w:r>
      <w:r w:rsidRPr="1703F25F">
        <w:rPr>
          <w:rFonts w:ascii="Calibri" w:hAnsi="Calibri" w:cs="Calibri"/>
          <w:color w:val="424242"/>
          <w:sz w:val="22"/>
          <w:szCs w:val="22"/>
        </w:rPr>
        <w:t xml:space="preserve"> awards grants to communities throughout the Commonwealth. This program helps eligible cities and towns to meet a broad range of community development needs in housing, infrastructure, revitalization, economic development, and public social services. The </w:t>
      </w:r>
      <w:r w:rsidRPr="1703F25F">
        <w:rPr>
          <w:rFonts w:ascii="Calibri" w:hAnsi="Calibri" w:cs="Calibri"/>
          <w:b/>
          <w:bCs/>
          <w:color w:val="424242"/>
          <w:sz w:val="22"/>
          <w:szCs w:val="22"/>
        </w:rPr>
        <w:t>Mini-Entitlement Program</w:t>
      </w:r>
      <w:r w:rsidRPr="1703F25F">
        <w:rPr>
          <w:rFonts w:ascii="Calibri" w:hAnsi="Calibri" w:cs="Calibri"/>
          <w:color w:val="424242"/>
          <w:sz w:val="22"/>
          <w:szCs w:val="22"/>
        </w:rPr>
        <w:t xml:space="preserve"> is for communities identified through a formula calculation based on a high statistical indication of need, poverty rate and size.</w:t>
      </w:r>
    </w:p>
    <w:p w14:paraId="48755359" w14:textId="77777777" w:rsidR="00AF12C4" w:rsidRDefault="00AF12C4" w:rsidP="00AF12C4">
      <w:pPr>
        <w:pStyle w:val="NormalWeb"/>
        <w:shd w:val="clear" w:color="auto" w:fill="FFFFFF"/>
        <w:spacing w:before="0" w:beforeAutospacing="0" w:after="0" w:afterAutospacing="0"/>
        <w:rPr>
          <w:rFonts w:ascii="Calibri" w:hAnsi="Calibri" w:cs="Calibri"/>
          <w:color w:val="424242"/>
          <w:sz w:val="22"/>
          <w:szCs w:val="22"/>
        </w:rPr>
      </w:pPr>
    </w:p>
    <w:p w14:paraId="580B4F3B" w14:textId="6A84D4A9" w:rsidR="00AF12C4" w:rsidRDefault="00AF12C4" w:rsidP="1703F25F">
      <w:pPr>
        <w:pStyle w:val="NormalWeb"/>
        <w:shd w:val="clear" w:color="auto" w:fill="FFFFFF" w:themeFill="background1"/>
        <w:spacing w:before="0" w:beforeAutospacing="0" w:after="0" w:afterAutospacing="0"/>
        <w:rPr>
          <w:rFonts w:ascii="Calibri" w:hAnsi="Calibri" w:cs="Calibri"/>
          <w:color w:val="424242"/>
          <w:sz w:val="22"/>
          <w:szCs w:val="22"/>
        </w:rPr>
      </w:pPr>
      <w:r w:rsidRPr="1703F25F">
        <w:rPr>
          <w:rFonts w:ascii="Calibri" w:hAnsi="Calibri" w:cs="Calibri"/>
          <w:color w:val="424242"/>
          <w:sz w:val="22"/>
          <w:szCs w:val="22"/>
        </w:rPr>
        <w:t xml:space="preserve">Applications for funding are generally accepted on an annual </w:t>
      </w:r>
      <w:r w:rsidR="4356C29D" w:rsidRPr="1703F25F">
        <w:rPr>
          <w:rFonts w:ascii="Calibri" w:hAnsi="Calibri" w:cs="Calibri"/>
          <w:color w:val="424242"/>
          <w:sz w:val="22"/>
          <w:szCs w:val="22"/>
        </w:rPr>
        <w:t>cycle and</w:t>
      </w:r>
      <w:r w:rsidRPr="1703F25F">
        <w:rPr>
          <w:rFonts w:ascii="Calibri" w:hAnsi="Calibri" w:cs="Calibri"/>
          <w:color w:val="424242"/>
          <w:sz w:val="22"/>
          <w:szCs w:val="22"/>
        </w:rPr>
        <w:t xml:space="preserve"> correlate with the HUD-mandated Consolidated Plan and One-Year Action Plan. These Plans describe community needs and priorities, including the planned methodology for awarding funds that have been appropriated by Congress and allocated to the state.  Information on the Massachusetts CDBG Program, including Annual Action Plans, application processes, and grant management resources can be found here:</w:t>
      </w:r>
    </w:p>
    <w:p w14:paraId="44EB5DD4" w14:textId="77777777" w:rsidR="00AF12C4" w:rsidRDefault="00000000" w:rsidP="00AF12C4">
      <w:pPr>
        <w:pStyle w:val="NormalWeb"/>
        <w:shd w:val="clear" w:color="auto" w:fill="FFFFFF"/>
        <w:spacing w:before="0" w:beforeAutospacing="0" w:after="0" w:afterAutospacing="0"/>
        <w:rPr>
          <w:rFonts w:ascii="Calibri" w:hAnsi="Calibri" w:cs="Calibri"/>
          <w:color w:val="424242"/>
          <w:sz w:val="22"/>
          <w:szCs w:val="22"/>
        </w:rPr>
      </w:pPr>
      <w:hyperlink r:id="rId11" w:history="1">
        <w:r w:rsidR="00AF12C4" w:rsidRPr="00E25B57">
          <w:rPr>
            <w:rStyle w:val="Hyperlink"/>
            <w:rFonts w:ascii="Calibri" w:eastAsiaTheme="majorEastAsia" w:hAnsi="Calibri" w:cs="Calibri"/>
            <w:sz w:val="22"/>
            <w:szCs w:val="22"/>
          </w:rPr>
          <w:t>https://www.mass.gov/service-details/community-development-block-grant-cdbg</w:t>
        </w:r>
      </w:hyperlink>
    </w:p>
    <w:p w14:paraId="0BDE606F" w14:textId="77777777" w:rsidR="00AF12C4" w:rsidRDefault="00AF12C4" w:rsidP="00AF12C4">
      <w:pPr>
        <w:pStyle w:val="Heading2"/>
      </w:pPr>
      <w:r>
        <w:lastRenderedPageBreak/>
        <w:t>Getting Started with CDBG</w:t>
      </w:r>
    </w:p>
    <w:p w14:paraId="1E68A0A2"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The HUD website contains vast resources related to CDBG. To start your learning journey, HUD offers a suite of trainings called “Explore CDBG.” This is an excellent place to start! These resources illustrate the real-life work of CDBG and introduce the eligible activities and requirements of the program. The </w:t>
      </w:r>
      <w:r w:rsidRPr="004B62A4">
        <w:rPr>
          <w:rFonts w:ascii="Calibri" w:hAnsi="Calibri" w:cs="Calibri"/>
          <w:i/>
          <w:iCs/>
          <w:color w:val="424242"/>
          <w:sz w:val="22"/>
          <w:szCs w:val="22"/>
        </w:rPr>
        <w:t>Explore CDBG</w:t>
      </w:r>
      <w:r>
        <w:rPr>
          <w:rFonts w:ascii="Calibri" w:hAnsi="Calibri" w:cs="Calibri"/>
          <w:color w:val="424242"/>
          <w:sz w:val="22"/>
          <w:szCs w:val="22"/>
        </w:rPr>
        <w:t xml:space="preserve"> page can be found here:</w:t>
      </w:r>
    </w:p>
    <w:p w14:paraId="2EE725CB" w14:textId="77777777" w:rsidR="004C3544" w:rsidRDefault="00000000" w:rsidP="004C3544">
      <w:pPr>
        <w:pStyle w:val="NormalWeb"/>
        <w:shd w:val="clear" w:color="auto" w:fill="FFFFFF"/>
        <w:spacing w:before="0" w:beforeAutospacing="0" w:after="0" w:afterAutospacing="0"/>
        <w:rPr>
          <w:rFonts w:ascii="Calibri" w:hAnsi="Calibri" w:cs="Calibri"/>
          <w:color w:val="424242"/>
          <w:sz w:val="22"/>
          <w:szCs w:val="22"/>
        </w:rPr>
      </w:pPr>
      <w:hyperlink r:id="rId12" w:anchor="all-products" w:history="1">
        <w:r w:rsidR="004C3544" w:rsidRPr="00E25B57">
          <w:rPr>
            <w:rStyle w:val="Hyperlink"/>
            <w:rFonts w:ascii="Calibri" w:eastAsiaTheme="majorEastAsia" w:hAnsi="Calibri" w:cs="Calibri"/>
            <w:sz w:val="22"/>
            <w:szCs w:val="22"/>
          </w:rPr>
          <w:t>https://www.hudexchange.info/programs/cdbg/cdbg-ta-products/#all-products</w:t>
        </w:r>
      </w:hyperlink>
    </w:p>
    <w:p w14:paraId="3ECDEF8D" w14:textId="2FB487C5" w:rsidR="004C3544" w:rsidRDefault="004C3544" w:rsidP="004C3544">
      <w:pPr>
        <w:pStyle w:val="Heading2"/>
      </w:pPr>
      <w:r>
        <w:t>National Objectives and Eligible Activities</w:t>
      </w:r>
    </w:p>
    <w:p w14:paraId="477C2477"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The primary </w:t>
      </w:r>
      <w:r w:rsidRPr="00A41230">
        <w:rPr>
          <w:rFonts w:ascii="Calibri" w:hAnsi="Calibri" w:cs="Calibri"/>
          <w:b/>
          <w:bCs/>
          <w:color w:val="424242"/>
          <w:sz w:val="22"/>
          <w:szCs w:val="22"/>
        </w:rPr>
        <w:t>goal</w:t>
      </w:r>
      <w:r>
        <w:rPr>
          <w:rFonts w:ascii="Calibri" w:hAnsi="Calibri" w:cs="Calibri"/>
          <w:color w:val="424242"/>
          <w:sz w:val="22"/>
          <w:szCs w:val="22"/>
        </w:rPr>
        <w:t xml:space="preserve"> of the CDBG Program</w:t>
      </w:r>
      <w:r>
        <w:rPr>
          <w:rStyle w:val="FootnoteReference"/>
          <w:rFonts w:ascii="Calibri" w:eastAsiaTheme="majorEastAsia" w:hAnsi="Calibri" w:cs="Calibri"/>
          <w:color w:val="424242"/>
          <w:sz w:val="22"/>
          <w:szCs w:val="22"/>
        </w:rPr>
        <w:footnoteReference w:id="1"/>
      </w:r>
      <w:r>
        <w:rPr>
          <w:rFonts w:ascii="Calibri" w:hAnsi="Calibri" w:cs="Calibri"/>
          <w:color w:val="424242"/>
          <w:sz w:val="22"/>
          <w:szCs w:val="22"/>
        </w:rPr>
        <w:t xml:space="preserve"> is the development of viable communities, by providing, principally to persons of low- and moderate-income:</w:t>
      </w:r>
    </w:p>
    <w:p w14:paraId="008FB164" w14:textId="77777777" w:rsidR="004C3544" w:rsidRDefault="004C3544" w:rsidP="004C3544">
      <w:pPr>
        <w:pStyle w:val="NormalWeb"/>
        <w:numPr>
          <w:ilvl w:val="0"/>
          <w:numId w:val="31"/>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Decent housing</w:t>
      </w:r>
    </w:p>
    <w:p w14:paraId="2394F9BC" w14:textId="77777777" w:rsidR="004C3544" w:rsidRDefault="004C3544" w:rsidP="004C3544">
      <w:pPr>
        <w:pStyle w:val="NormalWeb"/>
        <w:numPr>
          <w:ilvl w:val="0"/>
          <w:numId w:val="31"/>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A suitable living environment</w:t>
      </w:r>
    </w:p>
    <w:p w14:paraId="253D61D0" w14:textId="77777777" w:rsidR="004C3544" w:rsidRPr="00EC7C4D" w:rsidRDefault="004C3544" w:rsidP="004C3544">
      <w:pPr>
        <w:pStyle w:val="NormalWeb"/>
        <w:numPr>
          <w:ilvl w:val="0"/>
          <w:numId w:val="31"/>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Expanded economic opportunities</w:t>
      </w:r>
    </w:p>
    <w:p w14:paraId="3EDE369A"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p>
    <w:p w14:paraId="6DE17F75"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Each CDBG </w:t>
      </w:r>
      <w:r w:rsidRPr="00A5459E">
        <w:rPr>
          <w:rFonts w:ascii="Calibri" w:hAnsi="Calibri" w:cs="Calibri"/>
          <w:color w:val="424242"/>
          <w:sz w:val="22"/>
          <w:szCs w:val="22"/>
        </w:rPr>
        <w:t>activity</w:t>
      </w:r>
      <w:r>
        <w:rPr>
          <w:rFonts w:ascii="Calibri" w:hAnsi="Calibri" w:cs="Calibri"/>
          <w:color w:val="424242"/>
          <w:sz w:val="22"/>
          <w:szCs w:val="22"/>
        </w:rPr>
        <w:t xml:space="preserve"> MUST meet </w:t>
      </w:r>
      <w:r w:rsidRPr="00EC7C4D">
        <w:rPr>
          <w:rFonts w:ascii="Calibri" w:hAnsi="Calibri" w:cs="Calibri"/>
          <w:color w:val="424242"/>
          <w:sz w:val="22"/>
          <w:szCs w:val="22"/>
        </w:rPr>
        <w:t>one of the three</w:t>
      </w:r>
      <w:r>
        <w:rPr>
          <w:rFonts w:ascii="Calibri" w:hAnsi="Calibri" w:cs="Calibri"/>
          <w:color w:val="424242"/>
          <w:sz w:val="22"/>
          <w:szCs w:val="22"/>
        </w:rPr>
        <w:t xml:space="preserve"> </w:t>
      </w:r>
      <w:r w:rsidRPr="00A41230">
        <w:rPr>
          <w:rFonts w:ascii="Calibri" w:hAnsi="Calibri" w:cs="Calibri"/>
          <w:b/>
          <w:bCs/>
          <w:color w:val="424242"/>
          <w:sz w:val="22"/>
          <w:szCs w:val="22"/>
        </w:rPr>
        <w:t>national objectives</w:t>
      </w:r>
      <w:r>
        <w:rPr>
          <w:rFonts w:ascii="Calibri" w:hAnsi="Calibri" w:cs="Calibri"/>
          <w:color w:val="424242"/>
          <w:sz w:val="22"/>
          <w:szCs w:val="22"/>
        </w:rPr>
        <w:t>:</w:t>
      </w:r>
    </w:p>
    <w:p w14:paraId="7EE39500" w14:textId="77777777" w:rsidR="004C3544" w:rsidRDefault="004C3544" w:rsidP="004C3544">
      <w:pPr>
        <w:pStyle w:val="NormalWeb"/>
        <w:numPr>
          <w:ilvl w:val="0"/>
          <w:numId w:val="30"/>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Benefit to low- and moderate-income persons (often referred to as LMI)</w:t>
      </w:r>
    </w:p>
    <w:p w14:paraId="7BD8179C" w14:textId="653458A6" w:rsidR="004C3544" w:rsidRDefault="0779AC81" w:rsidP="273FDDA6">
      <w:pPr>
        <w:pStyle w:val="NormalWeb"/>
        <w:numPr>
          <w:ilvl w:val="0"/>
          <w:numId w:val="30"/>
        </w:numPr>
        <w:shd w:val="clear" w:color="auto" w:fill="FFFFFF" w:themeFill="background1"/>
        <w:spacing w:before="0" w:beforeAutospacing="0" w:after="0" w:afterAutospacing="0"/>
        <w:rPr>
          <w:rFonts w:ascii="Calibri" w:hAnsi="Calibri" w:cs="Calibri"/>
          <w:color w:val="424242"/>
          <w:sz w:val="22"/>
          <w:szCs w:val="22"/>
        </w:rPr>
      </w:pPr>
      <w:r w:rsidRPr="273FDDA6">
        <w:rPr>
          <w:rFonts w:ascii="Calibri" w:hAnsi="Calibri" w:cs="Calibri"/>
          <w:color w:val="424242"/>
          <w:sz w:val="22"/>
          <w:szCs w:val="22"/>
        </w:rPr>
        <w:t>Ai</w:t>
      </w:r>
      <w:r w:rsidRPr="273FDDA6">
        <w:rPr>
          <w:rFonts w:ascii="Calibri" w:hAnsi="Calibri" w:cs="Calibri"/>
          <w:sz w:val="22"/>
          <w:szCs w:val="22"/>
        </w:rPr>
        <w:t xml:space="preserve">d </w:t>
      </w:r>
      <w:r w:rsidR="2ACC11B2" w:rsidRPr="273FDDA6">
        <w:rPr>
          <w:rFonts w:ascii="Calibri" w:hAnsi="Calibri" w:cs="Calibri"/>
          <w:sz w:val="22"/>
          <w:szCs w:val="22"/>
        </w:rPr>
        <w:t xml:space="preserve">in </w:t>
      </w:r>
      <w:r w:rsidRPr="273FDDA6">
        <w:rPr>
          <w:rFonts w:ascii="Calibri" w:hAnsi="Calibri" w:cs="Calibri"/>
          <w:sz w:val="22"/>
          <w:szCs w:val="22"/>
        </w:rPr>
        <w:t xml:space="preserve">the prevention </w:t>
      </w:r>
      <w:r w:rsidR="581637AC" w:rsidRPr="273FDDA6">
        <w:rPr>
          <w:rFonts w:ascii="Calibri" w:hAnsi="Calibri" w:cs="Calibri"/>
          <w:sz w:val="22"/>
          <w:szCs w:val="22"/>
        </w:rPr>
        <w:t>or</w:t>
      </w:r>
      <w:r w:rsidR="2F047852" w:rsidRPr="273FDDA6">
        <w:rPr>
          <w:rFonts w:ascii="Calibri" w:hAnsi="Calibri" w:cs="Calibri"/>
          <w:sz w:val="22"/>
          <w:szCs w:val="22"/>
        </w:rPr>
        <w:t xml:space="preserve"> </w:t>
      </w:r>
      <w:r w:rsidRPr="273FDDA6">
        <w:rPr>
          <w:rFonts w:ascii="Calibri" w:hAnsi="Calibri" w:cs="Calibri"/>
          <w:sz w:val="22"/>
          <w:szCs w:val="22"/>
        </w:rPr>
        <w:t xml:space="preserve">elimination of slums </w:t>
      </w:r>
      <w:r w:rsidR="487F8601" w:rsidRPr="273FDDA6">
        <w:rPr>
          <w:rFonts w:ascii="Calibri" w:hAnsi="Calibri" w:cs="Calibri"/>
          <w:sz w:val="22"/>
          <w:szCs w:val="22"/>
        </w:rPr>
        <w:t>and</w:t>
      </w:r>
      <w:r w:rsidRPr="273FDDA6">
        <w:rPr>
          <w:rFonts w:ascii="Calibri" w:hAnsi="Calibri" w:cs="Calibri"/>
          <w:sz w:val="22"/>
          <w:szCs w:val="22"/>
        </w:rPr>
        <w:t xml:space="preserve"> blight</w:t>
      </w:r>
    </w:p>
    <w:p w14:paraId="2C0EAA31" w14:textId="77777777" w:rsidR="004C3544" w:rsidRDefault="004C3544" w:rsidP="004C3544">
      <w:pPr>
        <w:pStyle w:val="NormalWeb"/>
        <w:numPr>
          <w:ilvl w:val="0"/>
          <w:numId w:val="30"/>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Meet a need having a particular urgency (referred to as urgent need)</w:t>
      </w:r>
    </w:p>
    <w:p w14:paraId="49A3F0A4"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p>
    <w:p w14:paraId="3153B16D"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The first two categories also include sub-categories:</w:t>
      </w:r>
    </w:p>
    <w:p w14:paraId="3BC94DDC" w14:textId="77777777" w:rsidR="004C3544" w:rsidRPr="004C3544" w:rsidRDefault="004C3544" w:rsidP="004C3544"/>
    <w:p w14:paraId="6D2628D6" w14:textId="2C6C3FBD" w:rsidR="00AF12C4" w:rsidRDefault="004C3544" w:rsidP="00AF12C4">
      <w:pPr>
        <w:pStyle w:val="NormalWeb"/>
        <w:shd w:val="clear" w:color="auto" w:fill="FFFFFF"/>
        <w:spacing w:before="0" w:beforeAutospacing="0" w:after="0" w:afterAutospacing="0"/>
        <w:rPr>
          <w:rFonts w:ascii="Calibri" w:hAnsi="Calibri" w:cs="Calibri"/>
          <w:color w:val="424242"/>
          <w:sz w:val="22"/>
          <w:szCs w:val="22"/>
        </w:rPr>
      </w:pPr>
      <w:r w:rsidRPr="00FD4199">
        <w:rPr>
          <w:rFonts w:ascii="Calibri" w:hAnsi="Calibri" w:cs="Calibri"/>
          <w:noProof/>
          <w:color w:val="424242"/>
          <w:sz w:val="22"/>
          <w:szCs w:val="22"/>
        </w:rPr>
        <w:drawing>
          <wp:inline distT="0" distB="0" distL="0" distR="0" wp14:anchorId="4FD60B87" wp14:editId="5B51AD1F">
            <wp:extent cx="4362450" cy="1619506"/>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stretch>
                      <a:fillRect/>
                    </a:stretch>
                  </pic:blipFill>
                  <pic:spPr>
                    <a:xfrm>
                      <a:off x="0" y="0"/>
                      <a:ext cx="4414980" cy="1639007"/>
                    </a:xfrm>
                    <a:prstGeom prst="rect">
                      <a:avLst/>
                    </a:prstGeom>
                  </pic:spPr>
                </pic:pic>
              </a:graphicData>
            </a:graphic>
          </wp:inline>
        </w:drawing>
      </w:r>
    </w:p>
    <w:p w14:paraId="5F72DF95" w14:textId="676B5CE5" w:rsidR="00AF12C4" w:rsidRDefault="00AF12C4" w:rsidP="00855982"/>
    <w:p w14:paraId="217CE9C1"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Criteria for National Objectives</w:t>
      </w:r>
    </w:p>
    <w:p w14:paraId="5020549F"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24 CFR 570.483</w:t>
      </w:r>
    </w:p>
    <w:p w14:paraId="035B4ADB" w14:textId="77777777" w:rsidR="004C3544" w:rsidRDefault="00000000" w:rsidP="004C3544">
      <w:pPr>
        <w:pStyle w:val="NormalWeb"/>
        <w:shd w:val="clear" w:color="auto" w:fill="FFFFFF"/>
        <w:spacing w:before="0" w:beforeAutospacing="0" w:after="0" w:afterAutospacing="0"/>
        <w:rPr>
          <w:rFonts w:ascii="Calibri" w:hAnsi="Calibri" w:cs="Calibri"/>
          <w:color w:val="424242"/>
          <w:sz w:val="22"/>
          <w:szCs w:val="22"/>
        </w:rPr>
      </w:pPr>
      <w:hyperlink r:id="rId14" w:history="1">
        <w:proofErr w:type="spellStart"/>
        <w:proofErr w:type="gramStart"/>
        <w:r w:rsidR="004C3544" w:rsidRPr="00BE1F1C">
          <w:rPr>
            <w:rStyle w:val="Hyperlink"/>
            <w:rFonts w:ascii="Calibri" w:eastAsiaTheme="majorEastAsia" w:hAnsi="Calibri" w:cs="Calibri"/>
            <w:sz w:val="22"/>
            <w:szCs w:val="22"/>
          </w:rPr>
          <w:t>eCFR</w:t>
        </w:r>
        <w:proofErr w:type="spellEnd"/>
        <w:r w:rsidR="004C3544" w:rsidRPr="00BE1F1C">
          <w:rPr>
            <w:rStyle w:val="Hyperlink"/>
            <w:rFonts w:ascii="Calibri" w:eastAsiaTheme="majorEastAsia" w:hAnsi="Calibri" w:cs="Calibri"/>
            <w:sz w:val="22"/>
            <w:szCs w:val="22"/>
          </w:rPr>
          <w:t xml:space="preserve"> :</w:t>
        </w:r>
        <w:proofErr w:type="gramEnd"/>
        <w:r w:rsidR="004C3544" w:rsidRPr="00BE1F1C">
          <w:rPr>
            <w:rStyle w:val="Hyperlink"/>
            <w:rFonts w:ascii="Calibri" w:eastAsiaTheme="majorEastAsia" w:hAnsi="Calibri" w:cs="Calibri"/>
            <w:sz w:val="22"/>
            <w:szCs w:val="22"/>
          </w:rPr>
          <w:t>: 24 CFR 570.483 -- Criteria for national objectives.</w:t>
        </w:r>
      </w:hyperlink>
    </w:p>
    <w:p w14:paraId="60536708"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p>
    <w:p w14:paraId="7AA495F0"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p>
    <w:p w14:paraId="171917F1"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The most common </w:t>
      </w:r>
      <w:r w:rsidRPr="003D531C">
        <w:rPr>
          <w:rFonts w:ascii="Calibri" w:hAnsi="Calibri" w:cs="Calibri"/>
          <w:b/>
          <w:bCs/>
          <w:color w:val="424242"/>
          <w:sz w:val="22"/>
          <w:szCs w:val="22"/>
        </w:rPr>
        <w:t>activities</w:t>
      </w:r>
      <w:r>
        <w:rPr>
          <w:rFonts w:ascii="Calibri" w:hAnsi="Calibri" w:cs="Calibri"/>
          <w:color w:val="424242"/>
          <w:sz w:val="22"/>
          <w:szCs w:val="22"/>
        </w:rPr>
        <w:t xml:space="preserve"> funded by the Massachusetts CDBG Program are:</w:t>
      </w:r>
    </w:p>
    <w:p w14:paraId="38B846DA" w14:textId="12ADA1BA" w:rsidR="004C3544" w:rsidRPr="008F252B" w:rsidRDefault="004C3544" w:rsidP="004C3544">
      <w:pPr>
        <w:pStyle w:val="NormalWeb"/>
        <w:numPr>
          <w:ilvl w:val="0"/>
          <w:numId w:val="32"/>
        </w:numPr>
        <w:shd w:val="clear" w:color="auto" w:fill="FFFFFF"/>
        <w:spacing w:before="0" w:beforeAutospacing="0" w:after="0"/>
        <w:rPr>
          <w:rFonts w:ascii="Calibri" w:hAnsi="Calibri" w:cs="Calibri"/>
          <w:color w:val="424242"/>
        </w:rPr>
      </w:pPr>
      <w:r w:rsidRPr="008F252B">
        <w:rPr>
          <w:rFonts w:ascii="Calibri" w:hAnsi="Calibri" w:cs="Calibri"/>
          <w:color w:val="424242"/>
        </w:rPr>
        <w:t>housing rehabilitation</w:t>
      </w:r>
    </w:p>
    <w:p w14:paraId="1DAA1F9A" w14:textId="77777777" w:rsidR="00857CB6" w:rsidRPr="008F252B" w:rsidRDefault="00857CB6" w:rsidP="00857CB6">
      <w:pPr>
        <w:pStyle w:val="NormalWeb"/>
        <w:numPr>
          <w:ilvl w:val="0"/>
          <w:numId w:val="32"/>
        </w:numPr>
        <w:shd w:val="clear" w:color="auto" w:fill="FFFFFF"/>
        <w:spacing w:before="0" w:beforeAutospacing="0" w:after="0"/>
        <w:rPr>
          <w:rFonts w:ascii="Calibri" w:hAnsi="Calibri" w:cs="Calibri"/>
          <w:color w:val="424242"/>
        </w:rPr>
      </w:pPr>
      <w:r w:rsidRPr="008F252B">
        <w:rPr>
          <w:rFonts w:ascii="Calibri" w:hAnsi="Calibri" w:cs="Calibri"/>
          <w:color w:val="424242"/>
        </w:rPr>
        <w:t>infrastructure</w:t>
      </w:r>
    </w:p>
    <w:p w14:paraId="1082EBEB" w14:textId="357D6D10" w:rsidR="004C3544" w:rsidRPr="008F252B" w:rsidRDefault="004C3544" w:rsidP="004C3544">
      <w:pPr>
        <w:pStyle w:val="NormalWeb"/>
        <w:numPr>
          <w:ilvl w:val="0"/>
          <w:numId w:val="32"/>
        </w:numPr>
        <w:shd w:val="clear" w:color="auto" w:fill="FFFFFF"/>
        <w:spacing w:before="0" w:beforeAutospacing="0" w:after="0"/>
        <w:rPr>
          <w:rFonts w:ascii="Calibri" w:hAnsi="Calibri" w:cs="Calibri"/>
          <w:color w:val="424242"/>
        </w:rPr>
      </w:pPr>
      <w:r w:rsidRPr="008F252B">
        <w:rPr>
          <w:rFonts w:ascii="Calibri" w:hAnsi="Calibri" w:cs="Calibri"/>
          <w:color w:val="424242"/>
        </w:rPr>
        <w:t>micro-enterprise or other business assistance</w:t>
      </w:r>
    </w:p>
    <w:p w14:paraId="0EA8B855" w14:textId="77777777" w:rsidR="004C3544" w:rsidRPr="008F252B" w:rsidRDefault="004C3544" w:rsidP="004C3544">
      <w:pPr>
        <w:pStyle w:val="NormalWeb"/>
        <w:numPr>
          <w:ilvl w:val="0"/>
          <w:numId w:val="32"/>
        </w:numPr>
        <w:shd w:val="clear" w:color="auto" w:fill="FFFFFF"/>
        <w:spacing w:before="0" w:beforeAutospacing="0" w:after="0"/>
        <w:rPr>
          <w:rFonts w:ascii="Calibri" w:hAnsi="Calibri" w:cs="Calibri"/>
          <w:color w:val="424242"/>
        </w:rPr>
      </w:pPr>
      <w:r w:rsidRPr="008F252B">
        <w:rPr>
          <w:rFonts w:ascii="Calibri" w:hAnsi="Calibri" w:cs="Calibri"/>
          <w:color w:val="424242"/>
        </w:rPr>
        <w:t>community/public facilities</w:t>
      </w:r>
    </w:p>
    <w:p w14:paraId="79B43F83" w14:textId="77777777" w:rsidR="004C3544" w:rsidRPr="008F252B" w:rsidRDefault="004C3544" w:rsidP="004C3544">
      <w:pPr>
        <w:pStyle w:val="NormalWeb"/>
        <w:numPr>
          <w:ilvl w:val="0"/>
          <w:numId w:val="32"/>
        </w:numPr>
        <w:shd w:val="clear" w:color="auto" w:fill="FFFFFF"/>
        <w:spacing w:before="0" w:beforeAutospacing="0" w:after="0"/>
        <w:rPr>
          <w:rFonts w:ascii="Calibri" w:hAnsi="Calibri" w:cs="Calibri"/>
          <w:color w:val="424242"/>
        </w:rPr>
      </w:pPr>
      <w:r w:rsidRPr="008F252B">
        <w:rPr>
          <w:rFonts w:ascii="Calibri" w:hAnsi="Calibri" w:cs="Calibri"/>
          <w:color w:val="424242"/>
        </w:rPr>
        <w:t>public social services</w:t>
      </w:r>
    </w:p>
    <w:p w14:paraId="12F56BFE" w14:textId="77777777" w:rsidR="004C3544" w:rsidRPr="008F252B" w:rsidRDefault="004C3544" w:rsidP="004C3544">
      <w:pPr>
        <w:pStyle w:val="NormalWeb"/>
        <w:numPr>
          <w:ilvl w:val="0"/>
          <w:numId w:val="32"/>
        </w:numPr>
        <w:shd w:val="clear" w:color="auto" w:fill="FFFFFF"/>
        <w:spacing w:before="0" w:beforeAutospacing="0" w:after="0"/>
        <w:rPr>
          <w:rFonts w:ascii="Calibri" w:hAnsi="Calibri" w:cs="Calibri"/>
          <w:color w:val="424242"/>
        </w:rPr>
      </w:pPr>
      <w:r w:rsidRPr="008F252B">
        <w:rPr>
          <w:rFonts w:ascii="Calibri" w:hAnsi="Calibri" w:cs="Calibri"/>
          <w:color w:val="424242"/>
        </w:rPr>
        <w:t>planning</w:t>
      </w:r>
    </w:p>
    <w:p w14:paraId="6C3CBC39" w14:textId="77777777" w:rsidR="004C3544" w:rsidRPr="008F252B" w:rsidRDefault="004C3544" w:rsidP="004C3544">
      <w:pPr>
        <w:pStyle w:val="NormalWeb"/>
        <w:numPr>
          <w:ilvl w:val="0"/>
          <w:numId w:val="32"/>
        </w:numPr>
        <w:shd w:val="clear" w:color="auto" w:fill="FFFFFF"/>
        <w:spacing w:before="0" w:beforeAutospacing="0" w:after="0"/>
        <w:rPr>
          <w:rFonts w:ascii="Calibri" w:hAnsi="Calibri" w:cs="Calibri"/>
          <w:color w:val="424242"/>
        </w:rPr>
      </w:pPr>
      <w:r w:rsidRPr="008F252B">
        <w:rPr>
          <w:rFonts w:ascii="Calibri" w:hAnsi="Calibri" w:cs="Calibri"/>
          <w:color w:val="424242"/>
        </w:rPr>
        <w:t>removal of architectural barriers to allow access by persons with disabilities</w:t>
      </w:r>
    </w:p>
    <w:p w14:paraId="710DC573" w14:textId="77777777" w:rsidR="004C3544" w:rsidRPr="008F252B" w:rsidRDefault="004C3544" w:rsidP="004C3544">
      <w:pPr>
        <w:pStyle w:val="NormalWeb"/>
        <w:numPr>
          <w:ilvl w:val="0"/>
          <w:numId w:val="32"/>
        </w:numPr>
        <w:shd w:val="clear" w:color="auto" w:fill="FFFFFF"/>
        <w:spacing w:before="0" w:beforeAutospacing="0"/>
        <w:rPr>
          <w:rFonts w:ascii="Calibri" w:hAnsi="Calibri" w:cs="Calibri"/>
          <w:color w:val="424242"/>
        </w:rPr>
      </w:pPr>
      <w:r w:rsidRPr="008F252B">
        <w:rPr>
          <w:rFonts w:ascii="Calibri" w:hAnsi="Calibri" w:cs="Calibri"/>
          <w:color w:val="424242"/>
        </w:rPr>
        <w:lastRenderedPageBreak/>
        <w:t>downtown or area revitalization</w:t>
      </w:r>
    </w:p>
    <w:p w14:paraId="385CB89A"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p>
    <w:p w14:paraId="5822AE1B" w14:textId="3A978722" w:rsidR="004C3544" w:rsidRDefault="0779AC81" w:rsidP="273FDDA6">
      <w:pPr>
        <w:pStyle w:val="NormalWeb"/>
        <w:shd w:val="clear" w:color="auto" w:fill="FFFFFF" w:themeFill="background1"/>
        <w:spacing w:before="0" w:beforeAutospacing="0" w:after="0" w:afterAutospacing="0"/>
        <w:rPr>
          <w:rFonts w:ascii="Calibri" w:hAnsi="Calibri" w:cs="Calibri"/>
          <w:color w:val="424242"/>
          <w:sz w:val="22"/>
          <w:szCs w:val="22"/>
        </w:rPr>
      </w:pPr>
      <w:r w:rsidRPr="273FDDA6">
        <w:rPr>
          <w:rFonts w:ascii="Calibri" w:hAnsi="Calibri" w:cs="Calibri"/>
          <w:color w:val="424242"/>
          <w:sz w:val="22"/>
          <w:szCs w:val="22"/>
        </w:rPr>
        <w:t>The full list of eligible activities, as defined in Section 105(a) of the Housing and Community Development Act</w:t>
      </w:r>
      <w:r w:rsidR="18D8474A" w:rsidRPr="273FDDA6">
        <w:rPr>
          <w:rFonts w:ascii="Calibri" w:hAnsi="Calibri" w:cs="Calibri"/>
          <w:color w:val="424242"/>
          <w:sz w:val="22"/>
          <w:szCs w:val="22"/>
        </w:rPr>
        <w:t>,</w:t>
      </w:r>
      <w:r w:rsidRPr="273FDDA6">
        <w:rPr>
          <w:rFonts w:ascii="Calibri" w:hAnsi="Calibri" w:cs="Calibri"/>
          <w:color w:val="424242"/>
          <w:sz w:val="22"/>
          <w:szCs w:val="22"/>
        </w:rPr>
        <w:t xml:space="preserve"> can be found in the link</w:t>
      </w:r>
      <w:r w:rsidR="78C76F18" w:rsidRPr="273FDDA6">
        <w:rPr>
          <w:rFonts w:ascii="Calibri" w:hAnsi="Calibri" w:cs="Calibri"/>
          <w:color w:val="424242"/>
          <w:sz w:val="22"/>
          <w:szCs w:val="22"/>
        </w:rPr>
        <w:t>s</w:t>
      </w:r>
      <w:r w:rsidRPr="273FDDA6">
        <w:rPr>
          <w:rFonts w:ascii="Calibri" w:hAnsi="Calibri" w:cs="Calibri"/>
          <w:color w:val="424242"/>
          <w:sz w:val="22"/>
          <w:szCs w:val="22"/>
        </w:rPr>
        <w:t xml:space="preserve"> below.</w:t>
      </w:r>
    </w:p>
    <w:p w14:paraId="457E2A8F"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p>
    <w:p w14:paraId="1433873E"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Basic Eligible Activities</w:t>
      </w:r>
    </w:p>
    <w:p w14:paraId="17D82074"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p>
    <w:p w14:paraId="5961CE31"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HCDA Section 105(a)</w:t>
      </w:r>
    </w:p>
    <w:p w14:paraId="183015A7" w14:textId="77777777" w:rsidR="004C3544" w:rsidRDefault="00000000" w:rsidP="004C3544">
      <w:pPr>
        <w:pStyle w:val="NormalWeb"/>
        <w:shd w:val="clear" w:color="auto" w:fill="FFFFFF"/>
        <w:spacing w:before="0" w:beforeAutospacing="0" w:after="0" w:afterAutospacing="0"/>
        <w:rPr>
          <w:rFonts w:ascii="Calibri" w:hAnsi="Calibri" w:cs="Calibri"/>
          <w:color w:val="424242"/>
          <w:sz w:val="22"/>
          <w:szCs w:val="22"/>
        </w:rPr>
      </w:pPr>
      <w:hyperlink r:id="rId15" w:history="1">
        <w:r w:rsidR="004C3544" w:rsidRPr="003F0DD8">
          <w:rPr>
            <w:rStyle w:val="Hyperlink"/>
            <w:rFonts w:ascii="Calibri" w:eastAsiaTheme="majorEastAsia" w:hAnsi="Calibri" w:cs="Calibri"/>
            <w:sz w:val="22"/>
            <w:szCs w:val="22"/>
          </w:rPr>
          <w:t>https://www.hudexchange.info/sites/onecpd/assets/File/CDBG-State-National-Objectives-Eligible-Activities-Appendix-A.pdf</w:t>
        </w:r>
      </w:hyperlink>
    </w:p>
    <w:p w14:paraId="07BB7812"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p>
    <w:p w14:paraId="3DF9FA32"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24 CFR 570.201</w:t>
      </w:r>
    </w:p>
    <w:p w14:paraId="3A0017B9" w14:textId="77777777" w:rsidR="004C3544" w:rsidRDefault="00000000" w:rsidP="004C3544">
      <w:pPr>
        <w:pStyle w:val="NormalWeb"/>
        <w:shd w:val="clear" w:color="auto" w:fill="FFFFFF"/>
        <w:spacing w:before="0" w:beforeAutospacing="0" w:after="0" w:afterAutospacing="0"/>
        <w:rPr>
          <w:rFonts w:ascii="Calibri" w:hAnsi="Calibri" w:cs="Calibri"/>
          <w:color w:val="424242"/>
          <w:sz w:val="22"/>
          <w:szCs w:val="22"/>
        </w:rPr>
      </w:pPr>
      <w:hyperlink r:id="rId16" w:history="1">
        <w:proofErr w:type="spellStart"/>
        <w:proofErr w:type="gramStart"/>
        <w:r w:rsidR="004C3544" w:rsidRPr="00D94A11">
          <w:rPr>
            <w:rStyle w:val="Hyperlink"/>
            <w:rFonts w:ascii="Calibri" w:eastAsiaTheme="majorEastAsia" w:hAnsi="Calibri" w:cs="Calibri"/>
            <w:sz w:val="22"/>
            <w:szCs w:val="22"/>
          </w:rPr>
          <w:t>eCFR</w:t>
        </w:r>
        <w:proofErr w:type="spellEnd"/>
        <w:r w:rsidR="004C3544" w:rsidRPr="00D94A11">
          <w:rPr>
            <w:rStyle w:val="Hyperlink"/>
            <w:rFonts w:ascii="Calibri" w:eastAsiaTheme="majorEastAsia" w:hAnsi="Calibri" w:cs="Calibri"/>
            <w:sz w:val="22"/>
            <w:szCs w:val="22"/>
          </w:rPr>
          <w:t xml:space="preserve"> :</w:t>
        </w:r>
        <w:proofErr w:type="gramEnd"/>
        <w:r w:rsidR="004C3544" w:rsidRPr="00D94A11">
          <w:rPr>
            <w:rStyle w:val="Hyperlink"/>
            <w:rFonts w:ascii="Calibri" w:eastAsiaTheme="majorEastAsia" w:hAnsi="Calibri" w:cs="Calibri"/>
            <w:sz w:val="22"/>
            <w:szCs w:val="22"/>
          </w:rPr>
          <w:t>: 24 CFR 570.201 -- Basic eligible activities.</w:t>
        </w:r>
      </w:hyperlink>
    </w:p>
    <w:p w14:paraId="309AD998"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p>
    <w:p w14:paraId="3F9A5756" w14:textId="77777777" w:rsidR="004C3544" w:rsidRDefault="004C3544" w:rsidP="003F74F1">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This HUD Guide provides greater detail related to National Objectives and Activities, including documentation requirements:</w:t>
      </w:r>
    </w:p>
    <w:p w14:paraId="1F156426" w14:textId="77777777" w:rsidR="004C3544" w:rsidRDefault="004C3544" w:rsidP="003F74F1">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424242"/>
          <w:sz w:val="22"/>
          <w:szCs w:val="22"/>
        </w:rPr>
      </w:pPr>
    </w:p>
    <w:p w14:paraId="12AFBA7B" w14:textId="77777777" w:rsidR="004C3544" w:rsidRPr="003F74F1" w:rsidRDefault="004C3544" w:rsidP="003F74F1">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i/>
          <w:iCs/>
          <w:color w:val="424242"/>
          <w:sz w:val="22"/>
          <w:szCs w:val="22"/>
        </w:rPr>
      </w:pPr>
      <w:r w:rsidRPr="003F74F1">
        <w:rPr>
          <w:rFonts w:ascii="Calibri" w:hAnsi="Calibri" w:cs="Calibri"/>
          <w:i/>
          <w:iCs/>
          <w:color w:val="424242"/>
          <w:sz w:val="22"/>
          <w:szCs w:val="22"/>
        </w:rPr>
        <w:t>Guide to National Objectives and Eligible Activities for State CDBG Programs</w:t>
      </w:r>
    </w:p>
    <w:p w14:paraId="7A91CEC1" w14:textId="77777777" w:rsidR="004C3544" w:rsidRDefault="00000000" w:rsidP="003F74F1">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Hyperlink"/>
          <w:rFonts w:ascii="Calibri" w:eastAsiaTheme="majorEastAsia" w:hAnsi="Calibri" w:cs="Calibri"/>
          <w:sz w:val="22"/>
          <w:szCs w:val="22"/>
        </w:rPr>
      </w:pPr>
      <w:hyperlink r:id="rId17" w:history="1">
        <w:r w:rsidR="004C3544" w:rsidRPr="0048335E">
          <w:rPr>
            <w:rStyle w:val="Hyperlink"/>
            <w:rFonts w:ascii="Calibri" w:eastAsiaTheme="majorEastAsia" w:hAnsi="Calibri" w:cs="Calibri"/>
            <w:sz w:val="22"/>
            <w:szCs w:val="22"/>
          </w:rPr>
          <w:t>https://www.hudexchange.info/resource/2179/guide-national-objectives-eligible-activities-state-cdbg-programs/</w:t>
        </w:r>
      </w:hyperlink>
    </w:p>
    <w:p w14:paraId="1CD7A6D8" w14:textId="41A1CB84" w:rsidR="004C3544" w:rsidRDefault="004C3544" w:rsidP="003F74F1">
      <w:pPr>
        <w:pBdr>
          <w:top w:val="single" w:sz="4" w:space="1" w:color="auto"/>
          <w:left w:val="single" w:sz="4" w:space="4" w:color="auto"/>
          <w:bottom w:val="single" w:sz="4" w:space="1" w:color="auto"/>
          <w:right w:val="single" w:sz="4" w:space="4" w:color="auto"/>
        </w:pBdr>
      </w:pPr>
    </w:p>
    <w:p w14:paraId="3C32502C" w14:textId="77777777" w:rsidR="004C3544" w:rsidRDefault="004C3544" w:rsidP="004C3544">
      <w:pPr>
        <w:pStyle w:val="Heading2"/>
      </w:pPr>
      <w:r>
        <w:t>Other Federal Requirements</w:t>
      </w:r>
    </w:p>
    <w:p w14:paraId="596985CE"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CDBG projects often trigger other federal requirements that serve to protect the health, safety, rights, and wellbeing of citizens and communities before, during, and after a project. As you become more familiar with the project lifecycle, you will learn about these requirements. The HUD Exchange provides valuable resources on these topics.</w:t>
      </w:r>
    </w:p>
    <w:p w14:paraId="403F1D75"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p>
    <w:p w14:paraId="5059E160" w14:textId="77777777" w:rsidR="004C3544" w:rsidRDefault="00000000" w:rsidP="004C3544">
      <w:pPr>
        <w:pStyle w:val="NormalWeb"/>
        <w:numPr>
          <w:ilvl w:val="0"/>
          <w:numId w:val="33"/>
        </w:numPr>
        <w:shd w:val="clear" w:color="auto" w:fill="FFFFFF"/>
        <w:spacing w:before="0" w:beforeAutospacing="0" w:after="0" w:afterAutospacing="0"/>
        <w:rPr>
          <w:rFonts w:ascii="Calibri" w:hAnsi="Calibri" w:cs="Calibri"/>
          <w:color w:val="424242"/>
          <w:sz w:val="22"/>
          <w:szCs w:val="22"/>
        </w:rPr>
      </w:pPr>
      <w:hyperlink r:id="rId18" w:history="1">
        <w:r w:rsidR="004C3544" w:rsidRPr="002D5D87">
          <w:rPr>
            <w:rStyle w:val="Hyperlink"/>
            <w:rFonts w:ascii="Calibri" w:eastAsiaTheme="majorEastAsia" w:hAnsi="Calibri" w:cs="Calibri"/>
            <w:sz w:val="22"/>
            <w:szCs w:val="22"/>
          </w:rPr>
          <w:t>Citizen Participation Plans</w:t>
        </w:r>
      </w:hyperlink>
    </w:p>
    <w:p w14:paraId="232811D8" w14:textId="77777777" w:rsidR="004C3544" w:rsidRDefault="00000000" w:rsidP="004C3544">
      <w:pPr>
        <w:pStyle w:val="NormalWeb"/>
        <w:numPr>
          <w:ilvl w:val="0"/>
          <w:numId w:val="33"/>
        </w:numPr>
        <w:shd w:val="clear" w:color="auto" w:fill="FFFFFF"/>
        <w:spacing w:before="0" w:beforeAutospacing="0" w:after="0" w:afterAutospacing="0"/>
        <w:rPr>
          <w:rFonts w:ascii="Calibri" w:hAnsi="Calibri" w:cs="Calibri"/>
          <w:color w:val="424242"/>
          <w:sz w:val="22"/>
          <w:szCs w:val="22"/>
        </w:rPr>
      </w:pPr>
      <w:hyperlink r:id="rId19" w:history="1">
        <w:r w:rsidR="004C3544" w:rsidRPr="00595A73">
          <w:rPr>
            <w:rStyle w:val="Hyperlink"/>
            <w:rFonts w:ascii="Calibri" w:eastAsiaTheme="majorEastAsia" w:hAnsi="Calibri" w:cs="Calibri"/>
            <w:sz w:val="22"/>
            <w:szCs w:val="22"/>
          </w:rPr>
          <w:t>Environmental Review</w:t>
        </w:r>
      </w:hyperlink>
    </w:p>
    <w:p w14:paraId="53414982" w14:textId="77777777" w:rsidR="004C3544" w:rsidRDefault="00000000" w:rsidP="004C3544">
      <w:pPr>
        <w:pStyle w:val="NormalWeb"/>
        <w:numPr>
          <w:ilvl w:val="0"/>
          <w:numId w:val="33"/>
        </w:numPr>
        <w:shd w:val="clear" w:color="auto" w:fill="FFFFFF"/>
        <w:spacing w:before="0" w:beforeAutospacing="0" w:after="0" w:afterAutospacing="0"/>
        <w:rPr>
          <w:rFonts w:ascii="Calibri" w:hAnsi="Calibri" w:cs="Calibri"/>
          <w:color w:val="424242"/>
          <w:sz w:val="22"/>
          <w:szCs w:val="22"/>
        </w:rPr>
      </w:pPr>
      <w:hyperlink r:id="rId20" w:history="1">
        <w:r w:rsidR="004C3544" w:rsidRPr="00D77212">
          <w:rPr>
            <w:rStyle w:val="Hyperlink"/>
            <w:rFonts w:ascii="Calibri" w:eastAsiaTheme="majorEastAsia" w:hAnsi="Calibri" w:cs="Calibri"/>
            <w:sz w:val="22"/>
            <w:szCs w:val="22"/>
          </w:rPr>
          <w:t>Non-Discrimination and Equal Access</w:t>
        </w:r>
      </w:hyperlink>
    </w:p>
    <w:p w14:paraId="0AADE95B" w14:textId="77777777" w:rsidR="004C3544" w:rsidRDefault="00000000" w:rsidP="004C3544">
      <w:pPr>
        <w:pStyle w:val="NormalWeb"/>
        <w:numPr>
          <w:ilvl w:val="0"/>
          <w:numId w:val="33"/>
        </w:numPr>
        <w:shd w:val="clear" w:color="auto" w:fill="FFFFFF"/>
        <w:spacing w:before="0" w:beforeAutospacing="0" w:after="0" w:afterAutospacing="0"/>
        <w:rPr>
          <w:rFonts w:ascii="Calibri" w:hAnsi="Calibri" w:cs="Calibri"/>
          <w:color w:val="424242"/>
          <w:sz w:val="22"/>
          <w:szCs w:val="22"/>
        </w:rPr>
      </w:pPr>
      <w:hyperlink r:id="rId21" w:history="1">
        <w:r w:rsidR="004C3544" w:rsidRPr="000F15DC">
          <w:rPr>
            <w:rStyle w:val="Hyperlink"/>
            <w:rFonts w:ascii="Calibri" w:eastAsiaTheme="majorEastAsia" w:hAnsi="Calibri" w:cs="Calibri"/>
            <w:sz w:val="22"/>
            <w:szCs w:val="22"/>
          </w:rPr>
          <w:t>Labor Standards</w:t>
        </w:r>
      </w:hyperlink>
    </w:p>
    <w:p w14:paraId="7A1EB2EA" w14:textId="50361937" w:rsidR="004C3544" w:rsidRPr="003600AB" w:rsidRDefault="00000000" w:rsidP="004C3544">
      <w:pPr>
        <w:pStyle w:val="NormalWeb"/>
        <w:numPr>
          <w:ilvl w:val="0"/>
          <w:numId w:val="33"/>
        </w:numPr>
        <w:shd w:val="clear" w:color="auto" w:fill="FFFFFF"/>
        <w:spacing w:before="0" w:beforeAutospacing="0" w:after="0" w:afterAutospacing="0"/>
        <w:rPr>
          <w:rStyle w:val="Hyperlink"/>
          <w:rFonts w:ascii="Calibri" w:hAnsi="Calibri" w:cs="Calibri"/>
          <w:color w:val="424242"/>
          <w:sz w:val="22"/>
          <w:szCs w:val="22"/>
          <w:u w:val="none"/>
        </w:rPr>
      </w:pPr>
      <w:hyperlink r:id="rId22" w:history="1">
        <w:r w:rsidR="004C3544" w:rsidRPr="00996443">
          <w:rPr>
            <w:rStyle w:val="Hyperlink"/>
            <w:rFonts w:ascii="Calibri" w:eastAsiaTheme="majorEastAsia" w:hAnsi="Calibri" w:cs="Calibri"/>
            <w:sz w:val="22"/>
            <w:szCs w:val="22"/>
          </w:rPr>
          <w:t>Uniform Relocation Assistance</w:t>
        </w:r>
      </w:hyperlink>
    </w:p>
    <w:p w14:paraId="7660CADB" w14:textId="7A532658" w:rsidR="003600AB" w:rsidRPr="004C3544" w:rsidRDefault="00000000" w:rsidP="004C3544">
      <w:pPr>
        <w:pStyle w:val="NormalWeb"/>
        <w:numPr>
          <w:ilvl w:val="0"/>
          <w:numId w:val="33"/>
        </w:numPr>
        <w:shd w:val="clear" w:color="auto" w:fill="FFFFFF"/>
        <w:spacing w:before="0" w:beforeAutospacing="0" w:after="0" w:afterAutospacing="0"/>
        <w:rPr>
          <w:rFonts w:ascii="Calibri" w:hAnsi="Calibri" w:cs="Calibri"/>
          <w:color w:val="424242"/>
          <w:sz w:val="22"/>
          <w:szCs w:val="22"/>
        </w:rPr>
      </w:pPr>
      <w:hyperlink r:id="rId23" w:history="1">
        <w:r w:rsidR="003600AB" w:rsidRPr="00CE6421">
          <w:rPr>
            <w:rStyle w:val="Hyperlink"/>
            <w:rFonts w:ascii="Calibri" w:eastAsiaTheme="majorEastAsia" w:hAnsi="Calibri" w:cs="Calibri"/>
            <w:sz w:val="22"/>
            <w:szCs w:val="22"/>
          </w:rPr>
          <w:t>Section 3: Training, employment, contracting, and other economic opportunities to low- and very low-income persons</w:t>
        </w:r>
      </w:hyperlink>
    </w:p>
    <w:p w14:paraId="74E84422" w14:textId="5F703545" w:rsidR="004C3544" w:rsidRDefault="004C3544" w:rsidP="004C3544">
      <w:pPr>
        <w:pStyle w:val="Heading2"/>
      </w:pPr>
      <w:r>
        <w:t>Massachusetts CDBG Grants Management</w:t>
      </w:r>
    </w:p>
    <w:p w14:paraId="7AE5DD85" w14:textId="77777777" w:rsidR="004C3544" w:rsidRPr="004C3544" w:rsidRDefault="004C3544" w:rsidP="004C3544"/>
    <w:p w14:paraId="70F25826" w14:textId="60CE6DB2" w:rsidR="004C3544" w:rsidRDefault="0779AC81" w:rsidP="273FDDA6">
      <w:pPr>
        <w:pStyle w:val="NormalWeb"/>
        <w:shd w:val="clear" w:color="auto" w:fill="FFFFFF" w:themeFill="background1"/>
        <w:spacing w:before="0" w:beforeAutospacing="0" w:after="0" w:afterAutospacing="0"/>
        <w:rPr>
          <w:rFonts w:ascii="Calibri" w:hAnsi="Calibri" w:cs="Calibri"/>
          <w:color w:val="424242"/>
          <w:sz w:val="22"/>
          <w:szCs w:val="22"/>
        </w:rPr>
      </w:pPr>
      <w:r w:rsidRPr="04B5B404">
        <w:rPr>
          <w:rFonts w:ascii="Calibri" w:hAnsi="Calibri" w:cs="Calibri"/>
          <w:color w:val="424242"/>
          <w:sz w:val="22"/>
          <w:szCs w:val="22"/>
        </w:rPr>
        <w:t>The entry point for new CDBG grants is the annual application process.</w:t>
      </w:r>
      <w:r w:rsidR="000919EF">
        <w:rPr>
          <w:rFonts w:ascii="Calibri" w:hAnsi="Calibri" w:cs="Calibri"/>
          <w:color w:val="424242"/>
          <w:sz w:val="22"/>
          <w:szCs w:val="22"/>
        </w:rPr>
        <w:t xml:space="preserve"> </w:t>
      </w:r>
      <w:r w:rsidRPr="04B5B404">
        <w:rPr>
          <w:rFonts w:ascii="Calibri" w:hAnsi="Calibri" w:cs="Calibri"/>
          <w:color w:val="424242"/>
          <w:sz w:val="22"/>
          <w:szCs w:val="22"/>
        </w:rPr>
        <w:t>Grant award announcements are made after reviews, scoring, and prioritization are complete.</w:t>
      </w:r>
      <w:r w:rsidR="000919EF">
        <w:rPr>
          <w:rFonts w:ascii="Calibri" w:hAnsi="Calibri" w:cs="Calibri"/>
          <w:color w:val="424242"/>
          <w:sz w:val="22"/>
          <w:szCs w:val="22"/>
        </w:rPr>
        <w:t xml:space="preserve"> </w:t>
      </w:r>
      <w:r w:rsidRPr="04B5B404">
        <w:rPr>
          <w:rFonts w:ascii="Calibri" w:hAnsi="Calibri" w:cs="Calibri"/>
          <w:color w:val="424242"/>
          <w:sz w:val="22"/>
          <w:szCs w:val="22"/>
        </w:rPr>
        <w:t xml:space="preserve">Grants </w:t>
      </w:r>
      <w:r w:rsidR="40327054" w:rsidRPr="04B5B404">
        <w:rPr>
          <w:rFonts w:ascii="Calibri" w:hAnsi="Calibri" w:cs="Calibri"/>
          <w:color w:val="424242"/>
          <w:sz w:val="22"/>
          <w:szCs w:val="22"/>
        </w:rPr>
        <w:t xml:space="preserve">and their associated activities </w:t>
      </w:r>
      <w:r w:rsidRPr="04B5B404">
        <w:rPr>
          <w:rFonts w:ascii="Calibri" w:hAnsi="Calibri" w:cs="Calibri"/>
          <w:color w:val="424242"/>
          <w:sz w:val="22"/>
          <w:szCs w:val="22"/>
        </w:rPr>
        <w:t>generally begin</w:t>
      </w:r>
      <w:r w:rsidR="50CBE2E3" w:rsidRPr="04B5B404">
        <w:rPr>
          <w:rFonts w:ascii="Calibri" w:hAnsi="Calibri" w:cs="Calibri"/>
          <w:color w:val="424242"/>
          <w:sz w:val="22"/>
          <w:szCs w:val="22"/>
        </w:rPr>
        <w:t xml:space="preserve"> at the start of the </w:t>
      </w:r>
      <w:r w:rsidR="54883200" w:rsidRPr="04B5B404">
        <w:rPr>
          <w:rFonts w:ascii="Calibri" w:hAnsi="Calibri" w:cs="Calibri"/>
          <w:color w:val="424242"/>
          <w:sz w:val="22"/>
          <w:szCs w:val="22"/>
        </w:rPr>
        <w:t>Commonwealth’s Fiscal Year</w:t>
      </w:r>
      <w:r w:rsidR="0CE69F02" w:rsidRPr="04B5B404">
        <w:rPr>
          <w:rFonts w:ascii="Calibri" w:hAnsi="Calibri" w:cs="Calibri"/>
          <w:color w:val="424242"/>
          <w:sz w:val="22"/>
          <w:szCs w:val="22"/>
        </w:rPr>
        <w:t>, a 12-month cycle</w:t>
      </w:r>
      <w:r w:rsidR="549907AD" w:rsidRPr="04B5B404">
        <w:rPr>
          <w:rFonts w:ascii="Calibri" w:hAnsi="Calibri" w:cs="Calibri"/>
          <w:color w:val="424242"/>
          <w:sz w:val="22"/>
          <w:szCs w:val="22"/>
        </w:rPr>
        <w:t xml:space="preserve"> that starts</w:t>
      </w:r>
      <w:r w:rsidR="0CE69F02" w:rsidRPr="04B5B404">
        <w:rPr>
          <w:rFonts w:ascii="Calibri" w:hAnsi="Calibri" w:cs="Calibri"/>
          <w:color w:val="424242"/>
          <w:sz w:val="22"/>
          <w:szCs w:val="22"/>
        </w:rPr>
        <w:t xml:space="preserve"> on July 1</w:t>
      </w:r>
      <w:r w:rsidR="15F531E9" w:rsidRPr="04B5B404">
        <w:rPr>
          <w:rFonts w:ascii="Calibri" w:hAnsi="Calibri" w:cs="Calibri"/>
          <w:color w:val="424242"/>
          <w:sz w:val="22"/>
          <w:szCs w:val="22"/>
        </w:rPr>
        <w:t xml:space="preserve"> and end</w:t>
      </w:r>
      <w:r w:rsidR="599378A5" w:rsidRPr="04B5B404">
        <w:rPr>
          <w:rFonts w:ascii="Calibri" w:hAnsi="Calibri" w:cs="Calibri"/>
          <w:color w:val="424242"/>
          <w:sz w:val="22"/>
          <w:szCs w:val="22"/>
        </w:rPr>
        <w:t>s</w:t>
      </w:r>
      <w:r w:rsidR="15F531E9" w:rsidRPr="04B5B404">
        <w:rPr>
          <w:rFonts w:ascii="Calibri" w:hAnsi="Calibri" w:cs="Calibri"/>
          <w:color w:val="424242"/>
          <w:sz w:val="22"/>
          <w:szCs w:val="22"/>
        </w:rPr>
        <w:t xml:space="preserve"> on </w:t>
      </w:r>
      <w:r w:rsidR="4E3F3E0C" w:rsidRPr="04B5B404">
        <w:rPr>
          <w:rFonts w:ascii="Calibri" w:hAnsi="Calibri" w:cs="Calibri"/>
          <w:color w:val="424242"/>
          <w:sz w:val="22"/>
          <w:szCs w:val="22"/>
        </w:rPr>
        <w:t xml:space="preserve">the following </w:t>
      </w:r>
      <w:r w:rsidR="15F531E9" w:rsidRPr="04B5B404">
        <w:rPr>
          <w:rFonts w:ascii="Calibri" w:hAnsi="Calibri" w:cs="Calibri"/>
          <w:color w:val="424242"/>
          <w:sz w:val="22"/>
          <w:szCs w:val="22"/>
        </w:rPr>
        <w:t>June 30.</w:t>
      </w:r>
      <w:r w:rsidR="000919EF">
        <w:rPr>
          <w:rFonts w:ascii="Calibri" w:hAnsi="Calibri" w:cs="Calibri"/>
          <w:color w:val="424242"/>
          <w:sz w:val="22"/>
          <w:szCs w:val="22"/>
        </w:rPr>
        <w:t xml:space="preserve"> </w:t>
      </w:r>
      <w:r w:rsidR="1F86E785" w:rsidRPr="04B5B404">
        <w:rPr>
          <w:rFonts w:ascii="Calibri" w:hAnsi="Calibri" w:cs="Calibri"/>
          <w:color w:val="424242"/>
          <w:sz w:val="22"/>
          <w:szCs w:val="22"/>
        </w:rPr>
        <w:t xml:space="preserve">Please note the difference between the </w:t>
      </w:r>
      <w:r w:rsidR="3E713A1B" w:rsidRPr="04B5B404">
        <w:rPr>
          <w:rFonts w:ascii="Calibri" w:hAnsi="Calibri" w:cs="Calibri"/>
          <w:color w:val="424242"/>
          <w:sz w:val="22"/>
          <w:szCs w:val="22"/>
        </w:rPr>
        <w:t>Commonwealth</w:t>
      </w:r>
      <w:r w:rsidR="1F86E785" w:rsidRPr="04B5B404">
        <w:rPr>
          <w:rFonts w:ascii="Calibri" w:hAnsi="Calibri" w:cs="Calibri"/>
          <w:color w:val="424242"/>
          <w:sz w:val="22"/>
          <w:szCs w:val="22"/>
        </w:rPr>
        <w:t xml:space="preserve">’s </w:t>
      </w:r>
      <w:r w:rsidR="3AC809B2" w:rsidRPr="04B5B404">
        <w:rPr>
          <w:rFonts w:ascii="Calibri" w:hAnsi="Calibri" w:cs="Calibri"/>
          <w:color w:val="424242"/>
          <w:sz w:val="22"/>
          <w:szCs w:val="22"/>
        </w:rPr>
        <w:t>F</w:t>
      </w:r>
      <w:r w:rsidR="1F86E785" w:rsidRPr="04B5B404">
        <w:rPr>
          <w:rFonts w:ascii="Calibri" w:hAnsi="Calibri" w:cs="Calibri"/>
          <w:color w:val="424242"/>
          <w:sz w:val="22"/>
          <w:szCs w:val="22"/>
        </w:rPr>
        <w:t xml:space="preserve">iscal </w:t>
      </w:r>
      <w:r w:rsidR="05C2F910" w:rsidRPr="04B5B404">
        <w:rPr>
          <w:rFonts w:ascii="Calibri" w:hAnsi="Calibri" w:cs="Calibri"/>
          <w:color w:val="424242"/>
          <w:sz w:val="22"/>
          <w:szCs w:val="22"/>
        </w:rPr>
        <w:t>Y</w:t>
      </w:r>
      <w:r w:rsidR="1F86E785" w:rsidRPr="04B5B404">
        <w:rPr>
          <w:rFonts w:ascii="Calibri" w:hAnsi="Calibri" w:cs="Calibri"/>
          <w:color w:val="424242"/>
          <w:sz w:val="22"/>
          <w:szCs w:val="22"/>
        </w:rPr>
        <w:t xml:space="preserve">ear </w:t>
      </w:r>
      <w:r w:rsidR="31B976CB" w:rsidRPr="04B5B404">
        <w:rPr>
          <w:rFonts w:ascii="Calibri" w:hAnsi="Calibri" w:cs="Calibri"/>
          <w:color w:val="424242"/>
          <w:sz w:val="22"/>
          <w:szCs w:val="22"/>
        </w:rPr>
        <w:t xml:space="preserve">(FY) </w:t>
      </w:r>
      <w:r w:rsidR="1F86E785" w:rsidRPr="04B5B404">
        <w:rPr>
          <w:rFonts w:ascii="Calibri" w:hAnsi="Calibri" w:cs="Calibri"/>
          <w:color w:val="424242"/>
          <w:sz w:val="22"/>
          <w:szCs w:val="22"/>
        </w:rPr>
        <w:t xml:space="preserve">start – end dates and </w:t>
      </w:r>
      <w:r w:rsidR="00A9162B">
        <w:rPr>
          <w:rFonts w:ascii="Calibri" w:hAnsi="Calibri" w:cs="Calibri"/>
          <w:color w:val="424242"/>
          <w:sz w:val="22"/>
          <w:szCs w:val="22"/>
        </w:rPr>
        <w:t>HUD’s program year (by which they track everything) running from April 1 to March 31</w:t>
      </w:r>
      <w:r w:rsidR="41CC5579" w:rsidRPr="04B5B404">
        <w:rPr>
          <w:rFonts w:ascii="Calibri" w:hAnsi="Calibri" w:cs="Calibri"/>
          <w:color w:val="424242"/>
          <w:sz w:val="22"/>
          <w:szCs w:val="22"/>
        </w:rPr>
        <w:t>.</w:t>
      </w:r>
      <w:r w:rsidR="000919EF">
        <w:rPr>
          <w:rFonts w:ascii="Calibri" w:hAnsi="Calibri" w:cs="Calibri"/>
          <w:color w:val="424242"/>
          <w:sz w:val="22"/>
          <w:szCs w:val="22"/>
        </w:rPr>
        <w:t xml:space="preserve"> </w:t>
      </w:r>
      <w:r w:rsidRPr="04B5B404">
        <w:rPr>
          <w:rFonts w:ascii="Calibri" w:hAnsi="Calibri" w:cs="Calibri"/>
          <w:color w:val="424242"/>
          <w:sz w:val="22"/>
          <w:szCs w:val="22"/>
        </w:rPr>
        <w:t>A start-up training with all awardees is held annually.</w:t>
      </w:r>
      <w:r w:rsidR="000919EF">
        <w:rPr>
          <w:rFonts w:ascii="Calibri" w:hAnsi="Calibri" w:cs="Calibri"/>
          <w:color w:val="424242"/>
          <w:sz w:val="22"/>
          <w:szCs w:val="22"/>
        </w:rPr>
        <w:t xml:space="preserve"> </w:t>
      </w:r>
      <w:r w:rsidRPr="04B5B404">
        <w:rPr>
          <w:rFonts w:ascii="Calibri" w:hAnsi="Calibri" w:cs="Calibri"/>
          <w:color w:val="424242"/>
          <w:sz w:val="22"/>
          <w:szCs w:val="22"/>
        </w:rPr>
        <w:t>Required administrative start-up actions are described in this training.</w:t>
      </w:r>
      <w:r w:rsidR="000919EF">
        <w:rPr>
          <w:rFonts w:ascii="Calibri" w:hAnsi="Calibri" w:cs="Calibri"/>
          <w:color w:val="424242"/>
          <w:sz w:val="22"/>
          <w:szCs w:val="22"/>
        </w:rPr>
        <w:t xml:space="preserve"> </w:t>
      </w:r>
      <w:r w:rsidRPr="04B5B404">
        <w:rPr>
          <w:rFonts w:ascii="Calibri" w:hAnsi="Calibri" w:cs="Calibri"/>
          <w:color w:val="424242"/>
          <w:sz w:val="22"/>
          <w:szCs w:val="22"/>
        </w:rPr>
        <w:t xml:space="preserve">Further information is available on the </w:t>
      </w:r>
      <w:r w:rsidRPr="273FDDA6">
        <w:rPr>
          <w:rFonts w:ascii="Calibri" w:hAnsi="Calibri" w:cs="Calibri"/>
          <w:color w:val="424242"/>
          <w:sz w:val="22"/>
          <w:szCs w:val="22"/>
        </w:rPr>
        <w:t>Mass CDBG website:</w:t>
      </w:r>
    </w:p>
    <w:p w14:paraId="2B853B97" w14:textId="77777777" w:rsidR="000919EF" w:rsidRDefault="000919EF" w:rsidP="273FDDA6">
      <w:pPr>
        <w:pStyle w:val="NormalWeb"/>
        <w:shd w:val="clear" w:color="auto" w:fill="FFFFFF" w:themeFill="background1"/>
        <w:spacing w:before="0" w:beforeAutospacing="0" w:after="0" w:afterAutospacing="0"/>
        <w:rPr>
          <w:rFonts w:ascii="Calibri" w:hAnsi="Calibri" w:cs="Calibri"/>
          <w:color w:val="424242"/>
          <w:sz w:val="22"/>
          <w:szCs w:val="22"/>
        </w:rPr>
      </w:pPr>
    </w:p>
    <w:p w14:paraId="1C2CADC2" w14:textId="77777777" w:rsidR="004C3544" w:rsidRPr="004C3544" w:rsidRDefault="00000000" w:rsidP="004C3544">
      <w:pPr>
        <w:pStyle w:val="NormalWeb"/>
        <w:shd w:val="clear" w:color="auto" w:fill="FFFFFF"/>
        <w:spacing w:before="0" w:beforeAutospacing="0" w:after="0" w:afterAutospacing="0"/>
        <w:rPr>
          <w:rStyle w:val="Hyperlink"/>
          <w:rFonts w:ascii="Calibri" w:eastAsiaTheme="majorEastAsia" w:hAnsi="Calibri" w:cs="Calibri"/>
          <w:sz w:val="22"/>
          <w:szCs w:val="22"/>
        </w:rPr>
      </w:pPr>
      <w:hyperlink r:id="rId24" w:tgtFrame="_blank" w:history="1">
        <w:r w:rsidR="004C3544" w:rsidRPr="004C3544">
          <w:rPr>
            <w:rStyle w:val="Hyperlink"/>
            <w:rFonts w:ascii="Calibri" w:eastAsiaTheme="majorEastAsia" w:hAnsi="Calibri" w:cs="Calibri"/>
            <w:sz w:val="22"/>
            <w:szCs w:val="22"/>
          </w:rPr>
          <w:t>Community Development Block Grant (CDBG) | Mass.gov</w:t>
        </w:r>
      </w:hyperlink>
      <w:r w:rsidR="004C3544" w:rsidRPr="004C3544">
        <w:rPr>
          <w:rStyle w:val="Hyperlink"/>
          <w:rFonts w:ascii="Calibri" w:eastAsiaTheme="majorEastAsia" w:hAnsi="Calibri" w:cs="Calibri"/>
          <w:sz w:val="22"/>
          <w:szCs w:val="22"/>
        </w:rPr>
        <w:t> </w:t>
      </w:r>
    </w:p>
    <w:p w14:paraId="79129A01" w14:textId="77777777" w:rsidR="004C3544" w:rsidRPr="00077D27" w:rsidRDefault="004C3544" w:rsidP="004C3544">
      <w:pPr>
        <w:pStyle w:val="NormalWeb"/>
        <w:shd w:val="clear" w:color="auto" w:fill="FFFFFF"/>
        <w:spacing w:before="0" w:beforeAutospacing="0" w:after="0" w:afterAutospacing="0"/>
        <w:rPr>
          <w:rStyle w:val="Hyperlink"/>
          <w:rFonts w:ascii="Calibri" w:eastAsiaTheme="majorEastAsia" w:hAnsi="Calibri" w:cs="Calibri"/>
          <w:color w:val="424242"/>
          <w:sz w:val="22"/>
          <w:szCs w:val="22"/>
          <w:u w:val="none"/>
        </w:rPr>
      </w:pPr>
    </w:p>
    <w:p w14:paraId="59AB10D9" w14:textId="1B85E97A" w:rsidR="004C3544" w:rsidRDefault="004C3544" w:rsidP="04B5B404">
      <w:pPr>
        <w:pStyle w:val="NormalWeb"/>
        <w:shd w:val="clear" w:color="auto" w:fill="FFFFFF" w:themeFill="background1"/>
        <w:spacing w:before="0" w:beforeAutospacing="0" w:after="0" w:afterAutospacing="0"/>
        <w:rPr>
          <w:rFonts w:ascii="Calibri" w:hAnsi="Calibri" w:cs="Calibri"/>
          <w:color w:val="424242"/>
          <w:sz w:val="22"/>
          <w:szCs w:val="22"/>
        </w:rPr>
      </w:pPr>
      <w:r w:rsidRPr="04B5B404">
        <w:rPr>
          <w:rFonts w:ascii="Calibri" w:hAnsi="Calibri" w:cs="Calibri"/>
          <w:color w:val="424242"/>
          <w:sz w:val="22"/>
          <w:szCs w:val="22"/>
        </w:rPr>
        <w:t xml:space="preserve">This is an example of trainings from the </w:t>
      </w:r>
      <w:r w:rsidR="074A6200" w:rsidRPr="04B5B404">
        <w:rPr>
          <w:rFonts w:ascii="Calibri" w:hAnsi="Calibri" w:cs="Calibri"/>
          <w:color w:val="424242"/>
          <w:sz w:val="22"/>
          <w:szCs w:val="22"/>
        </w:rPr>
        <w:t>F</w:t>
      </w:r>
      <w:r w:rsidRPr="04B5B404">
        <w:rPr>
          <w:rFonts w:ascii="Calibri" w:hAnsi="Calibri" w:cs="Calibri"/>
          <w:color w:val="424242"/>
          <w:sz w:val="22"/>
          <w:szCs w:val="22"/>
        </w:rPr>
        <w:t>FY21 grant awards:</w:t>
      </w:r>
    </w:p>
    <w:p w14:paraId="12B231AC" w14:textId="77777777" w:rsidR="004C3544" w:rsidRPr="004C3544" w:rsidRDefault="00000000" w:rsidP="004C3544">
      <w:pPr>
        <w:pStyle w:val="NormalWeb"/>
        <w:shd w:val="clear" w:color="auto" w:fill="FFFFFF"/>
        <w:spacing w:before="0" w:beforeAutospacing="0" w:after="0" w:afterAutospacing="0"/>
        <w:rPr>
          <w:rStyle w:val="Hyperlink"/>
          <w:rFonts w:ascii="Calibri" w:eastAsiaTheme="majorEastAsia" w:hAnsi="Calibri" w:cs="Calibri"/>
          <w:sz w:val="22"/>
          <w:szCs w:val="22"/>
        </w:rPr>
      </w:pPr>
      <w:hyperlink r:id="rId25" w:tgtFrame="_blank" w:history="1">
        <w:r w:rsidR="004C3544" w:rsidRPr="004C3544">
          <w:rPr>
            <w:rStyle w:val="Hyperlink"/>
            <w:rFonts w:ascii="Calibri" w:eastAsiaTheme="majorEastAsia" w:hAnsi="Calibri" w:cs="Calibri"/>
            <w:sz w:val="22"/>
            <w:szCs w:val="22"/>
          </w:rPr>
          <w:t>https://youtube.com/playlist?list=PL5j_GOwgdxB5fq8f_DalxLvq4xxgHHanz</w:t>
        </w:r>
      </w:hyperlink>
      <w:r w:rsidR="004C3544" w:rsidRPr="004C3544">
        <w:rPr>
          <w:rStyle w:val="Hyperlink"/>
          <w:rFonts w:ascii="Calibri" w:eastAsiaTheme="majorEastAsia" w:hAnsi="Calibri" w:cs="Calibri"/>
          <w:sz w:val="22"/>
          <w:szCs w:val="22"/>
        </w:rPr>
        <w:t> (start-up playlist)</w:t>
      </w:r>
    </w:p>
    <w:p w14:paraId="592848FB" w14:textId="77777777" w:rsidR="004C3544" w:rsidRPr="004C3544" w:rsidRDefault="004C3544" w:rsidP="004C3544">
      <w:pPr>
        <w:pStyle w:val="NormalWeb"/>
        <w:shd w:val="clear" w:color="auto" w:fill="FFFFFF"/>
        <w:spacing w:before="0" w:beforeAutospacing="0" w:after="0" w:afterAutospacing="0"/>
        <w:rPr>
          <w:rStyle w:val="Hyperlink"/>
          <w:rFonts w:ascii="Calibri" w:eastAsiaTheme="majorEastAsia" w:hAnsi="Calibri" w:cs="Calibri"/>
          <w:sz w:val="22"/>
          <w:szCs w:val="22"/>
        </w:rPr>
      </w:pPr>
    </w:p>
    <w:p w14:paraId="73CF0D11" w14:textId="1380E7D2" w:rsidR="004C3544" w:rsidRDefault="0779AC81" w:rsidP="1703F25F">
      <w:pPr>
        <w:pStyle w:val="NormalWeb"/>
        <w:shd w:val="clear" w:color="auto" w:fill="FFFFFF" w:themeFill="background1"/>
        <w:spacing w:before="0" w:beforeAutospacing="0" w:after="0" w:afterAutospacing="0"/>
        <w:rPr>
          <w:rFonts w:ascii="Calibri" w:hAnsi="Calibri" w:cs="Calibri"/>
          <w:color w:val="424242"/>
          <w:sz w:val="22"/>
          <w:szCs w:val="22"/>
        </w:rPr>
      </w:pPr>
      <w:r w:rsidRPr="1703F25F">
        <w:rPr>
          <w:rFonts w:ascii="Calibri" w:hAnsi="Calibri" w:cs="Calibri"/>
          <w:color w:val="424242"/>
          <w:sz w:val="22"/>
          <w:szCs w:val="22"/>
        </w:rPr>
        <w:t>Each grant is assigned a</w:t>
      </w:r>
      <w:r w:rsidR="5BC6598E" w:rsidRPr="1703F25F">
        <w:rPr>
          <w:rFonts w:ascii="Calibri" w:hAnsi="Calibri" w:cs="Calibri"/>
          <w:color w:val="424242"/>
          <w:sz w:val="22"/>
          <w:szCs w:val="22"/>
        </w:rPr>
        <w:t xml:space="preserve"> </w:t>
      </w:r>
      <w:r w:rsidR="004521C3">
        <w:rPr>
          <w:rFonts w:ascii="Calibri" w:hAnsi="Calibri" w:cs="Calibri"/>
          <w:color w:val="424242"/>
          <w:sz w:val="22"/>
          <w:szCs w:val="22"/>
        </w:rPr>
        <w:t>EOHLC</w:t>
      </w:r>
      <w:r w:rsidR="1A1A7C4B" w:rsidRPr="1703F25F">
        <w:rPr>
          <w:rFonts w:ascii="Calibri" w:hAnsi="Calibri" w:cs="Calibri"/>
          <w:color w:val="424242"/>
          <w:sz w:val="22"/>
          <w:szCs w:val="22"/>
        </w:rPr>
        <w:t xml:space="preserve"> </w:t>
      </w:r>
      <w:r w:rsidRPr="1703F25F">
        <w:rPr>
          <w:rFonts w:ascii="Calibri" w:hAnsi="Calibri" w:cs="Calibri"/>
          <w:color w:val="424242"/>
          <w:sz w:val="22"/>
          <w:szCs w:val="22"/>
        </w:rPr>
        <w:t xml:space="preserve">Program Representative and </w:t>
      </w:r>
      <w:r w:rsidR="4845DA07" w:rsidRPr="1703F25F">
        <w:rPr>
          <w:rFonts w:ascii="Calibri" w:hAnsi="Calibri" w:cs="Calibri"/>
          <w:color w:val="424242"/>
          <w:sz w:val="22"/>
          <w:szCs w:val="22"/>
        </w:rPr>
        <w:t xml:space="preserve">a </w:t>
      </w:r>
      <w:r w:rsidRPr="1703F25F">
        <w:rPr>
          <w:rFonts w:ascii="Calibri" w:hAnsi="Calibri" w:cs="Calibri"/>
          <w:color w:val="424242"/>
          <w:sz w:val="22"/>
          <w:szCs w:val="22"/>
        </w:rPr>
        <w:t xml:space="preserve">Fiscal Representative. These </w:t>
      </w:r>
      <w:r w:rsidR="004521C3">
        <w:rPr>
          <w:rFonts w:ascii="Calibri" w:hAnsi="Calibri" w:cs="Calibri"/>
          <w:color w:val="424242"/>
          <w:sz w:val="22"/>
          <w:szCs w:val="22"/>
        </w:rPr>
        <w:t>EOHLC</w:t>
      </w:r>
      <w:r w:rsidRPr="1703F25F">
        <w:rPr>
          <w:rFonts w:ascii="Calibri" w:hAnsi="Calibri" w:cs="Calibri"/>
          <w:color w:val="424242"/>
          <w:sz w:val="22"/>
          <w:szCs w:val="22"/>
        </w:rPr>
        <w:t xml:space="preserve"> staff serve as </w:t>
      </w:r>
      <w:r w:rsidR="14381809" w:rsidRPr="1703F25F">
        <w:rPr>
          <w:rFonts w:ascii="Calibri" w:hAnsi="Calibri" w:cs="Calibri"/>
          <w:color w:val="424242"/>
          <w:sz w:val="22"/>
          <w:szCs w:val="22"/>
        </w:rPr>
        <w:t>the community’s</w:t>
      </w:r>
      <w:r w:rsidRPr="1703F25F">
        <w:rPr>
          <w:rFonts w:ascii="Calibri" w:hAnsi="Calibri" w:cs="Calibri"/>
          <w:color w:val="424242"/>
          <w:sz w:val="22"/>
          <w:szCs w:val="22"/>
        </w:rPr>
        <w:t xml:space="preserve"> primary resource for grant management </w:t>
      </w:r>
      <w:r w:rsidR="2C4D0B91" w:rsidRPr="1703F25F">
        <w:rPr>
          <w:rFonts w:ascii="Calibri" w:hAnsi="Calibri" w:cs="Calibri"/>
          <w:color w:val="424242"/>
          <w:sz w:val="22"/>
          <w:szCs w:val="22"/>
        </w:rPr>
        <w:t xml:space="preserve">and </w:t>
      </w:r>
      <w:r w:rsidRPr="1703F25F">
        <w:rPr>
          <w:rFonts w:ascii="Calibri" w:hAnsi="Calibri" w:cs="Calibri"/>
          <w:color w:val="424242"/>
          <w:sz w:val="22"/>
          <w:szCs w:val="22"/>
        </w:rPr>
        <w:t xml:space="preserve">support. Program reporting and fiscal activity </w:t>
      </w:r>
      <w:r w:rsidR="7FD38547" w:rsidRPr="1703F25F">
        <w:rPr>
          <w:rFonts w:ascii="Calibri" w:hAnsi="Calibri" w:cs="Calibri"/>
          <w:color w:val="424242"/>
          <w:sz w:val="22"/>
          <w:szCs w:val="22"/>
        </w:rPr>
        <w:t xml:space="preserve">for each grant </w:t>
      </w:r>
      <w:r w:rsidRPr="1703F25F">
        <w:rPr>
          <w:rFonts w:ascii="Calibri" w:hAnsi="Calibri" w:cs="Calibri"/>
          <w:color w:val="424242"/>
          <w:sz w:val="22"/>
          <w:szCs w:val="22"/>
        </w:rPr>
        <w:t xml:space="preserve">are managed through a web-based grants management </w:t>
      </w:r>
      <w:r w:rsidR="1F7FDEC9" w:rsidRPr="1703F25F">
        <w:rPr>
          <w:rFonts w:ascii="Calibri" w:hAnsi="Calibri" w:cs="Calibri"/>
          <w:color w:val="424242"/>
          <w:sz w:val="22"/>
          <w:szCs w:val="22"/>
        </w:rPr>
        <w:t xml:space="preserve">system </w:t>
      </w:r>
      <w:r w:rsidR="002C5FEE" w:rsidRPr="1703F25F">
        <w:rPr>
          <w:rFonts w:ascii="Calibri" w:hAnsi="Calibri" w:cs="Calibri"/>
          <w:color w:val="424242"/>
          <w:sz w:val="22"/>
          <w:szCs w:val="22"/>
        </w:rPr>
        <w:t xml:space="preserve">(CGMS) </w:t>
      </w:r>
      <w:r w:rsidR="1F7FDEC9" w:rsidRPr="1703F25F">
        <w:rPr>
          <w:rFonts w:ascii="Calibri" w:hAnsi="Calibri" w:cs="Calibri"/>
          <w:color w:val="424242"/>
          <w:sz w:val="22"/>
          <w:szCs w:val="22"/>
        </w:rPr>
        <w:t xml:space="preserve">called </w:t>
      </w:r>
      <w:proofErr w:type="spellStart"/>
      <w:r w:rsidR="1F7FDEC9" w:rsidRPr="1703F25F">
        <w:rPr>
          <w:rFonts w:ascii="Calibri" w:hAnsi="Calibri" w:cs="Calibri"/>
          <w:color w:val="424242"/>
          <w:sz w:val="22"/>
          <w:szCs w:val="22"/>
        </w:rPr>
        <w:t>Intelligrants</w:t>
      </w:r>
      <w:proofErr w:type="spellEnd"/>
      <w:r w:rsidRPr="1703F25F">
        <w:rPr>
          <w:rFonts w:ascii="Calibri" w:hAnsi="Calibri" w:cs="Calibri"/>
          <w:color w:val="424242"/>
          <w:sz w:val="22"/>
          <w:szCs w:val="22"/>
        </w:rPr>
        <w:t xml:space="preserve">. </w:t>
      </w:r>
      <w:r w:rsidR="31C205DA" w:rsidRPr="1703F25F">
        <w:rPr>
          <w:rFonts w:ascii="Calibri" w:hAnsi="Calibri" w:cs="Calibri"/>
          <w:color w:val="424242"/>
          <w:sz w:val="22"/>
          <w:szCs w:val="22"/>
        </w:rPr>
        <w:t xml:space="preserve">An online link for basic training on the </w:t>
      </w:r>
      <w:proofErr w:type="spellStart"/>
      <w:r w:rsidR="31C205DA" w:rsidRPr="1703F25F">
        <w:rPr>
          <w:rFonts w:ascii="Calibri" w:hAnsi="Calibri" w:cs="Calibri"/>
          <w:color w:val="424242"/>
          <w:sz w:val="22"/>
          <w:szCs w:val="22"/>
        </w:rPr>
        <w:t>Intelligrants</w:t>
      </w:r>
      <w:proofErr w:type="spellEnd"/>
      <w:r w:rsidR="31C205DA" w:rsidRPr="1703F25F">
        <w:rPr>
          <w:rFonts w:ascii="Calibri" w:hAnsi="Calibri" w:cs="Calibri"/>
          <w:color w:val="424242"/>
          <w:sz w:val="22"/>
          <w:szCs w:val="22"/>
        </w:rPr>
        <w:t xml:space="preserve"> / CGMS system can be found</w:t>
      </w:r>
      <w:r w:rsidR="6835E978" w:rsidRPr="1703F25F">
        <w:rPr>
          <w:rFonts w:ascii="Calibri" w:hAnsi="Calibri" w:cs="Calibri"/>
          <w:color w:val="424242"/>
          <w:sz w:val="22"/>
          <w:szCs w:val="22"/>
        </w:rPr>
        <w:t xml:space="preserve"> below.</w:t>
      </w:r>
      <w:r w:rsidR="31C205DA" w:rsidRPr="1703F25F">
        <w:rPr>
          <w:rFonts w:ascii="Calibri" w:hAnsi="Calibri" w:cs="Calibri"/>
          <w:color w:val="424242"/>
          <w:sz w:val="22"/>
          <w:szCs w:val="22"/>
        </w:rPr>
        <w:t xml:space="preserve"> </w:t>
      </w:r>
      <w:r w:rsidR="0EBD73B5" w:rsidRPr="1703F25F">
        <w:rPr>
          <w:rFonts w:ascii="Calibri" w:hAnsi="Calibri" w:cs="Calibri"/>
          <w:color w:val="424242"/>
          <w:sz w:val="22"/>
          <w:szCs w:val="22"/>
        </w:rPr>
        <w:t>The</w:t>
      </w:r>
      <w:r w:rsidRPr="1703F25F">
        <w:rPr>
          <w:rFonts w:ascii="Calibri" w:hAnsi="Calibri" w:cs="Calibri"/>
          <w:color w:val="424242"/>
          <w:sz w:val="22"/>
          <w:szCs w:val="22"/>
        </w:rPr>
        <w:t xml:space="preserve"> </w:t>
      </w:r>
      <w:r w:rsidR="000E1B0D">
        <w:rPr>
          <w:rFonts w:ascii="Calibri" w:hAnsi="Calibri" w:cs="Calibri"/>
          <w:color w:val="424242"/>
          <w:sz w:val="22"/>
          <w:szCs w:val="22"/>
        </w:rPr>
        <w:t>f</w:t>
      </w:r>
      <w:r w:rsidRPr="1703F25F">
        <w:rPr>
          <w:rFonts w:ascii="Calibri" w:hAnsi="Calibri" w:cs="Calibri"/>
          <w:color w:val="424242"/>
          <w:sz w:val="22"/>
          <w:szCs w:val="22"/>
        </w:rPr>
        <w:t xml:space="preserve">iscal </w:t>
      </w:r>
      <w:r w:rsidR="000E1B0D">
        <w:rPr>
          <w:rFonts w:ascii="Calibri" w:hAnsi="Calibri" w:cs="Calibri"/>
          <w:color w:val="424242"/>
          <w:sz w:val="22"/>
          <w:szCs w:val="22"/>
        </w:rPr>
        <w:t>r</w:t>
      </w:r>
      <w:r w:rsidRPr="1703F25F">
        <w:rPr>
          <w:rFonts w:ascii="Calibri" w:hAnsi="Calibri" w:cs="Calibri"/>
          <w:color w:val="424242"/>
          <w:sz w:val="22"/>
          <w:szCs w:val="22"/>
        </w:rPr>
        <w:t xml:space="preserve">epresentative </w:t>
      </w:r>
      <w:r w:rsidR="7011C73D" w:rsidRPr="1703F25F">
        <w:rPr>
          <w:rFonts w:ascii="Calibri" w:hAnsi="Calibri" w:cs="Calibri"/>
          <w:color w:val="424242"/>
          <w:sz w:val="22"/>
          <w:szCs w:val="22"/>
        </w:rPr>
        <w:t>will</w:t>
      </w:r>
      <w:r w:rsidRPr="1703F25F">
        <w:rPr>
          <w:rFonts w:ascii="Calibri" w:hAnsi="Calibri" w:cs="Calibri"/>
          <w:color w:val="424242"/>
          <w:sz w:val="22"/>
          <w:szCs w:val="22"/>
        </w:rPr>
        <w:t xml:space="preserve"> provide training on processing claims and other fiscal reporting requirements</w:t>
      </w:r>
      <w:r w:rsidR="61324717" w:rsidRPr="1703F25F">
        <w:rPr>
          <w:rFonts w:ascii="Calibri" w:hAnsi="Calibri" w:cs="Calibri"/>
          <w:color w:val="424242"/>
          <w:sz w:val="22"/>
          <w:szCs w:val="22"/>
        </w:rPr>
        <w:t>, and</w:t>
      </w:r>
      <w:r w:rsidR="32028B31" w:rsidRPr="1703F25F">
        <w:rPr>
          <w:rFonts w:ascii="Calibri" w:hAnsi="Calibri" w:cs="Calibri"/>
          <w:color w:val="424242"/>
          <w:sz w:val="22"/>
          <w:szCs w:val="22"/>
        </w:rPr>
        <w:t xml:space="preserve"> overall</w:t>
      </w:r>
      <w:r w:rsidRPr="1703F25F">
        <w:rPr>
          <w:rFonts w:ascii="Calibri" w:hAnsi="Calibri" w:cs="Calibri"/>
          <w:color w:val="424242"/>
          <w:sz w:val="22"/>
          <w:szCs w:val="22"/>
        </w:rPr>
        <w:t xml:space="preserve"> support, consultation and technical assistance</w:t>
      </w:r>
      <w:r w:rsidR="52F70AF1" w:rsidRPr="1703F25F">
        <w:rPr>
          <w:rFonts w:ascii="Calibri" w:hAnsi="Calibri" w:cs="Calibri"/>
          <w:color w:val="424242"/>
          <w:sz w:val="22"/>
          <w:szCs w:val="22"/>
        </w:rPr>
        <w:t xml:space="preserve"> will be </w:t>
      </w:r>
      <w:r w:rsidR="3AA2556E" w:rsidRPr="1703F25F">
        <w:rPr>
          <w:rFonts w:ascii="Calibri" w:hAnsi="Calibri" w:cs="Calibri"/>
          <w:color w:val="424242"/>
          <w:sz w:val="22"/>
          <w:szCs w:val="22"/>
        </w:rPr>
        <w:t>provided</w:t>
      </w:r>
      <w:r w:rsidRPr="1703F25F">
        <w:rPr>
          <w:rFonts w:ascii="Calibri" w:hAnsi="Calibri" w:cs="Calibri"/>
          <w:color w:val="424242"/>
          <w:sz w:val="22"/>
          <w:szCs w:val="22"/>
        </w:rPr>
        <w:t xml:space="preserve"> </w:t>
      </w:r>
      <w:r w:rsidR="40B783BB" w:rsidRPr="1703F25F">
        <w:rPr>
          <w:rFonts w:ascii="Calibri" w:hAnsi="Calibri" w:cs="Calibri"/>
          <w:color w:val="424242"/>
          <w:sz w:val="22"/>
          <w:szCs w:val="22"/>
        </w:rPr>
        <w:t>to communities on an ongoing</w:t>
      </w:r>
      <w:r w:rsidR="0B729988" w:rsidRPr="1703F25F">
        <w:rPr>
          <w:rFonts w:ascii="Calibri" w:hAnsi="Calibri" w:cs="Calibri"/>
          <w:color w:val="424242"/>
          <w:sz w:val="22"/>
          <w:szCs w:val="22"/>
        </w:rPr>
        <w:t>, as needed</w:t>
      </w:r>
      <w:r w:rsidR="40B783BB" w:rsidRPr="1703F25F">
        <w:rPr>
          <w:rFonts w:ascii="Calibri" w:hAnsi="Calibri" w:cs="Calibri"/>
          <w:color w:val="424242"/>
          <w:sz w:val="22"/>
          <w:szCs w:val="22"/>
        </w:rPr>
        <w:t xml:space="preserve"> basis</w:t>
      </w:r>
      <w:r w:rsidR="58A0A9F2" w:rsidRPr="1703F25F">
        <w:rPr>
          <w:rFonts w:ascii="Calibri" w:hAnsi="Calibri" w:cs="Calibri"/>
          <w:color w:val="424242"/>
          <w:sz w:val="22"/>
          <w:szCs w:val="22"/>
        </w:rPr>
        <w:t xml:space="preserve"> for the duration of the grant</w:t>
      </w:r>
      <w:r w:rsidRPr="1703F25F">
        <w:rPr>
          <w:rFonts w:ascii="Calibri" w:hAnsi="Calibri" w:cs="Calibri"/>
          <w:color w:val="424242"/>
          <w:sz w:val="22"/>
          <w:szCs w:val="22"/>
        </w:rPr>
        <w:t>.</w:t>
      </w:r>
    </w:p>
    <w:p w14:paraId="0A9787B2" w14:textId="474F548E" w:rsidR="004C3544" w:rsidRPr="004C3544" w:rsidRDefault="004C3544" w:rsidP="273FDDA6">
      <w:pPr>
        <w:pStyle w:val="NormalWeb"/>
        <w:shd w:val="clear" w:color="auto" w:fill="FFFFFF" w:themeFill="background1"/>
        <w:spacing w:before="0" w:beforeAutospacing="0" w:after="0" w:afterAutospacing="0"/>
        <w:rPr>
          <w:rFonts w:ascii="Calibri" w:hAnsi="Calibri" w:cs="Calibri"/>
          <w:color w:val="424242"/>
          <w:sz w:val="22"/>
          <w:szCs w:val="22"/>
        </w:rPr>
      </w:pPr>
    </w:p>
    <w:p w14:paraId="29695B60" w14:textId="233BB6A5" w:rsidR="004C3544" w:rsidRPr="004C3544" w:rsidRDefault="00000000" w:rsidP="273FDDA6">
      <w:pPr>
        <w:pStyle w:val="NormalWeb"/>
        <w:shd w:val="clear" w:color="auto" w:fill="FFFFFF" w:themeFill="background1"/>
        <w:spacing w:before="0" w:beforeAutospacing="0" w:after="0" w:afterAutospacing="0"/>
        <w:rPr>
          <w:rFonts w:ascii="Calibri" w:hAnsi="Calibri" w:cs="Calibri"/>
          <w:color w:val="424242"/>
          <w:sz w:val="22"/>
          <w:szCs w:val="22"/>
        </w:rPr>
      </w:pPr>
      <w:hyperlink r:id="rId26" w:history="1">
        <w:r w:rsidR="440B6E81" w:rsidRPr="00A620D0">
          <w:rPr>
            <w:rStyle w:val="Hyperlink"/>
            <w:rFonts w:ascii="Calibri" w:hAnsi="Calibri" w:cs="Calibri"/>
            <w:sz w:val="22"/>
            <w:szCs w:val="22"/>
          </w:rPr>
          <w:t>https://www.mass.gov/doc/gms-cg</w:t>
        </w:r>
        <w:r w:rsidR="440B6E81" w:rsidRPr="00A620D0">
          <w:rPr>
            <w:rStyle w:val="Hyperlink"/>
            <w:rFonts w:ascii="Calibri" w:hAnsi="Calibri" w:cs="Calibri"/>
            <w:sz w:val="22"/>
            <w:szCs w:val="22"/>
          </w:rPr>
          <w:t>m</w:t>
        </w:r>
        <w:r w:rsidR="440B6E81" w:rsidRPr="00A620D0">
          <w:rPr>
            <w:rStyle w:val="Hyperlink"/>
            <w:rFonts w:ascii="Calibri" w:hAnsi="Calibri" w:cs="Calibri"/>
            <w:sz w:val="22"/>
            <w:szCs w:val="22"/>
          </w:rPr>
          <w:t>m-training/download</w:t>
        </w:r>
      </w:hyperlink>
    </w:p>
    <w:p w14:paraId="5169DA4C" w14:textId="270BD6F3" w:rsidR="004C3544" w:rsidRPr="004C3544" w:rsidRDefault="004C3544" w:rsidP="273FDDA6">
      <w:pPr>
        <w:pStyle w:val="Heading2"/>
        <w:shd w:val="clear" w:color="auto" w:fill="FFFFFF" w:themeFill="background1"/>
        <w:spacing w:before="0"/>
      </w:pPr>
    </w:p>
    <w:p w14:paraId="32D35939" w14:textId="4D2EF64E" w:rsidR="004C3544" w:rsidRPr="004C3544" w:rsidRDefault="0779AC81" w:rsidP="273FDDA6">
      <w:pPr>
        <w:pStyle w:val="Heading2"/>
        <w:shd w:val="clear" w:color="auto" w:fill="FFFFFF" w:themeFill="background1"/>
        <w:spacing w:before="0"/>
        <w:rPr>
          <w:rFonts w:ascii="Calibri" w:hAnsi="Calibri" w:cs="Calibri"/>
          <w:color w:val="424242"/>
          <w:sz w:val="22"/>
          <w:szCs w:val="22"/>
        </w:rPr>
      </w:pPr>
      <w:r>
        <w:t>Other Useful References</w:t>
      </w:r>
    </w:p>
    <w:p w14:paraId="79CEF090" w14:textId="77777777" w:rsidR="004C3544" w:rsidRPr="00AB1E40" w:rsidRDefault="004C3544" w:rsidP="004C3544">
      <w:pPr>
        <w:pStyle w:val="Heading3"/>
      </w:pPr>
      <w:r w:rsidRPr="00AB1E40">
        <w:t>Regulations and Statutes</w:t>
      </w:r>
    </w:p>
    <w:p w14:paraId="12EFAAAB"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p>
    <w:p w14:paraId="0F731A65"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24 CFR 570 </w:t>
      </w:r>
      <w:r w:rsidRPr="00996338">
        <w:rPr>
          <w:rFonts w:ascii="Calibri" w:hAnsi="Calibri" w:cs="Calibri"/>
          <w:color w:val="424242"/>
          <w:sz w:val="22"/>
          <w:szCs w:val="22"/>
        </w:rPr>
        <w:t>Subpart I - State Community Development Block Grant Program</w:t>
      </w:r>
    </w:p>
    <w:p w14:paraId="4DC857FA" w14:textId="77777777" w:rsidR="004C3544" w:rsidRDefault="00000000" w:rsidP="004C3544">
      <w:pPr>
        <w:pStyle w:val="NormalWeb"/>
        <w:shd w:val="clear" w:color="auto" w:fill="FFFFFF"/>
        <w:spacing w:before="0" w:beforeAutospacing="0" w:after="0" w:afterAutospacing="0"/>
        <w:rPr>
          <w:rFonts w:ascii="Calibri" w:hAnsi="Calibri" w:cs="Calibri"/>
          <w:color w:val="424242"/>
          <w:sz w:val="22"/>
          <w:szCs w:val="22"/>
        </w:rPr>
      </w:pPr>
      <w:hyperlink r:id="rId27" w:history="1">
        <w:r w:rsidR="004C3544" w:rsidRPr="00D53AB3">
          <w:rPr>
            <w:rStyle w:val="Hyperlink"/>
            <w:rFonts w:ascii="Calibri" w:eastAsiaTheme="majorEastAsia" w:hAnsi="Calibri" w:cs="Calibri"/>
            <w:sz w:val="22"/>
            <w:szCs w:val="22"/>
          </w:rPr>
          <w:t>https://www.ecfr.gov/current/title-24/subtitle-B/chapter-V/subchapter-C/part-570/subpart-I</w:t>
        </w:r>
      </w:hyperlink>
    </w:p>
    <w:p w14:paraId="4F5209A9"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p>
    <w:p w14:paraId="19497E13"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Electronic Code of Federal Regulations</w:t>
      </w:r>
    </w:p>
    <w:p w14:paraId="33766509" w14:textId="77777777" w:rsidR="004C3544" w:rsidRDefault="00000000" w:rsidP="004C3544">
      <w:pPr>
        <w:pStyle w:val="NormalWeb"/>
        <w:shd w:val="clear" w:color="auto" w:fill="FFFFFF"/>
        <w:spacing w:before="0" w:beforeAutospacing="0" w:after="0" w:afterAutospacing="0"/>
        <w:rPr>
          <w:rFonts w:ascii="Calibri" w:hAnsi="Calibri" w:cs="Calibri"/>
          <w:color w:val="424242"/>
          <w:sz w:val="22"/>
          <w:szCs w:val="22"/>
        </w:rPr>
      </w:pPr>
      <w:hyperlink r:id="rId28" w:history="1">
        <w:r w:rsidR="004C3544" w:rsidRPr="00D53AB3">
          <w:rPr>
            <w:rStyle w:val="Hyperlink"/>
            <w:rFonts w:ascii="Calibri" w:eastAsiaTheme="majorEastAsia" w:hAnsi="Calibri" w:cs="Calibri"/>
            <w:sz w:val="22"/>
            <w:szCs w:val="22"/>
          </w:rPr>
          <w:t>https://www.ecfr.gov/</w:t>
        </w:r>
      </w:hyperlink>
      <w:r w:rsidR="004C3544">
        <w:rPr>
          <w:rStyle w:val="Hyperlink"/>
          <w:rFonts w:ascii="Calibri" w:eastAsiaTheme="majorEastAsia" w:hAnsi="Calibri" w:cs="Calibri"/>
          <w:sz w:val="22"/>
          <w:szCs w:val="22"/>
        </w:rPr>
        <w:t xml:space="preserve"> (for searching a regulation)</w:t>
      </w:r>
    </w:p>
    <w:p w14:paraId="600EE4B5"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p>
    <w:p w14:paraId="3668D6CF" w14:textId="77777777" w:rsidR="004C3544" w:rsidRPr="0048335E" w:rsidRDefault="004C3544" w:rsidP="004C3544">
      <w:pPr>
        <w:pStyle w:val="Heading3"/>
      </w:pPr>
      <w:r>
        <w:t>Other Resources</w:t>
      </w:r>
    </w:p>
    <w:p w14:paraId="6F05A1FB" w14:textId="77777777" w:rsidR="004C3544" w:rsidRDefault="004C3544" w:rsidP="004C3544">
      <w:pPr>
        <w:pStyle w:val="NormalWeb"/>
        <w:shd w:val="clear" w:color="auto" w:fill="FFFFFF"/>
        <w:spacing w:before="0" w:beforeAutospacing="0" w:after="0" w:afterAutospacing="0"/>
        <w:rPr>
          <w:rStyle w:val="Hyperlink"/>
          <w:rFonts w:ascii="Calibri" w:eastAsiaTheme="majorEastAsia" w:hAnsi="Calibri" w:cs="Calibri"/>
          <w:sz w:val="22"/>
          <w:szCs w:val="22"/>
        </w:rPr>
      </w:pPr>
    </w:p>
    <w:p w14:paraId="462411C5"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r w:rsidRPr="002522B2">
        <w:rPr>
          <w:rFonts w:ascii="Calibri" w:hAnsi="Calibri" w:cs="Calibri"/>
          <w:color w:val="424242"/>
          <w:sz w:val="22"/>
          <w:szCs w:val="22"/>
        </w:rPr>
        <w:t>HUD’s</w:t>
      </w:r>
      <w:r>
        <w:rPr>
          <w:rFonts w:ascii="Calibri" w:hAnsi="Calibri" w:cs="Calibri"/>
          <w:color w:val="424242"/>
          <w:sz w:val="22"/>
          <w:szCs w:val="22"/>
        </w:rPr>
        <w:t xml:space="preserve"> Training Resource, Basically CDBG Online</w:t>
      </w:r>
    </w:p>
    <w:p w14:paraId="70CA8882" w14:textId="77777777" w:rsidR="004C3544" w:rsidRDefault="00000000" w:rsidP="004C3544">
      <w:pPr>
        <w:pStyle w:val="NormalWeb"/>
        <w:shd w:val="clear" w:color="auto" w:fill="FFFFFF"/>
        <w:spacing w:before="0" w:beforeAutospacing="0" w:after="0" w:afterAutospacing="0"/>
        <w:rPr>
          <w:rStyle w:val="Hyperlink"/>
          <w:rFonts w:ascii="Calibri" w:eastAsiaTheme="majorEastAsia" w:hAnsi="Calibri" w:cs="Calibri"/>
          <w:sz w:val="22"/>
          <w:szCs w:val="22"/>
        </w:rPr>
      </w:pPr>
      <w:hyperlink r:id="rId29" w:history="1">
        <w:r w:rsidR="004C3544" w:rsidRPr="004C3CCC">
          <w:rPr>
            <w:rStyle w:val="Hyperlink"/>
            <w:rFonts w:ascii="Calibri" w:eastAsiaTheme="majorEastAsia" w:hAnsi="Calibri" w:cs="Calibri"/>
            <w:sz w:val="22"/>
            <w:szCs w:val="22"/>
          </w:rPr>
          <w:t>Basically CDBG - HUD Exchange</w:t>
        </w:r>
      </w:hyperlink>
    </w:p>
    <w:p w14:paraId="24E3CA2E" w14:textId="77777777" w:rsidR="004C3544" w:rsidRDefault="004C3544" w:rsidP="004C3544">
      <w:pPr>
        <w:pStyle w:val="NormalWeb"/>
        <w:shd w:val="clear" w:color="auto" w:fill="FFFFFF"/>
        <w:spacing w:before="0" w:beforeAutospacing="0" w:after="0" w:afterAutospacing="0"/>
        <w:rPr>
          <w:rStyle w:val="Hyperlink"/>
          <w:rFonts w:ascii="Calibri" w:eastAsiaTheme="majorEastAsia" w:hAnsi="Calibri" w:cs="Calibri"/>
          <w:sz w:val="22"/>
          <w:szCs w:val="22"/>
        </w:rPr>
      </w:pPr>
    </w:p>
    <w:p w14:paraId="51D0105D"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HUD CPD website: State Administered CDBG</w:t>
      </w:r>
    </w:p>
    <w:p w14:paraId="3610AED4" w14:textId="77777777" w:rsidR="004C3544" w:rsidRPr="00D15524" w:rsidRDefault="00000000" w:rsidP="004C3544">
      <w:pPr>
        <w:pStyle w:val="NormalWeb"/>
        <w:shd w:val="clear" w:color="auto" w:fill="FFFFFF"/>
        <w:spacing w:before="0" w:beforeAutospacing="0" w:after="0" w:afterAutospacing="0"/>
        <w:rPr>
          <w:rStyle w:val="Hyperlink"/>
          <w:rFonts w:ascii="Calibri" w:eastAsiaTheme="majorEastAsia" w:hAnsi="Calibri" w:cs="Calibri"/>
          <w:color w:val="424242"/>
          <w:sz w:val="22"/>
          <w:szCs w:val="22"/>
        </w:rPr>
      </w:pPr>
      <w:hyperlink r:id="rId30" w:history="1">
        <w:r w:rsidR="004C3544" w:rsidRPr="00D53AB3">
          <w:rPr>
            <w:rStyle w:val="Hyperlink"/>
            <w:rFonts w:ascii="Calibri" w:eastAsiaTheme="majorEastAsia" w:hAnsi="Calibri" w:cs="Calibri"/>
            <w:sz w:val="22"/>
            <w:szCs w:val="22"/>
          </w:rPr>
          <w:t>https://www.hudexchange.info/programs/cdbg-state/</w:t>
        </w:r>
      </w:hyperlink>
    </w:p>
    <w:p w14:paraId="390FDC33" w14:textId="77777777" w:rsidR="004C3544" w:rsidRDefault="004C3544" w:rsidP="004C3544">
      <w:pPr>
        <w:pStyle w:val="NormalWeb"/>
        <w:shd w:val="clear" w:color="auto" w:fill="FFFFFF"/>
        <w:spacing w:before="0" w:beforeAutospacing="0" w:after="0" w:afterAutospacing="0"/>
        <w:rPr>
          <w:rStyle w:val="Hyperlink"/>
          <w:rFonts w:ascii="Calibri" w:eastAsiaTheme="majorEastAsia" w:hAnsi="Calibri" w:cs="Calibri"/>
          <w:sz w:val="22"/>
          <w:szCs w:val="22"/>
        </w:rPr>
      </w:pPr>
    </w:p>
    <w:p w14:paraId="307F5A8F"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r w:rsidRPr="007148BD">
        <w:rPr>
          <w:rFonts w:ascii="Calibri" w:hAnsi="Calibri" w:cs="Calibri"/>
          <w:color w:val="424242"/>
          <w:sz w:val="22"/>
          <w:szCs w:val="22"/>
        </w:rPr>
        <w:t xml:space="preserve">HUD’s Publication, </w:t>
      </w:r>
      <w:r w:rsidRPr="003E2971">
        <w:rPr>
          <w:rFonts w:ascii="Calibri" w:hAnsi="Calibri" w:cs="Calibri"/>
          <w:i/>
          <w:iCs/>
          <w:color w:val="424242"/>
          <w:sz w:val="22"/>
          <w:szCs w:val="22"/>
        </w:rPr>
        <w:t>Keeping Your CDBG Funds Moving: Guidelines for Managing Your Overall CDBG Program in a Timely Manner</w:t>
      </w:r>
    </w:p>
    <w:p w14:paraId="20C1E51C" w14:textId="77777777" w:rsidR="004C3544" w:rsidRDefault="00000000" w:rsidP="004C3544">
      <w:pPr>
        <w:pStyle w:val="NormalWeb"/>
        <w:shd w:val="clear" w:color="auto" w:fill="FFFFFF"/>
        <w:spacing w:before="0" w:beforeAutospacing="0" w:after="0" w:afterAutospacing="0"/>
        <w:rPr>
          <w:rFonts w:ascii="Calibri" w:hAnsi="Calibri" w:cs="Calibri"/>
          <w:color w:val="424242"/>
          <w:sz w:val="22"/>
          <w:szCs w:val="22"/>
        </w:rPr>
      </w:pPr>
      <w:hyperlink r:id="rId31" w:history="1">
        <w:r w:rsidR="004C3544" w:rsidRPr="00D53AB3">
          <w:rPr>
            <w:rStyle w:val="Hyperlink"/>
            <w:rFonts w:ascii="Calibri" w:eastAsiaTheme="majorEastAsia" w:hAnsi="Calibri" w:cs="Calibri"/>
            <w:sz w:val="22"/>
            <w:szCs w:val="22"/>
          </w:rPr>
          <w:t>https://files.hudexchange.info/resources/documents/Keeping-Your-CDBG-Funds-Moving-Guide.pdf</w:t>
        </w:r>
      </w:hyperlink>
    </w:p>
    <w:p w14:paraId="497F2FC0"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p>
    <w:p w14:paraId="2F57A4A7" w14:textId="77777777" w:rsidR="004C3544" w:rsidRDefault="004C3544" w:rsidP="004C3544">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National Community Development Association (focused on the CDBG Program for entitlement communities)</w:t>
      </w:r>
    </w:p>
    <w:p w14:paraId="770955ED" w14:textId="4C2210DF" w:rsidR="004C3544" w:rsidRDefault="00000000" w:rsidP="008E4504">
      <w:pPr>
        <w:pStyle w:val="NormalWeb"/>
        <w:shd w:val="clear" w:color="auto" w:fill="FFFFFF"/>
        <w:spacing w:before="0" w:beforeAutospacing="0" w:after="0" w:afterAutospacing="0"/>
        <w:rPr>
          <w:rFonts w:ascii="Calibri" w:hAnsi="Calibri" w:cs="Calibri"/>
          <w:color w:val="424242"/>
          <w:sz w:val="22"/>
          <w:szCs w:val="22"/>
        </w:rPr>
      </w:pPr>
      <w:hyperlink r:id="rId32" w:history="1">
        <w:r w:rsidR="004C3544" w:rsidRPr="003F0DD8">
          <w:rPr>
            <w:rStyle w:val="Hyperlink"/>
            <w:rFonts w:ascii="Calibri" w:eastAsiaTheme="majorEastAsia" w:hAnsi="Calibri" w:cs="Calibri"/>
            <w:sz w:val="22"/>
            <w:szCs w:val="22"/>
          </w:rPr>
          <w:t>https://ncdaonline.org/cdbg/</w:t>
        </w:r>
      </w:hyperlink>
    </w:p>
    <w:sectPr w:rsidR="004C3544" w:rsidSect="0084709D">
      <w:footerReference w:type="default" r:id="rId33"/>
      <w:pgSz w:w="12240" w:h="15840"/>
      <w:pgMar w:top="1440" w:right="144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FB263" w14:textId="77777777" w:rsidR="00CB0141" w:rsidRDefault="00CB0141" w:rsidP="00855982">
      <w:pPr>
        <w:spacing w:after="0" w:line="240" w:lineRule="auto"/>
      </w:pPr>
      <w:r>
        <w:separator/>
      </w:r>
    </w:p>
  </w:endnote>
  <w:endnote w:type="continuationSeparator" w:id="0">
    <w:p w14:paraId="03EA27A7" w14:textId="77777777" w:rsidR="00CB0141" w:rsidRDefault="00CB0141"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BM Plex Serif">
    <w:altName w:val="IBM Plex Serif"/>
    <w:charset w:val="00"/>
    <w:family w:val="roman"/>
    <w:pitch w:val="variable"/>
    <w:sig w:usb0="A000026F" w:usb1="5000203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59961"/>
      <w:docPartObj>
        <w:docPartGallery w:val="Page Numbers (Bottom of Page)"/>
        <w:docPartUnique/>
      </w:docPartObj>
    </w:sdtPr>
    <w:sdtEndPr>
      <w:rPr>
        <w:noProof/>
      </w:rPr>
    </w:sdtEndPr>
    <w:sdtContent>
      <w:p w14:paraId="60D6BDAB" w14:textId="77777777" w:rsidR="00855982" w:rsidRDefault="0085598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F412D" w14:textId="77777777" w:rsidR="00CB0141" w:rsidRDefault="00CB0141" w:rsidP="00855982">
      <w:pPr>
        <w:spacing w:after="0" w:line="240" w:lineRule="auto"/>
      </w:pPr>
      <w:r>
        <w:separator/>
      </w:r>
    </w:p>
  </w:footnote>
  <w:footnote w:type="continuationSeparator" w:id="0">
    <w:p w14:paraId="3900B61D" w14:textId="77777777" w:rsidR="00CB0141" w:rsidRDefault="00CB0141" w:rsidP="00855982">
      <w:pPr>
        <w:spacing w:after="0" w:line="240" w:lineRule="auto"/>
      </w:pPr>
      <w:r>
        <w:continuationSeparator/>
      </w:r>
    </w:p>
  </w:footnote>
  <w:footnote w:id="1">
    <w:p w14:paraId="72CA6103" w14:textId="77777777" w:rsidR="004C3544" w:rsidRDefault="004C3544" w:rsidP="004C3544">
      <w:pPr>
        <w:pStyle w:val="FootnoteText"/>
      </w:pPr>
      <w:r>
        <w:rPr>
          <w:rStyle w:val="FootnoteReference"/>
        </w:rPr>
        <w:footnoteRef/>
      </w:r>
      <w:r>
        <w:t xml:space="preserve"> As defined by Title 1 of the Housing and Community Development Act of 1974 (CDBG), as amended.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A87EFA"/>
    <w:multiLevelType w:val="hybridMultilevel"/>
    <w:tmpl w:val="4704C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120B5"/>
    <w:multiLevelType w:val="multilevel"/>
    <w:tmpl w:val="0834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DDE1374"/>
    <w:multiLevelType w:val="hybridMultilevel"/>
    <w:tmpl w:val="E9003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F4491"/>
    <w:multiLevelType w:val="hybridMultilevel"/>
    <w:tmpl w:val="7E2A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432294">
    <w:abstractNumId w:val="14"/>
  </w:num>
  <w:num w:numId="2" w16cid:durableId="1222133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6033957">
    <w:abstractNumId w:val="14"/>
  </w:num>
  <w:num w:numId="4" w16cid:durableId="1680696276">
    <w:abstractNumId w:val="14"/>
  </w:num>
  <w:num w:numId="5" w16cid:durableId="2103144799">
    <w:abstractNumId w:val="14"/>
  </w:num>
  <w:num w:numId="6" w16cid:durableId="1610500966">
    <w:abstractNumId w:val="14"/>
  </w:num>
  <w:num w:numId="7" w16cid:durableId="576671319">
    <w:abstractNumId w:val="14"/>
  </w:num>
  <w:num w:numId="8" w16cid:durableId="232929633">
    <w:abstractNumId w:val="14"/>
  </w:num>
  <w:num w:numId="9" w16cid:durableId="688802369">
    <w:abstractNumId w:val="14"/>
  </w:num>
  <w:num w:numId="10" w16cid:durableId="1174610879">
    <w:abstractNumId w:val="14"/>
  </w:num>
  <w:num w:numId="11" w16cid:durableId="960066503">
    <w:abstractNumId w:val="14"/>
  </w:num>
  <w:num w:numId="12" w16cid:durableId="2067680162">
    <w:abstractNumId w:val="14"/>
  </w:num>
  <w:num w:numId="13" w16cid:durableId="399448533">
    <w:abstractNumId w:val="10"/>
  </w:num>
  <w:num w:numId="14" w16cid:durableId="342443348">
    <w:abstractNumId w:val="19"/>
  </w:num>
  <w:num w:numId="15" w16cid:durableId="854685656">
    <w:abstractNumId w:val="11"/>
  </w:num>
  <w:num w:numId="16" w16cid:durableId="494731380">
    <w:abstractNumId w:val="12"/>
  </w:num>
  <w:num w:numId="17" w16cid:durableId="1753314839">
    <w:abstractNumId w:val="9"/>
  </w:num>
  <w:num w:numId="18" w16cid:durableId="1601334045">
    <w:abstractNumId w:val="7"/>
  </w:num>
  <w:num w:numId="19" w16cid:durableId="1703434148">
    <w:abstractNumId w:val="6"/>
  </w:num>
  <w:num w:numId="20" w16cid:durableId="288125401">
    <w:abstractNumId w:val="5"/>
  </w:num>
  <w:num w:numId="21" w16cid:durableId="1533885109">
    <w:abstractNumId w:val="4"/>
  </w:num>
  <w:num w:numId="22" w16cid:durableId="629365389">
    <w:abstractNumId w:val="8"/>
  </w:num>
  <w:num w:numId="23" w16cid:durableId="1794328972">
    <w:abstractNumId w:val="3"/>
  </w:num>
  <w:num w:numId="24" w16cid:durableId="2086367852">
    <w:abstractNumId w:val="2"/>
  </w:num>
  <w:num w:numId="25" w16cid:durableId="1984889637">
    <w:abstractNumId w:val="1"/>
  </w:num>
  <w:num w:numId="26" w16cid:durableId="544099875">
    <w:abstractNumId w:val="0"/>
  </w:num>
  <w:num w:numId="27" w16cid:durableId="602422428">
    <w:abstractNumId w:val="13"/>
  </w:num>
  <w:num w:numId="28" w16cid:durableId="446898822">
    <w:abstractNumId w:val="15"/>
  </w:num>
  <w:num w:numId="29" w16cid:durableId="2133279712">
    <w:abstractNumId w:val="18"/>
  </w:num>
  <w:num w:numId="30" w16cid:durableId="1704550198">
    <w:abstractNumId w:val="16"/>
  </w:num>
  <w:num w:numId="31" w16cid:durableId="1820877481">
    <w:abstractNumId w:val="20"/>
  </w:num>
  <w:num w:numId="32" w16cid:durableId="1371414740">
    <w:abstractNumId w:val="17"/>
  </w:num>
  <w:num w:numId="33" w16cid:durableId="17062475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C4"/>
    <w:rsid w:val="000919EF"/>
    <w:rsid w:val="000E1B0D"/>
    <w:rsid w:val="001D4362"/>
    <w:rsid w:val="002C5FEE"/>
    <w:rsid w:val="003250C5"/>
    <w:rsid w:val="003600AB"/>
    <w:rsid w:val="003D532A"/>
    <w:rsid w:val="003F74F1"/>
    <w:rsid w:val="004521C3"/>
    <w:rsid w:val="00460C94"/>
    <w:rsid w:val="004C3544"/>
    <w:rsid w:val="00631F86"/>
    <w:rsid w:val="006A09F0"/>
    <w:rsid w:val="007833A7"/>
    <w:rsid w:val="007B7E16"/>
    <w:rsid w:val="007C7422"/>
    <w:rsid w:val="00842E4C"/>
    <w:rsid w:val="0084709D"/>
    <w:rsid w:val="00855982"/>
    <w:rsid w:val="00857CB6"/>
    <w:rsid w:val="008E4504"/>
    <w:rsid w:val="00933EB8"/>
    <w:rsid w:val="00972EF5"/>
    <w:rsid w:val="00A10484"/>
    <w:rsid w:val="00A10E5D"/>
    <w:rsid w:val="00A2042F"/>
    <w:rsid w:val="00A507C6"/>
    <w:rsid w:val="00A620D0"/>
    <w:rsid w:val="00A9162B"/>
    <w:rsid w:val="00AF12C4"/>
    <w:rsid w:val="00C86ECC"/>
    <w:rsid w:val="00CB0141"/>
    <w:rsid w:val="00D76D6F"/>
    <w:rsid w:val="00EA6739"/>
    <w:rsid w:val="00FD262C"/>
    <w:rsid w:val="00FE2D47"/>
    <w:rsid w:val="0172D3B9"/>
    <w:rsid w:val="035319C8"/>
    <w:rsid w:val="04B5B404"/>
    <w:rsid w:val="04FF2F13"/>
    <w:rsid w:val="05C2F910"/>
    <w:rsid w:val="0677A314"/>
    <w:rsid w:val="06FF8BEE"/>
    <w:rsid w:val="074A6200"/>
    <w:rsid w:val="0779AC81"/>
    <w:rsid w:val="08FAB656"/>
    <w:rsid w:val="09FF814F"/>
    <w:rsid w:val="0AA306C9"/>
    <w:rsid w:val="0AA8639E"/>
    <w:rsid w:val="0B729988"/>
    <w:rsid w:val="0C3ED72A"/>
    <w:rsid w:val="0CE69F02"/>
    <w:rsid w:val="0EBD73B5"/>
    <w:rsid w:val="11F7DB74"/>
    <w:rsid w:val="12AE18AE"/>
    <w:rsid w:val="14381809"/>
    <w:rsid w:val="15F531E9"/>
    <w:rsid w:val="16E7C2DD"/>
    <w:rsid w:val="1703F25F"/>
    <w:rsid w:val="179AB22E"/>
    <w:rsid w:val="18D8474A"/>
    <w:rsid w:val="18EC0898"/>
    <w:rsid w:val="19198101"/>
    <w:rsid w:val="19962484"/>
    <w:rsid w:val="1A1A7C4B"/>
    <w:rsid w:val="1B5E1E81"/>
    <w:rsid w:val="1BB24A5B"/>
    <w:rsid w:val="1D2AB5A2"/>
    <w:rsid w:val="1DF0CB55"/>
    <w:rsid w:val="1F7FDEC9"/>
    <w:rsid w:val="1F86E785"/>
    <w:rsid w:val="1F8C9BB6"/>
    <w:rsid w:val="2016EE3B"/>
    <w:rsid w:val="21286C17"/>
    <w:rsid w:val="244ED202"/>
    <w:rsid w:val="246A3D8E"/>
    <w:rsid w:val="2683FFBD"/>
    <w:rsid w:val="26B3522E"/>
    <w:rsid w:val="273FDDA6"/>
    <w:rsid w:val="2779F2B2"/>
    <w:rsid w:val="28E487B9"/>
    <w:rsid w:val="29067C86"/>
    <w:rsid w:val="29625931"/>
    <w:rsid w:val="2A83B20B"/>
    <w:rsid w:val="2AA00B41"/>
    <w:rsid w:val="2ACC11B2"/>
    <w:rsid w:val="2B1B7321"/>
    <w:rsid w:val="2C4D0B91"/>
    <w:rsid w:val="2D69529E"/>
    <w:rsid w:val="2EF50814"/>
    <w:rsid w:val="2F047852"/>
    <w:rsid w:val="30CAD425"/>
    <w:rsid w:val="30FBF6D2"/>
    <w:rsid w:val="310F4CC5"/>
    <w:rsid w:val="31B976CB"/>
    <w:rsid w:val="31C205DA"/>
    <w:rsid w:val="32028B31"/>
    <w:rsid w:val="35877BAE"/>
    <w:rsid w:val="3665F39F"/>
    <w:rsid w:val="3677E585"/>
    <w:rsid w:val="386AAEBB"/>
    <w:rsid w:val="3A736DC3"/>
    <w:rsid w:val="3A9B0779"/>
    <w:rsid w:val="3AA2556E"/>
    <w:rsid w:val="3AC809B2"/>
    <w:rsid w:val="3B826F55"/>
    <w:rsid w:val="3CC8B93A"/>
    <w:rsid w:val="3E713A1B"/>
    <w:rsid w:val="3EDE39FA"/>
    <w:rsid w:val="3F750B66"/>
    <w:rsid w:val="40327054"/>
    <w:rsid w:val="40B783BB"/>
    <w:rsid w:val="40F00954"/>
    <w:rsid w:val="41712614"/>
    <w:rsid w:val="41CC5579"/>
    <w:rsid w:val="4356C29D"/>
    <w:rsid w:val="43D30C28"/>
    <w:rsid w:val="43E4D5B3"/>
    <w:rsid w:val="440B6E81"/>
    <w:rsid w:val="44B95D82"/>
    <w:rsid w:val="4549341A"/>
    <w:rsid w:val="46F1848D"/>
    <w:rsid w:val="4845DA07"/>
    <w:rsid w:val="487F8601"/>
    <w:rsid w:val="4899CA68"/>
    <w:rsid w:val="48B17D87"/>
    <w:rsid w:val="48D11CED"/>
    <w:rsid w:val="491F479D"/>
    <w:rsid w:val="4C006DCE"/>
    <w:rsid w:val="4D732FD8"/>
    <w:rsid w:val="4E3F3E0C"/>
    <w:rsid w:val="4F0483F8"/>
    <w:rsid w:val="50948DA2"/>
    <w:rsid w:val="50CBE2E3"/>
    <w:rsid w:val="521E1C75"/>
    <w:rsid w:val="52F70AF1"/>
    <w:rsid w:val="54883200"/>
    <w:rsid w:val="549907AD"/>
    <w:rsid w:val="556BD7F6"/>
    <w:rsid w:val="56EAE6E4"/>
    <w:rsid w:val="56F66D80"/>
    <w:rsid w:val="57D85E24"/>
    <w:rsid w:val="57E242ED"/>
    <w:rsid w:val="581637AC"/>
    <w:rsid w:val="5831C1B0"/>
    <w:rsid w:val="5899AD38"/>
    <w:rsid w:val="58A0A9F2"/>
    <w:rsid w:val="599378A5"/>
    <w:rsid w:val="5A292E5A"/>
    <w:rsid w:val="5BC6598E"/>
    <w:rsid w:val="5BC9DEA3"/>
    <w:rsid w:val="5F1AA7C2"/>
    <w:rsid w:val="601C8AA9"/>
    <w:rsid w:val="60986FDE"/>
    <w:rsid w:val="61324717"/>
    <w:rsid w:val="61892533"/>
    <w:rsid w:val="61A24D90"/>
    <w:rsid w:val="62E2A6A1"/>
    <w:rsid w:val="632CE31A"/>
    <w:rsid w:val="63C87076"/>
    <w:rsid w:val="64922632"/>
    <w:rsid w:val="664764D1"/>
    <w:rsid w:val="666865A1"/>
    <w:rsid w:val="6725B9A7"/>
    <w:rsid w:val="6835E978"/>
    <w:rsid w:val="689BE199"/>
    <w:rsid w:val="6B0D6CA8"/>
    <w:rsid w:val="6C292741"/>
    <w:rsid w:val="6C3CF2C9"/>
    <w:rsid w:val="6E1E1F67"/>
    <w:rsid w:val="6E97C4EF"/>
    <w:rsid w:val="6EBC6149"/>
    <w:rsid w:val="7011C73D"/>
    <w:rsid w:val="733F9FCA"/>
    <w:rsid w:val="74A7A6A3"/>
    <w:rsid w:val="75159A58"/>
    <w:rsid w:val="75521D98"/>
    <w:rsid w:val="78C76F18"/>
    <w:rsid w:val="7999200B"/>
    <w:rsid w:val="7C1C1BC4"/>
    <w:rsid w:val="7CB51668"/>
    <w:rsid w:val="7E3996B7"/>
    <w:rsid w:val="7EF203CB"/>
    <w:rsid w:val="7F605421"/>
    <w:rsid w:val="7FD38547"/>
    <w:rsid w:val="7FEA594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A1C3"/>
  <w15:chartTrackingRefBased/>
  <w15:docId w15:val="{20ECB2EA-E60C-4072-9F14-9E284057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styleId="NormalWeb">
    <w:name w:val="Normal (Web)"/>
    <w:basedOn w:val="Normal"/>
    <w:uiPriority w:val="99"/>
    <w:unhideWhenUsed/>
    <w:rsid w:val="00AF12C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FootnoteReference">
    <w:name w:val="footnote reference"/>
    <w:basedOn w:val="DefaultParagraphFont"/>
    <w:uiPriority w:val="99"/>
    <w:semiHidden/>
    <w:unhideWhenUsed/>
    <w:rsid w:val="004C3544"/>
    <w:rPr>
      <w:vertAlign w:val="superscript"/>
    </w:rPr>
  </w:style>
  <w:style w:type="character" w:styleId="UnresolvedMention">
    <w:name w:val="Unresolved Mention"/>
    <w:basedOn w:val="DefaultParagraphFont"/>
    <w:uiPriority w:val="99"/>
    <w:semiHidden/>
    <w:unhideWhenUsed/>
    <w:rsid w:val="00A62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ecfr.gov/current/title-24/subtitle-A/part-91/subpart-B/section-91.105" TargetMode="External"/><Relationship Id="rId26" Type="http://schemas.openxmlformats.org/officeDocument/2006/relationships/hyperlink" Target="https://www.mass.gov/doc/gms-cgmm-training/download" TargetMode="External"/><Relationship Id="rId3" Type="http://schemas.openxmlformats.org/officeDocument/2006/relationships/customXml" Target="../customXml/item3.xml"/><Relationship Id="rId21" Type="http://schemas.openxmlformats.org/officeDocument/2006/relationships/hyperlink" Target="https://www.hud.gov/program_offices/administration/hudclips/handbooks/sech/1344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udexchange.info/programs/cdbg/cdbg-ta-products/" TargetMode="External"/><Relationship Id="rId17" Type="http://schemas.openxmlformats.org/officeDocument/2006/relationships/hyperlink" Target="https://www.hudexchange.info/resource/2179/guide-national-objectives-eligible-activities-state-cdbg-programs/" TargetMode="External"/><Relationship Id="rId25" Type="http://schemas.openxmlformats.org/officeDocument/2006/relationships/hyperlink" Target="https://youtube.com/playlist?list=PL5j_GOwgdxB5fq8f_DalxLvq4xxgHHanz"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cfr.gov/current/title-24/subtitle-B/chapter-V/subchapter-C/part-570/subpart-C/section-570.201" TargetMode="External"/><Relationship Id="rId20" Type="http://schemas.openxmlformats.org/officeDocument/2006/relationships/hyperlink" Target="https://www.hud.gov/program_offices/fair_housing_equal_opp/fair_housing_rights_and_obligations" TargetMode="External"/><Relationship Id="rId29" Type="http://schemas.openxmlformats.org/officeDocument/2006/relationships/hyperlink" Target="https://www.hudexchange.info/trainings/basically-cdb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community-development-block-grant-cdbg" TargetMode="External"/><Relationship Id="rId24" Type="http://schemas.openxmlformats.org/officeDocument/2006/relationships/hyperlink" Target="https://www.mass.gov/service-details/community-development-block-grant-cdbg" TargetMode="External"/><Relationship Id="rId32" Type="http://schemas.openxmlformats.org/officeDocument/2006/relationships/hyperlink" Target="https://ncdaonline.org/cdbg/" TargetMode="External"/><Relationship Id="rId5" Type="http://schemas.openxmlformats.org/officeDocument/2006/relationships/numbering" Target="numbering.xml"/><Relationship Id="rId15" Type="http://schemas.openxmlformats.org/officeDocument/2006/relationships/hyperlink" Target="https://www.hudexchange.info/sites/onecpd/assets/File/CDBG-State-National-Objectives-Eligible-Activities-Appendix-A.pdf" TargetMode="External"/><Relationship Id="rId23" Type="http://schemas.openxmlformats.org/officeDocument/2006/relationships/hyperlink" Target="https://www.hudexchange.info/programs/section-3/" TargetMode="External"/><Relationship Id="rId28" Type="http://schemas.openxmlformats.org/officeDocument/2006/relationships/hyperlink" Target="https://www.ecfr.gov/" TargetMode="External"/><Relationship Id="rId10" Type="http://schemas.openxmlformats.org/officeDocument/2006/relationships/endnotes" Target="endnotes.xml"/><Relationship Id="rId19" Type="http://schemas.openxmlformats.org/officeDocument/2006/relationships/hyperlink" Target="https://www.hudexchange.info/programs/environmental-review/" TargetMode="External"/><Relationship Id="rId31" Type="http://schemas.openxmlformats.org/officeDocument/2006/relationships/hyperlink" Target="https://files.hudexchange.info/resources/documents/Keeping-Your-CDBG-Funds-Moving-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4/subtitle-B/chapter-V/subchapter-C/part-570/subpart-I/section-570.483" TargetMode="External"/><Relationship Id="rId22" Type="http://schemas.openxmlformats.org/officeDocument/2006/relationships/hyperlink" Target="https://www.hudexchange.info/trainings/ura-the-hud-way/" TargetMode="External"/><Relationship Id="rId27" Type="http://schemas.openxmlformats.org/officeDocument/2006/relationships/hyperlink" Target="https://www.ecfr.gov/current/title-24/subtitle-B/chapter-V/subchapter-C/part-570/subpart-I" TargetMode="External"/><Relationship Id="rId30" Type="http://schemas.openxmlformats.org/officeDocument/2006/relationships/hyperlink" Target="https://www.hudexchange.info/programs/cdbg-state/"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eva\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b83dbe2-6fd2-449a-a932-0d75829bf641" xsi:nil="true"/>
    <lcf76f155ced4ddcb4097134ff3c332f xmlns="284a69f8-a849-4d4f-929d-22bdf9b66af6">
      <Terms xmlns="http://schemas.microsoft.com/office/infopath/2007/PartnerControls"/>
    </lcf76f155ced4ddcb4097134ff3c332f>
    <SharedWithUsers xmlns="7b83dbe2-6fd2-449a-a932-0d75829bf641">
      <UserInfo>
        <DisplayName>Field, Cy (OCD)</DisplayName>
        <AccountId>426</AccountId>
        <AccountType/>
      </UserInfo>
      <UserInfo>
        <DisplayName>Roushanaei, Patricia (OCD)</DisplayName>
        <AccountId>59</AccountId>
        <AccountType/>
      </UserInfo>
      <UserInfo>
        <DisplayName>McNelis, Kathryn (OCD)</DisplayName>
        <AccountId>27</AccountId>
        <AccountType/>
      </UserInfo>
      <UserInfo>
        <DisplayName>Whitten, Anna (OCD)</DisplayName>
        <AccountId>64</AccountId>
        <AccountType/>
      </UserInfo>
      <UserInfo>
        <DisplayName>Southard, Mark (OCD)</DisplayName>
        <AccountId>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4" ma:contentTypeDescription="Create a new document." ma:contentTypeScope="" ma:versionID="8f8fee205c5a7437e0f4e28c9fd730b0">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229ad5cb58e2fbadc02e397b507eb0d9"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B3008-F2A8-4242-912E-6B13C9585FED}">
  <ds:schemaRefs>
    <ds:schemaRef ds:uri="http://schemas.openxmlformats.org/officeDocument/2006/bibliography"/>
  </ds:schemaRefs>
</ds:datastoreItem>
</file>

<file path=customXml/itemProps2.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7b83dbe2-6fd2-449a-a932-0d75829bf641"/>
    <ds:schemaRef ds:uri="284a69f8-a849-4d4f-929d-22bdf9b66af6"/>
  </ds:schemaRefs>
</ds:datastoreItem>
</file>

<file path=customXml/itemProps3.xml><?xml version="1.0" encoding="utf-8"?>
<ds:datastoreItem xmlns:ds="http://schemas.openxmlformats.org/officeDocument/2006/customXml" ds:itemID="{68AC741A-75FD-41E1-BE65-6DFD04523664}">
  <ds:schemaRefs>
    <ds:schemaRef ds:uri="http://schemas.microsoft.com/sharepoint/v3/contenttype/forms"/>
  </ds:schemaRefs>
</ds:datastoreItem>
</file>

<file path=customXml/itemProps4.xml><?xml version="1.0" encoding="utf-8"?>
<ds:datastoreItem xmlns:ds="http://schemas.openxmlformats.org/officeDocument/2006/customXml" ds:itemID="{31C55234-EC8F-481D-98ED-20CB9AB0F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a69f8-a849-4d4f-929d-22bdf9b66af6"/>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design (blank)</Template>
  <TotalTime>6</TotalTime>
  <Pages>4</Pages>
  <Words>1578</Words>
  <Characters>8996</Characters>
  <Application>Microsoft Office Word</Application>
  <DocSecurity>0</DocSecurity>
  <Lines>74</Lines>
  <Paragraphs>21</Paragraphs>
  <ScaleCrop>false</ScaleCrop>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Chevalier, Shelly (OCD)</dc:creator>
  <cp:lastModifiedBy>McNelis, Kathryn (EOHLC)</cp:lastModifiedBy>
  <cp:revision>3</cp:revision>
  <dcterms:created xsi:type="dcterms:W3CDTF">2023-09-12T15:12:00Z</dcterms:created>
  <dcterms:modified xsi:type="dcterms:W3CDTF">2023-09-12T15:17:00Z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0x010100F75741674DAB3C4A91D4D4EAF8471F21</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ies>
</file>