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77777777" w:rsidR="00035CFC" w:rsidRPr="00035CFC" w:rsidRDefault="00035CFC" w:rsidP="00035CFC">
      <w:pPr>
        <w:spacing w:before="252"/>
        <w:ind w:left="2534" w:right="1757" w:hanging="14"/>
        <w:jc w:val="center"/>
        <w:rPr>
          <w:rFonts w:ascii="Times New Roman"/>
          <w:b/>
          <w:sz w:val="36"/>
          <w:u w:val="single"/>
        </w:rPr>
      </w:pPr>
      <w:bookmarkStart w:id="0" w:name="7.__Change_in_Service"/>
      <w:bookmarkEnd w:id="0"/>
      <w:r w:rsidRPr="00035CFC">
        <w:rPr>
          <w:rFonts w:ascii="Times New Roman"/>
          <w:b/>
          <w:sz w:val="36"/>
          <w:u w:val="single"/>
        </w:rPr>
        <w:t>APPENDIX 7:</w:t>
      </w:r>
    </w:p>
    <w:p w14:paraId="155CB877" w14:textId="34CF22E7" w:rsidR="00035CFC" w:rsidRPr="00035CFC" w:rsidRDefault="00035CFC" w:rsidP="00035CFC">
      <w:pPr>
        <w:spacing w:before="252"/>
        <w:ind w:left="2534" w:right="1757" w:hanging="14"/>
        <w:jc w:val="center"/>
        <w:rPr>
          <w:rFonts w:ascii="Times New Roman"/>
          <w:b/>
          <w:sz w:val="36"/>
          <w:u w:val="single"/>
        </w:rPr>
        <w:sectPr w:rsidR="00035CFC" w:rsidRPr="00035CFC">
          <w:pgSz w:w="12240" w:h="15840"/>
          <w:pgMar w:top="1440" w:right="1440" w:bottom="1440" w:left="1440" w:header="720" w:footer="720" w:gutter="0"/>
          <w:cols w:space="720"/>
          <w:docGrid w:linePitch="360"/>
        </w:sectPr>
      </w:pPr>
      <w:r w:rsidRPr="00035CFC">
        <w:rPr>
          <w:rFonts w:ascii="Times New Roman"/>
          <w:b/>
          <w:sz w:val="36"/>
          <w:u w:val="single"/>
        </w:rPr>
        <w:t>CHANGE</w:t>
      </w:r>
      <w:r w:rsidRPr="00035CFC">
        <w:rPr>
          <w:rFonts w:ascii="Times New Roman"/>
          <w:b/>
          <w:spacing w:val="-23"/>
          <w:sz w:val="36"/>
          <w:u w:val="single"/>
        </w:rPr>
        <w:t xml:space="preserve"> </w:t>
      </w:r>
      <w:r w:rsidRPr="00035CFC">
        <w:rPr>
          <w:rFonts w:ascii="Times New Roman"/>
          <w:b/>
          <w:sz w:val="36"/>
          <w:u w:val="single"/>
        </w:rPr>
        <w:t>IN</w:t>
      </w:r>
      <w:r w:rsidRPr="00035CFC">
        <w:rPr>
          <w:rFonts w:ascii="Times New Roman"/>
          <w:b/>
          <w:spacing w:val="-22"/>
          <w:sz w:val="36"/>
          <w:u w:val="single"/>
        </w:rPr>
        <w:t xml:space="preserve"> </w:t>
      </w:r>
      <w:r w:rsidRPr="00035CFC">
        <w:rPr>
          <w:rFonts w:ascii="Times New Roman"/>
          <w:b/>
          <w:sz w:val="36"/>
          <w:u w:val="single"/>
        </w:rPr>
        <w:t>SERVICE FORM</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7F7573AA" w:rsidR="00035CFC" w:rsidRPr="00CC2A33" w:rsidRDefault="00035CFC" w:rsidP="00035CFC">
      <w:pPr>
        <w:spacing w:before="83"/>
        <w:rPr>
          <w:sz w:val="20"/>
        </w:rPr>
      </w:pPr>
      <w:r w:rsidRPr="005704C0">
        <w:rPr>
          <w:sz w:val="20"/>
        </w:rPr>
        <w:t xml:space="preserve">Application Number: </w:t>
      </w:r>
      <w:r w:rsidRPr="00035CFC">
        <w:rPr>
          <w:sz w:val="20"/>
        </w:rPr>
        <w:t>BMCHS-22080908-HE</w:t>
      </w:r>
    </w:p>
    <w:p w14:paraId="344C0B25" w14:textId="2AFAF9F1" w:rsidR="00035CFC" w:rsidRPr="005704C0" w:rsidRDefault="00035CFC" w:rsidP="00035CFC">
      <w:pPr>
        <w:rPr>
          <w:sz w:val="20"/>
        </w:rPr>
      </w:pPr>
      <w:r w:rsidRPr="005704C0">
        <w:rPr>
          <w:sz w:val="20"/>
        </w:rPr>
        <w:t xml:space="preserve">Original Application Date: </w:t>
      </w:r>
      <w:r w:rsidRPr="00035CFC">
        <w:rPr>
          <w:sz w:val="20"/>
        </w:rPr>
        <w:t>08/09/2022</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CFBC441"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Pr="00035CFC">
        <w:rPr>
          <w:rFonts w:eastAsia="Times New Roman"/>
          <w:color w:val="231F20"/>
          <w:w w:val="105"/>
          <w:sz w:val="20"/>
        </w:rPr>
        <w:t>BMC Health System, Inc.</w:t>
      </w:r>
    </w:p>
    <w:p w14:paraId="743C93DC" w14:textId="0D11FCC7" w:rsidR="00035CFC" w:rsidRPr="005704C0" w:rsidRDefault="00035CFC" w:rsidP="00035CFC">
      <w:pPr>
        <w:pStyle w:val="BodyText"/>
        <w:rPr>
          <w:color w:val="231F20"/>
          <w:w w:val="105"/>
        </w:rPr>
      </w:pPr>
      <w:r w:rsidRPr="005704C0">
        <w:rPr>
          <w:color w:val="231F20"/>
          <w:w w:val="105"/>
        </w:rPr>
        <w:t xml:space="preserve">Contact Person: </w:t>
      </w:r>
      <w:r>
        <w:rPr>
          <w:color w:val="231F20"/>
          <w:w w:val="105"/>
        </w:rPr>
        <w:t>Kathleen Harrell, Esq.</w:t>
      </w:r>
    </w:p>
    <w:p w14:paraId="530162CB" w14:textId="2232670B" w:rsidR="00035CFC" w:rsidRPr="005704C0" w:rsidRDefault="00035CFC" w:rsidP="00035CFC">
      <w:pPr>
        <w:pStyle w:val="BodyText"/>
        <w:rPr>
          <w:color w:val="231F20"/>
          <w:w w:val="105"/>
        </w:rPr>
      </w:pPr>
      <w:r w:rsidRPr="005704C0">
        <w:rPr>
          <w:color w:val="231F20"/>
          <w:w w:val="105"/>
        </w:rPr>
        <w:t xml:space="preserve">Title: </w:t>
      </w:r>
      <w:r>
        <w:rPr>
          <w:color w:val="231F20"/>
          <w:w w:val="105"/>
        </w:rPr>
        <w:t>Attorney</w:t>
      </w:r>
    </w:p>
    <w:p w14:paraId="7737F9F5" w14:textId="46770409" w:rsidR="00035CFC" w:rsidRDefault="00035CFC" w:rsidP="00035CFC">
      <w:pPr>
        <w:pStyle w:val="BodyText"/>
        <w:rPr>
          <w:color w:val="231F20"/>
          <w:w w:val="105"/>
        </w:rPr>
      </w:pPr>
      <w:r w:rsidRPr="005704C0">
        <w:rPr>
          <w:color w:val="231F20"/>
          <w:w w:val="105"/>
        </w:rPr>
        <w:t xml:space="preserve">Phone: </w:t>
      </w:r>
      <w:r>
        <w:rPr>
          <w:color w:val="231F20"/>
          <w:w w:val="105"/>
        </w:rPr>
        <w:t>8574132700</w:t>
      </w:r>
    </w:p>
    <w:p w14:paraId="397D21A4" w14:textId="6E34C26A" w:rsidR="00035CFC" w:rsidRPr="005704C0" w:rsidRDefault="00035CFC" w:rsidP="00035CFC">
      <w:pPr>
        <w:pStyle w:val="BodyText"/>
        <w:rPr>
          <w:color w:val="231F20"/>
          <w:w w:val="105"/>
        </w:rPr>
      </w:pPr>
      <w:r w:rsidRPr="005704C0">
        <w:rPr>
          <w:color w:val="231F20"/>
          <w:w w:val="105"/>
        </w:rPr>
        <w:t xml:space="preserve">E-mail: </w:t>
      </w:r>
      <w:hyperlink r:id="rId8" w:history="1">
        <w:r w:rsidRPr="00FD511E">
          <w:rPr>
            <w:rStyle w:val="Hyperlink"/>
          </w:rPr>
          <w:t>kharrell@barrettharrell.com</w:t>
        </w:r>
      </w:hyperlink>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77777777" w:rsidR="00035CFC" w:rsidRDefault="00035CFC" w:rsidP="00035CFC">
      <w:pPr>
        <w:rPr>
          <w:rFonts w:eastAsia="Times New Roman"/>
          <w:color w:val="231F20"/>
          <w:w w:val="105"/>
          <w:sz w:val="20"/>
        </w:rPr>
      </w:pPr>
      <w:r w:rsidRPr="005704C0">
        <w:rPr>
          <w:sz w:val="20"/>
        </w:rPr>
        <w:t xml:space="preserve">1 Facility Name: </w:t>
      </w:r>
      <w:r w:rsidRPr="00035CFC">
        <w:rPr>
          <w:rFonts w:eastAsia="Times New Roman"/>
          <w:color w:val="231F20"/>
          <w:w w:val="105"/>
          <w:sz w:val="20"/>
        </w:rPr>
        <w:t xml:space="preserve">Boston Medical Center </w:t>
      </w:r>
    </w:p>
    <w:p w14:paraId="30A9A301" w14:textId="117193EB" w:rsidR="00035CFC" w:rsidRPr="005704C0" w:rsidRDefault="00035CFC" w:rsidP="00035CFC">
      <w:pPr>
        <w:rPr>
          <w:sz w:val="20"/>
        </w:rPr>
      </w:pPr>
      <w:r w:rsidRPr="005704C0">
        <w:rPr>
          <w:sz w:val="20"/>
        </w:rPr>
        <w:t xml:space="preserve">CMS Number: </w:t>
      </w:r>
      <w:r w:rsidRPr="00035CFC">
        <w:rPr>
          <w:sz w:val="20"/>
        </w:rPr>
        <w:t>22-0031</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48"/>
        <w:gridCol w:w="1283"/>
        <w:gridCol w:w="806"/>
        <w:gridCol w:w="852"/>
        <w:gridCol w:w="756"/>
        <w:gridCol w:w="806"/>
        <w:gridCol w:w="887"/>
        <w:gridCol w:w="946"/>
        <w:gridCol w:w="791"/>
        <w:gridCol w:w="768"/>
        <w:gridCol w:w="757"/>
        <w:gridCol w:w="782"/>
        <w:gridCol w:w="874"/>
        <w:gridCol w:w="997"/>
        <w:gridCol w:w="99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D07A6F" w:rsidRPr="005D32AA" w14:paraId="7578827F" w14:textId="77777777" w:rsidTr="00B513DD">
        <w:trPr>
          <w:cantSplit/>
          <w:trHeight w:val="197"/>
        </w:trPr>
        <w:tc>
          <w:tcPr>
            <w:tcW w:w="0" w:type="auto"/>
          </w:tcPr>
          <w:p w14:paraId="2CF7E973" w14:textId="77777777" w:rsidR="00D07A6F" w:rsidRPr="005D32AA" w:rsidRDefault="00D07A6F" w:rsidP="00D07A6F">
            <w:pPr>
              <w:rPr>
                <w:sz w:val="12"/>
                <w:szCs w:val="12"/>
              </w:rPr>
            </w:pPr>
          </w:p>
        </w:tc>
        <w:tc>
          <w:tcPr>
            <w:tcW w:w="0" w:type="auto"/>
          </w:tcPr>
          <w:p w14:paraId="3DC3ABB5" w14:textId="4D65FBCC" w:rsidR="00D07A6F" w:rsidRPr="005D32AA" w:rsidRDefault="00D07A6F" w:rsidP="00D07A6F">
            <w:pPr>
              <w:rPr>
                <w:sz w:val="12"/>
                <w:szCs w:val="12"/>
              </w:rPr>
            </w:pPr>
            <w:r w:rsidRPr="005D32AA">
              <w:rPr>
                <w:color w:val="231F20"/>
                <w:w w:val="105"/>
                <w:sz w:val="12"/>
                <w:szCs w:val="12"/>
              </w:rPr>
              <w:t>Medical/ Surgical</w:t>
            </w:r>
            <w:r>
              <w:rPr>
                <w:rStyle w:val="EndnoteReference"/>
                <w:color w:val="231F20"/>
                <w:w w:val="105"/>
                <w:sz w:val="12"/>
                <w:szCs w:val="12"/>
              </w:rPr>
              <w:endnoteReference w:id="1"/>
            </w:r>
            <w:r>
              <w:rPr>
                <w:color w:val="231F20"/>
                <w:w w:val="105"/>
                <w:sz w:val="12"/>
                <w:szCs w:val="12"/>
              </w:rPr>
              <w:t>,</w:t>
            </w:r>
            <w:r>
              <w:rPr>
                <w:rStyle w:val="EndnoteReference"/>
                <w:color w:val="231F20"/>
                <w:w w:val="105"/>
                <w:sz w:val="12"/>
                <w:szCs w:val="12"/>
              </w:rPr>
              <w:endnoteReference w:id="2"/>
            </w:r>
            <w:r>
              <w:rPr>
                <w:color w:val="231F20"/>
                <w:w w:val="105"/>
                <w:sz w:val="12"/>
                <w:szCs w:val="12"/>
              </w:rPr>
              <w:t>,</w:t>
            </w:r>
            <w:r w:rsidR="00EE05F6">
              <w:rPr>
                <w:rStyle w:val="EndnoteReference"/>
                <w:color w:val="231F20"/>
                <w:w w:val="105"/>
                <w:sz w:val="12"/>
                <w:szCs w:val="12"/>
              </w:rPr>
              <w:endnoteReference w:id="3"/>
            </w:r>
          </w:p>
        </w:tc>
        <w:tc>
          <w:tcPr>
            <w:tcW w:w="0" w:type="auto"/>
          </w:tcPr>
          <w:p w14:paraId="169F21D0" w14:textId="79875916" w:rsidR="00D07A6F" w:rsidRPr="005D32AA" w:rsidRDefault="00D07A6F" w:rsidP="00D07A6F">
            <w:pPr>
              <w:rPr>
                <w:sz w:val="12"/>
                <w:szCs w:val="12"/>
              </w:rPr>
            </w:pPr>
            <w:r>
              <w:rPr>
                <w:color w:val="131313"/>
                <w:spacing w:val="-5"/>
                <w:sz w:val="14"/>
              </w:rPr>
              <w:t>265</w:t>
            </w:r>
          </w:p>
        </w:tc>
        <w:tc>
          <w:tcPr>
            <w:tcW w:w="0" w:type="auto"/>
          </w:tcPr>
          <w:p w14:paraId="71E0E0FB" w14:textId="190B5AE1" w:rsidR="00D07A6F" w:rsidRPr="005D32AA" w:rsidRDefault="00D07A6F" w:rsidP="00D07A6F">
            <w:pPr>
              <w:rPr>
                <w:sz w:val="12"/>
                <w:szCs w:val="12"/>
              </w:rPr>
            </w:pPr>
            <w:r>
              <w:rPr>
                <w:color w:val="131313"/>
                <w:spacing w:val="-5"/>
                <w:sz w:val="14"/>
              </w:rPr>
              <w:t>328</w:t>
            </w:r>
          </w:p>
        </w:tc>
        <w:tc>
          <w:tcPr>
            <w:tcW w:w="0" w:type="auto"/>
          </w:tcPr>
          <w:p w14:paraId="5B23F4C5" w14:textId="149F0592" w:rsidR="00D07A6F" w:rsidRPr="005D32AA" w:rsidRDefault="00D07A6F" w:rsidP="00D07A6F">
            <w:pPr>
              <w:rPr>
                <w:sz w:val="12"/>
                <w:szCs w:val="12"/>
              </w:rPr>
            </w:pPr>
            <w:r>
              <w:rPr>
                <w:color w:val="131313"/>
                <w:spacing w:val="-5"/>
                <w:sz w:val="14"/>
              </w:rPr>
              <w:t>60</w:t>
            </w:r>
          </w:p>
        </w:tc>
        <w:tc>
          <w:tcPr>
            <w:tcW w:w="0" w:type="auto"/>
          </w:tcPr>
          <w:p w14:paraId="0D71FF83" w14:textId="6E6785C4" w:rsidR="00D07A6F" w:rsidRPr="005D32AA" w:rsidRDefault="00D07A6F" w:rsidP="00D07A6F">
            <w:pPr>
              <w:rPr>
                <w:sz w:val="12"/>
                <w:szCs w:val="12"/>
              </w:rPr>
            </w:pPr>
            <w:r>
              <w:rPr>
                <w:color w:val="131313"/>
                <w:spacing w:val="-5"/>
                <w:sz w:val="14"/>
              </w:rPr>
              <w:t>60</w:t>
            </w:r>
          </w:p>
        </w:tc>
        <w:tc>
          <w:tcPr>
            <w:tcW w:w="0" w:type="auto"/>
            <w:shd w:val="clear" w:color="auto" w:fill="B4C6E7" w:themeFill="accent1" w:themeFillTint="66"/>
          </w:tcPr>
          <w:p w14:paraId="6964052D" w14:textId="1778A11F" w:rsidR="00D07A6F" w:rsidRPr="005D32AA" w:rsidRDefault="00D07A6F" w:rsidP="00D07A6F">
            <w:pPr>
              <w:rPr>
                <w:sz w:val="12"/>
                <w:szCs w:val="12"/>
              </w:rPr>
            </w:pPr>
            <w:r>
              <w:rPr>
                <w:color w:val="131313"/>
                <w:spacing w:val="-5"/>
                <w:sz w:val="14"/>
              </w:rPr>
              <w:t>325</w:t>
            </w:r>
          </w:p>
        </w:tc>
        <w:tc>
          <w:tcPr>
            <w:tcW w:w="0" w:type="auto"/>
            <w:shd w:val="clear" w:color="auto" w:fill="B4C6E7" w:themeFill="accent1" w:themeFillTint="66"/>
          </w:tcPr>
          <w:p w14:paraId="3D277F37" w14:textId="1E253054" w:rsidR="00D07A6F" w:rsidRPr="00BC29B4" w:rsidRDefault="00D07A6F" w:rsidP="00D07A6F">
            <w:pPr>
              <w:rPr>
                <w:rFonts w:eastAsiaTheme="minorHAnsi"/>
                <w:sz w:val="12"/>
                <w:szCs w:val="12"/>
              </w:rPr>
            </w:pPr>
            <w:r>
              <w:rPr>
                <w:color w:val="131313"/>
                <w:spacing w:val="-5"/>
                <w:sz w:val="14"/>
              </w:rPr>
              <w:t>388</w:t>
            </w:r>
          </w:p>
        </w:tc>
        <w:tc>
          <w:tcPr>
            <w:tcW w:w="0" w:type="auto"/>
          </w:tcPr>
          <w:p w14:paraId="2F484217" w14:textId="248A6F0F" w:rsidR="00D07A6F" w:rsidRPr="005D32AA" w:rsidRDefault="00D07A6F" w:rsidP="00D07A6F">
            <w:pPr>
              <w:rPr>
                <w:sz w:val="12"/>
                <w:szCs w:val="12"/>
              </w:rPr>
            </w:pPr>
            <w:r>
              <w:rPr>
                <w:color w:val="131313"/>
                <w:spacing w:val="-2"/>
                <w:sz w:val="14"/>
              </w:rPr>
              <w:t>107,475</w:t>
            </w:r>
          </w:p>
        </w:tc>
        <w:tc>
          <w:tcPr>
            <w:tcW w:w="0" w:type="auto"/>
          </w:tcPr>
          <w:p w14:paraId="021C2F6C" w14:textId="5FAF69EE" w:rsidR="00D07A6F" w:rsidRPr="005D32AA" w:rsidRDefault="00D07A6F" w:rsidP="00D07A6F">
            <w:pPr>
              <w:rPr>
                <w:sz w:val="12"/>
                <w:szCs w:val="12"/>
              </w:rPr>
            </w:pPr>
            <w:r>
              <w:rPr>
                <w:color w:val="131313"/>
                <w:spacing w:val="-2"/>
                <w:sz w:val="14"/>
              </w:rPr>
              <w:t>123,399</w:t>
            </w:r>
          </w:p>
        </w:tc>
        <w:tc>
          <w:tcPr>
            <w:tcW w:w="0" w:type="auto"/>
            <w:shd w:val="clear" w:color="auto" w:fill="B4C6E7" w:themeFill="accent1" w:themeFillTint="66"/>
          </w:tcPr>
          <w:p w14:paraId="0E53E528" w14:textId="27C27E52" w:rsidR="00D07A6F" w:rsidRPr="005D32AA" w:rsidRDefault="00D07A6F" w:rsidP="00D07A6F">
            <w:pPr>
              <w:jc w:val="right"/>
              <w:rPr>
                <w:sz w:val="12"/>
                <w:szCs w:val="12"/>
              </w:rPr>
            </w:pPr>
            <w:r>
              <w:rPr>
                <w:color w:val="131313"/>
                <w:spacing w:val="-5"/>
                <w:sz w:val="14"/>
              </w:rPr>
              <w:t>90%</w:t>
            </w:r>
          </w:p>
        </w:tc>
        <w:tc>
          <w:tcPr>
            <w:tcW w:w="0" w:type="auto"/>
            <w:shd w:val="clear" w:color="auto" w:fill="B4C6E7" w:themeFill="accent1" w:themeFillTint="66"/>
          </w:tcPr>
          <w:p w14:paraId="438AD55F" w14:textId="79C455C0" w:rsidR="00D07A6F" w:rsidRPr="005D32AA" w:rsidRDefault="00D07A6F" w:rsidP="00D07A6F">
            <w:pPr>
              <w:jc w:val="right"/>
              <w:rPr>
                <w:sz w:val="12"/>
                <w:szCs w:val="12"/>
              </w:rPr>
            </w:pPr>
            <w:r>
              <w:rPr>
                <w:color w:val="131313"/>
                <w:spacing w:val="-5"/>
                <w:sz w:val="14"/>
              </w:rPr>
              <w:t>87%</w:t>
            </w:r>
          </w:p>
        </w:tc>
        <w:tc>
          <w:tcPr>
            <w:tcW w:w="0" w:type="auto"/>
          </w:tcPr>
          <w:p w14:paraId="402883F0" w14:textId="256CB16D" w:rsidR="00D07A6F" w:rsidRPr="005D32AA" w:rsidRDefault="00D07A6F" w:rsidP="00D07A6F">
            <w:pPr>
              <w:rPr>
                <w:sz w:val="12"/>
                <w:szCs w:val="12"/>
              </w:rPr>
            </w:pPr>
            <w:r>
              <w:rPr>
                <w:color w:val="131313"/>
                <w:spacing w:val="-4"/>
                <w:sz w:val="14"/>
              </w:rPr>
              <w:t>5.15</w:t>
            </w:r>
          </w:p>
        </w:tc>
        <w:tc>
          <w:tcPr>
            <w:tcW w:w="0" w:type="auto"/>
          </w:tcPr>
          <w:p w14:paraId="6D5A73A3" w14:textId="7423E681" w:rsidR="00D07A6F" w:rsidRPr="005D32AA" w:rsidRDefault="00D07A6F" w:rsidP="00D07A6F">
            <w:pPr>
              <w:rPr>
                <w:sz w:val="12"/>
                <w:szCs w:val="12"/>
              </w:rPr>
            </w:pPr>
            <w:r>
              <w:rPr>
                <w:color w:val="010101"/>
                <w:spacing w:val="-2"/>
                <w:sz w:val="14"/>
              </w:rPr>
              <w:t>13,683</w:t>
            </w:r>
          </w:p>
        </w:tc>
        <w:tc>
          <w:tcPr>
            <w:tcW w:w="0" w:type="auto"/>
          </w:tcPr>
          <w:p w14:paraId="4213322B" w14:textId="0936C54B" w:rsidR="00D07A6F" w:rsidRPr="005D32AA" w:rsidRDefault="00D07A6F" w:rsidP="00D07A6F">
            <w:pPr>
              <w:rPr>
                <w:sz w:val="12"/>
                <w:szCs w:val="12"/>
              </w:rPr>
            </w:pPr>
            <w:r>
              <w:rPr>
                <w:color w:val="010101"/>
                <w:spacing w:val="-2"/>
                <w:sz w:val="14"/>
              </w:rPr>
              <w:t>15,901</w:t>
            </w:r>
          </w:p>
        </w:tc>
      </w:tr>
      <w:tr w:rsidR="00D07A6F" w:rsidRPr="005D32AA" w14:paraId="2AB86402" w14:textId="77777777" w:rsidTr="00B513DD">
        <w:trPr>
          <w:cantSplit/>
          <w:trHeight w:val="288"/>
        </w:trPr>
        <w:tc>
          <w:tcPr>
            <w:tcW w:w="0" w:type="auto"/>
          </w:tcPr>
          <w:p w14:paraId="2B332B0A" w14:textId="77777777" w:rsidR="00D07A6F" w:rsidRPr="005D32AA" w:rsidRDefault="00D07A6F" w:rsidP="00D07A6F">
            <w:pPr>
              <w:rPr>
                <w:sz w:val="12"/>
                <w:szCs w:val="12"/>
              </w:rPr>
            </w:pPr>
          </w:p>
        </w:tc>
        <w:tc>
          <w:tcPr>
            <w:tcW w:w="0" w:type="auto"/>
          </w:tcPr>
          <w:p w14:paraId="6506DD7F" w14:textId="77777777" w:rsidR="00D07A6F" w:rsidRPr="005D32AA" w:rsidRDefault="00D07A6F" w:rsidP="00D07A6F">
            <w:pPr>
              <w:rPr>
                <w:sz w:val="12"/>
                <w:szCs w:val="12"/>
              </w:rPr>
            </w:pPr>
            <w:r w:rsidRPr="005D32AA">
              <w:rPr>
                <w:color w:val="231F20"/>
                <w:sz w:val="12"/>
                <w:szCs w:val="12"/>
              </w:rPr>
              <w:t>Obstetrics (Maternity)</w:t>
            </w:r>
          </w:p>
        </w:tc>
        <w:tc>
          <w:tcPr>
            <w:tcW w:w="0" w:type="auto"/>
          </w:tcPr>
          <w:p w14:paraId="536C3A2F" w14:textId="153B8EFD" w:rsidR="00D07A6F" w:rsidRPr="005D32AA" w:rsidRDefault="00D07A6F" w:rsidP="00D07A6F">
            <w:pPr>
              <w:rPr>
                <w:sz w:val="12"/>
                <w:szCs w:val="12"/>
              </w:rPr>
            </w:pPr>
          </w:p>
        </w:tc>
        <w:tc>
          <w:tcPr>
            <w:tcW w:w="0" w:type="auto"/>
          </w:tcPr>
          <w:p w14:paraId="7A01103C" w14:textId="28E930FD" w:rsidR="00D07A6F" w:rsidRPr="005D32AA" w:rsidRDefault="00D07A6F" w:rsidP="00D07A6F">
            <w:pPr>
              <w:rPr>
                <w:sz w:val="12"/>
                <w:szCs w:val="12"/>
              </w:rPr>
            </w:pPr>
          </w:p>
        </w:tc>
        <w:tc>
          <w:tcPr>
            <w:tcW w:w="0" w:type="auto"/>
          </w:tcPr>
          <w:p w14:paraId="15D8D4F8" w14:textId="150932C7" w:rsidR="00D07A6F" w:rsidRPr="005D32AA" w:rsidRDefault="00D07A6F" w:rsidP="00D07A6F">
            <w:pPr>
              <w:rPr>
                <w:sz w:val="12"/>
                <w:szCs w:val="12"/>
              </w:rPr>
            </w:pPr>
          </w:p>
        </w:tc>
        <w:tc>
          <w:tcPr>
            <w:tcW w:w="0" w:type="auto"/>
          </w:tcPr>
          <w:p w14:paraId="3A6EFBA5" w14:textId="1CEDC01B" w:rsidR="00D07A6F" w:rsidRPr="005D32AA" w:rsidRDefault="00D07A6F" w:rsidP="00D07A6F">
            <w:pPr>
              <w:rPr>
                <w:sz w:val="12"/>
                <w:szCs w:val="12"/>
              </w:rPr>
            </w:pPr>
          </w:p>
        </w:tc>
        <w:tc>
          <w:tcPr>
            <w:tcW w:w="0" w:type="auto"/>
            <w:shd w:val="clear" w:color="auto" w:fill="B4C6E7" w:themeFill="accent1" w:themeFillTint="66"/>
          </w:tcPr>
          <w:p w14:paraId="4EB8C2B4" w14:textId="67EF8E0B" w:rsidR="00D07A6F" w:rsidRPr="005D32AA" w:rsidRDefault="00D07A6F" w:rsidP="00D07A6F">
            <w:pPr>
              <w:rPr>
                <w:sz w:val="12"/>
                <w:szCs w:val="12"/>
              </w:rPr>
            </w:pPr>
          </w:p>
        </w:tc>
        <w:tc>
          <w:tcPr>
            <w:tcW w:w="0" w:type="auto"/>
            <w:shd w:val="clear" w:color="auto" w:fill="B4C6E7" w:themeFill="accent1" w:themeFillTint="66"/>
          </w:tcPr>
          <w:p w14:paraId="21126476" w14:textId="6C292BB6" w:rsidR="00D07A6F" w:rsidRPr="005D32AA" w:rsidRDefault="00D07A6F" w:rsidP="00D07A6F">
            <w:pPr>
              <w:rPr>
                <w:sz w:val="12"/>
                <w:szCs w:val="12"/>
              </w:rPr>
            </w:pPr>
          </w:p>
        </w:tc>
        <w:tc>
          <w:tcPr>
            <w:tcW w:w="0" w:type="auto"/>
          </w:tcPr>
          <w:p w14:paraId="59A4BA03" w14:textId="77777777" w:rsidR="00D07A6F" w:rsidRPr="005D32AA" w:rsidRDefault="00D07A6F" w:rsidP="00D07A6F">
            <w:pPr>
              <w:rPr>
                <w:sz w:val="12"/>
                <w:szCs w:val="12"/>
              </w:rPr>
            </w:pPr>
          </w:p>
        </w:tc>
        <w:tc>
          <w:tcPr>
            <w:tcW w:w="0" w:type="auto"/>
          </w:tcPr>
          <w:p w14:paraId="1F80F94E" w14:textId="77777777" w:rsidR="00D07A6F" w:rsidRPr="005D32AA" w:rsidRDefault="00D07A6F" w:rsidP="00D07A6F">
            <w:pPr>
              <w:rPr>
                <w:sz w:val="12"/>
                <w:szCs w:val="12"/>
              </w:rPr>
            </w:pPr>
          </w:p>
        </w:tc>
        <w:tc>
          <w:tcPr>
            <w:tcW w:w="0" w:type="auto"/>
            <w:shd w:val="clear" w:color="auto" w:fill="B4C6E7" w:themeFill="accent1" w:themeFillTint="66"/>
          </w:tcPr>
          <w:p w14:paraId="31E8F49C" w14:textId="5830781F" w:rsidR="00D07A6F" w:rsidRPr="005D32AA" w:rsidRDefault="00D07A6F" w:rsidP="00D07A6F">
            <w:pPr>
              <w:jc w:val="right"/>
              <w:rPr>
                <w:sz w:val="12"/>
                <w:szCs w:val="12"/>
              </w:rPr>
            </w:pPr>
            <w:r>
              <w:rPr>
                <w:color w:val="131313"/>
                <w:spacing w:val="-5"/>
                <w:sz w:val="14"/>
              </w:rPr>
              <w:t>0%</w:t>
            </w:r>
          </w:p>
        </w:tc>
        <w:tc>
          <w:tcPr>
            <w:tcW w:w="0" w:type="auto"/>
            <w:shd w:val="clear" w:color="auto" w:fill="B4C6E7" w:themeFill="accent1" w:themeFillTint="66"/>
          </w:tcPr>
          <w:p w14:paraId="50FCE541" w14:textId="176ACEF1" w:rsidR="00D07A6F" w:rsidRPr="005D32AA" w:rsidRDefault="00D07A6F" w:rsidP="00D07A6F">
            <w:pPr>
              <w:jc w:val="right"/>
              <w:rPr>
                <w:sz w:val="12"/>
                <w:szCs w:val="12"/>
              </w:rPr>
            </w:pPr>
            <w:r>
              <w:rPr>
                <w:color w:val="131313"/>
                <w:spacing w:val="-5"/>
                <w:sz w:val="14"/>
              </w:rPr>
              <w:t>0%</w:t>
            </w:r>
          </w:p>
        </w:tc>
        <w:tc>
          <w:tcPr>
            <w:tcW w:w="0" w:type="auto"/>
          </w:tcPr>
          <w:p w14:paraId="10F3CDA0" w14:textId="77777777" w:rsidR="00D07A6F" w:rsidRPr="005D32AA" w:rsidRDefault="00D07A6F" w:rsidP="00D07A6F">
            <w:pPr>
              <w:rPr>
                <w:sz w:val="12"/>
                <w:szCs w:val="12"/>
              </w:rPr>
            </w:pPr>
          </w:p>
        </w:tc>
        <w:tc>
          <w:tcPr>
            <w:tcW w:w="0" w:type="auto"/>
          </w:tcPr>
          <w:p w14:paraId="742432E3" w14:textId="77777777" w:rsidR="00D07A6F" w:rsidRPr="005D32AA" w:rsidRDefault="00D07A6F" w:rsidP="00D07A6F">
            <w:pPr>
              <w:rPr>
                <w:sz w:val="12"/>
                <w:szCs w:val="12"/>
              </w:rPr>
            </w:pPr>
          </w:p>
        </w:tc>
        <w:tc>
          <w:tcPr>
            <w:tcW w:w="0" w:type="auto"/>
          </w:tcPr>
          <w:p w14:paraId="2BC11E69" w14:textId="77777777" w:rsidR="00D07A6F" w:rsidRPr="005D32AA" w:rsidRDefault="00D07A6F" w:rsidP="00D07A6F">
            <w:pPr>
              <w:rPr>
                <w:sz w:val="12"/>
                <w:szCs w:val="12"/>
              </w:rPr>
            </w:pPr>
          </w:p>
        </w:tc>
      </w:tr>
      <w:tr w:rsidR="00D07A6F" w:rsidRPr="005D32AA" w14:paraId="68E2D693" w14:textId="77777777" w:rsidTr="00B513DD">
        <w:trPr>
          <w:cantSplit/>
          <w:trHeight w:val="136"/>
        </w:trPr>
        <w:tc>
          <w:tcPr>
            <w:tcW w:w="0" w:type="auto"/>
          </w:tcPr>
          <w:p w14:paraId="7EE16D99" w14:textId="77777777" w:rsidR="00D07A6F" w:rsidRPr="005D32AA" w:rsidRDefault="00D07A6F" w:rsidP="00D07A6F">
            <w:pPr>
              <w:rPr>
                <w:sz w:val="12"/>
                <w:szCs w:val="12"/>
              </w:rPr>
            </w:pPr>
          </w:p>
        </w:tc>
        <w:tc>
          <w:tcPr>
            <w:tcW w:w="0" w:type="auto"/>
          </w:tcPr>
          <w:p w14:paraId="293694B9" w14:textId="77777777" w:rsidR="00D07A6F" w:rsidRPr="005D32AA" w:rsidRDefault="00D07A6F" w:rsidP="00D07A6F">
            <w:pPr>
              <w:rPr>
                <w:sz w:val="12"/>
                <w:szCs w:val="12"/>
              </w:rPr>
            </w:pPr>
            <w:r w:rsidRPr="005D32AA">
              <w:rPr>
                <w:color w:val="231F20"/>
                <w:w w:val="105"/>
                <w:sz w:val="12"/>
                <w:szCs w:val="12"/>
              </w:rPr>
              <w:t>Pediatrics</w:t>
            </w:r>
          </w:p>
        </w:tc>
        <w:tc>
          <w:tcPr>
            <w:tcW w:w="0" w:type="auto"/>
          </w:tcPr>
          <w:p w14:paraId="2DF446B7" w14:textId="7791BD80" w:rsidR="00D07A6F" w:rsidRPr="005D32AA" w:rsidRDefault="00D07A6F" w:rsidP="00D07A6F">
            <w:pPr>
              <w:rPr>
                <w:sz w:val="12"/>
                <w:szCs w:val="12"/>
              </w:rPr>
            </w:pPr>
          </w:p>
        </w:tc>
        <w:tc>
          <w:tcPr>
            <w:tcW w:w="0" w:type="auto"/>
          </w:tcPr>
          <w:p w14:paraId="0F49953A" w14:textId="2D1FE26B" w:rsidR="00D07A6F" w:rsidRPr="005D32AA" w:rsidRDefault="00D07A6F" w:rsidP="00D07A6F">
            <w:pPr>
              <w:rPr>
                <w:sz w:val="12"/>
                <w:szCs w:val="12"/>
              </w:rPr>
            </w:pPr>
          </w:p>
        </w:tc>
        <w:tc>
          <w:tcPr>
            <w:tcW w:w="0" w:type="auto"/>
          </w:tcPr>
          <w:p w14:paraId="14EE9522" w14:textId="3B3DF3B8" w:rsidR="00D07A6F" w:rsidRPr="005D32AA" w:rsidRDefault="00D07A6F" w:rsidP="00D07A6F">
            <w:pPr>
              <w:rPr>
                <w:sz w:val="12"/>
                <w:szCs w:val="12"/>
              </w:rPr>
            </w:pPr>
          </w:p>
        </w:tc>
        <w:tc>
          <w:tcPr>
            <w:tcW w:w="0" w:type="auto"/>
          </w:tcPr>
          <w:p w14:paraId="1FDC02A2" w14:textId="52BBB34F" w:rsidR="00D07A6F" w:rsidRPr="005D32AA" w:rsidRDefault="00D07A6F" w:rsidP="00D07A6F">
            <w:pPr>
              <w:rPr>
                <w:sz w:val="12"/>
                <w:szCs w:val="12"/>
              </w:rPr>
            </w:pPr>
          </w:p>
        </w:tc>
        <w:tc>
          <w:tcPr>
            <w:tcW w:w="0" w:type="auto"/>
            <w:shd w:val="clear" w:color="auto" w:fill="B4C6E7" w:themeFill="accent1" w:themeFillTint="66"/>
          </w:tcPr>
          <w:p w14:paraId="565DCD0D" w14:textId="05DAB2E6" w:rsidR="00D07A6F" w:rsidRPr="005D32AA" w:rsidRDefault="00D07A6F" w:rsidP="00D07A6F">
            <w:pPr>
              <w:rPr>
                <w:sz w:val="12"/>
                <w:szCs w:val="12"/>
              </w:rPr>
            </w:pPr>
          </w:p>
        </w:tc>
        <w:tc>
          <w:tcPr>
            <w:tcW w:w="0" w:type="auto"/>
            <w:shd w:val="clear" w:color="auto" w:fill="B4C6E7" w:themeFill="accent1" w:themeFillTint="66"/>
          </w:tcPr>
          <w:p w14:paraId="67906182" w14:textId="320DC2D3" w:rsidR="00D07A6F" w:rsidRPr="005D32AA" w:rsidRDefault="00D07A6F" w:rsidP="00D07A6F">
            <w:pPr>
              <w:rPr>
                <w:sz w:val="12"/>
                <w:szCs w:val="12"/>
              </w:rPr>
            </w:pPr>
          </w:p>
        </w:tc>
        <w:tc>
          <w:tcPr>
            <w:tcW w:w="0" w:type="auto"/>
          </w:tcPr>
          <w:p w14:paraId="28F9A6BF" w14:textId="77777777" w:rsidR="00D07A6F" w:rsidRPr="005D32AA" w:rsidRDefault="00D07A6F" w:rsidP="00D07A6F">
            <w:pPr>
              <w:rPr>
                <w:sz w:val="12"/>
                <w:szCs w:val="12"/>
              </w:rPr>
            </w:pPr>
          </w:p>
        </w:tc>
        <w:tc>
          <w:tcPr>
            <w:tcW w:w="0" w:type="auto"/>
          </w:tcPr>
          <w:p w14:paraId="0C7EC428" w14:textId="77777777" w:rsidR="00D07A6F" w:rsidRPr="005D32AA" w:rsidRDefault="00D07A6F" w:rsidP="00D07A6F">
            <w:pPr>
              <w:rPr>
                <w:sz w:val="12"/>
                <w:szCs w:val="12"/>
              </w:rPr>
            </w:pPr>
          </w:p>
        </w:tc>
        <w:tc>
          <w:tcPr>
            <w:tcW w:w="0" w:type="auto"/>
            <w:shd w:val="clear" w:color="auto" w:fill="B4C6E7" w:themeFill="accent1" w:themeFillTint="66"/>
          </w:tcPr>
          <w:p w14:paraId="7637F30B" w14:textId="451934B9" w:rsidR="00D07A6F" w:rsidRPr="005D32AA" w:rsidRDefault="00D07A6F" w:rsidP="00D07A6F">
            <w:pPr>
              <w:jc w:val="right"/>
              <w:rPr>
                <w:sz w:val="12"/>
                <w:szCs w:val="12"/>
              </w:rPr>
            </w:pPr>
            <w:r>
              <w:rPr>
                <w:color w:val="131313"/>
                <w:spacing w:val="-5"/>
                <w:sz w:val="14"/>
              </w:rPr>
              <w:t>0%</w:t>
            </w:r>
          </w:p>
        </w:tc>
        <w:tc>
          <w:tcPr>
            <w:tcW w:w="0" w:type="auto"/>
            <w:shd w:val="clear" w:color="auto" w:fill="B4C6E7" w:themeFill="accent1" w:themeFillTint="66"/>
          </w:tcPr>
          <w:p w14:paraId="5B73D5E5" w14:textId="28A90391" w:rsidR="00D07A6F" w:rsidRPr="005D32AA" w:rsidRDefault="00D07A6F" w:rsidP="00D07A6F">
            <w:pPr>
              <w:jc w:val="right"/>
              <w:rPr>
                <w:sz w:val="12"/>
                <w:szCs w:val="12"/>
              </w:rPr>
            </w:pPr>
            <w:r>
              <w:rPr>
                <w:color w:val="131313"/>
                <w:spacing w:val="-5"/>
                <w:sz w:val="14"/>
              </w:rPr>
              <w:t>0%</w:t>
            </w:r>
          </w:p>
        </w:tc>
        <w:tc>
          <w:tcPr>
            <w:tcW w:w="0" w:type="auto"/>
          </w:tcPr>
          <w:p w14:paraId="05E1976C" w14:textId="77777777" w:rsidR="00D07A6F" w:rsidRPr="005D32AA" w:rsidRDefault="00D07A6F" w:rsidP="00D07A6F">
            <w:pPr>
              <w:rPr>
                <w:sz w:val="12"/>
                <w:szCs w:val="12"/>
              </w:rPr>
            </w:pPr>
          </w:p>
        </w:tc>
        <w:tc>
          <w:tcPr>
            <w:tcW w:w="0" w:type="auto"/>
          </w:tcPr>
          <w:p w14:paraId="3A7ACCEC" w14:textId="77777777" w:rsidR="00D07A6F" w:rsidRPr="005D32AA" w:rsidRDefault="00D07A6F" w:rsidP="00D07A6F">
            <w:pPr>
              <w:rPr>
                <w:sz w:val="12"/>
                <w:szCs w:val="12"/>
              </w:rPr>
            </w:pPr>
          </w:p>
        </w:tc>
        <w:tc>
          <w:tcPr>
            <w:tcW w:w="0" w:type="auto"/>
          </w:tcPr>
          <w:p w14:paraId="1414468A" w14:textId="77777777" w:rsidR="00D07A6F" w:rsidRPr="005D32AA" w:rsidRDefault="00D07A6F" w:rsidP="00D07A6F">
            <w:pPr>
              <w:rPr>
                <w:sz w:val="12"/>
                <w:szCs w:val="12"/>
              </w:rPr>
            </w:pPr>
          </w:p>
        </w:tc>
      </w:tr>
      <w:tr w:rsidR="00D07A6F" w:rsidRPr="005D32AA" w14:paraId="24E43347" w14:textId="77777777" w:rsidTr="00B513DD">
        <w:trPr>
          <w:cantSplit/>
          <w:trHeight w:val="440"/>
        </w:trPr>
        <w:tc>
          <w:tcPr>
            <w:tcW w:w="0" w:type="auto"/>
          </w:tcPr>
          <w:p w14:paraId="614EB951" w14:textId="77777777" w:rsidR="00D07A6F" w:rsidRPr="005D32AA" w:rsidRDefault="00D07A6F" w:rsidP="00D07A6F">
            <w:pPr>
              <w:rPr>
                <w:sz w:val="12"/>
                <w:szCs w:val="12"/>
              </w:rPr>
            </w:pPr>
          </w:p>
        </w:tc>
        <w:tc>
          <w:tcPr>
            <w:tcW w:w="0" w:type="auto"/>
          </w:tcPr>
          <w:p w14:paraId="24283231" w14:textId="77777777" w:rsidR="00D07A6F" w:rsidRPr="005D32AA" w:rsidRDefault="00D07A6F" w:rsidP="00D07A6F">
            <w:pPr>
              <w:rPr>
                <w:sz w:val="12"/>
                <w:szCs w:val="12"/>
              </w:rPr>
            </w:pPr>
            <w:r w:rsidRPr="005D32AA">
              <w:rPr>
                <w:color w:val="231F20"/>
                <w:w w:val="105"/>
                <w:sz w:val="12"/>
                <w:szCs w:val="12"/>
              </w:rPr>
              <w:t>Neonatal Intensive Care</w:t>
            </w:r>
          </w:p>
        </w:tc>
        <w:tc>
          <w:tcPr>
            <w:tcW w:w="0" w:type="auto"/>
          </w:tcPr>
          <w:p w14:paraId="351A4C81" w14:textId="76FA8B25" w:rsidR="00D07A6F" w:rsidRPr="005D32AA" w:rsidRDefault="00D07A6F" w:rsidP="00D07A6F">
            <w:pPr>
              <w:rPr>
                <w:sz w:val="12"/>
                <w:szCs w:val="12"/>
              </w:rPr>
            </w:pPr>
          </w:p>
        </w:tc>
        <w:tc>
          <w:tcPr>
            <w:tcW w:w="0" w:type="auto"/>
          </w:tcPr>
          <w:p w14:paraId="4CF5CE60" w14:textId="04B8F07F" w:rsidR="00D07A6F" w:rsidRPr="005D32AA" w:rsidRDefault="00D07A6F" w:rsidP="00D07A6F">
            <w:pPr>
              <w:rPr>
                <w:sz w:val="12"/>
                <w:szCs w:val="12"/>
              </w:rPr>
            </w:pPr>
          </w:p>
        </w:tc>
        <w:tc>
          <w:tcPr>
            <w:tcW w:w="0" w:type="auto"/>
          </w:tcPr>
          <w:p w14:paraId="0CFB06BB" w14:textId="45EEFAE6" w:rsidR="00D07A6F" w:rsidRPr="005D32AA" w:rsidRDefault="00D07A6F" w:rsidP="00D07A6F">
            <w:pPr>
              <w:rPr>
                <w:sz w:val="12"/>
                <w:szCs w:val="12"/>
              </w:rPr>
            </w:pPr>
          </w:p>
        </w:tc>
        <w:tc>
          <w:tcPr>
            <w:tcW w:w="0" w:type="auto"/>
          </w:tcPr>
          <w:p w14:paraId="153DDCD9" w14:textId="7C1C1D52" w:rsidR="00D07A6F" w:rsidRPr="005D32AA" w:rsidRDefault="00D07A6F" w:rsidP="00D07A6F">
            <w:pPr>
              <w:rPr>
                <w:sz w:val="12"/>
                <w:szCs w:val="12"/>
              </w:rPr>
            </w:pPr>
          </w:p>
        </w:tc>
        <w:tc>
          <w:tcPr>
            <w:tcW w:w="0" w:type="auto"/>
            <w:shd w:val="clear" w:color="auto" w:fill="B4C6E7" w:themeFill="accent1" w:themeFillTint="66"/>
          </w:tcPr>
          <w:p w14:paraId="014E2B0E" w14:textId="5D9DD5D6" w:rsidR="00D07A6F" w:rsidRPr="005D32AA" w:rsidRDefault="00D07A6F" w:rsidP="00D07A6F">
            <w:pPr>
              <w:rPr>
                <w:sz w:val="12"/>
                <w:szCs w:val="12"/>
              </w:rPr>
            </w:pPr>
          </w:p>
        </w:tc>
        <w:tc>
          <w:tcPr>
            <w:tcW w:w="0" w:type="auto"/>
            <w:shd w:val="clear" w:color="auto" w:fill="B4C6E7" w:themeFill="accent1" w:themeFillTint="66"/>
          </w:tcPr>
          <w:p w14:paraId="2ED670BC" w14:textId="0B21671C" w:rsidR="00D07A6F" w:rsidRPr="005D32AA" w:rsidRDefault="00D07A6F" w:rsidP="00D07A6F">
            <w:pPr>
              <w:rPr>
                <w:sz w:val="12"/>
                <w:szCs w:val="12"/>
              </w:rPr>
            </w:pPr>
          </w:p>
        </w:tc>
        <w:tc>
          <w:tcPr>
            <w:tcW w:w="0" w:type="auto"/>
          </w:tcPr>
          <w:p w14:paraId="73AF9C0F" w14:textId="77777777" w:rsidR="00D07A6F" w:rsidRPr="005D32AA" w:rsidRDefault="00D07A6F" w:rsidP="00D07A6F">
            <w:pPr>
              <w:rPr>
                <w:sz w:val="12"/>
                <w:szCs w:val="12"/>
              </w:rPr>
            </w:pPr>
          </w:p>
        </w:tc>
        <w:tc>
          <w:tcPr>
            <w:tcW w:w="0" w:type="auto"/>
          </w:tcPr>
          <w:p w14:paraId="3302E6E5" w14:textId="77777777" w:rsidR="00D07A6F" w:rsidRPr="005D32AA" w:rsidRDefault="00D07A6F" w:rsidP="00D07A6F">
            <w:pPr>
              <w:rPr>
                <w:sz w:val="12"/>
                <w:szCs w:val="12"/>
              </w:rPr>
            </w:pPr>
          </w:p>
        </w:tc>
        <w:tc>
          <w:tcPr>
            <w:tcW w:w="0" w:type="auto"/>
            <w:shd w:val="clear" w:color="auto" w:fill="B4C6E7" w:themeFill="accent1" w:themeFillTint="66"/>
          </w:tcPr>
          <w:p w14:paraId="1160AF98" w14:textId="320D1C28" w:rsidR="00D07A6F" w:rsidRPr="005D32AA" w:rsidRDefault="00D07A6F" w:rsidP="00D07A6F">
            <w:pPr>
              <w:jc w:val="right"/>
              <w:rPr>
                <w:sz w:val="12"/>
                <w:szCs w:val="12"/>
              </w:rPr>
            </w:pPr>
            <w:r>
              <w:rPr>
                <w:color w:val="131313"/>
                <w:spacing w:val="-5"/>
                <w:sz w:val="14"/>
              </w:rPr>
              <w:t>0%</w:t>
            </w:r>
          </w:p>
        </w:tc>
        <w:tc>
          <w:tcPr>
            <w:tcW w:w="0" w:type="auto"/>
            <w:shd w:val="clear" w:color="auto" w:fill="B4C6E7" w:themeFill="accent1" w:themeFillTint="66"/>
          </w:tcPr>
          <w:p w14:paraId="453D09E0" w14:textId="1BDD97F8" w:rsidR="00D07A6F" w:rsidRPr="005D32AA" w:rsidRDefault="00D07A6F" w:rsidP="00D07A6F">
            <w:pPr>
              <w:jc w:val="right"/>
              <w:rPr>
                <w:sz w:val="12"/>
                <w:szCs w:val="12"/>
              </w:rPr>
            </w:pPr>
            <w:r>
              <w:rPr>
                <w:color w:val="131313"/>
                <w:spacing w:val="-5"/>
                <w:sz w:val="14"/>
              </w:rPr>
              <w:t>0%</w:t>
            </w:r>
          </w:p>
        </w:tc>
        <w:tc>
          <w:tcPr>
            <w:tcW w:w="0" w:type="auto"/>
          </w:tcPr>
          <w:p w14:paraId="51B09DEE" w14:textId="77777777" w:rsidR="00D07A6F" w:rsidRPr="005D32AA" w:rsidRDefault="00D07A6F" w:rsidP="00D07A6F">
            <w:pPr>
              <w:rPr>
                <w:sz w:val="12"/>
                <w:szCs w:val="12"/>
              </w:rPr>
            </w:pPr>
          </w:p>
        </w:tc>
        <w:tc>
          <w:tcPr>
            <w:tcW w:w="0" w:type="auto"/>
          </w:tcPr>
          <w:p w14:paraId="7FA79F34" w14:textId="77777777" w:rsidR="00D07A6F" w:rsidRPr="005D32AA" w:rsidRDefault="00D07A6F" w:rsidP="00D07A6F">
            <w:pPr>
              <w:rPr>
                <w:sz w:val="12"/>
                <w:szCs w:val="12"/>
              </w:rPr>
            </w:pPr>
          </w:p>
        </w:tc>
        <w:tc>
          <w:tcPr>
            <w:tcW w:w="0" w:type="auto"/>
          </w:tcPr>
          <w:p w14:paraId="5C9395BC" w14:textId="77777777" w:rsidR="00D07A6F" w:rsidRPr="005D32AA" w:rsidRDefault="00D07A6F" w:rsidP="00D07A6F">
            <w:pPr>
              <w:rPr>
                <w:sz w:val="12"/>
                <w:szCs w:val="12"/>
              </w:rPr>
            </w:pPr>
          </w:p>
        </w:tc>
      </w:tr>
      <w:tr w:rsidR="00D07A6F" w:rsidRPr="005D32AA" w14:paraId="329C667D" w14:textId="77777777" w:rsidTr="00B513DD">
        <w:trPr>
          <w:cantSplit/>
          <w:trHeight w:val="288"/>
        </w:trPr>
        <w:tc>
          <w:tcPr>
            <w:tcW w:w="0" w:type="auto"/>
          </w:tcPr>
          <w:p w14:paraId="618FE66F" w14:textId="77777777" w:rsidR="00D07A6F" w:rsidRPr="005D32AA" w:rsidRDefault="00D07A6F" w:rsidP="00D07A6F">
            <w:pPr>
              <w:rPr>
                <w:sz w:val="12"/>
                <w:szCs w:val="12"/>
              </w:rPr>
            </w:pPr>
          </w:p>
        </w:tc>
        <w:tc>
          <w:tcPr>
            <w:tcW w:w="0" w:type="auto"/>
          </w:tcPr>
          <w:p w14:paraId="688820A4" w14:textId="42D67D7F" w:rsidR="00D07A6F" w:rsidRPr="005D32AA" w:rsidRDefault="00D07A6F" w:rsidP="00D07A6F">
            <w:pPr>
              <w:rPr>
                <w:sz w:val="12"/>
                <w:szCs w:val="12"/>
              </w:rPr>
            </w:pPr>
            <w:r w:rsidRPr="005D32AA">
              <w:rPr>
                <w:color w:val="231F20"/>
                <w:w w:val="105"/>
                <w:sz w:val="12"/>
                <w:szCs w:val="12"/>
              </w:rPr>
              <w:t>ICU/CCU/SICU</w:t>
            </w:r>
            <w:r w:rsidR="00EE05F6">
              <w:rPr>
                <w:rStyle w:val="EndnoteReference"/>
                <w:color w:val="231F20"/>
                <w:w w:val="105"/>
                <w:sz w:val="12"/>
                <w:szCs w:val="12"/>
              </w:rPr>
              <w:endnoteReference w:id="4"/>
            </w:r>
            <w:r w:rsidR="00F75ACE">
              <w:rPr>
                <w:color w:val="231F20"/>
                <w:w w:val="105"/>
                <w:sz w:val="12"/>
                <w:szCs w:val="12"/>
              </w:rPr>
              <w:t>,</w:t>
            </w:r>
            <w:r w:rsidR="00F75ACE">
              <w:rPr>
                <w:rStyle w:val="EndnoteReference"/>
                <w:color w:val="231F20"/>
                <w:w w:val="105"/>
                <w:sz w:val="12"/>
                <w:szCs w:val="12"/>
              </w:rPr>
              <w:endnoteReference w:id="5"/>
            </w:r>
          </w:p>
        </w:tc>
        <w:tc>
          <w:tcPr>
            <w:tcW w:w="0" w:type="auto"/>
          </w:tcPr>
          <w:p w14:paraId="49591822" w14:textId="0867497A" w:rsidR="00D07A6F" w:rsidRPr="005D32AA" w:rsidRDefault="00D07A6F" w:rsidP="00D07A6F">
            <w:pPr>
              <w:rPr>
                <w:sz w:val="12"/>
                <w:szCs w:val="12"/>
              </w:rPr>
            </w:pPr>
            <w:r>
              <w:rPr>
                <w:color w:val="131313"/>
                <w:spacing w:val="-5"/>
                <w:sz w:val="14"/>
              </w:rPr>
              <w:t>63</w:t>
            </w:r>
          </w:p>
        </w:tc>
        <w:tc>
          <w:tcPr>
            <w:tcW w:w="0" w:type="auto"/>
          </w:tcPr>
          <w:p w14:paraId="79FFA10C" w14:textId="61DC6A90" w:rsidR="00D07A6F" w:rsidRPr="005D32AA" w:rsidRDefault="00D07A6F" w:rsidP="00D07A6F">
            <w:pPr>
              <w:rPr>
                <w:sz w:val="12"/>
                <w:szCs w:val="12"/>
              </w:rPr>
            </w:pPr>
            <w:r>
              <w:rPr>
                <w:color w:val="282828"/>
                <w:spacing w:val="-5"/>
                <w:sz w:val="14"/>
              </w:rPr>
              <w:t>63</w:t>
            </w:r>
          </w:p>
        </w:tc>
        <w:tc>
          <w:tcPr>
            <w:tcW w:w="0" w:type="auto"/>
          </w:tcPr>
          <w:p w14:paraId="5ED23B40" w14:textId="397916FF" w:rsidR="00D07A6F" w:rsidRPr="005D32AA" w:rsidRDefault="00D07A6F" w:rsidP="00D07A6F">
            <w:pPr>
              <w:rPr>
                <w:sz w:val="12"/>
                <w:szCs w:val="12"/>
              </w:rPr>
            </w:pPr>
            <w:r>
              <w:rPr>
                <w:color w:val="131313"/>
                <w:spacing w:val="-5"/>
                <w:sz w:val="14"/>
              </w:rPr>
              <w:t>10</w:t>
            </w:r>
          </w:p>
        </w:tc>
        <w:tc>
          <w:tcPr>
            <w:tcW w:w="0" w:type="auto"/>
          </w:tcPr>
          <w:p w14:paraId="4237E3B0" w14:textId="7E3448D2" w:rsidR="00D07A6F" w:rsidRPr="005D32AA" w:rsidRDefault="00D07A6F" w:rsidP="00D07A6F">
            <w:pPr>
              <w:rPr>
                <w:sz w:val="12"/>
                <w:szCs w:val="12"/>
              </w:rPr>
            </w:pPr>
            <w:r>
              <w:rPr>
                <w:color w:val="131313"/>
                <w:spacing w:val="-5"/>
                <w:sz w:val="14"/>
              </w:rPr>
              <w:t>10</w:t>
            </w:r>
          </w:p>
        </w:tc>
        <w:tc>
          <w:tcPr>
            <w:tcW w:w="0" w:type="auto"/>
            <w:shd w:val="clear" w:color="auto" w:fill="B4C6E7" w:themeFill="accent1" w:themeFillTint="66"/>
          </w:tcPr>
          <w:p w14:paraId="75269DD1" w14:textId="7A186CDD" w:rsidR="00D07A6F" w:rsidRPr="005D32AA" w:rsidRDefault="00D07A6F" w:rsidP="00D07A6F">
            <w:pPr>
              <w:rPr>
                <w:sz w:val="12"/>
                <w:szCs w:val="12"/>
              </w:rPr>
            </w:pPr>
            <w:r>
              <w:rPr>
                <w:color w:val="131313"/>
                <w:spacing w:val="-5"/>
                <w:sz w:val="14"/>
              </w:rPr>
              <w:t>73</w:t>
            </w:r>
          </w:p>
        </w:tc>
        <w:tc>
          <w:tcPr>
            <w:tcW w:w="0" w:type="auto"/>
            <w:shd w:val="clear" w:color="auto" w:fill="B4C6E7" w:themeFill="accent1" w:themeFillTint="66"/>
          </w:tcPr>
          <w:p w14:paraId="658154AF" w14:textId="4D87D05C" w:rsidR="00D07A6F" w:rsidRPr="005D32AA" w:rsidRDefault="00D07A6F" w:rsidP="00D07A6F">
            <w:pPr>
              <w:rPr>
                <w:sz w:val="12"/>
                <w:szCs w:val="12"/>
              </w:rPr>
            </w:pPr>
            <w:r>
              <w:rPr>
                <w:color w:val="131313"/>
                <w:spacing w:val="-5"/>
                <w:sz w:val="14"/>
              </w:rPr>
              <w:t>73</w:t>
            </w:r>
          </w:p>
        </w:tc>
        <w:tc>
          <w:tcPr>
            <w:tcW w:w="0" w:type="auto"/>
          </w:tcPr>
          <w:p w14:paraId="2D9A9DDC" w14:textId="6E51332F" w:rsidR="00D07A6F" w:rsidRPr="005D32AA" w:rsidRDefault="00D07A6F" w:rsidP="00D07A6F">
            <w:pPr>
              <w:rPr>
                <w:sz w:val="12"/>
                <w:szCs w:val="12"/>
              </w:rPr>
            </w:pPr>
            <w:r>
              <w:rPr>
                <w:color w:val="131313"/>
                <w:spacing w:val="-2"/>
                <w:sz w:val="14"/>
              </w:rPr>
              <w:t>19,363</w:t>
            </w:r>
          </w:p>
        </w:tc>
        <w:tc>
          <w:tcPr>
            <w:tcW w:w="0" w:type="auto"/>
          </w:tcPr>
          <w:p w14:paraId="1FA6C40F" w14:textId="3C258324" w:rsidR="00D07A6F" w:rsidRPr="005D32AA" w:rsidRDefault="00D07A6F" w:rsidP="00D07A6F">
            <w:pPr>
              <w:rPr>
                <w:sz w:val="12"/>
                <w:szCs w:val="12"/>
              </w:rPr>
            </w:pPr>
            <w:r>
              <w:rPr>
                <w:color w:val="131313"/>
                <w:spacing w:val="-2"/>
                <w:sz w:val="14"/>
              </w:rPr>
              <w:t>22,711</w:t>
            </w:r>
          </w:p>
        </w:tc>
        <w:tc>
          <w:tcPr>
            <w:tcW w:w="0" w:type="auto"/>
            <w:shd w:val="clear" w:color="auto" w:fill="B4C6E7" w:themeFill="accent1" w:themeFillTint="66"/>
          </w:tcPr>
          <w:p w14:paraId="5BBC43B2" w14:textId="4EBF2393" w:rsidR="00D07A6F" w:rsidRPr="005D32AA" w:rsidRDefault="00D07A6F" w:rsidP="00D07A6F">
            <w:pPr>
              <w:jc w:val="right"/>
              <w:rPr>
                <w:sz w:val="12"/>
                <w:szCs w:val="12"/>
              </w:rPr>
            </w:pPr>
            <w:r>
              <w:rPr>
                <w:color w:val="131313"/>
                <w:spacing w:val="-5"/>
                <w:sz w:val="14"/>
              </w:rPr>
              <w:t>84%</w:t>
            </w:r>
          </w:p>
        </w:tc>
        <w:tc>
          <w:tcPr>
            <w:tcW w:w="0" w:type="auto"/>
            <w:shd w:val="clear" w:color="auto" w:fill="B4C6E7" w:themeFill="accent1" w:themeFillTint="66"/>
          </w:tcPr>
          <w:p w14:paraId="607DF21B" w14:textId="359DAB54" w:rsidR="00D07A6F" w:rsidRPr="005D32AA" w:rsidRDefault="00D07A6F" w:rsidP="00D07A6F">
            <w:pPr>
              <w:jc w:val="right"/>
              <w:rPr>
                <w:sz w:val="12"/>
                <w:szCs w:val="12"/>
              </w:rPr>
            </w:pPr>
            <w:r>
              <w:rPr>
                <w:color w:val="131313"/>
                <w:spacing w:val="-5"/>
                <w:sz w:val="14"/>
              </w:rPr>
              <w:t>85%</w:t>
            </w:r>
          </w:p>
        </w:tc>
        <w:tc>
          <w:tcPr>
            <w:tcW w:w="0" w:type="auto"/>
          </w:tcPr>
          <w:p w14:paraId="5ABDEBF8" w14:textId="7CC29100" w:rsidR="00D07A6F" w:rsidRPr="005D32AA" w:rsidRDefault="00D07A6F" w:rsidP="00D07A6F">
            <w:pPr>
              <w:rPr>
                <w:sz w:val="12"/>
                <w:szCs w:val="12"/>
              </w:rPr>
            </w:pPr>
            <w:r>
              <w:rPr>
                <w:color w:val="010101"/>
                <w:spacing w:val="-2"/>
                <w:sz w:val="14"/>
              </w:rPr>
              <w:t>12.26</w:t>
            </w:r>
          </w:p>
        </w:tc>
        <w:tc>
          <w:tcPr>
            <w:tcW w:w="0" w:type="auto"/>
          </w:tcPr>
          <w:p w14:paraId="43127417" w14:textId="4F41A4E2" w:rsidR="00D07A6F" w:rsidRPr="005D32AA" w:rsidRDefault="00D07A6F" w:rsidP="00D07A6F">
            <w:pPr>
              <w:rPr>
                <w:sz w:val="12"/>
                <w:szCs w:val="12"/>
              </w:rPr>
            </w:pPr>
            <w:r>
              <w:rPr>
                <w:color w:val="131313"/>
                <w:spacing w:val="-2"/>
                <w:sz w:val="14"/>
              </w:rPr>
              <w:t>3,959</w:t>
            </w:r>
          </w:p>
        </w:tc>
        <w:tc>
          <w:tcPr>
            <w:tcW w:w="0" w:type="auto"/>
          </w:tcPr>
          <w:p w14:paraId="35FC7EE2" w14:textId="245F63EB" w:rsidR="00D07A6F" w:rsidRPr="005D32AA" w:rsidRDefault="00D07A6F" w:rsidP="00D07A6F">
            <w:pPr>
              <w:rPr>
                <w:sz w:val="12"/>
                <w:szCs w:val="12"/>
              </w:rPr>
            </w:pPr>
            <w:r>
              <w:rPr>
                <w:color w:val="131313"/>
                <w:spacing w:val="-2"/>
                <w:sz w:val="14"/>
              </w:rPr>
              <w:t>4,213</w:t>
            </w:r>
          </w:p>
        </w:tc>
      </w:tr>
      <w:tr w:rsidR="00D07A6F" w:rsidRPr="005D32AA" w14:paraId="01911E2D" w14:textId="77777777" w:rsidTr="00B513DD">
        <w:trPr>
          <w:cantSplit/>
          <w:trHeight w:val="151"/>
        </w:trPr>
        <w:tc>
          <w:tcPr>
            <w:tcW w:w="0" w:type="auto"/>
          </w:tcPr>
          <w:p w14:paraId="3514A0B4" w14:textId="77777777" w:rsidR="00D07A6F" w:rsidRPr="005D32AA" w:rsidRDefault="00D07A6F" w:rsidP="00D07A6F">
            <w:pPr>
              <w:rPr>
                <w:sz w:val="12"/>
                <w:szCs w:val="12"/>
              </w:rPr>
            </w:pPr>
            <w:r w:rsidRPr="005D32AA">
              <w:rPr>
                <w:sz w:val="12"/>
                <w:szCs w:val="12"/>
              </w:rPr>
              <w:t>+/-</w:t>
            </w:r>
          </w:p>
        </w:tc>
        <w:tc>
          <w:tcPr>
            <w:tcW w:w="0" w:type="auto"/>
          </w:tcPr>
          <w:p w14:paraId="7365E451" w14:textId="59A1CCF3" w:rsidR="00D07A6F" w:rsidRPr="005D32AA" w:rsidRDefault="00D07A6F" w:rsidP="00D07A6F">
            <w:pPr>
              <w:rPr>
                <w:sz w:val="12"/>
                <w:szCs w:val="12"/>
              </w:rPr>
            </w:pPr>
          </w:p>
        </w:tc>
        <w:tc>
          <w:tcPr>
            <w:tcW w:w="0" w:type="auto"/>
          </w:tcPr>
          <w:p w14:paraId="26F4E9D8" w14:textId="64277AE0" w:rsidR="00D07A6F" w:rsidRPr="005D32AA" w:rsidRDefault="00D07A6F" w:rsidP="00D07A6F">
            <w:pPr>
              <w:rPr>
                <w:sz w:val="12"/>
                <w:szCs w:val="12"/>
              </w:rPr>
            </w:pPr>
          </w:p>
        </w:tc>
        <w:tc>
          <w:tcPr>
            <w:tcW w:w="0" w:type="auto"/>
          </w:tcPr>
          <w:p w14:paraId="1CBBC509" w14:textId="38AD1C67" w:rsidR="00D07A6F" w:rsidRPr="005D32AA" w:rsidRDefault="00D07A6F" w:rsidP="00D07A6F">
            <w:pPr>
              <w:rPr>
                <w:sz w:val="12"/>
                <w:szCs w:val="12"/>
              </w:rPr>
            </w:pPr>
          </w:p>
        </w:tc>
        <w:tc>
          <w:tcPr>
            <w:tcW w:w="0" w:type="auto"/>
          </w:tcPr>
          <w:p w14:paraId="6A829B45" w14:textId="2A8B2F94" w:rsidR="00D07A6F" w:rsidRPr="005D32AA" w:rsidRDefault="00D07A6F" w:rsidP="00D07A6F">
            <w:pPr>
              <w:rPr>
                <w:sz w:val="12"/>
                <w:szCs w:val="12"/>
              </w:rPr>
            </w:pPr>
          </w:p>
        </w:tc>
        <w:tc>
          <w:tcPr>
            <w:tcW w:w="0" w:type="auto"/>
          </w:tcPr>
          <w:p w14:paraId="2F8B9E54" w14:textId="4AD36309" w:rsidR="00D07A6F" w:rsidRPr="005D32AA" w:rsidRDefault="00D07A6F" w:rsidP="00D07A6F">
            <w:pPr>
              <w:rPr>
                <w:sz w:val="12"/>
                <w:szCs w:val="12"/>
              </w:rPr>
            </w:pPr>
          </w:p>
        </w:tc>
        <w:tc>
          <w:tcPr>
            <w:tcW w:w="0" w:type="auto"/>
            <w:shd w:val="clear" w:color="auto" w:fill="B4C6E7" w:themeFill="accent1" w:themeFillTint="66"/>
          </w:tcPr>
          <w:p w14:paraId="1A45C473" w14:textId="6834C0C0" w:rsidR="00D07A6F" w:rsidRPr="005D32AA" w:rsidRDefault="00D07A6F" w:rsidP="00D07A6F">
            <w:pPr>
              <w:rPr>
                <w:sz w:val="12"/>
                <w:szCs w:val="12"/>
              </w:rPr>
            </w:pPr>
          </w:p>
        </w:tc>
        <w:tc>
          <w:tcPr>
            <w:tcW w:w="0" w:type="auto"/>
            <w:shd w:val="clear" w:color="auto" w:fill="B4C6E7" w:themeFill="accent1" w:themeFillTint="66"/>
          </w:tcPr>
          <w:p w14:paraId="018E31A5" w14:textId="6E8B11BF" w:rsidR="00D07A6F" w:rsidRPr="005D32AA" w:rsidRDefault="00D07A6F" w:rsidP="00D07A6F">
            <w:pPr>
              <w:rPr>
                <w:sz w:val="12"/>
                <w:szCs w:val="12"/>
              </w:rPr>
            </w:pPr>
          </w:p>
        </w:tc>
        <w:tc>
          <w:tcPr>
            <w:tcW w:w="0" w:type="auto"/>
          </w:tcPr>
          <w:p w14:paraId="47132D74" w14:textId="77777777" w:rsidR="00D07A6F" w:rsidRPr="005D32AA" w:rsidRDefault="00D07A6F" w:rsidP="00D07A6F">
            <w:pPr>
              <w:rPr>
                <w:sz w:val="12"/>
                <w:szCs w:val="12"/>
              </w:rPr>
            </w:pPr>
          </w:p>
        </w:tc>
        <w:tc>
          <w:tcPr>
            <w:tcW w:w="0" w:type="auto"/>
          </w:tcPr>
          <w:p w14:paraId="45C3A2EB" w14:textId="77777777" w:rsidR="00D07A6F" w:rsidRPr="005D32AA" w:rsidRDefault="00D07A6F" w:rsidP="00D07A6F">
            <w:pPr>
              <w:rPr>
                <w:sz w:val="12"/>
                <w:szCs w:val="12"/>
              </w:rPr>
            </w:pPr>
          </w:p>
        </w:tc>
        <w:tc>
          <w:tcPr>
            <w:tcW w:w="0" w:type="auto"/>
            <w:shd w:val="clear" w:color="auto" w:fill="B4C6E7" w:themeFill="accent1" w:themeFillTint="66"/>
          </w:tcPr>
          <w:p w14:paraId="7D4DE643" w14:textId="7A8904D6" w:rsidR="00D07A6F" w:rsidRPr="005D32AA" w:rsidRDefault="00D07A6F" w:rsidP="00D07A6F">
            <w:pPr>
              <w:jc w:val="right"/>
              <w:rPr>
                <w:sz w:val="12"/>
                <w:szCs w:val="12"/>
              </w:rPr>
            </w:pPr>
            <w:r>
              <w:rPr>
                <w:color w:val="131313"/>
                <w:spacing w:val="-5"/>
                <w:sz w:val="14"/>
              </w:rPr>
              <w:t>0%</w:t>
            </w:r>
          </w:p>
        </w:tc>
        <w:tc>
          <w:tcPr>
            <w:tcW w:w="0" w:type="auto"/>
            <w:shd w:val="clear" w:color="auto" w:fill="B4C6E7" w:themeFill="accent1" w:themeFillTint="66"/>
          </w:tcPr>
          <w:p w14:paraId="308790D3" w14:textId="758B771B" w:rsidR="00D07A6F" w:rsidRPr="005D32AA" w:rsidRDefault="00D07A6F" w:rsidP="00D07A6F">
            <w:pPr>
              <w:jc w:val="right"/>
              <w:rPr>
                <w:sz w:val="12"/>
                <w:szCs w:val="12"/>
              </w:rPr>
            </w:pPr>
            <w:r>
              <w:rPr>
                <w:color w:val="131313"/>
                <w:spacing w:val="-5"/>
                <w:sz w:val="14"/>
              </w:rPr>
              <w:t>0%</w:t>
            </w:r>
          </w:p>
        </w:tc>
        <w:tc>
          <w:tcPr>
            <w:tcW w:w="0" w:type="auto"/>
          </w:tcPr>
          <w:p w14:paraId="5BCBCB7D" w14:textId="77777777" w:rsidR="00D07A6F" w:rsidRPr="005D32AA" w:rsidRDefault="00D07A6F" w:rsidP="00D07A6F">
            <w:pPr>
              <w:rPr>
                <w:sz w:val="12"/>
                <w:szCs w:val="12"/>
              </w:rPr>
            </w:pPr>
          </w:p>
        </w:tc>
        <w:tc>
          <w:tcPr>
            <w:tcW w:w="0" w:type="auto"/>
          </w:tcPr>
          <w:p w14:paraId="344A5646" w14:textId="77777777" w:rsidR="00D07A6F" w:rsidRPr="005D32AA" w:rsidRDefault="00D07A6F" w:rsidP="00D07A6F">
            <w:pPr>
              <w:rPr>
                <w:sz w:val="12"/>
                <w:szCs w:val="12"/>
              </w:rPr>
            </w:pPr>
          </w:p>
        </w:tc>
        <w:tc>
          <w:tcPr>
            <w:tcW w:w="0" w:type="auto"/>
          </w:tcPr>
          <w:p w14:paraId="22DC896F" w14:textId="77777777" w:rsidR="00D07A6F" w:rsidRPr="005D32AA" w:rsidRDefault="00D07A6F" w:rsidP="00D07A6F">
            <w:pPr>
              <w:rPr>
                <w:sz w:val="12"/>
                <w:szCs w:val="12"/>
              </w:rPr>
            </w:pPr>
          </w:p>
        </w:tc>
      </w:tr>
      <w:tr w:rsidR="00F75ACE" w:rsidRPr="005D32AA" w14:paraId="10BB36C5" w14:textId="77777777" w:rsidTr="00B513DD">
        <w:trPr>
          <w:cantSplit/>
          <w:trHeight w:val="136"/>
        </w:trPr>
        <w:tc>
          <w:tcPr>
            <w:tcW w:w="0" w:type="auto"/>
          </w:tcPr>
          <w:p w14:paraId="373F5653" w14:textId="77777777" w:rsidR="00F75ACE" w:rsidRPr="005D32AA" w:rsidRDefault="00F75ACE" w:rsidP="00F75ACE">
            <w:pPr>
              <w:rPr>
                <w:sz w:val="12"/>
                <w:szCs w:val="12"/>
              </w:rPr>
            </w:pPr>
          </w:p>
        </w:tc>
        <w:tc>
          <w:tcPr>
            <w:tcW w:w="0" w:type="auto"/>
            <w:shd w:val="clear" w:color="auto" w:fill="B4C6E7" w:themeFill="accent1" w:themeFillTint="66"/>
          </w:tcPr>
          <w:p w14:paraId="13DF8DEA" w14:textId="635E2914" w:rsidR="00F75ACE" w:rsidRPr="005D32AA" w:rsidRDefault="00F75ACE" w:rsidP="00F75ACE">
            <w:pPr>
              <w:rPr>
                <w:sz w:val="12"/>
                <w:szCs w:val="12"/>
              </w:rPr>
            </w:pPr>
            <w:r w:rsidRPr="005D32AA">
              <w:rPr>
                <w:sz w:val="12"/>
                <w:szCs w:val="12"/>
              </w:rPr>
              <w:t>Total Acute</w:t>
            </w:r>
            <w:r>
              <w:rPr>
                <w:rStyle w:val="EndnoteReference"/>
                <w:sz w:val="12"/>
                <w:szCs w:val="12"/>
              </w:rPr>
              <w:endnoteReference w:id="6"/>
            </w:r>
          </w:p>
        </w:tc>
        <w:tc>
          <w:tcPr>
            <w:tcW w:w="0" w:type="auto"/>
            <w:shd w:val="clear" w:color="auto" w:fill="B4C6E7" w:themeFill="accent1" w:themeFillTint="66"/>
          </w:tcPr>
          <w:p w14:paraId="02540E32" w14:textId="4DBB5F3C" w:rsidR="00F75ACE" w:rsidRPr="005D32AA" w:rsidRDefault="00F75ACE" w:rsidP="00F75ACE">
            <w:pPr>
              <w:rPr>
                <w:sz w:val="12"/>
                <w:szCs w:val="12"/>
              </w:rPr>
            </w:pPr>
            <w:r>
              <w:rPr>
                <w:color w:val="131313"/>
                <w:spacing w:val="-5"/>
                <w:sz w:val="14"/>
              </w:rPr>
              <w:t>328</w:t>
            </w:r>
          </w:p>
        </w:tc>
        <w:tc>
          <w:tcPr>
            <w:tcW w:w="0" w:type="auto"/>
            <w:shd w:val="clear" w:color="auto" w:fill="B4C6E7" w:themeFill="accent1" w:themeFillTint="66"/>
          </w:tcPr>
          <w:p w14:paraId="6DB152E0" w14:textId="6DCBF60F" w:rsidR="00F75ACE" w:rsidRPr="005D32AA" w:rsidRDefault="00F75ACE" w:rsidP="00F75ACE">
            <w:pPr>
              <w:rPr>
                <w:sz w:val="12"/>
                <w:szCs w:val="12"/>
              </w:rPr>
            </w:pPr>
            <w:r>
              <w:rPr>
                <w:color w:val="131313"/>
                <w:spacing w:val="-5"/>
                <w:sz w:val="14"/>
              </w:rPr>
              <w:t>391</w:t>
            </w:r>
          </w:p>
        </w:tc>
        <w:tc>
          <w:tcPr>
            <w:tcW w:w="0" w:type="auto"/>
            <w:shd w:val="clear" w:color="auto" w:fill="B4C6E7" w:themeFill="accent1" w:themeFillTint="66"/>
          </w:tcPr>
          <w:p w14:paraId="46C55CDA" w14:textId="02AFD0C1" w:rsidR="00F75ACE" w:rsidRPr="005D32AA" w:rsidRDefault="00F75ACE" w:rsidP="00F75ACE">
            <w:pPr>
              <w:rPr>
                <w:sz w:val="12"/>
                <w:szCs w:val="12"/>
              </w:rPr>
            </w:pPr>
            <w:r>
              <w:rPr>
                <w:color w:val="131313"/>
                <w:spacing w:val="-5"/>
                <w:sz w:val="14"/>
              </w:rPr>
              <w:t>70</w:t>
            </w:r>
          </w:p>
        </w:tc>
        <w:tc>
          <w:tcPr>
            <w:tcW w:w="0" w:type="auto"/>
            <w:shd w:val="clear" w:color="auto" w:fill="B4C6E7" w:themeFill="accent1" w:themeFillTint="66"/>
          </w:tcPr>
          <w:p w14:paraId="1C880352" w14:textId="3C82878B" w:rsidR="00F75ACE" w:rsidRPr="005D32AA" w:rsidRDefault="00F75ACE" w:rsidP="00F75ACE">
            <w:pPr>
              <w:rPr>
                <w:sz w:val="12"/>
                <w:szCs w:val="12"/>
              </w:rPr>
            </w:pPr>
            <w:r>
              <w:rPr>
                <w:color w:val="131313"/>
                <w:spacing w:val="-5"/>
                <w:sz w:val="14"/>
              </w:rPr>
              <w:t>70</w:t>
            </w:r>
          </w:p>
        </w:tc>
        <w:tc>
          <w:tcPr>
            <w:tcW w:w="0" w:type="auto"/>
            <w:shd w:val="clear" w:color="auto" w:fill="B4C6E7" w:themeFill="accent1" w:themeFillTint="66"/>
          </w:tcPr>
          <w:p w14:paraId="28F41863" w14:textId="0E653486" w:rsidR="00F75ACE" w:rsidRPr="005D32AA" w:rsidRDefault="00F75ACE" w:rsidP="00F75ACE">
            <w:pPr>
              <w:rPr>
                <w:sz w:val="12"/>
                <w:szCs w:val="12"/>
              </w:rPr>
            </w:pPr>
            <w:r>
              <w:rPr>
                <w:color w:val="131313"/>
                <w:spacing w:val="-5"/>
                <w:sz w:val="14"/>
              </w:rPr>
              <w:t>398</w:t>
            </w:r>
          </w:p>
        </w:tc>
        <w:tc>
          <w:tcPr>
            <w:tcW w:w="0" w:type="auto"/>
            <w:shd w:val="clear" w:color="auto" w:fill="B4C6E7" w:themeFill="accent1" w:themeFillTint="66"/>
          </w:tcPr>
          <w:p w14:paraId="37585F43" w14:textId="235A59A8" w:rsidR="00F75ACE" w:rsidRPr="005D32AA" w:rsidRDefault="00F75ACE" w:rsidP="00F75ACE">
            <w:pPr>
              <w:rPr>
                <w:sz w:val="12"/>
                <w:szCs w:val="12"/>
              </w:rPr>
            </w:pPr>
            <w:r>
              <w:rPr>
                <w:color w:val="131313"/>
                <w:spacing w:val="-5"/>
                <w:sz w:val="14"/>
              </w:rPr>
              <w:t>461</w:t>
            </w:r>
          </w:p>
        </w:tc>
        <w:tc>
          <w:tcPr>
            <w:tcW w:w="0" w:type="auto"/>
            <w:shd w:val="clear" w:color="auto" w:fill="B4C6E7" w:themeFill="accent1" w:themeFillTint="66"/>
          </w:tcPr>
          <w:p w14:paraId="544B6A40" w14:textId="74B3434A" w:rsidR="00F75ACE" w:rsidRPr="005D32AA" w:rsidRDefault="00F75ACE" w:rsidP="00F75ACE">
            <w:pPr>
              <w:rPr>
                <w:sz w:val="12"/>
                <w:szCs w:val="12"/>
              </w:rPr>
            </w:pPr>
            <w:r>
              <w:rPr>
                <w:color w:val="131313"/>
                <w:spacing w:val="-2"/>
                <w:sz w:val="14"/>
              </w:rPr>
              <w:t>126,838</w:t>
            </w:r>
          </w:p>
        </w:tc>
        <w:tc>
          <w:tcPr>
            <w:tcW w:w="0" w:type="auto"/>
            <w:shd w:val="clear" w:color="auto" w:fill="B4C6E7" w:themeFill="accent1" w:themeFillTint="66"/>
          </w:tcPr>
          <w:p w14:paraId="6C37FC14" w14:textId="7D7987D6" w:rsidR="00F75ACE" w:rsidRPr="005D32AA" w:rsidRDefault="00F75ACE" w:rsidP="00F75ACE">
            <w:pPr>
              <w:rPr>
                <w:sz w:val="12"/>
                <w:szCs w:val="12"/>
              </w:rPr>
            </w:pPr>
            <w:r>
              <w:rPr>
                <w:color w:val="131313"/>
                <w:spacing w:val="-2"/>
                <w:sz w:val="14"/>
              </w:rPr>
              <w:t>146,110</w:t>
            </w:r>
          </w:p>
        </w:tc>
        <w:tc>
          <w:tcPr>
            <w:tcW w:w="0" w:type="auto"/>
            <w:shd w:val="clear" w:color="auto" w:fill="B4C6E7" w:themeFill="accent1" w:themeFillTint="66"/>
          </w:tcPr>
          <w:p w14:paraId="3ACE7B82" w14:textId="22D2CEBA" w:rsidR="00F75ACE" w:rsidRPr="005D32AA" w:rsidRDefault="00F75ACE" w:rsidP="00F75ACE">
            <w:pPr>
              <w:jc w:val="right"/>
              <w:rPr>
                <w:sz w:val="12"/>
                <w:szCs w:val="12"/>
              </w:rPr>
            </w:pPr>
            <w:r>
              <w:rPr>
                <w:color w:val="131313"/>
                <w:spacing w:val="-5"/>
                <w:sz w:val="14"/>
              </w:rPr>
              <w:t>89%</w:t>
            </w:r>
          </w:p>
        </w:tc>
        <w:tc>
          <w:tcPr>
            <w:tcW w:w="0" w:type="auto"/>
            <w:shd w:val="clear" w:color="auto" w:fill="B4C6E7" w:themeFill="accent1" w:themeFillTint="66"/>
          </w:tcPr>
          <w:p w14:paraId="1E6507F7" w14:textId="2D70BDEB" w:rsidR="00F75ACE" w:rsidRPr="005D32AA" w:rsidRDefault="00F75ACE" w:rsidP="00F75ACE">
            <w:pPr>
              <w:jc w:val="right"/>
              <w:rPr>
                <w:sz w:val="12"/>
                <w:szCs w:val="12"/>
              </w:rPr>
            </w:pPr>
            <w:r>
              <w:rPr>
                <w:color w:val="131313"/>
                <w:spacing w:val="-5"/>
                <w:sz w:val="14"/>
              </w:rPr>
              <w:t>87%</w:t>
            </w:r>
          </w:p>
        </w:tc>
        <w:tc>
          <w:tcPr>
            <w:tcW w:w="0" w:type="auto"/>
            <w:shd w:val="clear" w:color="auto" w:fill="B4C6E7" w:themeFill="accent1" w:themeFillTint="66"/>
          </w:tcPr>
          <w:p w14:paraId="24EF4B20" w14:textId="05479308" w:rsidR="00F75ACE" w:rsidRPr="005D32AA" w:rsidRDefault="00F75ACE" w:rsidP="00F75ACE">
            <w:pPr>
              <w:rPr>
                <w:sz w:val="12"/>
                <w:szCs w:val="12"/>
              </w:rPr>
            </w:pPr>
            <w:r>
              <w:rPr>
                <w:color w:val="131313"/>
                <w:spacing w:val="-2"/>
                <w:sz w:val="14"/>
              </w:rPr>
              <w:t>17.41</w:t>
            </w:r>
          </w:p>
        </w:tc>
        <w:tc>
          <w:tcPr>
            <w:tcW w:w="0" w:type="auto"/>
            <w:shd w:val="clear" w:color="auto" w:fill="B4C6E7" w:themeFill="accent1" w:themeFillTint="66"/>
          </w:tcPr>
          <w:p w14:paraId="0B21CD8A" w14:textId="2AAC0744" w:rsidR="00F75ACE" w:rsidRPr="005D32AA" w:rsidRDefault="00F75ACE" w:rsidP="00F75ACE">
            <w:pPr>
              <w:rPr>
                <w:sz w:val="12"/>
                <w:szCs w:val="12"/>
              </w:rPr>
            </w:pPr>
            <w:r>
              <w:rPr>
                <w:color w:val="131313"/>
                <w:spacing w:val="-2"/>
                <w:sz w:val="14"/>
              </w:rPr>
              <w:t>17,642</w:t>
            </w:r>
          </w:p>
        </w:tc>
        <w:tc>
          <w:tcPr>
            <w:tcW w:w="0" w:type="auto"/>
            <w:shd w:val="clear" w:color="auto" w:fill="B4C6E7" w:themeFill="accent1" w:themeFillTint="66"/>
          </w:tcPr>
          <w:p w14:paraId="2AD6E27A" w14:textId="149B5C53" w:rsidR="00F75ACE" w:rsidRPr="005D32AA" w:rsidRDefault="00F75ACE" w:rsidP="00F75ACE">
            <w:pPr>
              <w:rPr>
                <w:sz w:val="12"/>
                <w:szCs w:val="12"/>
              </w:rPr>
            </w:pPr>
            <w:r>
              <w:rPr>
                <w:color w:val="131313"/>
                <w:spacing w:val="-2"/>
                <w:sz w:val="14"/>
              </w:rPr>
              <w:t>20,114</w:t>
            </w: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77777777" w:rsidR="00035CFC" w:rsidRPr="005D32AA" w:rsidRDefault="00035CFC" w:rsidP="00B513DD">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71B0EEFE" w:rsidR="00F75ACE" w:rsidRPr="005D32AA" w:rsidRDefault="00F75ACE" w:rsidP="00F75ACE">
            <w:pPr>
              <w:pStyle w:val="BodyText"/>
              <w:rPr>
                <w:sz w:val="16"/>
                <w:szCs w:val="16"/>
              </w:rPr>
            </w:pPr>
            <w:r w:rsidRPr="00F75ACE">
              <w:rPr>
                <w:color w:val="231F20"/>
                <w:spacing w:val="-5"/>
                <w:sz w:val="15"/>
              </w:rPr>
              <w:t>Inpatient Operating Rooms (Units=</w:t>
            </w:r>
            <w:r>
              <w:rPr>
                <w:color w:val="231F20"/>
                <w:spacing w:val="-5"/>
                <w:sz w:val="15"/>
              </w:rPr>
              <w:t xml:space="preserve"> </w:t>
            </w:r>
            <w:r w:rsidRPr="00F75ACE">
              <w:rPr>
                <w:color w:val="231F20"/>
                <w:spacing w:val="-5"/>
                <w:sz w:val="15"/>
              </w:rPr>
              <w:t># of Operating Rooms; Volume</w:t>
            </w:r>
            <w:r>
              <w:rPr>
                <w:color w:val="231F20"/>
                <w:spacing w:val="-5"/>
                <w:sz w:val="15"/>
              </w:rPr>
              <w:t xml:space="preserve"> </w:t>
            </w:r>
            <w:r w:rsidRPr="00F75ACE">
              <w:rPr>
                <w:color w:val="231F20"/>
                <w:spacing w:val="-5"/>
                <w:sz w:val="15"/>
              </w:rPr>
              <w:t>=</w:t>
            </w:r>
            <w:r>
              <w:rPr>
                <w:color w:val="231F20"/>
                <w:spacing w:val="-5"/>
                <w:sz w:val="15"/>
              </w:rPr>
              <w:t xml:space="preserve"> </w:t>
            </w:r>
            <w:r w:rsidRPr="00F75ACE">
              <w:rPr>
                <w:color w:val="231F20"/>
                <w:spacing w:val="-5"/>
                <w:sz w:val="15"/>
              </w:rPr>
              <w:t># of Surgical Cases)</w:t>
            </w:r>
          </w:p>
        </w:tc>
        <w:tc>
          <w:tcPr>
            <w:tcW w:w="1530" w:type="dxa"/>
          </w:tcPr>
          <w:p w14:paraId="1105D0AB" w14:textId="54698F86" w:rsidR="00F75ACE" w:rsidRPr="005D32AA" w:rsidRDefault="00F75ACE" w:rsidP="00F75ACE">
            <w:pPr>
              <w:pStyle w:val="BodyText"/>
              <w:rPr>
                <w:sz w:val="16"/>
                <w:szCs w:val="16"/>
              </w:rPr>
            </w:pPr>
            <w:r>
              <w:rPr>
                <w:rFonts w:ascii="Times New Roman"/>
                <w:color w:val="010101"/>
                <w:spacing w:val="-5"/>
                <w:w w:val="110"/>
                <w:sz w:val="16"/>
              </w:rPr>
              <w:t>18</w:t>
            </w:r>
          </w:p>
        </w:tc>
        <w:tc>
          <w:tcPr>
            <w:tcW w:w="1170" w:type="dxa"/>
          </w:tcPr>
          <w:p w14:paraId="2722EFF6" w14:textId="42BC7C03" w:rsidR="00F75ACE" w:rsidRPr="005D32AA" w:rsidRDefault="00F75ACE" w:rsidP="00F75ACE">
            <w:pPr>
              <w:pStyle w:val="BodyText"/>
              <w:rPr>
                <w:sz w:val="16"/>
                <w:szCs w:val="16"/>
              </w:rPr>
            </w:pPr>
            <w:r>
              <w:rPr>
                <w:rFonts w:ascii="Times New Roman"/>
                <w:color w:val="010101"/>
                <w:w w:val="110"/>
                <w:sz w:val="16"/>
              </w:rPr>
              <w:t>5</w:t>
            </w:r>
          </w:p>
        </w:tc>
        <w:tc>
          <w:tcPr>
            <w:tcW w:w="1530" w:type="dxa"/>
            <w:shd w:val="clear" w:color="auto" w:fill="B4C6E7"/>
          </w:tcPr>
          <w:p w14:paraId="025C80EB" w14:textId="77864EC5" w:rsidR="00F75ACE" w:rsidRPr="005D32AA" w:rsidRDefault="00F75ACE" w:rsidP="00F75ACE">
            <w:pPr>
              <w:pStyle w:val="BodyText"/>
              <w:rPr>
                <w:sz w:val="16"/>
                <w:szCs w:val="16"/>
              </w:rPr>
            </w:pPr>
            <w:r>
              <w:rPr>
                <w:color w:val="010101"/>
                <w:spacing w:val="-5"/>
                <w:w w:val="105"/>
                <w:sz w:val="14"/>
              </w:rPr>
              <w:t>23</w:t>
            </w:r>
          </w:p>
        </w:tc>
        <w:tc>
          <w:tcPr>
            <w:tcW w:w="1440" w:type="dxa"/>
          </w:tcPr>
          <w:p w14:paraId="31CA74F7" w14:textId="7C105E8D" w:rsidR="00F75ACE" w:rsidRPr="005D32AA" w:rsidRDefault="00F75ACE" w:rsidP="00F75ACE">
            <w:pPr>
              <w:pStyle w:val="BodyText"/>
              <w:rPr>
                <w:sz w:val="16"/>
                <w:szCs w:val="16"/>
              </w:rPr>
            </w:pPr>
            <w:r>
              <w:rPr>
                <w:rFonts w:ascii="Times New Roman"/>
                <w:color w:val="010101"/>
                <w:spacing w:val="-2"/>
                <w:sz w:val="16"/>
              </w:rPr>
              <w:t>5,865</w:t>
            </w:r>
          </w:p>
        </w:tc>
        <w:tc>
          <w:tcPr>
            <w:tcW w:w="954" w:type="dxa"/>
          </w:tcPr>
          <w:p w14:paraId="3EF5E70C" w14:textId="26168474" w:rsidR="00F75ACE" w:rsidRPr="005D32AA" w:rsidRDefault="00F75ACE" w:rsidP="00F75ACE">
            <w:pPr>
              <w:pStyle w:val="BodyText"/>
              <w:rPr>
                <w:sz w:val="16"/>
                <w:szCs w:val="16"/>
              </w:rPr>
            </w:pPr>
            <w:r>
              <w:rPr>
                <w:rFonts w:ascii="Times New Roman"/>
                <w:color w:val="010101"/>
                <w:spacing w:val="-2"/>
                <w:sz w:val="16"/>
              </w:rPr>
              <w:t>7,567</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150E88CB" w:rsidR="00035CFC" w:rsidRPr="005D32AA" w:rsidRDefault="00035CFC" w:rsidP="00035CFC">
      <w:pPr>
        <w:rPr>
          <w:sz w:val="20"/>
        </w:rPr>
      </w:pPr>
      <w:r w:rsidRPr="005D32AA">
        <w:rPr>
          <w:sz w:val="20"/>
        </w:rPr>
        <w:t>Date/Time Stamp</w:t>
      </w:r>
      <w:r>
        <w:rPr>
          <w:sz w:val="20"/>
        </w:rPr>
        <w:t xml:space="preserve">: </w:t>
      </w:r>
      <w:r w:rsidR="00B633BD" w:rsidRPr="00035CFC">
        <w:rPr>
          <w:sz w:val="20"/>
        </w:rPr>
        <w:t>08/09/2022</w:t>
      </w:r>
      <w:r w:rsidR="00B633BD">
        <w:rPr>
          <w:sz w:val="20"/>
        </w:rPr>
        <w:t xml:space="preserve"> 8:58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p w14:paraId="7F464C0D" w14:textId="54DBB8F1" w:rsidR="001F2A38" w:rsidRPr="00B633BD" w:rsidRDefault="00D07A6F">
      <w:pPr>
        <w:rPr>
          <w:sz w:val="20"/>
          <w:szCs w:val="20"/>
          <w:u w:val="single"/>
        </w:rPr>
      </w:pPr>
      <w:r w:rsidRPr="00B633BD">
        <w:rPr>
          <w:sz w:val="20"/>
          <w:szCs w:val="20"/>
          <w:u w:val="single"/>
        </w:rPr>
        <w:t>Footnotes</w:t>
      </w:r>
    </w:p>
    <w:sectPr w:rsidR="001F2A38" w:rsidRPr="00B633BD"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5E75" w14:textId="77777777" w:rsidR="00D07A6F" w:rsidRDefault="00D07A6F" w:rsidP="00D07A6F">
      <w:r>
        <w:separator/>
      </w:r>
    </w:p>
  </w:endnote>
  <w:endnote w:type="continuationSeparator" w:id="0">
    <w:p w14:paraId="3FAEE7CA" w14:textId="77777777" w:rsidR="00D07A6F" w:rsidRDefault="00D07A6F" w:rsidP="00D07A6F">
      <w:r>
        <w:continuationSeparator/>
      </w:r>
    </w:p>
  </w:endnote>
  <w:endnote w:id="1">
    <w:p w14:paraId="39007319" w14:textId="4C11B327" w:rsidR="00D07A6F" w:rsidRDefault="00D07A6F">
      <w:pPr>
        <w:pStyle w:val="EndnoteText"/>
      </w:pPr>
      <w:r>
        <w:rPr>
          <w:rStyle w:val="EndnoteReference"/>
        </w:rPr>
        <w:endnoteRef/>
      </w:r>
      <w:r>
        <w:t xml:space="preserve"> </w:t>
      </w:r>
      <w:r w:rsidRPr="00F75ACE">
        <w:rPr>
          <w:sz w:val="18"/>
          <w:szCs w:val="18"/>
        </w:rPr>
        <w:t>The Applicant notes that the medical/surgical line "Patient Days" data provided herein is based on midnight census reporting, which also includes observation patients and bedded outpatients who occupy a medical/surgical bed but are not reflected as inpatient medical/surgical discharges. The data is reported in this way to provide the most accurate understanding of BMC's medical/surgical inpatient occupancy rates.</w:t>
      </w:r>
    </w:p>
  </w:endnote>
  <w:endnote w:id="2">
    <w:p w14:paraId="10D461F1" w14:textId="0FAF46C3" w:rsidR="00D07A6F" w:rsidRDefault="00D07A6F">
      <w:pPr>
        <w:pStyle w:val="EndnoteText"/>
      </w:pPr>
      <w:r>
        <w:rPr>
          <w:rStyle w:val="EndnoteReference"/>
        </w:rPr>
        <w:endnoteRef/>
      </w:r>
      <w:r>
        <w:t xml:space="preserve"> </w:t>
      </w:r>
      <w:r w:rsidRPr="00F75ACE">
        <w:rPr>
          <w:sz w:val="18"/>
          <w:szCs w:val="18"/>
        </w:rPr>
        <w:t>The Applicant highlights that BMC's existing number of operating medical/surgical beds is higher than its existing number of licensed medical/surgical beds. While the Hospital is currently licensed for 265 medical/surgical beds, it also currently utilizes alternate space (e.g., Code Yellow beds and other acute inpatient care surge spaces) to provide medical/ surgical inpatient care to its patients pursuant to guidance from the Department of Public Health ("Department"). Given that patients receive medical/surgical care in these beds, the Applicant has included these beds and patients in its calculations to provide the most accurate understanding of BMC's medical/surgical inpatient utilization rates.</w:t>
      </w:r>
    </w:p>
  </w:endnote>
  <w:endnote w:id="3">
    <w:p w14:paraId="5C799A1F" w14:textId="0EB7085D" w:rsidR="00EE05F6" w:rsidRDefault="00EE05F6">
      <w:pPr>
        <w:pStyle w:val="EndnoteText"/>
      </w:pPr>
      <w:r>
        <w:rPr>
          <w:rStyle w:val="EndnoteReference"/>
        </w:rPr>
        <w:endnoteRef/>
      </w:r>
      <w:r>
        <w:t xml:space="preserve"> </w:t>
      </w:r>
      <w:r w:rsidRPr="00F75ACE">
        <w:rPr>
          <w:sz w:val="18"/>
          <w:szCs w:val="18"/>
        </w:rPr>
        <w:t xml:space="preserve">Through the Proposed Project, the Applicant seeks to increase BMC's licensed medical/surgical capacity by 60 beds, for a total new licensed medical/surgical capacity of325 beds. The Applicant anticipates that this addition of beds will help curtail some of the Hospital's projected inpatient capacity constraints and will allow the Hospital to decrease utilization of some of its alternate spaces (e.g., Code Yellow beds). Additionally, the Applicant notes that the Hospital will vacate its COVID-19 surge spaces pursuant to the timeline outlined within the Department's </w:t>
      </w:r>
      <w:r w:rsidRPr="00F75ACE">
        <w:rPr>
          <w:i/>
          <w:iCs/>
          <w:sz w:val="18"/>
          <w:szCs w:val="18"/>
        </w:rPr>
        <w:t>Updated Guidance Regarding Implementation of Alternate Acute Inpatient Care Space</w:t>
      </w:r>
      <w:r w:rsidRPr="00F75ACE">
        <w:rPr>
          <w:sz w:val="18"/>
          <w:szCs w:val="18"/>
        </w:rPr>
        <w:t>. Accordingly, the Applicant anticipates that BMC's change in operating medical/surgical beds will be less than its change in licensed medical/surgical beds (i.e., less than 60 beds), that its projected operating beds will be less than the 388 detailed herein, and that its projected occupancy rate for its operating medical/surgical beds will be higher than the 87% provided herein. However, given the unpredictable nature of the COVID-19 pandemic, the fluid status of the Public Health Emergency, anticipated further extensions in the authorized use of alternate acute inpatient care space, and projected increases in BMC's medical/surgical patient panel, the Hospital is uncertain at this time as to the exact number of alternate beds it will vacate and when. Given this uncertainty, the Applicant has completed the Change in Service Form to reflect the proposed addition of 60 licensed medical/surgical beds only.</w:t>
      </w:r>
    </w:p>
  </w:endnote>
  <w:endnote w:id="4">
    <w:p w14:paraId="0D8AE6EA" w14:textId="37DF0FBB" w:rsidR="00EE05F6" w:rsidRDefault="00EE05F6">
      <w:pPr>
        <w:pStyle w:val="EndnoteText"/>
      </w:pPr>
      <w:r>
        <w:rPr>
          <w:rStyle w:val="EndnoteReference"/>
        </w:rPr>
        <w:endnoteRef/>
      </w:r>
      <w:r>
        <w:t xml:space="preserve"> </w:t>
      </w:r>
      <w:r w:rsidRPr="00F75ACE">
        <w:rPr>
          <w:sz w:val="18"/>
          <w:szCs w:val="18"/>
        </w:rPr>
        <w:t>The Applicant notes that the ICU line "Patient Days" data provided herein is based on census days, which accounts for time that patients spend in different levels of care (e.g., medical/surgical, step-down, ICU, etc.) and is therefore lower than discharge days. The data is reported in this way to provide the most accurate understanding of BMC's ICU occupancy rates.</w:t>
      </w:r>
    </w:p>
  </w:endnote>
  <w:endnote w:id="5">
    <w:p w14:paraId="3999577D" w14:textId="352E50D1" w:rsidR="00F75ACE" w:rsidRDefault="00F75ACE">
      <w:pPr>
        <w:pStyle w:val="EndnoteText"/>
      </w:pPr>
      <w:r>
        <w:rPr>
          <w:rStyle w:val="EndnoteReference"/>
        </w:rPr>
        <w:endnoteRef/>
      </w:r>
      <w:r>
        <w:t xml:space="preserve"> </w:t>
      </w:r>
      <w:r w:rsidRPr="00F75ACE">
        <w:rPr>
          <w:sz w:val="18"/>
          <w:szCs w:val="18"/>
        </w:rPr>
        <w:t xml:space="preserve">The Applicant notes that in FY21, in addition to operating its 63 licensed ICU beds, BMC also operated 7 additional COVID-19 surge beds for a limited amount of time (approximately 45 days of operation). Given limitations in the Department's Change in Service Form, the Applicant is not able to include these 7 beds in its reporting without inaccurately skewing the Hospital's existing ICU occupancy rate (i.e., the Change in Service Form does not allow the Applicant to account for the limited </w:t>
      </w:r>
      <w:r w:rsidRPr="00F75ACE">
        <w:rPr>
          <w:sz w:val="18"/>
          <w:szCs w:val="18"/>
        </w:rPr>
        <w:t>time period that the 7 additional beds were in operation and inaccurately drives the Hospital's existing ICU occupancy rate down to 76%). Accordingly, the Applicant has not included these 7 beds in the above reporting. However, to provide the most accurate understanding of BMC's ICU utilization rates, the Applicant notes that when the operation of these 7 beds for approximately 45 days is properly accounted for, the Hospital's existing ICU occupancy rate decreases slightly from 84% to 83%.</w:t>
      </w:r>
    </w:p>
  </w:endnote>
  <w:endnote w:id="6">
    <w:p w14:paraId="2E5ADDF3" w14:textId="58A68CE6" w:rsidR="00F75ACE" w:rsidRDefault="00F75ACE">
      <w:pPr>
        <w:pStyle w:val="EndnoteText"/>
      </w:pPr>
      <w:r>
        <w:rPr>
          <w:rStyle w:val="EndnoteReference"/>
        </w:rPr>
        <w:endnoteRef/>
      </w:r>
      <w:r>
        <w:t xml:space="preserve"> </w:t>
      </w:r>
      <w:r w:rsidRPr="00F75ACE">
        <w:rPr>
          <w:sz w:val="18"/>
          <w:szCs w:val="18"/>
        </w:rPr>
        <w:t xml:space="preserve">Please note that the calculation related to Total "Average Length of Stay (Days)" for acute beds auto-calculates using a summation formula (5.15 + 12.26 = 17.41). This results in an overstatement of </w:t>
      </w:r>
      <w:r w:rsidRPr="00F75ACE">
        <w:rPr>
          <w:b/>
          <w:bCs/>
          <w:sz w:val="18"/>
          <w:szCs w:val="18"/>
        </w:rPr>
        <w:t>BMC's</w:t>
      </w:r>
      <w:r w:rsidRPr="00F75ACE">
        <w:rPr>
          <w:sz w:val="18"/>
          <w:szCs w:val="18"/>
        </w:rPr>
        <w:t xml:space="preserve"> Total Average Length of Stay for its acute beds. A more accurate total is approximately 6.97.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670EFD" w:rsidRDefault="00F16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0D6CC867" w:rsidR="00E71B78" w:rsidRPr="0039055F" w:rsidRDefault="00B633BD"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B633BD">
              <w:rPr>
                <w:rFonts w:ascii="Arial" w:hAnsi="Arial" w:cs="Arial"/>
                <w:sz w:val="18"/>
                <w:szCs w:val="14"/>
              </w:rPr>
              <w:t>BMC Health System, Inc.</w:t>
            </w:r>
            <w:r>
              <w:rPr>
                <w:rFonts w:ascii="Arial" w:hAnsi="Arial" w:cs="Arial"/>
                <w:sz w:val="18"/>
                <w:szCs w:val="14"/>
              </w:rPr>
              <w:tab/>
            </w:r>
            <w:r w:rsidRPr="0039055F">
              <w:rPr>
                <w:rFonts w:ascii="Arial" w:hAnsi="Arial" w:cs="Arial"/>
                <w:sz w:val="18"/>
                <w:szCs w:val="14"/>
              </w:rPr>
              <w:tab/>
            </w:r>
            <w:r w:rsidRPr="00B633BD">
              <w:rPr>
                <w:rFonts w:ascii="Arial" w:hAnsi="Arial" w:cs="Arial"/>
                <w:sz w:val="18"/>
                <w:szCs w:val="14"/>
              </w:rPr>
              <w:t>BMCHS-22080908-HE</w:t>
            </w:r>
            <w:r w:rsidRPr="0039055F">
              <w:rPr>
                <w:rFonts w:ascii="Arial" w:hAnsi="Arial" w:cs="Arial"/>
                <w:sz w:val="18"/>
                <w:szCs w:val="14"/>
              </w:rPr>
              <w:tab/>
            </w:r>
            <w:r w:rsidRPr="00B633BD">
              <w:rPr>
                <w:rFonts w:ascii="Arial" w:hAnsi="Arial" w:cs="Arial"/>
                <w:sz w:val="18"/>
                <w:szCs w:val="14"/>
              </w:rPr>
              <w:t>08/09/2022 8:58 am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670EFD" w:rsidRDefault="00F16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454B" w14:textId="77777777" w:rsidR="00D07A6F" w:rsidRDefault="00D07A6F" w:rsidP="00D07A6F">
      <w:r>
        <w:separator/>
      </w:r>
    </w:p>
  </w:footnote>
  <w:footnote w:type="continuationSeparator" w:id="0">
    <w:p w14:paraId="4F05B145" w14:textId="77777777" w:rsidR="00D07A6F" w:rsidRDefault="00D07A6F"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670EFD" w:rsidRDefault="00F16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670EFD" w:rsidRDefault="00F16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670EFD" w:rsidRDefault="00F16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1F2A38"/>
    <w:rsid w:val="00B633BD"/>
    <w:rsid w:val="00D07A6F"/>
    <w:rsid w:val="00EE05F6"/>
    <w:rsid w:val="00F16019"/>
    <w:rsid w:val="00F7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rell@barrettharrel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2022-09-09T16:48:00Z</dcterms:created>
  <dcterms:modified xsi:type="dcterms:W3CDTF">2022-09-09T16:48:00Z</dcterms:modified>
</cp:coreProperties>
</file>