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Change of E-mail Address</w:t>
      </w:r>
    </w:p>
    <w:p>
      <w:pPr>
        <w:spacing w:after="160" w:before="80"/>
        <w:jc w:val="left"/>
      </w:pPr>
      <w:r>
        <w:rPr>
          <w:rFonts w:ascii="Arial" w:cs="Arial" w:eastAsia="Arial" w:hAnsi="Arial"/>
          <w:b w:val="false"/>
          <w:bCs w:val="false"/>
          <w:color w:val="000000"/>
          <w:sz w:val="24"/>
          <w:szCs w:val="24"/>
        </w:rPr>
        <w:t xml:space="preserve">Use this form to update the e-mail address on file with the Appeals Court for the cases listed below.</w:t>
      </w:r>
    </w:p>
    <w:p>
      <w:pPr>
        <w:pStyle w:val="Heading2"/>
        <w:spacing w:after="160" w:before="280"/>
      </w:pPr>
      <w:r>
        <w:rPr>
          <w:rFonts w:ascii="Arial" w:cs="Arial" w:eastAsia="Arial" w:hAnsi="Arial"/>
          <w:b/>
          <w:bCs/>
          <w:color w:val="000000"/>
          <w:sz w:val="28"/>
          <w:szCs w:val="28"/>
        </w:rPr>
        <w:t xml:space="preserve">Filer information</w:t>
      </w:r>
    </w:p>
    <w:p>
      <w:pPr>
        <w:spacing w:after="60" w:before="160"/>
      </w:pPr>
      <w:r>
        <w:rPr>
          <w:rFonts w:ascii="Arial" w:cs="Arial" w:eastAsia="Arial" w:hAnsi="Arial"/>
          <w:b/>
          <w:bCs/>
          <w:color w:val="000000"/>
          <w:sz w:val="24"/>
          <w:szCs w:val="24"/>
        </w:rPr>
        <w:t xml:space="preserve">Name</w:t>
      </w:r>
    </w:p>
    <w:p>
      <w:pPr>
        <w:pBdr>
          <w:bottom w:val="single" w:color="000000" w:sz="6" w:space="1"/>
        </w:pBdr>
        <w:spacing w:after="240" w:before="0" w:line="360" w:lineRule="exact"/>
      </w:pPr>
      <w:sdt>
        <w:sdtPr>
          <w:rPr>
            <w:rFonts w:ascii="Arial" w:cs="Arial" w:eastAsia="Arial" w:hAnsi="Arial"/>
            <w:sz w:val="24"/>
            <w:szCs w:val="24"/>
          </w:rPr>
          <w:alias w:val="Name"/>
          <w:tag w:val="field_Name"/>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Board of Bar Overseers (BBO) number</w:t>
      </w:r>
      <w:r>
        <w:rPr>
          <w:rFonts w:ascii="Arial" w:cs="Arial" w:eastAsia="Arial" w:hAnsi="Arial"/>
          <w:i/>
          <w:iCs/>
          <w:color w:val="555555"/>
          <w:sz w:val="22"/>
          <w:szCs w:val="22"/>
        </w:rPr>
        <w:t xml:space="preserve"> (if applicable)</w:t>
      </w:r>
    </w:p>
    <w:p>
      <w:pPr>
        <w:pBdr>
          <w:bottom w:val="single" w:color="000000" w:sz="6" w:space="1"/>
        </w:pBdr>
        <w:spacing w:after="240" w:before="0" w:line="360" w:lineRule="exact"/>
      </w:pPr>
      <w:sdt>
        <w:sdtPr>
          <w:rPr>
            <w:rFonts w:ascii="Arial" w:cs="Arial" w:eastAsia="Arial" w:hAnsi="Arial"/>
            <w:sz w:val="24"/>
            <w:szCs w:val="24"/>
          </w:rPr>
          <w:alias w:val="Board of Bar Overseers (BBO) number"/>
          <w:tag w:val="field_Board_of_Bar_Overseers_BBO_number"/>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Appeals Court Docket Number(s)</w:t>
      </w:r>
      <w:r>
        <w:rPr>
          <w:rFonts w:ascii="Arial" w:cs="Arial" w:eastAsia="Arial" w:hAnsi="Arial"/>
          <w:i/>
          <w:iCs/>
          <w:color w:val="555555"/>
          <w:sz w:val="22"/>
          <w:szCs w:val="22"/>
        </w:rPr>
        <w:t xml:space="preserve"> (list each docket number to which this change of e-mail applies)</w:t>
      </w:r>
    </w:p>
    <w:p>
      <w:pPr>
        <w:pBdr>
          <w:bottom w:val="single" w:color="000000" w:sz="6" w:space="1"/>
        </w:pBdr>
        <w:spacing w:after="120" w:before="0" w:line="360" w:lineRule="exact"/>
      </w:pPr>
      <w:sdt>
        <w:sdtPr>
          <w:rPr>
            <w:rFonts w:ascii="Arial" w:cs="Arial" w:eastAsia="Arial" w:hAnsi="Arial"/>
            <w:sz w:val="24"/>
            <w:szCs w:val="24"/>
          </w:rPr>
          <w:alias w:val="Appeals Court Docket Number(s)"/>
          <w:tag w:val="field_Appeals_Court_Docket_Number_s"/>
          <w:id w:val="100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Appeals Court Docket Number(s)"/>
          <w:tag w:val="field_Appeals_Court_Docket_Number_s"/>
          <w:id w:val="100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0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0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Telephone number</w:t>
      </w:r>
    </w:p>
    <w:p>
      <w:pPr>
        <w:pBdr>
          <w:bottom w:val="single" w:color="000000" w:sz="6" w:space="1"/>
        </w:pBdr>
        <w:spacing w:after="240" w:before="0" w:line="360" w:lineRule="exact"/>
      </w:pPr>
      <w:sdt>
        <w:sdtPr>
          <w:rPr>
            <w:rFonts w:ascii="Arial" w:cs="Arial" w:eastAsia="Arial" w:hAnsi="Arial"/>
            <w:sz w:val="24"/>
            <w:szCs w:val="24"/>
          </w:rPr>
          <w:alias w:val="Telephone number"/>
          <w:tag w:val="field_Telephone_number"/>
          <w:id w:val="1007"/>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New e-mail address</w:t>
      </w:r>
    </w:p>
    <w:p>
      <w:pPr>
        <w:spacing w:after="60" w:before="160"/>
      </w:pPr>
      <w:r>
        <w:rPr>
          <w:rFonts w:ascii="Arial" w:cs="Arial" w:eastAsia="Arial" w:hAnsi="Arial"/>
          <w:b/>
          <w:bCs/>
          <w:color w:val="000000"/>
          <w:sz w:val="24"/>
          <w:szCs w:val="24"/>
        </w:rPr>
        <w:t xml:space="preserve">New e-mail address</w:t>
      </w:r>
    </w:p>
    <w:p>
      <w:pPr>
        <w:pBdr>
          <w:bottom w:val="single" w:color="000000" w:sz="6" w:space="1"/>
        </w:pBdr>
        <w:spacing w:after="240" w:before="0" w:line="360" w:lineRule="exact"/>
      </w:pPr>
      <w:sdt>
        <w:sdtPr>
          <w:rPr>
            <w:rFonts w:ascii="Arial" w:cs="Arial" w:eastAsia="Arial" w:hAnsi="Arial"/>
            <w:sz w:val="24"/>
            <w:szCs w:val="24"/>
          </w:rPr>
          <w:alias w:val="New e-mail address"/>
          <w:tag w:val="field_New_e_mail_address"/>
          <w:id w:val="100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Confirm new e-mail address</w:t>
      </w:r>
      <w:r>
        <w:rPr>
          <w:rFonts w:ascii="Arial" w:cs="Arial" w:eastAsia="Arial" w:hAnsi="Arial"/>
          <w:i/>
          <w:iCs/>
          <w:color w:val="555555"/>
          <w:sz w:val="22"/>
          <w:szCs w:val="22"/>
        </w:rPr>
        <w:t xml:space="preserve"> (re-type the new e-mail address exactly as above)</w:t>
      </w:r>
    </w:p>
    <w:p>
      <w:pPr>
        <w:pBdr>
          <w:bottom w:val="single" w:color="000000" w:sz="6" w:space="1"/>
        </w:pBdr>
        <w:spacing w:after="240" w:before="0" w:line="360" w:lineRule="exact"/>
      </w:pPr>
      <w:sdt>
        <w:sdtPr>
          <w:rPr>
            <w:rFonts w:ascii="Arial" w:cs="Arial" w:eastAsia="Arial" w:hAnsi="Arial"/>
            <w:sz w:val="24"/>
            <w:szCs w:val="24"/>
          </w:rPr>
          <w:alias w:val="Confirm new e-mail address"/>
          <w:tag w:val="field_Confirm_new_e_mail_address"/>
          <w:id w:val="1009"/>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Signature</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 if filing electronically)</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1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p>
    <w:p>
      <w:pPr>
        <w:pBdr>
          <w:bottom w:val="single" w:color="000000" w:sz="6" w:space="1"/>
        </w:pBdr>
        <w:spacing w:after="240" w:before="0" w:line="360" w:lineRule="exact"/>
      </w:pPr>
      <w:sdt>
        <w:sdtPr>
          <w:rPr>
            <w:rFonts w:ascii="Arial" w:cs="Arial" w:eastAsia="Arial" w:hAnsi="Arial"/>
            <w:sz w:val="24"/>
            <w:szCs w:val="24"/>
          </w:rPr>
          <w:alias w:val="Date"/>
          <w:tag w:val="field_Date"/>
          <w:id w:val="1011"/>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form uses semantic headings, real list semantics for bulleted items, labeled fillable areas with descriptive captions, and a table-structured case caption.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E-mail Address — Massachusetts Appeals Court</dc:title>
  <dc:subject>Change of E-mail Address — Massachusetts Appeals Court</dc:subject>
  <dc:creator>Massachusetts Appeals Court</dc:creator>
  <dc:description>Change of E-mail Address — Massachusetts Appeals Court — accessible Word version, WCAG 2.2 AA</dc:description>
  <cp:lastModifiedBy>Un-named</cp:lastModifiedBy>
  <cp:revision>1</cp:revision>
  <dcterms:created xsi:type="dcterms:W3CDTF">2026-04-26T10:54:33.741Z</dcterms:created>
  <dcterms:modified xsi:type="dcterms:W3CDTF">2026-04-26T10:54:33.742Z</dcterms:modified>
</cp:coreProperties>
</file>

<file path=docProps/custom.xml><?xml version="1.0" encoding="utf-8"?>
<Properties xmlns="http://schemas.openxmlformats.org/officeDocument/2006/custom-properties" xmlns:vt="http://schemas.openxmlformats.org/officeDocument/2006/docPropsVTypes"/>
</file>