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DF103C">
      <w:pPr>
        <w:framePr w:w="6926" w:h="1733" w:hRule="exact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DF103C">
      <w:pPr>
        <w:pStyle w:val="ExecOffice"/>
        <w:framePr w:w="6926" w:h="1733" w:hRule="exact" w:wrap="notBeside" w:vAnchor="page" w:x="2884" w:y="711"/>
      </w:pPr>
      <w:r>
        <w:t>Executive Office of Health and Human Services</w:t>
      </w:r>
    </w:p>
    <w:p w14:paraId="282AB46A" w14:textId="154F3835" w:rsidR="000537DA" w:rsidRDefault="000537DA" w:rsidP="00DF103C">
      <w:pPr>
        <w:pStyle w:val="ExecOffice"/>
        <w:framePr w:w="6926" w:h="1733" w:hRule="exact" w:wrap="notBeside" w:vAnchor="page" w:x="2884" w:y="711"/>
      </w:pPr>
      <w:r>
        <w:t>Department of Public Health</w:t>
      </w:r>
    </w:p>
    <w:p w14:paraId="1B2C15AF" w14:textId="291CF006" w:rsidR="00DF103C" w:rsidRDefault="00DF103C" w:rsidP="00DF103C">
      <w:pPr>
        <w:pStyle w:val="ExecOffice"/>
        <w:framePr w:w="6926" w:h="1733" w:hRule="exact" w:wrap="notBeside" w:vAnchor="page" w:x="2884" w:y="711"/>
      </w:pPr>
      <w:r>
        <w:t>Office of Emergency Medical Services</w:t>
      </w:r>
    </w:p>
    <w:p w14:paraId="0958205A" w14:textId="166CFDE0" w:rsidR="006D06D9" w:rsidRDefault="00DF103C" w:rsidP="00DF103C">
      <w:pPr>
        <w:pStyle w:val="ExecOffice"/>
        <w:framePr w:w="6926" w:h="1733" w:hRule="exact" w:wrap="notBeside" w:vAnchor="page" w:x="2884" w:y="711"/>
      </w:pPr>
      <w:r>
        <w:t>67 Forest</w:t>
      </w:r>
      <w:r w:rsidR="000537DA">
        <w:t xml:space="preserve"> Street, </w:t>
      </w:r>
      <w:r w:rsidR="00831BA9">
        <w:t>Marlborough</w:t>
      </w:r>
      <w:r w:rsidR="000537DA">
        <w:t xml:space="preserve">, MA </w:t>
      </w:r>
      <w:r>
        <w:t>01752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7F0B3A1E" w14:textId="77777777" w:rsidR="005D5744" w:rsidRDefault="005D5744" w:rsidP="005D5744">
      <w:pPr>
        <w:ind w:left="-630"/>
        <w:rPr>
          <w:sz w:val="22"/>
          <w:szCs w:val="22"/>
        </w:rPr>
      </w:pPr>
      <w:r>
        <w:rPr>
          <w:sz w:val="22"/>
          <w:szCs w:val="22"/>
        </w:rPr>
        <w:t>January 3, 2022</w:t>
      </w:r>
    </w:p>
    <w:p w14:paraId="36838BB4" w14:textId="77777777" w:rsidR="00306A71" w:rsidRDefault="00306A71" w:rsidP="00306A71">
      <w:pPr>
        <w:pStyle w:val="Default"/>
      </w:pPr>
    </w:p>
    <w:p w14:paraId="68608081" w14:textId="77777777" w:rsidR="006F5875" w:rsidRPr="00B33177" w:rsidRDefault="006F5875" w:rsidP="006F5875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2"/>
      <w:bookmarkStart w:id="1" w:name="OLE_LINK1"/>
      <w:r w:rsidRPr="00B33177">
        <w:rPr>
          <w:rFonts w:ascii="Times New Roman" w:hAnsi="Times New Roman" w:cs="Times New Roman"/>
          <w:b/>
          <w:sz w:val="24"/>
          <w:szCs w:val="24"/>
        </w:rPr>
        <w:t>MEMORANDUM</w:t>
      </w:r>
    </w:p>
    <w:p w14:paraId="592ED5F7" w14:textId="77777777" w:rsidR="006F5875" w:rsidRDefault="006F5875" w:rsidP="006F587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33D4B" w14:textId="77777777" w:rsidR="006F5875" w:rsidRPr="00866A5B" w:rsidRDefault="006F5875" w:rsidP="006F587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All MA Licensed Ambulance Services and Accredited EMT Training Institutions</w:t>
      </w:r>
    </w:p>
    <w:p w14:paraId="66E35AE8" w14:textId="77777777" w:rsidR="006F5875" w:rsidRDefault="006F5875" w:rsidP="006F5875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EMCAB Members</w:t>
      </w:r>
    </w:p>
    <w:p w14:paraId="3B236F71" w14:textId="77777777" w:rsidR="006F5875" w:rsidRDefault="006F5875" w:rsidP="006F5875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  <w:t>Dr. Jonathan Burstein, OEMS Medical Director</w:t>
      </w:r>
    </w:p>
    <w:p w14:paraId="597710E0" w14:textId="77777777" w:rsidR="006F5875" w:rsidRPr="00866A5B" w:rsidRDefault="006F5875" w:rsidP="006F587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2024.1 Statewide Treatment Protocols (STPs)</w:t>
      </w:r>
    </w:p>
    <w:p w14:paraId="47CF3E83" w14:textId="1B3AE2A2" w:rsidR="006F5875" w:rsidRDefault="006F5875" w:rsidP="006F5875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January </w:t>
      </w:r>
      <w:r w:rsidR="004F437E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2024</w:t>
      </w:r>
    </w:p>
    <w:p w14:paraId="749DF8F6" w14:textId="536C086C" w:rsidR="006F5875" w:rsidRPr="00866A5B" w:rsidRDefault="006F5875" w:rsidP="006F587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DC056AA" w14:textId="77777777" w:rsidR="00BA7222" w:rsidRDefault="00BA7222" w:rsidP="006F5875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4D93F" w14:textId="28A8FE01" w:rsidR="006F5875" w:rsidRDefault="006F5875" w:rsidP="006F5875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E23">
        <w:rPr>
          <w:rFonts w:ascii="Times New Roman" w:hAnsi="Times New Roman" w:cs="Times New Roman"/>
          <w:sz w:val="24"/>
          <w:szCs w:val="24"/>
        </w:rPr>
        <w:t xml:space="preserve">The Massachusetts Department of Public Health, Office of Emergency Medical Services (the Department) is </w:t>
      </w:r>
      <w:r>
        <w:rPr>
          <w:rFonts w:ascii="Times New Roman" w:hAnsi="Times New Roman" w:cs="Times New Roman"/>
          <w:sz w:val="24"/>
          <w:szCs w:val="24"/>
        </w:rPr>
        <w:t>issuing the 2024.1 Updated Statewide Treatment Protocols.</w:t>
      </w:r>
    </w:p>
    <w:p w14:paraId="16EF24AD" w14:textId="77777777" w:rsidR="006F5875" w:rsidRDefault="006F5875" w:rsidP="006F5875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EABC7" w14:textId="3567E5B8" w:rsidR="006F5875" w:rsidRDefault="001D49B3" w:rsidP="006F5875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6F5875">
        <w:rPr>
          <w:rFonts w:ascii="Times New Roman" w:hAnsi="Times New Roman" w:cs="Times New Roman"/>
          <w:sz w:val="24"/>
          <w:szCs w:val="24"/>
        </w:rPr>
        <w:t xml:space="preserve"> a reminder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F5875">
        <w:rPr>
          <w:rFonts w:ascii="Times New Roman" w:hAnsi="Times New Roman" w:cs="Times New Roman"/>
          <w:sz w:val="24"/>
          <w:szCs w:val="24"/>
        </w:rPr>
        <w:t>the PDF edition continues to be hyperlinked.  T</w:t>
      </w:r>
      <w:r w:rsidR="006F5875" w:rsidRPr="00853DCC">
        <w:rPr>
          <w:rFonts w:ascii="Times New Roman" w:hAnsi="Times New Roman" w:cs="Times New Roman"/>
          <w:sz w:val="24"/>
          <w:szCs w:val="24"/>
        </w:rPr>
        <w:t xml:space="preserve">he </w:t>
      </w:r>
      <w:r w:rsidR="006F5875">
        <w:rPr>
          <w:rFonts w:ascii="Times New Roman" w:hAnsi="Times New Roman" w:cs="Times New Roman"/>
          <w:sz w:val="24"/>
          <w:szCs w:val="24"/>
        </w:rPr>
        <w:t>T</w:t>
      </w:r>
      <w:r w:rsidR="006F5875" w:rsidRPr="00853DCC">
        <w:rPr>
          <w:rFonts w:ascii="Times New Roman" w:hAnsi="Times New Roman" w:cs="Times New Roman"/>
          <w:sz w:val="24"/>
          <w:szCs w:val="24"/>
        </w:rPr>
        <w:t xml:space="preserve">able of </w:t>
      </w:r>
      <w:r w:rsidR="006F5875">
        <w:rPr>
          <w:rFonts w:ascii="Times New Roman" w:hAnsi="Times New Roman" w:cs="Times New Roman"/>
          <w:sz w:val="24"/>
          <w:szCs w:val="24"/>
        </w:rPr>
        <w:t>C</w:t>
      </w:r>
      <w:r w:rsidR="006F5875" w:rsidRPr="00853DCC">
        <w:rPr>
          <w:rFonts w:ascii="Times New Roman" w:hAnsi="Times New Roman" w:cs="Times New Roman"/>
          <w:sz w:val="24"/>
          <w:szCs w:val="24"/>
        </w:rPr>
        <w:t xml:space="preserve">ontents is </w:t>
      </w:r>
      <w:r w:rsidR="006F5875">
        <w:rPr>
          <w:rFonts w:ascii="Times New Roman" w:hAnsi="Times New Roman" w:cs="Times New Roman"/>
          <w:sz w:val="24"/>
          <w:szCs w:val="24"/>
        </w:rPr>
        <w:t>hyper</w:t>
      </w:r>
      <w:r w:rsidR="006F5875" w:rsidRPr="00853DCC">
        <w:rPr>
          <w:rFonts w:ascii="Times New Roman" w:hAnsi="Times New Roman" w:cs="Times New Roman"/>
          <w:sz w:val="24"/>
          <w:szCs w:val="24"/>
        </w:rPr>
        <w:t>linked to each individual protocol.  Additionally, within each protocol, when a reference is made to another protocol that</w:t>
      </w:r>
      <w:r w:rsidR="006F5875">
        <w:rPr>
          <w:rFonts w:ascii="Times New Roman" w:hAnsi="Times New Roman" w:cs="Times New Roman"/>
          <w:sz w:val="24"/>
          <w:szCs w:val="24"/>
        </w:rPr>
        <w:t>,</w:t>
      </w:r>
      <w:r w:rsidR="006F5875" w:rsidRPr="00853DCC">
        <w:rPr>
          <w:rFonts w:ascii="Times New Roman" w:hAnsi="Times New Roman" w:cs="Times New Roman"/>
          <w:sz w:val="24"/>
          <w:szCs w:val="24"/>
        </w:rPr>
        <w:t xml:space="preserve"> too</w:t>
      </w:r>
      <w:r w:rsidR="006F5875">
        <w:rPr>
          <w:rFonts w:ascii="Times New Roman" w:hAnsi="Times New Roman" w:cs="Times New Roman"/>
          <w:sz w:val="24"/>
          <w:szCs w:val="24"/>
        </w:rPr>
        <w:t>,</w:t>
      </w:r>
      <w:r w:rsidR="006F5875" w:rsidRPr="00853DCC">
        <w:rPr>
          <w:rFonts w:ascii="Times New Roman" w:hAnsi="Times New Roman" w:cs="Times New Roman"/>
          <w:sz w:val="24"/>
          <w:szCs w:val="24"/>
        </w:rPr>
        <w:t xml:space="preserve"> is </w:t>
      </w:r>
      <w:r w:rsidR="006F5875">
        <w:rPr>
          <w:rFonts w:ascii="Times New Roman" w:hAnsi="Times New Roman" w:cs="Times New Roman"/>
          <w:sz w:val="24"/>
          <w:szCs w:val="24"/>
        </w:rPr>
        <w:t>hyper</w:t>
      </w:r>
      <w:r w:rsidR="006F5875" w:rsidRPr="00853DCC">
        <w:rPr>
          <w:rFonts w:ascii="Times New Roman" w:hAnsi="Times New Roman" w:cs="Times New Roman"/>
          <w:sz w:val="24"/>
          <w:szCs w:val="24"/>
        </w:rPr>
        <w:t>linked to the appropriate protocol</w:t>
      </w:r>
      <w:r w:rsidR="006F5875">
        <w:rPr>
          <w:rFonts w:ascii="Times New Roman" w:hAnsi="Times New Roman" w:cs="Times New Roman"/>
          <w:sz w:val="24"/>
          <w:szCs w:val="24"/>
        </w:rPr>
        <w:t>.  Finally, the number of the protocol at the top of each page is hyperlinked back to the Table of Contents.</w:t>
      </w:r>
      <w:r w:rsidR="00B610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0F492" w14:textId="77777777" w:rsidR="006F5875" w:rsidRDefault="006F5875" w:rsidP="006F5875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E34182" w14:textId="5705275D" w:rsidR="006F5875" w:rsidRPr="0060714B" w:rsidRDefault="006F5875" w:rsidP="006F5875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ambulance services are required to train their </w:t>
      </w:r>
      <w:r w:rsidR="004F75C4">
        <w:rPr>
          <w:rFonts w:ascii="Times New Roman" w:hAnsi="Times New Roman" w:cs="Times New Roman"/>
          <w:sz w:val="24"/>
          <w:szCs w:val="24"/>
        </w:rPr>
        <w:t xml:space="preserve">EMS </w:t>
      </w:r>
      <w:r>
        <w:rPr>
          <w:rFonts w:ascii="Times New Roman" w:hAnsi="Times New Roman" w:cs="Times New Roman"/>
          <w:sz w:val="24"/>
          <w:szCs w:val="24"/>
        </w:rPr>
        <w:t xml:space="preserve">personnel in the updated protocols.  </w:t>
      </w:r>
      <w:r w:rsidRPr="0060714B">
        <w:rPr>
          <w:rFonts w:ascii="Times New Roman" w:hAnsi="Times New Roman" w:cs="Times New Roman"/>
          <w:b/>
          <w:bCs/>
          <w:sz w:val="24"/>
          <w:szCs w:val="24"/>
        </w:rPr>
        <w:t xml:space="preserve">The updated protocols may be used by a service once such training is complete, </w:t>
      </w:r>
      <w:r w:rsidR="004F75C4" w:rsidRPr="0060714B">
        <w:rPr>
          <w:rFonts w:ascii="Times New Roman" w:hAnsi="Times New Roman" w:cs="Times New Roman"/>
          <w:b/>
          <w:bCs/>
          <w:sz w:val="24"/>
          <w:szCs w:val="24"/>
        </w:rPr>
        <w:t xml:space="preserve">and the service is appropriately equipped, </w:t>
      </w:r>
      <w:r w:rsidRPr="0060714B">
        <w:rPr>
          <w:rFonts w:ascii="Times New Roman" w:hAnsi="Times New Roman" w:cs="Times New Roman"/>
          <w:b/>
          <w:bCs/>
          <w:sz w:val="24"/>
          <w:szCs w:val="24"/>
        </w:rPr>
        <w:t xml:space="preserve">but in any event are mandatory as of April </w:t>
      </w:r>
      <w:r w:rsidR="004F437E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60714B">
        <w:rPr>
          <w:rFonts w:ascii="Times New Roman" w:hAnsi="Times New Roman" w:cs="Times New Roman"/>
          <w:b/>
          <w:bCs/>
          <w:sz w:val="24"/>
          <w:szCs w:val="24"/>
        </w:rPr>
        <w:t>, 2024.</w:t>
      </w:r>
    </w:p>
    <w:p w14:paraId="0C54E21C" w14:textId="77777777" w:rsidR="006F5875" w:rsidRPr="00952E23" w:rsidRDefault="006F5875" w:rsidP="006F5875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30365" w14:textId="77777777" w:rsidR="006F5875" w:rsidRDefault="006F5875" w:rsidP="006F5875">
      <w:pPr>
        <w:rPr>
          <w:szCs w:val="24"/>
        </w:rPr>
      </w:pPr>
      <w:r>
        <w:rPr>
          <w:szCs w:val="24"/>
        </w:rPr>
        <w:t>The change chart is below:</w:t>
      </w:r>
    </w:p>
    <w:p w14:paraId="6A560E82" w14:textId="77777777" w:rsidR="006F5875" w:rsidRDefault="006F5875" w:rsidP="006F5875">
      <w:pPr>
        <w:rPr>
          <w:szCs w:val="24"/>
        </w:rPr>
      </w:pPr>
    </w:p>
    <w:p w14:paraId="027782BF" w14:textId="77777777" w:rsidR="006F5875" w:rsidRDefault="006F5875" w:rsidP="006F5875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259A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Chart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7C259A">
        <w:rPr>
          <w:rFonts w:ascii="Times New Roman" w:hAnsi="Times New Roman" w:cs="Times New Roman"/>
          <w:b/>
          <w:bCs/>
          <w:sz w:val="24"/>
          <w:szCs w:val="24"/>
          <w:u w:val="single"/>
        </w:rPr>
        <w:t>OEMS Statewide Treatment Protocols 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4.1</w:t>
      </w:r>
    </w:p>
    <w:p w14:paraId="3DDF93FB" w14:textId="77777777" w:rsidR="006F5875" w:rsidRDefault="006F5875" w:rsidP="006F5875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7209"/>
      </w:tblGrid>
      <w:tr w:rsidR="006F5875" w:rsidRPr="00D752D9" w14:paraId="6482DF79" w14:textId="77777777" w:rsidTr="004635E5">
        <w:tc>
          <w:tcPr>
            <w:tcW w:w="2141" w:type="dxa"/>
          </w:tcPr>
          <w:p w14:paraId="453CDFAC" w14:textId="77777777" w:rsidR="006F5875" w:rsidRPr="00BA7222" w:rsidRDefault="006F5875" w:rsidP="00F85F74">
            <w:pPr>
              <w:rPr>
                <w:rFonts w:ascii="Times New Roman" w:hAnsi="Times New Roman" w:cs="Times New Roman"/>
                <w:b/>
                <w:bCs/>
              </w:rPr>
            </w:pPr>
            <w:r w:rsidRPr="00BA7222">
              <w:rPr>
                <w:rFonts w:ascii="Times New Roman" w:hAnsi="Times New Roman" w:cs="Times New Roman"/>
                <w:b/>
                <w:bCs/>
              </w:rPr>
              <w:t>Section</w:t>
            </w:r>
          </w:p>
        </w:tc>
        <w:tc>
          <w:tcPr>
            <w:tcW w:w="7209" w:type="dxa"/>
          </w:tcPr>
          <w:p w14:paraId="4B5DB202" w14:textId="77777777" w:rsidR="006F5875" w:rsidRPr="00BA7222" w:rsidRDefault="006F5875" w:rsidP="00F85F74">
            <w:pPr>
              <w:rPr>
                <w:rFonts w:ascii="Times New Roman" w:hAnsi="Times New Roman" w:cs="Times New Roman"/>
                <w:b/>
                <w:bCs/>
              </w:rPr>
            </w:pPr>
            <w:r w:rsidRPr="00BA7222">
              <w:rPr>
                <w:rFonts w:ascii="Times New Roman" w:hAnsi="Times New Roman" w:cs="Times New Roman"/>
                <w:b/>
                <w:bCs/>
              </w:rPr>
              <w:t>Changes</w:t>
            </w:r>
          </w:p>
        </w:tc>
      </w:tr>
      <w:tr w:rsidR="006F5875" w:rsidRPr="00D752D9" w14:paraId="4381EEC8" w14:textId="77777777" w:rsidTr="004635E5">
        <w:tc>
          <w:tcPr>
            <w:tcW w:w="2141" w:type="dxa"/>
          </w:tcPr>
          <w:p w14:paraId="0BC4229E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TOC</w:t>
            </w:r>
          </w:p>
        </w:tc>
        <w:tc>
          <w:tcPr>
            <w:tcW w:w="7209" w:type="dxa"/>
          </w:tcPr>
          <w:p w14:paraId="7E70ABF6" w14:textId="2DF3BC46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Added entry for new protocols 6.17 and 6.18</w:t>
            </w:r>
          </w:p>
        </w:tc>
      </w:tr>
      <w:tr w:rsidR="006F5875" w:rsidRPr="00D752D9" w14:paraId="48CBFF08" w14:textId="77777777" w:rsidTr="004635E5">
        <w:tc>
          <w:tcPr>
            <w:tcW w:w="2141" w:type="dxa"/>
          </w:tcPr>
          <w:p w14:paraId="6AB25694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Throughout</w:t>
            </w:r>
          </w:p>
        </w:tc>
        <w:tc>
          <w:tcPr>
            <w:tcW w:w="7209" w:type="dxa"/>
          </w:tcPr>
          <w:p w14:paraId="56B0697F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Epinephrine ratios replaced with concentrations as per national standards</w:t>
            </w:r>
          </w:p>
        </w:tc>
      </w:tr>
      <w:tr w:rsidR="00CB22E0" w:rsidRPr="00D752D9" w14:paraId="0E8D8F5C" w14:textId="77777777" w:rsidTr="004635E5">
        <w:tc>
          <w:tcPr>
            <w:tcW w:w="2141" w:type="dxa"/>
          </w:tcPr>
          <w:p w14:paraId="497FE49B" w14:textId="7625295A" w:rsidR="00CB22E0" w:rsidRPr="00BA7222" w:rsidRDefault="00EA0E03" w:rsidP="00F8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209" w:type="dxa"/>
          </w:tcPr>
          <w:p w14:paraId="4A71E5E6" w14:textId="0AB05C5B" w:rsidR="00CB22E0" w:rsidRPr="00EA0E03" w:rsidRDefault="00F87D03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Epinephrine infusion clarified</w:t>
            </w:r>
            <w:r w:rsidR="00EA0E03">
              <w:rPr>
                <w:rFonts w:ascii="Times New Roman" w:hAnsi="Times New Roman" w:cs="Times New Roman"/>
              </w:rPr>
              <w:t xml:space="preserve"> to state that </w:t>
            </w:r>
            <w:r w:rsidR="00EA0E03" w:rsidRPr="00EA0E03">
              <w:rPr>
                <w:rFonts w:ascii="Times New Roman" w:hAnsi="Times New Roman" w:cs="Times New Roman"/>
              </w:rPr>
              <w:t xml:space="preserve">IV pumps are the preferred method of administering vasoactive medications.  </w:t>
            </w:r>
            <w:r w:rsidR="00EA0E03" w:rsidRPr="00EA0E03">
              <w:rPr>
                <w:rFonts w:ascii="Times New Roman" w:hAnsi="Times New Roman" w:cs="Times New Roman"/>
                <w:b/>
                <w:bCs/>
                <w:u w:val="single"/>
              </w:rPr>
              <w:t>Norepinephrine</w:t>
            </w:r>
            <w:r w:rsidR="00EA0E03" w:rsidRPr="00EA0E03">
              <w:rPr>
                <w:rFonts w:ascii="Times New Roman" w:hAnsi="Times New Roman" w:cs="Times New Roman"/>
                <w:b/>
                <w:bCs/>
              </w:rPr>
              <w:t xml:space="preserve"> and </w:t>
            </w:r>
            <w:r w:rsidR="00EA0E03" w:rsidRPr="00EA0E03">
              <w:rPr>
                <w:rFonts w:ascii="Times New Roman" w:hAnsi="Times New Roman" w:cs="Times New Roman"/>
                <w:b/>
                <w:bCs/>
                <w:u w:val="single"/>
              </w:rPr>
              <w:t>epinephrine</w:t>
            </w:r>
            <w:r w:rsidR="00EA0E03" w:rsidRPr="00EA0E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A0E03" w:rsidRPr="00EA0E03">
              <w:rPr>
                <w:rFonts w:ascii="Times New Roman" w:hAnsi="Times New Roman" w:cs="Times New Roman"/>
              </w:rPr>
              <w:t>infusions</w:t>
            </w:r>
            <w:r w:rsidR="00EA0E03" w:rsidRPr="00EA0E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A0E03" w:rsidRPr="00EA0E03">
              <w:rPr>
                <w:rFonts w:ascii="Times New Roman" w:hAnsi="Times New Roman" w:cs="Times New Roman"/>
              </w:rPr>
              <w:t xml:space="preserve">must be administered via pump. If an ambulance does not have an infusion pump, </w:t>
            </w:r>
            <w:r w:rsidR="00EA0E03">
              <w:rPr>
                <w:rFonts w:ascii="Times New Roman" w:hAnsi="Times New Roman" w:cs="Times New Roman"/>
              </w:rPr>
              <w:t xml:space="preserve">paramedics are to </w:t>
            </w:r>
            <w:r w:rsidR="00EA0E03" w:rsidRPr="00EA0E03">
              <w:rPr>
                <w:rFonts w:ascii="Times New Roman" w:hAnsi="Times New Roman" w:cs="Times New Roman"/>
              </w:rPr>
              <w:t>consult medical control for</w:t>
            </w:r>
            <w:r w:rsidR="00EA0E03">
              <w:rPr>
                <w:rFonts w:ascii="Times New Roman" w:hAnsi="Times New Roman" w:cs="Times New Roman"/>
              </w:rPr>
              <w:t xml:space="preserve"> </w:t>
            </w:r>
            <w:r w:rsidR="00EA0E03" w:rsidRPr="00EA0E03">
              <w:rPr>
                <w:rFonts w:ascii="Times New Roman" w:hAnsi="Times New Roman" w:cs="Times New Roman"/>
              </w:rPr>
              <w:t>preferred alternatives</w:t>
            </w:r>
            <w:r w:rsidR="00EA0E03">
              <w:rPr>
                <w:rFonts w:ascii="Times New Roman" w:hAnsi="Times New Roman" w:cs="Times New Roman"/>
              </w:rPr>
              <w:t>,</w:t>
            </w:r>
            <w:r w:rsidR="00EA0E03" w:rsidRPr="00EA0E03">
              <w:rPr>
                <w:rFonts w:ascii="Times New Roman" w:hAnsi="Times New Roman" w:cs="Times New Roman"/>
              </w:rPr>
              <w:t xml:space="preserve"> such as a fluid bolus or </w:t>
            </w:r>
            <w:r w:rsidR="006E6060">
              <w:rPr>
                <w:rFonts w:ascii="Times New Roman" w:hAnsi="Times New Roman" w:cs="Times New Roman"/>
                <w:b/>
                <w:bCs/>
                <w:u w:val="single"/>
              </w:rPr>
              <w:t>d</w:t>
            </w:r>
            <w:r w:rsidR="00EA0E03" w:rsidRPr="00EA0E03">
              <w:rPr>
                <w:rFonts w:ascii="Times New Roman" w:hAnsi="Times New Roman" w:cs="Times New Roman"/>
                <w:b/>
                <w:bCs/>
                <w:u w:val="single"/>
              </w:rPr>
              <w:t>opamine</w:t>
            </w:r>
            <w:r w:rsidR="00EA0E03" w:rsidRPr="00EA0E03">
              <w:rPr>
                <w:rFonts w:ascii="Times New Roman" w:hAnsi="Times New Roman" w:cs="Times New Roman"/>
              </w:rPr>
              <w:t xml:space="preserve"> administration. Paramedics with the equipment and training may begin using pumps immediately.</w:t>
            </w:r>
            <w:r w:rsidR="00EA0E03">
              <w:rPr>
                <w:rFonts w:ascii="Times New Roman" w:hAnsi="Times New Roman" w:cs="Times New Roman"/>
              </w:rPr>
              <w:t xml:space="preserve"> </w:t>
            </w:r>
            <w:r w:rsidR="00EA0E03" w:rsidRPr="004635E5">
              <w:rPr>
                <w:rFonts w:ascii="Times New Roman" w:hAnsi="Times New Roman" w:cs="Times New Roman"/>
                <w:b/>
                <w:bCs/>
              </w:rPr>
              <w:t xml:space="preserve">This is also noted in later relevant protocols.  </w:t>
            </w:r>
            <w:r w:rsidR="00EA0E03" w:rsidRPr="004635E5">
              <w:rPr>
                <w:rFonts w:ascii="Times New Roman" w:hAnsi="Times New Roman" w:cs="Times New Roman"/>
              </w:rPr>
              <w:t>Also, corrected PEEP pressure to ‘5</w:t>
            </w:r>
            <w:r w:rsidR="00EA0E03" w:rsidRPr="00EA0E03">
              <w:rPr>
                <w:rFonts w:ascii="Times New Roman" w:hAnsi="Times New Roman" w:cs="Times New Roman"/>
              </w:rPr>
              <w:t xml:space="preserve"> mm Hg’</w:t>
            </w:r>
          </w:p>
        </w:tc>
      </w:tr>
      <w:tr w:rsidR="00335FCA" w:rsidRPr="00D752D9" w14:paraId="5F00D295" w14:textId="77777777" w:rsidTr="004635E5">
        <w:tc>
          <w:tcPr>
            <w:tcW w:w="2141" w:type="dxa"/>
          </w:tcPr>
          <w:p w14:paraId="0EAD43E4" w14:textId="491BC755" w:rsidR="00335FCA" w:rsidRDefault="00335FCA" w:rsidP="00F85F74">
            <w:r>
              <w:lastRenderedPageBreak/>
              <w:t xml:space="preserve">1.0 </w:t>
            </w:r>
          </w:p>
        </w:tc>
        <w:tc>
          <w:tcPr>
            <w:tcW w:w="7209" w:type="dxa"/>
          </w:tcPr>
          <w:p w14:paraId="28123ED2" w14:textId="5E89CFCF" w:rsidR="00335FCA" w:rsidRPr="00BA7222" w:rsidRDefault="00335FCA" w:rsidP="00F85F74">
            <w:r>
              <w:rPr>
                <w:rFonts w:ascii="Arial" w:hAnsi="Arial" w:cs="Arial"/>
                <w:color w:val="000000"/>
                <w:sz w:val="22"/>
              </w:rPr>
              <w:t xml:space="preserve">Added to page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2 ,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new 4</w:t>
            </w:r>
            <w:r w:rsidRPr="00335FCA">
              <w:rPr>
                <w:rFonts w:ascii="Arial" w:hAnsi="Arial" w:cs="Arial"/>
                <w:color w:val="000000"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bullet, “Regardless of point of entry (POE) criteria, a patient with an uncontrolled airway, in arrest, or otherwise critically unstable due to issues not amenable to EMS intervention, should be brought to the closest hospital.  Consider consulting on-line </w:t>
            </w:r>
            <w:r w:rsidRPr="00335FCA">
              <w:rPr>
                <w:rFonts w:ascii="Arial" w:hAnsi="Arial" w:cs="Arial"/>
                <w:color w:val="000000"/>
                <w:sz w:val="22"/>
              </w:rPr>
              <w:t>Medical Control.”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</w:tr>
      <w:tr w:rsidR="006F5875" w:rsidRPr="00D752D9" w14:paraId="37234218" w14:textId="77777777" w:rsidTr="004635E5">
        <w:tc>
          <w:tcPr>
            <w:tcW w:w="2141" w:type="dxa"/>
          </w:tcPr>
          <w:p w14:paraId="3B564C11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2.2A</w:t>
            </w:r>
          </w:p>
        </w:tc>
        <w:tc>
          <w:tcPr>
            <w:tcW w:w="7209" w:type="dxa"/>
          </w:tcPr>
          <w:p w14:paraId="78B0F13A" w14:textId="53F0FF3A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 xml:space="preserve">Clarifies </w:t>
            </w:r>
            <w:r w:rsidR="006E6060">
              <w:rPr>
                <w:rFonts w:ascii="Times New Roman" w:hAnsi="Times New Roman" w:cs="Times New Roman"/>
              </w:rPr>
              <w:t>e</w:t>
            </w:r>
            <w:r w:rsidRPr="00BA7222">
              <w:rPr>
                <w:rFonts w:ascii="Times New Roman" w:hAnsi="Times New Roman" w:cs="Times New Roman"/>
              </w:rPr>
              <w:t xml:space="preserve">pinephrine drip dose </w:t>
            </w:r>
            <w:r w:rsidR="00446E2C" w:rsidRPr="00BA7222">
              <w:rPr>
                <w:rFonts w:ascii="Times New Roman" w:hAnsi="Times New Roman" w:cs="Times New Roman"/>
              </w:rPr>
              <w:t xml:space="preserve">and Medical Control infusion dose corrected to 10-50 </w:t>
            </w:r>
            <w:r w:rsidR="008E3C23" w:rsidRPr="00BA7222">
              <w:rPr>
                <w:rFonts w:ascii="Times New Roman" w:hAnsi="Times New Roman" w:cs="Times New Roman"/>
              </w:rPr>
              <w:t>mcg</w:t>
            </w:r>
            <w:r w:rsidR="00A07239" w:rsidRPr="00BA7222">
              <w:rPr>
                <w:rFonts w:ascii="Times New Roman" w:hAnsi="Times New Roman" w:cs="Times New Roman"/>
              </w:rPr>
              <w:t>/minute</w:t>
            </w:r>
          </w:p>
        </w:tc>
      </w:tr>
      <w:tr w:rsidR="006F5875" w:rsidRPr="00D752D9" w14:paraId="12F6F118" w14:textId="77777777" w:rsidTr="004635E5">
        <w:tc>
          <w:tcPr>
            <w:tcW w:w="2141" w:type="dxa"/>
          </w:tcPr>
          <w:p w14:paraId="5EAB6EA7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2.2 P</w:t>
            </w:r>
          </w:p>
        </w:tc>
        <w:tc>
          <w:tcPr>
            <w:tcW w:w="7209" w:type="dxa"/>
          </w:tcPr>
          <w:p w14:paraId="71C0F7FF" w14:textId="3A2AF31E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Clarifies that</w:t>
            </w:r>
            <w:r w:rsidR="007D625A" w:rsidRPr="00BA7222">
              <w:rPr>
                <w:rFonts w:ascii="Times New Roman" w:hAnsi="Times New Roman" w:cs="Times New Roman"/>
              </w:rPr>
              <w:t xml:space="preserve"> EMT</w:t>
            </w:r>
            <w:r w:rsidR="004F75C4">
              <w:rPr>
                <w:rFonts w:ascii="Times New Roman" w:hAnsi="Times New Roman" w:cs="Times New Roman"/>
              </w:rPr>
              <w:t>-</w:t>
            </w:r>
            <w:r w:rsidR="007D625A" w:rsidRPr="00BA7222">
              <w:rPr>
                <w:rFonts w:ascii="Times New Roman" w:hAnsi="Times New Roman" w:cs="Times New Roman"/>
              </w:rPr>
              <w:t xml:space="preserve">Basics and Advanced EMTs </w:t>
            </w:r>
            <w:r w:rsidR="0039125B" w:rsidRPr="00BA7222">
              <w:rPr>
                <w:rFonts w:ascii="Times New Roman" w:hAnsi="Times New Roman" w:cs="Times New Roman"/>
              </w:rPr>
              <w:t xml:space="preserve">must </w:t>
            </w:r>
            <w:r w:rsidRPr="00BA7222">
              <w:rPr>
                <w:rFonts w:ascii="Times New Roman" w:hAnsi="Times New Roman" w:cs="Times New Roman"/>
              </w:rPr>
              <w:t xml:space="preserve">contact </w:t>
            </w:r>
            <w:r w:rsidR="0039125B" w:rsidRPr="00BA7222">
              <w:rPr>
                <w:rFonts w:ascii="Times New Roman" w:hAnsi="Times New Roman" w:cs="Times New Roman"/>
              </w:rPr>
              <w:t xml:space="preserve">on-line medical control </w:t>
            </w:r>
            <w:r w:rsidRPr="00BA7222">
              <w:rPr>
                <w:rFonts w:ascii="Times New Roman" w:hAnsi="Times New Roman" w:cs="Times New Roman"/>
              </w:rPr>
              <w:t xml:space="preserve">for second </w:t>
            </w:r>
            <w:r w:rsidR="004F75C4">
              <w:rPr>
                <w:rFonts w:ascii="Times New Roman" w:hAnsi="Times New Roman" w:cs="Times New Roman"/>
              </w:rPr>
              <w:t>e</w:t>
            </w:r>
            <w:r w:rsidRPr="00BA7222">
              <w:rPr>
                <w:rFonts w:ascii="Times New Roman" w:hAnsi="Times New Roman" w:cs="Times New Roman"/>
              </w:rPr>
              <w:t>pinephrine dose</w:t>
            </w:r>
          </w:p>
        </w:tc>
      </w:tr>
      <w:tr w:rsidR="006F5875" w:rsidRPr="00D752D9" w14:paraId="577034A9" w14:textId="77777777" w:rsidTr="004635E5">
        <w:tc>
          <w:tcPr>
            <w:tcW w:w="2141" w:type="dxa"/>
          </w:tcPr>
          <w:p w14:paraId="268BD826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209" w:type="dxa"/>
          </w:tcPr>
          <w:p w14:paraId="5DEFE6A5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Clarifies that a Section 12 commitment (and paperwork) is done under MDMH regulations and authority</w:t>
            </w:r>
          </w:p>
        </w:tc>
      </w:tr>
      <w:tr w:rsidR="006F5875" w:rsidRPr="00D752D9" w14:paraId="1CB9179B" w14:textId="77777777" w:rsidTr="004635E5">
        <w:tc>
          <w:tcPr>
            <w:tcW w:w="2141" w:type="dxa"/>
          </w:tcPr>
          <w:p w14:paraId="06A126BE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2.6A</w:t>
            </w:r>
          </w:p>
        </w:tc>
        <w:tc>
          <w:tcPr>
            <w:tcW w:w="7209" w:type="dxa"/>
          </w:tcPr>
          <w:p w14:paraId="6F57F75A" w14:textId="1CBDA5F6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Clarifies EMT</w:t>
            </w:r>
            <w:r w:rsidR="004F75C4">
              <w:rPr>
                <w:rFonts w:ascii="Times New Roman" w:hAnsi="Times New Roman" w:cs="Times New Roman"/>
              </w:rPr>
              <w:t>-</w:t>
            </w:r>
            <w:r w:rsidRPr="00BA7222">
              <w:rPr>
                <w:rFonts w:ascii="Times New Roman" w:hAnsi="Times New Roman" w:cs="Times New Roman"/>
              </w:rPr>
              <w:t xml:space="preserve">Basic use of CPAP </w:t>
            </w:r>
            <w:r w:rsidRPr="00BA7222">
              <w:rPr>
                <w:rFonts w:ascii="Times New Roman" w:hAnsi="Times New Roman" w:cs="Times New Roman"/>
                <w:i/>
                <w:iCs/>
              </w:rPr>
              <w:t>and</w:t>
            </w:r>
            <w:r w:rsidRPr="00BA7222">
              <w:rPr>
                <w:rFonts w:ascii="Times New Roman" w:hAnsi="Times New Roman" w:cs="Times New Roman"/>
              </w:rPr>
              <w:t xml:space="preserve"> BiPAP and IM Epinephrine</w:t>
            </w:r>
          </w:p>
        </w:tc>
      </w:tr>
      <w:tr w:rsidR="006F5875" w:rsidRPr="00D752D9" w14:paraId="668DFBB3" w14:textId="77777777" w:rsidTr="004635E5">
        <w:tc>
          <w:tcPr>
            <w:tcW w:w="2141" w:type="dxa"/>
          </w:tcPr>
          <w:p w14:paraId="03CB5BF8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2.6P</w:t>
            </w:r>
          </w:p>
        </w:tc>
        <w:tc>
          <w:tcPr>
            <w:tcW w:w="7209" w:type="dxa"/>
          </w:tcPr>
          <w:p w14:paraId="2B93F796" w14:textId="32947C99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Clarifies EMT</w:t>
            </w:r>
            <w:r w:rsidR="004F75C4">
              <w:rPr>
                <w:rFonts w:ascii="Times New Roman" w:hAnsi="Times New Roman" w:cs="Times New Roman"/>
              </w:rPr>
              <w:t>-</w:t>
            </w:r>
            <w:r w:rsidRPr="00BA7222">
              <w:rPr>
                <w:rFonts w:ascii="Times New Roman" w:hAnsi="Times New Roman" w:cs="Times New Roman"/>
              </w:rPr>
              <w:t>Basic use of IM Epinephrine</w:t>
            </w:r>
          </w:p>
        </w:tc>
      </w:tr>
      <w:tr w:rsidR="006F5875" w:rsidRPr="00D752D9" w14:paraId="11E2DB37" w14:textId="77777777" w:rsidTr="004635E5">
        <w:tc>
          <w:tcPr>
            <w:tcW w:w="2141" w:type="dxa"/>
          </w:tcPr>
          <w:p w14:paraId="6FFDE36E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7209" w:type="dxa"/>
          </w:tcPr>
          <w:p w14:paraId="7A0AF841" w14:textId="057CD633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Clarifies EMT</w:t>
            </w:r>
            <w:r w:rsidR="004F75C4">
              <w:rPr>
                <w:rFonts w:ascii="Times New Roman" w:hAnsi="Times New Roman" w:cs="Times New Roman"/>
              </w:rPr>
              <w:t>-</w:t>
            </w:r>
            <w:r w:rsidRPr="00BA7222">
              <w:rPr>
                <w:rFonts w:ascii="Times New Roman" w:hAnsi="Times New Roman" w:cs="Times New Roman"/>
              </w:rPr>
              <w:t xml:space="preserve">Basic use of CPAP </w:t>
            </w:r>
            <w:r w:rsidRPr="00BA7222">
              <w:rPr>
                <w:rFonts w:ascii="Times New Roman" w:hAnsi="Times New Roman" w:cs="Times New Roman"/>
                <w:i/>
                <w:iCs/>
              </w:rPr>
              <w:t>and</w:t>
            </w:r>
            <w:r w:rsidRPr="00BA7222">
              <w:rPr>
                <w:rFonts w:ascii="Times New Roman" w:hAnsi="Times New Roman" w:cs="Times New Roman"/>
              </w:rPr>
              <w:t xml:space="preserve"> BiPAP</w:t>
            </w:r>
          </w:p>
        </w:tc>
      </w:tr>
      <w:tr w:rsidR="006F5875" w:rsidRPr="00D752D9" w14:paraId="49A6A92C" w14:textId="77777777" w:rsidTr="004635E5">
        <w:tc>
          <w:tcPr>
            <w:tcW w:w="2141" w:type="dxa"/>
          </w:tcPr>
          <w:p w14:paraId="47007B5C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2.15A</w:t>
            </w:r>
          </w:p>
        </w:tc>
        <w:tc>
          <w:tcPr>
            <w:tcW w:w="7209" w:type="dxa"/>
          </w:tcPr>
          <w:p w14:paraId="788962F7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Note that all levels of EMT may assist patient or caregiver with already-prescribed anticonvulsants.</w:t>
            </w:r>
          </w:p>
        </w:tc>
      </w:tr>
      <w:tr w:rsidR="00AE6476" w:rsidRPr="00D752D9" w14:paraId="248CBE86" w14:textId="77777777" w:rsidTr="004635E5">
        <w:tc>
          <w:tcPr>
            <w:tcW w:w="2141" w:type="dxa"/>
          </w:tcPr>
          <w:p w14:paraId="4F5ADC92" w14:textId="77A19FA7" w:rsidR="00AE6476" w:rsidRPr="00BA7222" w:rsidRDefault="00AE6476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3.4P</w:t>
            </w:r>
          </w:p>
        </w:tc>
        <w:tc>
          <w:tcPr>
            <w:tcW w:w="7209" w:type="dxa"/>
          </w:tcPr>
          <w:p w14:paraId="57F18103" w14:textId="21320320" w:rsidR="00AE6476" w:rsidRPr="00BA7222" w:rsidRDefault="00AE6476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 xml:space="preserve">Removed </w:t>
            </w:r>
            <w:r w:rsidR="00314475" w:rsidRPr="00BA7222">
              <w:rPr>
                <w:rFonts w:ascii="Times New Roman" w:hAnsi="Times New Roman" w:cs="Times New Roman"/>
              </w:rPr>
              <w:t>under Paramedic standing orders, “For Bradycardia…</w:t>
            </w:r>
            <w:r w:rsidR="004F75C4">
              <w:rPr>
                <w:rFonts w:ascii="Times New Roman" w:hAnsi="Times New Roman" w:cs="Times New Roman"/>
              </w:rPr>
              <w:t>”</w:t>
            </w:r>
            <w:r w:rsidR="00314475" w:rsidRPr="00BA7222">
              <w:rPr>
                <w:rFonts w:ascii="Times New Roman" w:hAnsi="Times New Roman" w:cs="Times New Roman"/>
              </w:rPr>
              <w:t xml:space="preserve"> </w:t>
            </w:r>
          </w:p>
          <w:p w14:paraId="6BCCA2C1" w14:textId="59008EB3" w:rsidR="00837FCB" w:rsidRPr="00BA7222" w:rsidRDefault="00837FCB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 xml:space="preserve">Added “Hypoglycemia” to the </w:t>
            </w:r>
            <w:r w:rsidR="00313F98" w:rsidRPr="00BA7222">
              <w:rPr>
                <w:rFonts w:ascii="Times New Roman" w:hAnsi="Times New Roman" w:cs="Times New Roman"/>
              </w:rPr>
              <w:t xml:space="preserve">reversable causes for </w:t>
            </w:r>
            <w:r w:rsidR="006F43CE" w:rsidRPr="00BA7222">
              <w:rPr>
                <w:rFonts w:ascii="Times New Roman" w:hAnsi="Times New Roman" w:cs="Times New Roman"/>
              </w:rPr>
              <w:t>pediatric patients only</w:t>
            </w:r>
            <w:r w:rsidR="00893D25" w:rsidRPr="00BA7222">
              <w:rPr>
                <w:rFonts w:ascii="Times New Roman" w:hAnsi="Times New Roman" w:cs="Times New Roman"/>
              </w:rPr>
              <w:t xml:space="preserve"> and treated with the administration of D10</w:t>
            </w:r>
            <w:r w:rsidR="006F43CE" w:rsidRPr="00BA7222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6F5875" w:rsidRPr="00D752D9" w14:paraId="2ECB7193" w14:textId="77777777" w:rsidTr="004635E5">
        <w:tc>
          <w:tcPr>
            <w:tcW w:w="2141" w:type="dxa"/>
          </w:tcPr>
          <w:p w14:paraId="19B4D82D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3.5P</w:t>
            </w:r>
          </w:p>
        </w:tc>
        <w:tc>
          <w:tcPr>
            <w:tcW w:w="7209" w:type="dxa"/>
          </w:tcPr>
          <w:p w14:paraId="49D5EBFF" w14:textId="2F7CEDAF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 xml:space="preserve">Clarified defibrillation energies as 4 J/kg per </w:t>
            </w:r>
            <w:r w:rsidR="009013C4" w:rsidRPr="00BA7222">
              <w:rPr>
                <w:rFonts w:ascii="Times New Roman" w:hAnsi="Times New Roman" w:cs="Times New Roman"/>
              </w:rPr>
              <w:t>shock and</w:t>
            </w:r>
            <w:r w:rsidR="007A4BE6" w:rsidRPr="00BA7222">
              <w:rPr>
                <w:rFonts w:ascii="Times New Roman" w:hAnsi="Times New Roman" w:cs="Times New Roman"/>
              </w:rPr>
              <w:t xml:space="preserve"> </w:t>
            </w:r>
            <w:r w:rsidR="00AC3F17" w:rsidRPr="00BA7222">
              <w:rPr>
                <w:rFonts w:ascii="Times New Roman" w:hAnsi="Times New Roman" w:cs="Times New Roman"/>
              </w:rPr>
              <w:t xml:space="preserve">American Heart recommendation of </w:t>
            </w:r>
            <w:r w:rsidR="009013C4" w:rsidRPr="00BA7222">
              <w:rPr>
                <w:rFonts w:ascii="Times New Roman" w:hAnsi="Times New Roman" w:cs="Times New Roman"/>
              </w:rPr>
              <w:t xml:space="preserve">a </w:t>
            </w:r>
            <w:r w:rsidR="005B0863" w:rsidRPr="00BA7222">
              <w:rPr>
                <w:rFonts w:ascii="Times New Roman" w:hAnsi="Times New Roman" w:cs="Times New Roman"/>
              </w:rPr>
              <w:t xml:space="preserve">maximum </w:t>
            </w:r>
            <w:r w:rsidR="00AC3F17" w:rsidRPr="00BA7222">
              <w:rPr>
                <w:rFonts w:ascii="Times New Roman" w:hAnsi="Times New Roman" w:cs="Times New Roman"/>
              </w:rPr>
              <w:t>10 j/kg per shock</w:t>
            </w:r>
          </w:p>
        </w:tc>
      </w:tr>
      <w:tr w:rsidR="006F5875" w:rsidRPr="00D752D9" w14:paraId="25247EAA" w14:textId="77777777" w:rsidTr="004635E5">
        <w:tc>
          <w:tcPr>
            <w:tcW w:w="2141" w:type="dxa"/>
          </w:tcPr>
          <w:p w14:paraId="4DD0E95F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7209" w:type="dxa"/>
          </w:tcPr>
          <w:p w14:paraId="6295BA9A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EMTs can use BiPAP as well as CPAP in appropriate circumstances</w:t>
            </w:r>
          </w:p>
        </w:tc>
      </w:tr>
      <w:tr w:rsidR="006F5875" w:rsidRPr="00D752D9" w14:paraId="20EB0F7D" w14:textId="77777777" w:rsidTr="004635E5">
        <w:tc>
          <w:tcPr>
            <w:tcW w:w="2141" w:type="dxa"/>
          </w:tcPr>
          <w:p w14:paraId="041BF5A3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209" w:type="dxa"/>
          </w:tcPr>
          <w:p w14:paraId="3FAB1255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Difficult airway interventions by level have been clarified</w:t>
            </w:r>
          </w:p>
        </w:tc>
      </w:tr>
      <w:tr w:rsidR="006F5875" w:rsidRPr="00D752D9" w14:paraId="4D6C90A2" w14:textId="77777777" w:rsidTr="004635E5">
        <w:tc>
          <w:tcPr>
            <w:tcW w:w="2141" w:type="dxa"/>
          </w:tcPr>
          <w:p w14:paraId="74BDE242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7209" w:type="dxa"/>
          </w:tcPr>
          <w:p w14:paraId="339DF27E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EMTs can use BiPAP as well as CPAP in appropriate circumstances</w:t>
            </w:r>
          </w:p>
        </w:tc>
      </w:tr>
      <w:tr w:rsidR="006F5875" w:rsidRPr="00D752D9" w14:paraId="7B9E66E3" w14:textId="77777777" w:rsidTr="004635E5">
        <w:tc>
          <w:tcPr>
            <w:tcW w:w="2141" w:type="dxa"/>
          </w:tcPr>
          <w:p w14:paraId="58F56DEB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6.17</w:t>
            </w:r>
          </w:p>
        </w:tc>
        <w:tc>
          <w:tcPr>
            <w:tcW w:w="7209" w:type="dxa"/>
          </w:tcPr>
          <w:p w14:paraId="5A86ACC2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New protocol added</w:t>
            </w:r>
          </w:p>
        </w:tc>
      </w:tr>
      <w:tr w:rsidR="006F5875" w:rsidRPr="00D752D9" w14:paraId="09E07934" w14:textId="77777777" w:rsidTr="004635E5">
        <w:tc>
          <w:tcPr>
            <w:tcW w:w="2141" w:type="dxa"/>
          </w:tcPr>
          <w:p w14:paraId="06DE1F8F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6.18</w:t>
            </w:r>
          </w:p>
        </w:tc>
        <w:tc>
          <w:tcPr>
            <w:tcW w:w="7209" w:type="dxa"/>
          </w:tcPr>
          <w:p w14:paraId="126D65A0" w14:textId="2D0F31A4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 xml:space="preserve">New protocol added </w:t>
            </w:r>
          </w:p>
        </w:tc>
      </w:tr>
      <w:tr w:rsidR="006F5875" w:rsidRPr="00D752D9" w14:paraId="15389C98" w14:textId="77777777" w:rsidTr="004635E5">
        <w:tc>
          <w:tcPr>
            <w:tcW w:w="2141" w:type="dxa"/>
          </w:tcPr>
          <w:p w14:paraId="03967DB6" w14:textId="77777777" w:rsidR="006F5875" w:rsidRPr="00BA7222" w:rsidRDefault="006F5875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7209" w:type="dxa"/>
          </w:tcPr>
          <w:p w14:paraId="3F615CF9" w14:textId="16AE96A1" w:rsidR="006F5875" w:rsidRPr="00BA7222" w:rsidRDefault="007C4678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Electronic Control Weapons</w:t>
            </w:r>
            <w:r w:rsidR="004F75C4">
              <w:rPr>
                <w:rFonts w:ascii="Times New Roman" w:hAnsi="Times New Roman" w:cs="Times New Roman"/>
              </w:rPr>
              <w:t>:</w:t>
            </w:r>
            <w:r w:rsidR="00630080" w:rsidRPr="00BA7222">
              <w:rPr>
                <w:rFonts w:ascii="Times New Roman" w:hAnsi="Times New Roman" w:cs="Times New Roman"/>
              </w:rPr>
              <w:t xml:space="preserve"> Note added that</w:t>
            </w:r>
            <w:r w:rsidR="006F5875" w:rsidRPr="00BA7222">
              <w:rPr>
                <w:rFonts w:ascii="Times New Roman" w:hAnsi="Times New Roman" w:cs="Times New Roman"/>
              </w:rPr>
              <w:t xml:space="preserve"> patients will always go to hospital barring </w:t>
            </w:r>
            <w:r w:rsidR="001D49B3" w:rsidRPr="00BA7222">
              <w:rPr>
                <w:rFonts w:ascii="Times New Roman" w:hAnsi="Times New Roman" w:cs="Times New Roman"/>
                <w:i/>
                <w:iCs/>
              </w:rPr>
              <w:t>patient</w:t>
            </w:r>
            <w:r w:rsidR="006F5875" w:rsidRPr="00BA7222">
              <w:rPr>
                <w:rFonts w:ascii="Times New Roman" w:hAnsi="Times New Roman" w:cs="Times New Roman"/>
              </w:rPr>
              <w:t xml:space="preserve"> refusal</w:t>
            </w:r>
          </w:p>
        </w:tc>
      </w:tr>
      <w:tr w:rsidR="001012B8" w:rsidRPr="00D752D9" w14:paraId="0C2AEFF7" w14:textId="77777777" w:rsidTr="004635E5">
        <w:tc>
          <w:tcPr>
            <w:tcW w:w="2141" w:type="dxa"/>
          </w:tcPr>
          <w:p w14:paraId="14CCAADD" w14:textId="52A766E8" w:rsidR="001012B8" w:rsidRPr="00BA7222" w:rsidRDefault="001012B8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A</w:t>
            </w:r>
            <w:r w:rsidR="00EC19B8" w:rsidRPr="00BA7222">
              <w:rPr>
                <w:rFonts w:ascii="Times New Roman" w:hAnsi="Times New Roman" w:cs="Times New Roman"/>
              </w:rPr>
              <w:t xml:space="preserve">ppendix </w:t>
            </w:r>
            <w:r w:rsidR="00EE161E" w:rsidRPr="00BA72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9" w:type="dxa"/>
          </w:tcPr>
          <w:p w14:paraId="0AC394AA" w14:textId="59902122" w:rsidR="001012B8" w:rsidRPr="00BA7222" w:rsidRDefault="00EE161E" w:rsidP="00F85F74">
            <w:pPr>
              <w:rPr>
                <w:rFonts w:ascii="Times New Roman" w:hAnsi="Times New Roman" w:cs="Times New Roman"/>
              </w:rPr>
            </w:pPr>
            <w:r w:rsidRPr="00BA7222">
              <w:rPr>
                <w:rFonts w:ascii="Times New Roman" w:hAnsi="Times New Roman" w:cs="Times New Roman"/>
              </w:rPr>
              <w:t>Interfacility transfer protocol clarified to allow</w:t>
            </w:r>
            <w:r w:rsidR="00B84E5D" w:rsidRPr="00BA7222">
              <w:rPr>
                <w:rFonts w:ascii="Times New Roman" w:hAnsi="Times New Roman" w:cs="Times New Roman"/>
              </w:rPr>
              <w:t xml:space="preserve"> under </w:t>
            </w:r>
            <w:r w:rsidR="00B32EF9" w:rsidRPr="00BA7222">
              <w:rPr>
                <w:rFonts w:ascii="Times New Roman" w:hAnsi="Times New Roman" w:cs="Times New Roman"/>
              </w:rPr>
              <w:t xml:space="preserve">extenuating circumstances allowing </w:t>
            </w:r>
            <w:r w:rsidR="0040019A" w:rsidRPr="00BA7222">
              <w:rPr>
                <w:rFonts w:ascii="Times New Roman" w:hAnsi="Times New Roman" w:cs="Times New Roman"/>
              </w:rPr>
              <w:t xml:space="preserve">“any level of certified EMS personnel” to </w:t>
            </w:r>
            <w:r w:rsidR="00B32EF9" w:rsidRPr="00BA7222">
              <w:rPr>
                <w:rFonts w:ascii="Times New Roman" w:hAnsi="Times New Roman" w:cs="Times New Roman"/>
              </w:rPr>
              <w:t xml:space="preserve">transport a patient </w:t>
            </w:r>
            <w:r w:rsidR="00B22395" w:rsidRPr="00BA7222">
              <w:rPr>
                <w:rFonts w:ascii="Times New Roman" w:hAnsi="Times New Roman" w:cs="Times New Roman"/>
              </w:rPr>
              <w:t xml:space="preserve">operating within their scope of practice only.  </w:t>
            </w:r>
          </w:p>
        </w:tc>
      </w:tr>
      <w:tr w:rsidR="00DB6AD3" w:rsidRPr="00D752D9" w14:paraId="2E0DF8BF" w14:textId="77777777" w:rsidTr="004635E5">
        <w:tc>
          <w:tcPr>
            <w:tcW w:w="2141" w:type="dxa"/>
          </w:tcPr>
          <w:p w14:paraId="26667D39" w14:textId="3DDE2D6F" w:rsidR="00DB6AD3" w:rsidRPr="00DB6AD3" w:rsidRDefault="00DB6AD3" w:rsidP="00F8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Old Appendix 3/</w:t>
            </w:r>
            <w:r w:rsidR="00C007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New Appendix 3</w:t>
            </w:r>
          </w:p>
        </w:tc>
        <w:tc>
          <w:tcPr>
            <w:tcW w:w="7209" w:type="dxa"/>
          </w:tcPr>
          <w:p w14:paraId="44DEAFE0" w14:textId="67B62D95" w:rsidR="00DB6AD3" w:rsidRPr="00DB6AD3" w:rsidRDefault="00DB6AD3" w:rsidP="00F8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Old Appendix 3 Removed – the Department’s statewide point of entry plans are separately approved policy documents, and not part of the Statewide Treatment Protocols. Old Appendix 4 has been renumbered as Appendix 3</w:t>
            </w:r>
          </w:p>
        </w:tc>
      </w:tr>
    </w:tbl>
    <w:p w14:paraId="744641BD" w14:textId="77777777" w:rsidR="006F5875" w:rsidRPr="007C259A" w:rsidRDefault="006F5875" w:rsidP="006F5875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B97F113" w14:textId="071EB824" w:rsidR="00626BED" w:rsidRDefault="00626BED" w:rsidP="00626BED">
      <w:pPr>
        <w:pStyle w:val="Body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continued collaboration and efforts to effectively serve patients across the Commonwealth.  If you have any questions on the</w:t>
      </w:r>
      <w:r w:rsidR="009038B3">
        <w:rPr>
          <w:rFonts w:ascii="Times New Roman" w:hAnsi="Times New Roman" w:cs="Times New Roman"/>
          <w:sz w:val="24"/>
          <w:szCs w:val="24"/>
        </w:rPr>
        <w:t xml:space="preserve"> Statewide Treatment Protocols version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038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9038B3">
        <w:rPr>
          <w:rFonts w:ascii="Times New Roman" w:hAnsi="Times New Roman" w:cs="Times New Roman"/>
          <w:sz w:val="24"/>
          <w:szCs w:val="24"/>
        </w:rPr>
        <w:t>,</w:t>
      </w:r>
      <w:r w:rsidR="00194C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please contact Renée Atherton, NRP, Clinical Coordinator, at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renee.atherton@mass.gov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14:paraId="1A80A9E5" w14:textId="77777777" w:rsidR="006F4567" w:rsidRDefault="006F4567" w:rsidP="006F4567">
      <w:pPr>
        <w:ind w:left="2880"/>
        <w:jc w:val="both"/>
        <w:rPr>
          <w:sz w:val="22"/>
          <w:szCs w:val="22"/>
        </w:rPr>
      </w:pPr>
    </w:p>
    <w:sectPr w:rsidR="006F456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F437E"/>
    <w:multiLevelType w:val="hybridMultilevel"/>
    <w:tmpl w:val="D55A9892"/>
    <w:lvl w:ilvl="0" w:tplc="95B6E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5F3634"/>
    <w:multiLevelType w:val="hybridMultilevel"/>
    <w:tmpl w:val="4CD2A6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E35857"/>
    <w:multiLevelType w:val="hybridMultilevel"/>
    <w:tmpl w:val="B032F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57301">
    <w:abstractNumId w:val="1"/>
  </w:num>
  <w:num w:numId="2" w16cid:durableId="1987120419">
    <w:abstractNumId w:val="2"/>
  </w:num>
  <w:num w:numId="3" w16cid:durableId="789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2FAC"/>
    <w:rsid w:val="00013776"/>
    <w:rsid w:val="00033154"/>
    <w:rsid w:val="00034D3C"/>
    <w:rsid w:val="00037CA1"/>
    <w:rsid w:val="000413CC"/>
    <w:rsid w:val="00042048"/>
    <w:rsid w:val="00042FA8"/>
    <w:rsid w:val="0004471D"/>
    <w:rsid w:val="000453FE"/>
    <w:rsid w:val="000537DA"/>
    <w:rsid w:val="000818C6"/>
    <w:rsid w:val="00093C7D"/>
    <w:rsid w:val="000A1DE1"/>
    <w:rsid w:val="000B7D96"/>
    <w:rsid w:val="000F315B"/>
    <w:rsid w:val="001012B8"/>
    <w:rsid w:val="001063F6"/>
    <w:rsid w:val="001110DE"/>
    <w:rsid w:val="001125C0"/>
    <w:rsid w:val="0011552E"/>
    <w:rsid w:val="001218F2"/>
    <w:rsid w:val="00133BDD"/>
    <w:rsid w:val="00142879"/>
    <w:rsid w:val="0015268B"/>
    <w:rsid w:val="00153170"/>
    <w:rsid w:val="00172AD2"/>
    <w:rsid w:val="001750CF"/>
    <w:rsid w:val="00177C77"/>
    <w:rsid w:val="00181D39"/>
    <w:rsid w:val="00194C2B"/>
    <w:rsid w:val="0019576F"/>
    <w:rsid w:val="001B6693"/>
    <w:rsid w:val="001C5BB1"/>
    <w:rsid w:val="001D49B3"/>
    <w:rsid w:val="001F27A2"/>
    <w:rsid w:val="00201A83"/>
    <w:rsid w:val="0021698C"/>
    <w:rsid w:val="00216A49"/>
    <w:rsid w:val="002362F4"/>
    <w:rsid w:val="002437BA"/>
    <w:rsid w:val="00251275"/>
    <w:rsid w:val="00260D54"/>
    <w:rsid w:val="002738CD"/>
    <w:rsid w:val="00275F22"/>
    <w:rsid w:val="00276957"/>
    <w:rsid w:val="00276DCC"/>
    <w:rsid w:val="00286007"/>
    <w:rsid w:val="002A132F"/>
    <w:rsid w:val="002D1C21"/>
    <w:rsid w:val="00301022"/>
    <w:rsid w:val="00306A71"/>
    <w:rsid w:val="00313F98"/>
    <w:rsid w:val="00314475"/>
    <w:rsid w:val="00335FCA"/>
    <w:rsid w:val="00343AF3"/>
    <w:rsid w:val="00360028"/>
    <w:rsid w:val="00365DD9"/>
    <w:rsid w:val="0036694E"/>
    <w:rsid w:val="00375EAD"/>
    <w:rsid w:val="00385812"/>
    <w:rsid w:val="0039125B"/>
    <w:rsid w:val="00392D0B"/>
    <w:rsid w:val="003A7AFC"/>
    <w:rsid w:val="003C4C53"/>
    <w:rsid w:val="003C60EF"/>
    <w:rsid w:val="003E6FDC"/>
    <w:rsid w:val="003E7FEF"/>
    <w:rsid w:val="0040019A"/>
    <w:rsid w:val="00413035"/>
    <w:rsid w:val="00421312"/>
    <w:rsid w:val="00446E2C"/>
    <w:rsid w:val="00447205"/>
    <w:rsid w:val="004635E5"/>
    <w:rsid w:val="004812AA"/>
    <w:rsid w:val="004813AC"/>
    <w:rsid w:val="004B37A0"/>
    <w:rsid w:val="004B5CFB"/>
    <w:rsid w:val="004C1A74"/>
    <w:rsid w:val="004D07BB"/>
    <w:rsid w:val="004D6B39"/>
    <w:rsid w:val="004E0C3F"/>
    <w:rsid w:val="004F420A"/>
    <w:rsid w:val="004F437E"/>
    <w:rsid w:val="004F6822"/>
    <w:rsid w:val="004F75C4"/>
    <w:rsid w:val="00512956"/>
    <w:rsid w:val="0052070D"/>
    <w:rsid w:val="00521EF1"/>
    <w:rsid w:val="00530145"/>
    <w:rsid w:val="00537E5B"/>
    <w:rsid w:val="00542079"/>
    <w:rsid w:val="005448AA"/>
    <w:rsid w:val="005B0863"/>
    <w:rsid w:val="005C0A59"/>
    <w:rsid w:val="005D5744"/>
    <w:rsid w:val="0060714B"/>
    <w:rsid w:val="00617DD2"/>
    <w:rsid w:val="00622D58"/>
    <w:rsid w:val="00626BED"/>
    <w:rsid w:val="00630080"/>
    <w:rsid w:val="00642035"/>
    <w:rsid w:val="006544A8"/>
    <w:rsid w:val="00690AD8"/>
    <w:rsid w:val="00696B9C"/>
    <w:rsid w:val="006D06D9"/>
    <w:rsid w:val="006D77A6"/>
    <w:rsid w:val="006E5C3C"/>
    <w:rsid w:val="006E6060"/>
    <w:rsid w:val="006F43CE"/>
    <w:rsid w:val="006F4567"/>
    <w:rsid w:val="006F5875"/>
    <w:rsid w:val="006F7461"/>
    <w:rsid w:val="00701883"/>
    <w:rsid w:val="00702109"/>
    <w:rsid w:val="00713DB8"/>
    <w:rsid w:val="0072610D"/>
    <w:rsid w:val="00740E77"/>
    <w:rsid w:val="00753BAF"/>
    <w:rsid w:val="00755F29"/>
    <w:rsid w:val="00757006"/>
    <w:rsid w:val="00762F5D"/>
    <w:rsid w:val="00766B13"/>
    <w:rsid w:val="00773872"/>
    <w:rsid w:val="007A4BE6"/>
    <w:rsid w:val="007B3CDB"/>
    <w:rsid w:val="007B3F4B"/>
    <w:rsid w:val="007B7347"/>
    <w:rsid w:val="007C4678"/>
    <w:rsid w:val="007D10F3"/>
    <w:rsid w:val="007D59D2"/>
    <w:rsid w:val="007D5E5A"/>
    <w:rsid w:val="007D625A"/>
    <w:rsid w:val="007E60A0"/>
    <w:rsid w:val="007E6CE8"/>
    <w:rsid w:val="007F1DED"/>
    <w:rsid w:val="007F3CDB"/>
    <w:rsid w:val="00831BA9"/>
    <w:rsid w:val="00837FCB"/>
    <w:rsid w:val="0086624B"/>
    <w:rsid w:val="00867F83"/>
    <w:rsid w:val="00874C9F"/>
    <w:rsid w:val="00875E8A"/>
    <w:rsid w:val="00893D25"/>
    <w:rsid w:val="008C2570"/>
    <w:rsid w:val="008E0DB6"/>
    <w:rsid w:val="008E3C23"/>
    <w:rsid w:val="009013C4"/>
    <w:rsid w:val="009038B3"/>
    <w:rsid w:val="009369F8"/>
    <w:rsid w:val="00964847"/>
    <w:rsid w:val="009730E5"/>
    <w:rsid w:val="009908FF"/>
    <w:rsid w:val="00995505"/>
    <w:rsid w:val="00997DB2"/>
    <w:rsid w:val="009C4428"/>
    <w:rsid w:val="009D22BE"/>
    <w:rsid w:val="009D48CD"/>
    <w:rsid w:val="009D5ED8"/>
    <w:rsid w:val="009E1D81"/>
    <w:rsid w:val="009F1035"/>
    <w:rsid w:val="009F7072"/>
    <w:rsid w:val="00A0095F"/>
    <w:rsid w:val="00A031F7"/>
    <w:rsid w:val="00A07239"/>
    <w:rsid w:val="00A11C7C"/>
    <w:rsid w:val="00A14858"/>
    <w:rsid w:val="00A30723"/>
    <w:rsid w:val="00A43890"/>
    <w:rsid w:val="00A55F4A"/>
    <w:rsid w:val="00A62130"/>
    <w:rsid w:val="00A6490C"/>
    <w:rsid w:val="00A65101"/>
    <w:rsid w:val="00A90022"/>
    <w:rsid w:val="00AA0390"/>
    <w:rsid w:val="00AA4DEF"/>
    <w:rsid w:val="00AC3F17"/>
    <w:rsid w:val="00AE6476"/>
    <w:rsid w:val="00AE71B0"/>
    <w:rsid w:val="00B07FF6"/>
    <w:rsid w:val="00B14C6F"/>
    <w:rsid w:val="00B170A4"/>
    <w:rsid w:val="00B22395"/>
    <w:rsid w:val="00B32EF9"/>
    <w:rsid w:val="00B403BF"/>
    <w:rsid w:val="00B44250"/>
    <w:rsid w:val="00B608D9"/>
    <w:rsid w:val="00B610A5"/>
    <w:rsid w:val="00B70D49"/>
    <w:rsid w:val="00B800D9"/>
    <w:rsid w:val="00B84E5D"/>
    <w:rsid w:val="00B92CC4"/>
    <w:rsid w:val="00B96081"/>
    <w:rsid w:val="00BA4055"/>
    <w:rsid w:val="00BA7222"/>
    <w:rsid w:val="00BA7FB6"/>
    <w:rsid w:val="00BF02E0"/>
    <w:rsid w:val="00BF3FB3"/>
    <w:rsid w:val="00BF7DF6"/>
    <w:rsid w:val="00C0075D"/>
    <w:rsid w:val="00C02A3E"/>
    <w:rsid w:val="00C121BF"/>
    <w:rsid w:val="00C13445"/>
    <w:rsid w:val="00C16C38"/>
    <w:rsid w:val="00C17771"/>
    <w:rsid w:val="00C20BFE"/>
    <w:rsid w:val="00C238A5"/>
    <w:rsid w:val="00C4569A"/>
    <w:rsid w:val="00C46D29"/>
    <w:rsid w:val="00C74C7A"/>
    <w:rsid w:val="00CB22E0"/>
    <w:rsid w:val="00CB39F0"/>
    <w:rsid w:val="00CB74A4"/>
    <w:rsid w:val="00CC1778"/>
    <w:rsid w:val="00CE575B"/>
    <w:rsid w:val="00CF3DE8"/>
    <w:rsid w:val="00D0493F"/>
    <w:rsid w:val="00D13CE8"/>
    <w:rsid w:val="00D22946"/>
    <w:rsid w:val="00D36E48"/>
    <w:rsid w:val="00D469A3"/>
    <w:rsid w:val="00D56F91"/>
    <w:rsid w:val="00D67B03"/>
    <w:rsid w:val="00D8671C"/>
    <w:rsid w:val="00D91390"/>
    <w:rsid w:val="00DA57C3"/>
    <w:rsid w:val="00DA70F2"/>
    <w:rsid w:val="00DB6AD3"/>
    <w:rsid w:val="00DB6B8F"/>
    <w:rsid w:val="00DC3855"/>
    <w:rsid w:val="00DF103C"/>
    <w:rsid w:val="00DF7670"/>
    <w:rsid w:val="00E077E4"/>
    <w:rsid w:val="00E20E0A"/>
    <w:rsid w:val="00E242A8"/>
    <w:rsid w:val="00E274B8"/>
    <w:rsid w:val="00E370D0"/>
    <w:rsid w:val="00E37A45"/>
    <w:rsid w:val="00E72707"/>
    <w:rsid w:val="00E7746C"/>
    <w:rsid w:val="00E846AD"/>
    <w:rsid w:val="00E97046"/>
    <w:rsid w:val="00EA0E03"/>
    <w:rsid w:val="00EA3C58"/>
    <w:rsid w:val="00EA61A6"/>
    <w:rsid w:val="00EA6881"/>
    <w:rsid w:val="00EC19B8"/>
    <w:rsid w:val="00EC2EFA"/>
    <w:rsid w:val="00ED7324"/>
    <w:rsid w:val="00EE161E"/>
    <w:rsid w:val="00EF2EEF"/>
    <w:rsid w:val="00F026D4"/>
    <w:rsid w:val="00F0586E"/>
    <w:rsid w:val="00F2401C"/>
    <w:rsid w:val="00F3545F"/>
    <w:rsid w:val="00F43932"/>
    <w:rsid w:val="00F50728"/>
    <w:rsid w:val="00F61195"/>
    <w:rsid w:val="00F82E92"/>
    <w:rsid w:val="00F87D03"/>
    <w:rsid w:val="00F9192C"/>
    <w:rsid w:val="00FA575E"/>
    <w:rsid w:val="00FC412C"/>
    <w:rsid w:val="00FC6B42"/>
    <w:rsid w:val="00F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75E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5E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5E8A"/>
  </w:style>
  <w:style w:type="paragraph" w:styleId="CommentSubject">
    <w:name w:val="annotation subject"/>
    <w:basedOn w:val="CommentText"/>
    <w:next w:val="CommentText"/>
    <w:link w:val="CommentSubjectChar"/>
    <w:rsid w:val="00875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5E8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4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44A8"/>
    <w:rPr>
      <w:rFonts w:asciiTheme="minorHAnsi" w:eastAsiaTheme="minorHAnsi" w:hAnsiTheme="minorHAnsi" w:cstheme="minorBidi"/>
      <w:sz w:val="22"/>
      <w:szCs w:val="22"/>
    </w:rPr>
  </w:style>
  <w:style w:type="paragraph" w:customStyle="1" w:styleId="Body">
    <w:name w:val="Body"/>
    <w:rsid w:val="006544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172AD2"/>
    <w:pPr>
      <w:ind w:left="720"/>
      <w:contextualSpacing/>
    </w:pPr>
  </w:style>
  <w:style w:type="paragraph" w:customStyle="1" w:styleId="Default">
    <w:name w:val="Default"/>
    <w:rsid w:val="00306A71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F587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0E0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nee.atherton@mas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642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Cameron, Silva (DPH)</cp:lastModifiedBy>
  <cp:revision>2</cp:revision>
  <cp:lastPrinted>2024-01-19T17:06:00Z</cp:lastPrinted>
  <dcterms:created xsi:type="dcterms:W3CDTF">2024-01-19T17:06:00Z</dcterms:created>
  <dcterms:modified xsi:type="dcterms:W3CDTF">2024-01-19T17:06:00Z</dcterms:modified>
</cp:coreProperties>
</file>