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DF103C">
      <w:pPr>
        <w:framePr w:w="6926" w:h="1733" w:hRule="exact"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DF103C">
      <w:pPr>
        <w:pStyle w:val="ExecOffice"/>
        <w:framePr w:w="6926" w:h="1733" w:hRule="exact" w:wrap="notBeside" w:vAnchor="page" w:x="2884" w:y="711"/>
      </w:pPr>
      <w:r>
        <w:t>Executive Office of Health and Human Services</w:t>
      </w:r>
    </w:p>
    <w:p w14:paraId="282AB46A" w14:textId="154F3835" w:rsidR="000537DA" w:rsidRDefault="000537DA" w:rsidP="00DF103C">
      <w:pPr>
        <w:pStyle w:val="ExecOffice"/>
        <w:framePr w:w="6926" w:h="1733" w:hRule="exact" w:wrap="notBeside" w:vAnchor="page" w:x="2884" w:y="711"/>
      </w:pPr>
      <w:r>
        <w:t>Department of Public Health</w:t>
      </w:r>
    </w:p>
    <w:p w14:paraId="1B2C15AF" w14:textId="291CF006" w:rsidR="00DF103C" w:rsidRDefault="00DF103C" w:rsidP="00DF103C">
      <w:pPr>
        <w:pStyle w:val="ExecOffice"/>
        <w:framePr w:w="6926" w:h="1733" w:hRule="exact" w:wrap="notBeside" w:vAnchor="page" w:x="2884" w:y="711"/>
      </w:pPr>
      <w:r>
        <w:t>Office of Emergency Medical Services</w:t>
      </w:r>
    </w:p>
    <w:p w14:paraId="0958205A" w14:textId="166CFDE0" w:rsidR="006D06D9" w:rsidRDefault="00DF103C" w:rsidP="00DF103C">
      <w:pPr>
        <w:pStyle w:val="ExecOffice"/>
        <w:framePr w:w="6926" w:h="1733" w:hRule="exact" w:wrap="notBeside" w:vAnchor="page" w:x="2884" w:y="711"/>
      </w:pPr>
      <w:r>
        <w:t>67 Forest</w:t>
      </w:r>
      <w:r w:rsidR="000537DA">
        <w:t xml:space="preserve"> Street, </w:t>
      </w:r>
      <w:r w:rsidR="00831BA9">
        <w:t>Marlborough</w:t>
      </w:r>
      <w:r w:rsidR="000537DA">
        <w:t xml:space="preserve">, MA </w:t>
      </w:r>
      <w:r>
        <w:t>01752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7F0B3A1E" w14:textId="77777777" w:rsidR="005D5744" w:rsidRDefault="005D5744" w:rsidP="005D5744">
      <w:pPr>
        <w:ind w:left="-630"/>
        <w:rPr>
          <w:sz w:val="22"/>
          <w:szCs w:val="22"/>
        </w:rPr>
      </w:pPr>
      <w:r>
        <w:rPr>
          <w:sz w:val="22"/>
          <w:szCs w:val="22"/>
        </w:rPr>
        <w:t>January 3, 2022</w:t>
      </w:r>
    </w:p>
    <w:p w14:paraId="36838BB4" w14:textId="77777777" w:rsidR="00306A71" w:rsidRDefault="00306A71" w:rsidP="00306A71">
      <w:pPr>
        <w:pStyle w:val="Default"/>
      </w:pPr>
    </w:p>
    <w:p w14:paraId="68608081" w14:textId="77777777" w:rsidR="006F5875" w:rsidRPr="00B33177" w:rsidRDefault="006F5875" w:rsidP="006F5875">
      <w:pPr>
        <w:pStyle w:val="Body"/>
        <w:spacing w:after="0" w:line="240" w:lineRule="auto"/>
        <w:jc w:val="center"/>
        <w:rPr>
          <w:rFonts w:ascii="Times New Roman" w:eastAsia="Times New Roman" w:hAnsi="Times New Roman" w:cs="Times New Roman"/>
          <w:b/>
          <w:sz w:val="24"/>
          <w:szCs w:val="24"/>
        </w:rPr>
      </w:pPr>
      <w:bookmarkStart w:id="0" w:name="OLE_LINK2"/>
      <w:bookmarkStart w:id="1" w:name="OLE_LINK1"/>
      <w:r w:rsidRPr="00B33177">
        <w:rPr>
          <w:rFonts w:ascii="Times New Roman" w:hAnsi="Times New Roman" w:cs="Times New Roman"/>
          <w:b/>
          <w:sz w:val="24"/>
          <w:szCs w:val="24"/>
        </w:rPr>
        <w:t>MEMORANDUM</w:t>
      </w:r>
    </w:p>
    <w:p w14:paraId="592ED5F7" w14:textId="77777777" w:rsidR="006F5875" w:rsidRDefault="006F5875" w:rsidP="006F5875">
      <w:pPr>
        <w:pStyle w:val="Body"/>
        <w:spacing w:after="0" w:line="240" w:lineRule="auto"/>
        <w:rPr>
          <w:rFonts w:ascii="Times New Roman" w:eastAsia="Times New Roman" w:hAnsi="Times New Roman" w:cs="Times New Roman"/>
          <w:sz w:val="24"/>
          <w:szCs w:val="24"/>
        </w:rPr>
      </w:pPr>
    </w:p>
    <w:p w14:paraId="74D33D4B" w14:textId="77777777" w:rsidR="006F5875" w:rsidRPr="00866A5B" w:rsidRDefault="006F5875" w:rsidP="006F5875">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All MA Licensed Ambulance Services and Accredited EMT Training Institutions</w:t>
      </w:r>
    </w:p>
    <w:p w14:paraId="66E35AE8" w14:textId="77777777" w:rsidR="006F5875" w:rsidRDefault="006F5875" w:rsidP="006F5875">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CC:</w:t>
      </w:r>
      <w:r>
        <w:rPr>
          <w:rFonts w:ascii="Times New Roman" w:hAnsi="Times New Roman" w:cs="Times New Roman"/>
          <w:sz w:val="24"/>
          <w:szCs w:val="24"/>
        </w:rPr>
        <w:tab/>
      </w:r>
      <w:r>
        <w:rPr>
          <w:rFonts w:ascii="Times New Roman" w:hAnsi="Times New Roman" w:cs="Times New Roman"/>
          <w:sz w:val="24"/>
          <w:szCs w:val="24"/>
        </w:rPr>
        <w:tab/>
        <w:t>EMCAB Members</w:t>
      </w:r>
    </w:p>
    <w:p w14:paraId="3B236F71" w14:textId="77777777" w:rsidR="006F5875" w:rsidRDefault="006F5875" w:rsidP="006F5875">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FROM:</w:t>
      </w:r>
      <w:r>
        <w:rPr>
          <w:rFonts w:ascii="Times New Roman" w:hAnsi="Times New Roman" w:cs="Times New Roman"/>
          <w:sz w:val="24"/>
          <w:szCs w:val="24"/>
        </w:rPr>
        <w:tab/>
        <w:t>Dr. Jonathan Burstein, OEMS Medical Director</w:t>
      </w:r>
    </w:p>
    <w:p w14:paraId="597710E0" w14:textId="4DBE06C5" w:rsidR="006F5875" w:rsidRPr="00866A5B" w:rsidRDefault="006F5875" w:rsidP="006F5875">
      <w:pPr>
        <w:pStyle w:val="Body"/>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Pr>
          <w:rFonts w:ascii="Times New Roman" w:hAnsi="Times New Roman" w:cs="Times New Roman"/>
          <w:sz w:val="24"/>
          <w:szCs w:val="24"/>
        </w:rPr>
        <w:tab/>
        <w:t>202</w:t>
      </w:r>
      <w:r w:rsidR="00D67867">
        <w:rPr>
          <w:rFonts w:ascii="Times New Roman" w:hAnsi="Times New Roman" w:cs="Times New Roman"/>
          <w:sz w:val="24"/>
          <w:szCs w:val="24"/>
        </w:rPr>
        <w:t>5.1</w:t>
      </w:r>
      <w:r>
        <w:rPr>
          <w:rFonts w:ascii="Times New Roman" w:hAnsi="Times New Roman" w:cs="Times New Roman"/>
          <w:sz w:val="24"/>
          <w:szCs w:val="24"/>
        </w:rPr>
        <w:t xml:space="preserve"> Statewide Treatment Protocols (STPs)</w:t>
      </w:r>
    </w:p>
    <w:p w14:paraId="47CF3E83" w14:textId="76AB44D5" w:rsidR="006F5875" w:rsidRDefault="006F5875" w:rsidP="006F5875">
      <w:pPr>
        <w:pStyle w:val="Body"/>
        <w:spacing w:after="0" w:line="240" w:lineRule="auto"/>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9C0402">
        <w:rPr>
          <w:rFonts w:ascii="Times New Roman" w:hAnsi="Times New Roman" w:cs="Times New Roman"/>
          <w:sz w:val="24"/>
          <w:szCs w:val="24"/>
        </w:rPr>
        <w:t>April 15</w:t>
      </w:r>
      <w:r>
        <w:rPr>
          <w:rFonts w:ascii="Times New Roman" w:hAnsi="Times New Roman" w:cs="Times New Roman"/>
          <w:sz w:val="24"/>
          <w:szCs w:val="24"/>
        </w:rPr>
        <w:t>, 202</w:t>
      </w:r>
      <w:r w:rsidR="00D67867">
        <w:rPr>
          <w:rFonts w:ascii="Times New Roman" w:hAnsi="Times New Roman" w:cs="Times New Roman"/>
          <w:sz w:val="24"/>
          <w:szCs w:val="24"/>
        </w:rPr>
        <w:t>5</w:t>
      </w:r>
    </w:p>
    <w:p w14:paraId="749DF8F6" w14:textId="536C086C" w:rsidR="006F5875" w:rsidRPr="00866A5B" w:rsidRDefault="006F5875" w:rsidP="006F5875">
      <w:pPr>
        <w:pStyle w:val="Body"/>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7DC056AA" w14:textId="77777777" w:rsidR="00BA7222" w:rsidRDefault="00BA7222" w:rsidP="006F5875">
      <w:pPr>
        <w:pStyle w:val="Body"/>
        <w:spacing w:after="0" w:line="240" w:lineRule="auto"/>
        <w:rPr>
          <w:rFonts w:ascii="Times New Roman" w:hAnsi="Times New Roman" w:cs="Times New Roman"/>
          <w:sz w:val="24"/>
          <w:szCs w:val="24"/>
        </w:rPr>
      </w:pPr>
    </w:p>
    <w:p w14:paraId="6B64D93F" w14:textId="48D6AF08" w:rsidR="006F5875" w:rsidRDefault="006F5875" w:rsidP="006F5875">
      <w:pPr>
        <w:pStyle w:val="Body"/>
        <w:spacing w:after="0" w:line="240" w:lineRule="auto"/>
        <w:rPr>
          <w:rFonts w:ascii="Times New Roman" w:hAnsi="Times New Roman" w:cs="Times New Roman"/>
          <w:sz w:val="24"/>
          <w:szCs w:val="24"/>
        </w:rPr>
      </w:pPr>
      <w:r w:rsidRPr="00952E23">
        <w:rPr>
          <w:rFonts w:ascii="Times New Roman" w:hAnsi="Times New Roman" w:cs="Times New Roman"/>
          <w:sz w:val="24"/>
          <w:szCs w:val="24"/>
        </w:rPr>
        <w:t xml:space="preserve">The Massachusetts Department of Public Health, Office of Emergency Medical Services (Department) is </w:t>
      </w:r>
      <w:r>
        <w:rPr>
          <w:rFonts w:ascii="Times New Roman" w:hAnsi="Times New Roman" w:cs="Times New Roman"/>
          <w:sz w:val="24"/>
          <w:szCs w:val="24"/>
        </w:rPr>
        <w:t>issuing the 202</w:t>
      </w:r>
      <w:r w:rsidR="00D67867">
        <w:rPr>
          <w:rFonts w:ascii="Times New Roman" w:hAnsi="Times New Roman" w:cs="Times New Roman"/>
          <w:sz w:val="24"/>
          <w:szCs w:val="24"/>
        </w:rPr>
        <w:t>5</w:t>
      </w:r>
      <w:r>
        <w:rPr>
          <w:rFonts w:ascii="Times New Roman" w:hAnsi="Times New Roman" w:cs="Times New Roman"/>
          <w:sz w:val="24"/>
          <w:szCs w:val="24"/>
        </w:rPr>
        <w:t xml:space="preserve">.1 </w:t>
      </w:r>
      <w:r w:rsidR="00227E7B">
        <w:rPr>
          <w:rFonts w:ascii="Times New Roman" w:hAnsi="Times New Roman" w:cs="Times New Roman"/>
          <w:sz w:val="24"/>
          <w:szCs w:val="24"/>
        </w:rPr>
        <w:t>u</w:t>
      </w:r>
      <w:r>
        <w:rPr>
          <w:rFonts w:ascii="Times New Roman" w:hAnsi="Times New Roman" w:cs="Times New Roman"/>
          <w:sz w:val="24"/>
          <w:szCs w:val="24"/>
        </w:rPr>
        <w:t>pdated Statewide Treatment Protocols</w:t>
      </w:r>
      <w:r w:rsidR="00227E7B">
        <w:rPr>
          <w:rFonts w:ascii="Times New Roman" w:hAnsi="Times New Roman" w:cs="Times New Roman"/>
          <w:sz w:val="24"/>
          <w:szCs w:val="24"/>
        </w:rPr>
        <w:t xml:space="preserve"> (STP)</w:t>
      </w:r>
      <w:r>
        <w:rPr>
          <w:rFonts w:ascii="Times New Roman" w:hAnsi="Times New Roman" w:cs="Times New Roman"/>
          <w:sz w:val="24"/>
          <w:szCs w:val="24"/>
        </w:rPr>
        <w:t>.</w:t>
      </w:r>
    </w:p>
    <w:p w14:paraId="5B360A66" w14:textId="77777777" w:rsidR="00B82AB5" w:rsidRDefault="00B82AB5" w:rsidP="006F5875">
      <w:pPr>
        <w:pStyle w:val="Body"/>
        <w:spacing w:after="0" w:line="240" w:lineRule="auto"/>
        <w:rPr>
          <w:rFonts w:ascii="Times New Roman" w:hAnsi="Times New Roman" w:cs="Times New Roman"/>
          <w:sz w:val="24"/>
          <w:szCs w:val="24"/>
        </w:rPr>
      </w:pPr>
    </w:p>
    <w:p w14:paraId="3FE34182" w14:textId="546EBC0B" w:rsidR="006F5875" w:rsidRPr="0060714B" w:rsidRDefault="006F5875" w:rsidP="006F5875">
      <w:pPr>
        <w:pStyle w:val="Body"/>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All ambulance </w:t>
      </w:r>
      <w:r w:rsidR="00227E7B">
        <w:rPr>
          <w:rFonts w:ascii="Times New Roman" w:hAnsi="Times New Roman" w:cs="Times New Roman"/>
          <w:sz w:val="24"/>
          <w:szCs w:val="24"/>
        </w:rPr>
        <w:t xml:space="preserve">and EFR </w:t>
      </w:r>
      <w:r>
        <w:rPr>
          <w:rFonts w:ascii="Times New Roman" w:hAnsi="Times New Roman" w:cs="Times New Roman"/>
          <w:sz w:val="24"/>
          <w:szCs w:val="24"/>
        </w:rPr>
        <w:t xml:space="preserve">services are required to train their </w:t>
      </w:r>
      <w:r w:rsidR="004F75C4">
        <w:rPr>
          <w:rFonts w:ascii="Times New Roman" w:hAnsi="Times New Roman" w:cs="Times New Roman"/>
          <w:sz w:val="24"/>
          <w:szCs w:val="24"/>
        </w:rPr>
        <w:t xml:space="preserve">EMS </w:t>
      </w:r>
      <w:r>
        <w:rPr>
          <w:rFonts w:ascii="Times New Roman" w:hAnsi="Times New Roman" w:cs="Times New Roman"/>
          <w:sz w:val="24"/>
          <w:szCs w:val="24"/>
        </w:rPr>
        <w:t xml:space="preserve">personnel in the updated </w:t>
      </w:r>
      <w:r w:rsidR="00227E7B">
        <w:rPr>
          <w:rFonts w:ascii="Times New Roman" w:hAnsi="Times New Roman" w:cs="Times New Roman"/>
          <w:sz w:val="24"/>
          <w:szCs w:val="24"/>
        </w:rPr>
        <w:t>STP</w:t>
      </w:r>
      <w:r>
        <w:rPr>
          <w:rFonts w:ascii="Times New Roman" w:hAnsi="Times New Roman" w:cs="Times New Roman"/>
          <w:sz w:val="24"/>
          <w:szCs w:val="24"/>
        </w:rPr>
        <w:t xml:space="preserve">.  </w:t>
      </w:r>
      <w:r w:rsidRPr="0060714B">
        <w:rPr>
          <w:rFonts w:ascii="Times New Roman" w:hAnsi="Times New Roman" w:cs="Times New Roman"/>
          <w:b/>
          <w:bCs/>
          <w:sz w:val="24"/>
          <w:szCs w:val="24"/>
        </w:rPr>
        <w:t xml:space="preserve">The updated </w:t>
      </w:r>
      <w:r w:rsidR="00227E7B">
        <w:rPr>
          <w:rFonts w:ascii="Times New Roman" w:hAnsi="Times New Roman" w:cs="Times New Roman"/>
          <w:b/>
          <w:bCs/>
          <w:sz w:val="24"/>
          <w:szCs w:val="24"/>
        </w:rPr>
        <w:t>STP</w:t>
      </w:r>
      <w:r w:rsidR="00227E7B" w:rsidRPr="0060714B">
        <w:rPr>
          <w:rFonts w:ascii="Times New Roman" w:hAnsi="Times New Roman" w:cs="Times New Roman"/>
          <w:b/>
          <w:bCs/>
          <w:sz w:val="24"/>
          <w:szCs w:val="24"/>
        </w:rPr>
        <w:t xml:space="preserve"> </w:t>
      </w:r>
      <w:r w:rsidRPr="0060714B">
        <w:rPr>
          <w:rFonts w:ascii="Times New Roman" w:hAnsi="Times New Roman" w:cs="Times New Roman"/>
          <w:b/>
          <w:bCs/>
          <w:sz w:val="24"/>
          <w:szCs w:val="24"/>
        </w:rPr>
        <w:t xml:space="preserve">may be used by a service once such training is complete, </w:t>
      </w:r>
      <w:r w:rsidR="004F75C4" w:rsidRPr="0060714B">
        <w:rPr>
          <w:rFonts w:ascii="Times New Roman" w:hAnsi="Times New Roman" w:cs="Times New Roman"/>
          <w:b/>
          <w:bCs/>
          <w:sz w:val="24"/>
          <w:szCs w:val="24"/>
        </w:rPr>
        <w:t xml:space="preserve">and the service is appropriately equipped, </w:t>
      </w:r>
      <w:r w:rsidRPr="0060714B">
        <w:rPr>
          <w:rFonts w:ascii="Times New Roman" w:hAnsi="Times New Roman" w:cs="Times New Roman"/>
          <w:b/>
          <w:bCs/>
          <w:sz w:val="24"/>
          <w:szCs w:val="24"/>
        </w:rPr>
        <w:t xml:space="preserve">but in any event are mandatory as of </w:t>
      </w:r>
      <w:r w:rsidR="00366A55">
        <w:rPr>
          <w:rFonts w:ascii="Times New Roman" w:hAnsi="Times New Roman" w:cs="Times New Roman"/>
          <w:b/>
          <w:bCs/>
          <w:sz w:val="24"/>
          <w:szCs w:val="24"/>
        </w:rPr>
        <w:t>June 16</w:t>
      </w:r>
      <w:r w:rsidRPr="0060714B">
        <w:rPr>
          <w:rFonts w:ascii="Times New Roman" w:hAnsi="Times New Roman" w:cs="Times New Roman"/>
          <w:b/>
          <w:bCs/>
          <w:sz w:val="24"/>
          <w:szCs w:val="24"/>
        </w:rPr>
        <w:t>, 202</w:t>
      </w:r>
      <w:r w:rsidR="00D67867">
        <w:rPr>
          <w:rFonts w:ascii="Times New Roman" w:hAnsi="Times New Roman" w:cs="Times New Roman"/>
          <w:b/>
          <w:bCs/>
          <w:sz w:val="24"/>
          <w:szCs w:val="24"/>
        </w:rPr>
        <w:t>5</w:t>
      </w:r>
      <w:r w:rsidRPr="0060714B">
        <w:rPr>
          <w:rFonts w:ascii="Times New Roman" w:hAnsi="Times New Roman" w:cs="Times New Roman"/>
          <w:b/>
          <w:bCs/>
          <w:sz w:val="24"/>
          <w:szCs w:val="24"/>
        </w:rPr>
        <w:t>.</w:t>
      </w:r>
    </w:p>
    <w:p w14:paraId="0C54E21C" w14:textId="77777777" w:rsidR="006F5875" w:rsidRPr="00952E23" w:rsidRDefault="006F5875" w:rsidP="006F5875">
      <w:pPr>
        <w:pStyle w:val="Body"/>
        <w:spacing w:after="0" w:line="240" w:lineRule="auto"/>
        <w:rPr>
          <w:rFonts w:ascii="Times New Roman" w:hAnsi="Times New Roman" w:cs="Times New Roman"/>
          <w:sz w:val="24"/>
          <w:szCs w:val="24"/>
        </w:rPr>
      </w:pPr>
    </w:p>
    <w:p w14:paraId="2F730365" w14:textId="77777777" w:rsidR="006F5875" w:rsidRDefault="006F5875" w:rsidP="006F5875">
      <w:pPr>
        <w:rPr>
          <w:szCs w:val="24"/>
        </w:rPr>
      </w:pPr>
      <w:r>
        <w:rPr>
          <w:szCs w:val="24"/>
        </w:rPr>
        <w:t>The change chart is below:</w:t>
      </w:r>
    </w:p>
    <w:p w14:paraId="6A560E82" w14:textId="77777777" w:rsidR="006F5875" w:rsidRDefault="006F5875" w:rsidP="006F5875">
      <w:pPr>
        <w:rPr>
          <w:szCs w:val="24"/>
        </w:rPr>
      </w:pPr>
    </w:p>
    <w:p w14:paraId="027782BF" w14:textId="517FBDEF" w:rsidR="006F5875" w:rsidRDefault="006F5875" w:rsidP="006F5875">
      <w:pPr>
        <w:pStyle w:val="Body"/>
        <w:shd w:val="clear" w:color="auto" w:fill="FFFFFF"/>
        <w:spacing w:after="0" w:line="240" w:lineRule="auto"/>
        <w:rPr>
          <w:rFonts w:ascii="Times New Roman" w:hAnsi="Times New Roman" w:cs="Times New Roman"/>
          <w:b/>
          <w:bCs/>
          <w:sz w:val="24"/>
          <w:szCs w:val="24"/>
          <w:u w:val="single"/>
        </w:rPr>
      </w:pPr>
      <w:r w:rsidRPr="007C259A">
        <w:rPr>
          <w:rFonts w:ascii="Times New Roman" w:hAnsi="Times New Roman" w:cs="Times New Roman"/>
          <w:b/>
          <w:bCs/>
          <w:sz w:val="24"/>
          <w:szCs w:val="24"/>
          <w:u w:val="single"/>
        </w:rPr>
        <w:t>Change Chart</w:t>
      </w:r>
      <w:r>
        <w:rPr>
          <w:rFonts w:ascii="Times New Roman" w:hAnsi="Times New Roman" w:cs="Times New Roman"/>
          <w:b/>
          <w:bCs/>
          <w:sz w:val="24"/>
          <w:szCs w:val="24"/>
          <w:u w:val="single"/>
        </w:rPr>
        <w:t xml:space="preserve">, </w:t>
      </w:r>
      <w:r w:rsidRPr="007C259A">
        <w:rPr>
          <w:rFonts w:ascii="Times New Roman" w:hAnsi="Times New Roman" w:cs="Times New Roman"/>
          <w:b/>
          <w:bCs/>
          <w:sz w:val="24"/>
          <w:szCs w:val="24"/>
          <w:u w:val="single"/>
        </w:rPr>
        <w:t>OEMS Statewide Treatment Protocols 202</w:t>
      </w:r>
      <w:r w:rsidR="00D67867">
        <w:rPr>
          <w:rFonts w:ascii="Times New Roman" w:hAnsi="Times New Roman" w:cs="Times New Roman"/>
          <w:b/>
          <w:bCs/>
          <w:sz w:val="24"/>
          <w:szCs w:val="24"/>
          <w:u w:val="single"/>
        </w:rPr>
        <w:t>5</w:t>
      </w:r>
      <w:r>
        <w:rPr>
          <w:rFonts w:ascii="Times New Roman" w:hAnsi="Times New Roman" w:cs="Times New Roman"/>
          <w:b/>
          <w:bCs/>
          <w:sz w:val="24"/>
          <w:szCs w:val="24"/>
          <w:u w:val="single"/>
        </w:rPr>
        <w:t>.1</w:t>
      </w:r>
    </w:p>
    <w:p w14:paraId="3DDF93FB" w14:textId="77777777" w:rsidR="006F5875" w:rsidRDefault="006F5875" w:rsidP="006F5875">
      <w:pPr>
        <w:pStyle w:val="Body"/>
        <w:shd w:val="clear" w:color="auto" w:fill="FFFFFF"/>
        <w:spacing w:after="0" w:line="240" w:lineRule="auto"/>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2141"/>
        <w:gridCol w:w="7209"/>
      </w:tblGrid>
      <w:tr w:rsidR="006F5875" w:rsidRPr="00BE42FE" w14:paraId="6482DF79" w14:textId="77777777" w:rsidTr="004635E5">
        <w:tc>
          <w:tcPr>
            <w:tcW w:w="2141" w:type="dxa"/>
          </w:tcPr>
          <w:p w14:paraId="453CDFAC" w14:textId="77777777" w:rsidR="006F5875" w:rsidRPr="00BE42FE" w:rsidRDefault="006F5875" w:rsidP="00F85F74">
            <w:pPr>
              <w:rPr>
                <w:rFonts w:ascii="Times New Roman" w:hAnsi="Times New Roman" w:cs="Times New Roman"/>
                <w:b/>
                <w:bCs/>
                <w:sz w:val="22"/>
              </w:rPr>
            </w:pPr>
            <w:r w:rsidRPr="00BE42FE">
              <w:rPr>
                <w:rFonts w:ascii="Times New Roman" w:hAnsi="Times New Roman" w:cs="Times New Roman"/>
                <w:b/>
                <w:bCs/>
                <w:sz w:val="22"/>
              </w:rPr>
              <w:t>Section</w:t>
            </w:r>
          </w:p>
        </w:tc>
        <w:tc>
          <w:tcPr>
            <w:tcW w:w="7209" w:type="dxa"/>
          </w:tcPr>
          <w:p w14:paraId="4B5DB202" w14:textId="77777777" w:rsidR="006F5875" w:rsidRPr="00BE42FE" w:rsidRDefault="006F5875" w:rsidP="00F85F74">
            <w:pPr>
              <w:rPr>
                <w:rFonts w:ascii="Times New Roman" w:hAnsi="Times New Roman" w:cs="Times New Roman"/>
                <w:b/>
                <w:bCs/>
                <w:sz w:val="22"/>
              </w:rPr>
            </w:pPr>
            <w:r w:rsidRPr="00BE42FE">
              <w:rPr>
                <w:rFonts w:ascii="Times New Roman" w:hAnsi="Times New Roman" w:cs="Times New Roman"/>
                <w:b/>
                <w:bCs/>
                <w:sz w:val="22"/>
              </w:rPr>
              <w:t>Changes</w:t>
            </w:r>
          </w:p>
        </w:tc>
      </w:tr>
      <w:tr w:rsidR="006F5875" w:rsidRPr="00BE42FE" w14:paraId="4381EEC8" w14:textId="77777777" w:rsidTr="004635E5">
        <w:tc>
          <w:tcPr>
            <w:tcW w:w="2141" w:type="dxa"/>
          </w:tcPr>
          <w:p w14:paraId="0BC4229E" w14:textId="77777777" w:rsidR="006F5875" w:rsidRPr="00BE42FE" w:rsidRDefault="006F5875" w:rsidP="00F85F74">
            <w:pPr>
              <w:rPr>
                <w:rFonts w:ascii="Times New Roman" w:hAnsi="Times New Roman" w:cs="Times New Roman"/>
                <w:sz w:val="22"/>
              </w:rPr>
            </w:pPr>
            <w:r w:rsidRPr="00BE42FE">
              <w:rPr>
                <w:rFonts w:ascii="Times New Roman" w:hAnsi="Times New Roman" w:cs="Times New Roman"/>
                <w:sz w:val="22"/>
              </w:rPr>
              <w:t>TOC</w:t>
            </w:r>
          </w:p>
        </w:tc>
        <w:tc>
          <w:tcPr>
            <w:tcW w:w="7209" w:type="dxa"/>
          </w:tcPr>
          <w:p w14:paraId="7E70ABF6" w14:textId="2D01C25B" w:rsidR="006F5875" w:rsidRPr="00BE42FE" w:rsidRDefault="006F5875" w:rsidP="00F85F74">
            <w:pPr>
              <w:rPr>
                <w:rFonts w:ascii="Times New Roman" w:hAnsi="Times New Roman" w:cs="Times New Roman"/>
                <w:sz w:val="22"/>
              </w:rPr>
            </w:pPr>
            <w:r w:rsidRPr="00BE42FE">
              <w:rPr>
                <w:rFonts w:ascii="Times New Roman" w:hAnsi="Times New Roman" w:cs="Times New Roman"/>
                <w:sz w:val="22"/>
              </w:rPr>
              <w:t>Added entry for new protocol</w:t>
            </w:r>
            <w:r w:rsidR="00844802" w:rsidRPr="00BE42FE">
              <w:rPr>
                <w:rFonts w:ascii="Times New Roman" w:hAnsi="Times New Roman" w:cs="Times New Roman"/>
                <w:sz w:val="22"/>
              </w:rPr>
              <w:t>s</w:t>
            </w:r>
            <w:r w:rsidR="00227E7B">
              <w:rPr>
                <w:rFonts w:ascii="Times New Roman" w:hAnsi="Times New Roman" w:cs="Times New Roman"/>
                <w:sz w:val="22"/>
              </w:rPr>
              <w:t xml:space="preserve"> </w:t>
            </w:r>
            <w:r w:rsidR="002A343C" w:rsidRPr="00BE42FE">
              <w:rPr>
                <w:rFonts w:ascii="Times New Roman" w:hAnsi="Times New Roman" w:cs="Times New Roman"/>
                <w:sz w:val="22"/>
              </w:rPr>
              <w:t>6.19</w:t>
            </w:r>
            <w:r w:rsidR="00227E7B">
              <w:rPr>
                <w:rFonts w:ascii="Times New Roman" w:hAnsi="Times New Roman" w:cs="Times New Roman"/>
                <w:sz w:val="22"/>
              </w:rPr>
              <w:t xml:space="preserve"> and</w:t>
            </w:r>
            <w:r w:rsidR="002A343C" w:rsidRPr="00BE42FE">
              <w:rPr>
                <w:rFonts w:ascii="Times New Roman" w:hAnsi="Times New Roman" w:cs="Times New Roman"/>
                <w:sz w:val="22"/>
              </w:rPr>
              <w:t xml:space="preserve"> 8.3 </w:t>
            </w:r>
            <w:r w:rsidRPr="00BE42FE">
              <w:rPr>
                <w:rFonts w:ascii="Times New Roman" w:hAnsi="Times New Roman" w:cs="Times New Roman"/>
                <w:sz w:val="22"/>
              </w:rPr>
              <w:t xml:space="preserve"> </w:t>
            </w:r>
          </w:p>
        </w:tc>
      </w:tr>
      <w:tr w:rsidR="00CB22E0" w:rsidRPr="00BE42FE" w14:paraId="0E8D8F5C" w14:textId="77777777" w:rsidTr="004635E5">
        <w:tc>
          <w:tcPr>
            <w:tcW w:w="2141" w:type="dxa"/>
          </w:tcPr>
          <w:p w14:paraId="497FE49B" w14:textId="7625295A" w:rsidR="00CB22E0" w:rsidRPr="00BE42FE" w:rsidRDefault="00EA0E03" w:rsidP="00F85F74">
            <w:pPr>
              <w:rPr>
                <w:rFonts w:ascii="Times New Roman" w:hAnsi="Times New Roman" w:cs="Times New Roman"/>
                <w:sz w:val="22"/>
              </w:rPr>
            </w:pPr>
            <w:r w:rsidRPr="00BE42FE">
              <w:rPr>
                <w:rFonts w:ascii="Times New Roman" w:hAnsi="Times New Roman" w:cs="Times New Roman"/>
                <w:sz w:val="22"/>
              </w:rPr>
              <w:t>1.0</w:t>
            </w:r>
          </w:p>
        </w:tc>
        <w:tc>
          <w:tcPr>
            <w:tcW w:w="7209" w:type="dxa"/>
          </w:tcPr>
          <w:p w14:paraId="563CDA0E" w14:textId="3903F808" w:rsidR="00B778A1" w:rsidRPr="009C5CA3" w:rsidRDefault="00A66064" w:rsidP="00F85F74">
            <w:pPr>
              <w:rPr>
                <w:rFonts w:ascii="Times New Roman" w:hAnsi="Times New Roman" w:cs="Times New Roman"/>
                <w:sz w:val="22"/>
              </w:rPr>
            </w:pPr>
            <w:r w:rsidRPr="009C5CA3">
              <w:rPr>
                <w:rFonts w:ascii="Times New Roman" w:hAnsi="Times New Roman" w:cs="Times New Roman"/>
                <w:sz w:val="22"/>
              </w:rPr>
              <w:t>Clarification to</w:t>
            </w:r>
            <w:r w:rsidR="002A343C" w:rsidRPr="009C5CA3">
              <w:rPr>
                <w:rFonts w:ascii="Times New Roman" w:hAnsi="Times New Roman" w:cs="Times New Roman"/>
                <w:sz w:val="22"/>
              </w:rPr>
              <w:t xml:space="preserve"> Routine Patient Care</w:t>
            </w:r>
            <w:r w:rsidR="00B778A1" w:rsidRPr="009C5CA3">
              <w:rPr>
                <w:rFonts w:ascii="Times New Roman" w:hAnsi="Times New Roman" w:cs="Times New Roman"/>
                <w:sz w:val="22"/>
              </w:rPr>
              <w:t>:</w:t>
            </w:r>
          </w:p>
          <w:p w14:paraId="43AE91C8" w14:textId="08391CC7" w:rsidR="00B778A1" w:rsidRPr="009C5CA3" w:rsidRDefault="00A9715F" w:rsidP="00F85F74">
            <w:pPr>
              <w:rPr>
                <w:rFonts w:ascii="Times New Roman" w:hAnsi="Times New Roman" w:cs="Times New Roman"/>
                <w:sz w:val="22"/>
              </w:rPr>
            </w:pPr>
            <w:r w:rsidRPr="009C5CA3">
              <w:rPr>
                <w:rFonts w:ascii="Times New Roman" w:hAnsi="Times New Roman" w:cs="Times New Roman"/>
                <w:sz w:val="22"/>
              </w:rPr>
              <w:t>1)</w:t>
            </w:r>
            <w:r w:rsidR="002A343C" w:rsidRPr="009C5CA3">
              <w:rPr>
                <w:rFonts w:ascii="Times New Roman" w:hAnsi="Times New Roman" w:cs="Times New Roman"/>
                <w:sz w:val="22"/>
              </w:rPr>
              <w:t xml:space="preserve"> </w:t>
            </w:r>
            <w:r w:rsidR="00B778A1" w:rsidRPr="009C5CA3">
              <w:rPr>
                <w:rFonts w:ascii="Times New Roman" w:hAnsi="Times New Roman" w:cs="Times New Roman"/>
                <w:sz w:val="22"/>
              </w:rPr>
              <w:t>U</w:t>
            </w:r>
            <w:r w:rsidR="002A343C" w:rsidRPr="009C5CA3">
              <w:rPr>
                <w:rFonts w:ascii="Times New Roman" w:hAnsi="Times New Roman" w:cs="Times New Roman"/>
                <w:sz w:val="22"/>
              </w:rPr>
              <w:t>nder Exception Principle</w:t>
            </w:r>
            <w:r w:rsidR="00B778A1" w:rsidRPr="009C5CA3">
              <w:rPr>
                <w:rFonts w:ascii="Times New Roman" w:hAnsi="Times New Roman" w:cs="Times New Roman"/>
                <w:sz w:val="22"/>
              </w:rPr>
              <w:t>,</w:t>
            </w:r>
            <w:r w:rsidR="002A343C" w:rsidRPr="009C5CA3">
              <w:rPr>
                <w:rFonts w:ascii="Times New Roman" w:hAnsi="Times New Roman" w:cs="Times New Roman"/>
                <w:sz w:val="22"/>
              </w:rPr>
              <w:t xml:space="preserve"> </w:t>
            </w:r>
            <w:r w:rsidR="00B778A1" w:rsidRPr="009C5CA3">
              <w:rPr>
                <w:rFonts w:ascii="Times New Roman" w:hAnsi="Times New Roman" w:cs="Times New Roman"/>
                <w:sz w:val="22"/>
              </w:rPr>
              <w:t xml:space="preserve">added the following: </w:t>
            </w:r>
            <w:r w:rsidR="002A343C" w:rsidRPr="009C5CA3">
              <w:rPr>
                <w:rFonts w:ascii="Times New Roman" w:hAnsi="Times New Roman" w:cs="Times New Roman"/>
                <w:sz w:val="22"/>
              </w:rPr>
              <w:t xml:space="preserve">“The Exception Principle applies only to </w:t>
            </w:r>
            <w:r w:rsidR="00B778A1" w:rsidRPr="009C5CA3">
              <w:rPr>
                <w:rFonts w:ascii="Times New Roman" w:hAnsi="Times New Roman" w:cs="Times New Roman"/>
                <w:sz w:val="22"/>
              </w:rPr>
              <w:t xml:space="preserve">exceptions from the Statewide Treatment Protocol, for </w:t>
            </w:r>
            <w:r w:rsidR="002A343C" w:rsidRPr="009C5CA3">
              <w:rPr>
                <w:rFonts w:ascii="Times New Roman" w:hAnsi="Times New Roman" w:cs="Times New Roman"/>
                <w:sz w:val="22"/>
              </w:rPr>
              <w:t xml:space="preserve">real-time care of a specific individual patient. It does NOT apply to </w:t>
            </w:r>
            <w:r w:rsidR="00B778A1" w:rsidRPr="009C5CA3">
              <w:rPr>
                <w:rFonts w:ascii="Times New Roman" w:hAnsi="Times New Roman" w:cs="Times New Roman"/>
                <w:sz w:val="22"/>
              </w:rPr>
              <w:t xml:space="preserve">exceptions from the EMS statute, regulations, Department-approved point-of-entry plans, Administrative Requirements, and Advisories. So, </w:t>
            </w:r>
            <w:r w:rsidR="002A343C" w:rsidRPr="009C5CA3">
              <w:rPr>
                <w:rFonts w:ascii="Times New Roman" w:hAnsi="Times New Roman" w:cs="Times New Roman"/>
                <w:sz w:val="22"/>
              </w:rPr>
              <w:t xml:space="preserve">for example, </w:t>
            </w:r>
            <w:r w:rsidR="00B778A1" w:rsidRPr="009C5CA3">
              <w:rPr>
                <w:rFonts w:ascii="Times New Roman" w:hAnsi="Times New Roman" w:cs="Times New Roman"/>
                <w:sz w:val="22"/>
              </w:rPr>
              <w:t xml:space="preserve">it would not apply to </w:t>
            </w:r>
            <w:r w:rsidR="002A343C" w:rsidRPr="009C5CA3">
              <w:rPr>
                <w:rFonts w:ascii="Times New Roman" w:hAnsi="Times New Roman" w:cs="Times New Roman"/>
                <w:sz w:val="22"/>
              </w:rPr>
              <w:t>operations issues</w:t>
            </w:r>
            <w:r w:rsidR="00B778A1" w:rsidRPr="009C5CA3">
              <w:rPr>
                <w:rFonts w:ascii="Times New Roman" w:hAnsi="Times New Roman" w:cs="Times New Roman"/>
                <w:sz w:val="22"/>
              </w:rPr>
              <w:t>,</w:t>
            </w:r>
            <w:r w:rsidR="002A343C" w:rsidRPr="009C5CA3">
              <w:rPr>
                <w:rFonts w:ascii="Times New Roman" w:hAnsi="Times New Roman" w:cs="Times New Roman"/>
                <w:sz w:val="22"/>
              </w:rPr>
              <w:t xml:space="preserve"> such as ambulance staffing</w:t>
            </w:r>
            <w:r w:rsidR="00B778A1" w:rsidRPr="009C5CA3">
              <w:rPr>
                <w:rFonts w:ascii="Times New Roman" w:hAnsi="Times New Roman" w:cs="Times New Roman"/>
                <w:sz w:val="22"/>
              </w:rPr>
              <w:t>,</w:t>
            </w:r>
            <w:r w:rsidR="002A343C" w:rsidRPr="009C5CA3">
              <w:rPr>
                <w:rFonts w:ascii="Times New Roman" w:hAnsi="Times New Roman" w:cs="Times New Roman"/>
                <w:sz w:val="22"/>
              </w:rPr>
              <w:t xml:space="preserve"> deployment</w:t>
            </w:r>
            <w:r w:rsidR="00B778A1" w:rsidRPr="009C5CA3">
              <w:rPr>
                <w:rFonts w:ascii="Times New Roman" w:hAnsi="Times New Roman" w:cs="Times New Roman"/>
                <w:sz w:val="22"/>
              </w:rPr>
              <w:t>,</w:t>
            </w:r>
            <w:r w:rsidR="002A343C" w:rsidRPr="009C5CA3">
              <w:rPr>
                <w:rFonts w:ascii="Times New Roman" w:hAnsi="Times New Roman" w:cs="Times New Roman"/>
                <w:sz w:val="22"/>
              </w:rPr>
              <w:t xml:space="preserve"> equipment failures</w:t>
            </w:r>
            <w:r w:rsidR="00B778A1" w:rsidRPr="009C5CA3">
              <w:rPr>
                <w:rFonts w:ascii="Times New Roman" w:hAnsi="Times New Roman" w:cs="Times New Roman"/>
                <w:sz w:val="22"/>
              </w:rPr>
              <w:t>,</w:t>
            </w:r>
            <w:r w:rsidR="002A343C" w:rsidRPr="009C5CA3">
              <w:rPr>
                <w:rFonts w:ascii="Times New Roman" w:hAnsi="Times New Roman" w:cs="Times New Roman"/>
                <w:sz w:val="22"/>
              </w:rPr>
              <w:t xml:space="preserve"> lack of par levels of medications</w:t>
            </w:r>
            <w:r w:rsidR="00B778A1" w:rsidRPr="009C5CA3">
              <w:rPr>
                <w:rFonts w:ascii="Times New Roman" w:hAnsi="Times New Roman" w:cs="Times New Roman"/>
                <w:sz w:val="22"/>
              </w:rPr>
              <w:t xml:space="preserve">; or transport decisions deviating from the EMS regulations or point-of-entry plan </w:t>
            </w:r>
            <w:r w:rsidR="00BE42FE" w:rsidRPr="009C5CA3">
              <w:rPr>
                <w:rFonts w:ascii="Times New Roman" w:hAnsi="Times New Roman" w:cs="Times New Roman"/>
                <w:sz w:val="22"/>
              </w:rPr>
              <w:t>requirements.</w:t>
            </w:r>
            <w:r w:rsidR="002A343C" w:rsidRPr="009C5CA3">
              <w:rPr>
                <w:rFonts w:ascii="Times New Roman" w:hAnsi="Times New Roman" w:cs="Times New Roman"/>
                <w:sz w:val="22"/>
              </w:rPr>
              <w:t xml:space="preserve"> These</w:t>
            </w:r>
            <w:r w:rsidR="00227E7B" w:rsidRPr="009C5CA3">
              <w:rPr>
                <w:rFonts w:ascii="Times New Roman" w:hAnsi="Times New Roman" w:cs="Times New Roman"/>
                <w:sz w:val="22"/>
              </w:rPr>
              <w:t xml:space="preserve"> are</w:t>
            </w:r>
            <w:r w:rsidR="002A343C" w:rsidRPr="009C5CA3">
              <w:rPr>
                <w:rFonts w:ascii="Times New Roman" w:hAnsi="Times New Roman" w:cs="Times New Roman"/>
                <w:sz w:val="22"/>
              </w:rPr>
              <w:t xml:space="preserve"> </w:t>
            </w:r>
            <w:r w:rsidR="00B778A1" w:rsidRPr="009C5CA3">
              <w:rPr>
                <w:rFonts w:ascii="Times New Roman" w:hAnsi="Times New Roman" w:cs="Times New Roman"/>
                <w:sz w:val="22"/>
              </w:rPr>
              <w:t xml:space="preserve">outside the authority </w:t>
            </w:r>
            <w:r w:rsidR="002A343C" w:rsidRPr="009C5CA3">
              <w:rPr>
                <w:rFonts w:ascii="Times New Roman" w:hAnsi="Times New Roman" w:cs="Times New Roman"/>
                <w:sz w:val="22"/>
              </w:rPr>
              <w:t xml:space="preserve">of medical control.” </w:t>
            </w:r>
          </w:p>
          <w:p w14:paraId="3B59A324" w14:textId="0244A970" w:rsidR="00B778A1" w:rsidRPr="009C5CA3" w:rsidRDefault="00B82AB5" w:rsidP="00F85F74">
            <w:pPr>
              <w:rPr>
                <w:rFonts w:ascii="Times New Roman" w:hAnsi="Times New Roman" w:cs="Times New Roman"/>
                <w:sz w:val="22"/>
              </w:rPr>
            </w:pPr>
            <w:r w:rsidRPr="009C5CA3">
              <w:rPr>
                <w:rFonts w:ascii="Times New Roman" w:hAnsi="Times New Roman" w:cs="Times New Roman"/>
                <w:sz w:val="22"/>
              </w:rPr>
              <w:t>2</w:t>
            </w:r>
            <w:r w:rsidR="00A9715F" w:rsidRPr="009C5CA3">
              <w:rPr>
                <w:rFonts w:ascii="Times New Roman" w:hAnsi="Times New Roman" w:cs="Times New Roman"/>
                <w:sz w:val="22"/>
              </w:rPr>
              <w:t>)</w:t>
            </w:r>
            <w:r w:rsidRPr="009C5CA3">
              <w:rPr>
                <w:rFonts w:ascii="Times New Roman" w:hAnsi="Times New Roman" w:cs="Times New Roman"/>
                <w:sz w:val="22"/>
              </w:rPr>
              <w:t xml:space="preserve"> Under</w:t>
            </w:r>
            <w:r w:rsidR="002A343C" w:rsidRPr="009C5CA3">
              <w:rPr>
                <w:rFonts w:ascii="Times New Roman" w:hAnsi="Times New Roman" w:cs="Times New Roman"/>
                <w:sz w:val="22"/>
              </w:rPr>
              <w:t xml:space="preserve"> Transport Decision</w:t>
            </w:r>
            <w:r w:rsidR="00B778A1" w:rsidRPr="009C5CA3">
              <w:rPr>
                <w:rFonts w:ascii="Times New Roman" w:hAnsi="Times New Roman" w:cs="Times New Roman"/>
                <w:sz w:val="22"/>
              </w:rPr>
              <w:t>,</w:t>
            </w:r>
            <w:r w:rsidR="002A343C" w:rsidRPr="009C5CA3">
              <w:rPr>
                <w:rFonts w:ascii="Times New Roman" w:hAnsi="Times New Roman" w:cs="Times New Roman"/>
                <w:sz w:val="22"/>
              </w:rPr>
              <w:t xml:space="preserve"> add</w:t>
            </w:r>
            <w:r w:rsidR="00B778A1" w:rsidRPr="009C5CA3">
              <w:rPr>
                <w:rFonts w:ascii="Times New Roman" w:hAnsi="Times New Roman" w:cs="Times New Roman"/>
                <w:sz w:val="22"/>
              </w:rPr>
              <w:t xml:space="preserve">ed </w:t>
            </w:r>
            <w:r w:rsidR="00227E7B" w:rsidRPr="009C5CA3">
              <w:rPr>
                <w:rFonts w:ascii="Times New Roman" w:hAnsi="Times New Roman" w:cs="Times New Roman"/>
                <w:sz w:val="22"/>
              </w:rPr>
              <w:t xml:space="preserve">the </w:t>
            </w:r>
            <w:r w:rsidR="0003717D" w:rsidRPr="009C5CA3">
              <w:rPr>
                <w:rFonts w:ascii="Times New Roman" w:hAnsi="Times New Roman" w:cs="Times New Roman"/>
                <w:sz w:val="22"/>
              </w:rPr>
              <w:t>following: “A</w:t>
            </w:r>
            <w:r w:rsidR="002A343C" w:rsidRPr="009C5CA3">
              <w:rPr>
                <w:rFonts w:ascii="Times New Roman" w:hAnsi="Times New Roman" w:cs="Times New Roman"/>
                <w:sz w:val="22"/>
              </w:rPr>
              <w:t xml:space="preserve"> patient who is in cardiac arrest, cannot be oxygenated or ventilated, or is otherwise critically unstable due to issues not amenable to EMS intervention, should be transported to the closest APPROPRIATE hospital based on their condition and POE criteria.  This may still be a specialty hospital such as a </w:t>
            </w:r>
            <w:r w:rsidR="00B778A1" w:rsidRPr="009C5CA3">
              <w:rPr>
                <w:rFonts w:ascii="Times New Roman" w:hAnsi="Times New Roman" w:cs="Times New Roman"/>
                <w:sz w:val="22"/>
              </w:rPr>
              <w:t>percutaneous coronary intervention (</w:t>
            </w:r>
            <w:r w:rsidR="002A343C" w:rsidRPr="009C5CA3">
              <w:rPr>
                <w:rFonts w:ascii="Times New Roman" w:hAnsi="Times New Roman" w:cs="Times New Roman"/>
                <w:sz w:val="22"/>
              </w:rPr>
              <w:t>PCI</w:t>
            </w:r>
            <w:r w:rsidR="00B778A1" w:rsidRPr="009C5CA3">
              <w:rPr>
                <w:rFonts w:ascii="Times New Roman" w:hAnsi="Times New Roman" w:cs="Times New Roman"/>
                <w:sz w:val="22"/>
              </w:rPr>
              <w:t>)</w:t>
            </w:r>
            <w:r w:rsidR="002A343C" w:rsidRPr="009C5CA3">
              <w:rPr>
                <w:rFonts w:ascii="Times New Roman" w:hAnsi="Times New Roman" w:cs="Times New Roman"/>
                <w:sz w:val="22"/>
              </w:rPr>
              <w:t xml:space="preserve"> facility or Department -approved Trauma Center.  Consider consulting Medical Control for destination assistance.”</w:t>
            </w:r>
          </w:p>
          <w:p w14:paraId="6C616B6A" w14:textId="77777777" w:rsidR="009C5CA3" w:rsidRPr="009C5CA3" w:rsidRDefault="00844802" w:rsidP="009C5CA3">
            <w:pPr>
              <w:pStyle w:val="NoSpacing"/>
              <w:rPr>
                <w:rFonts w:ascii="Times New Roman" w:hAnsi="Times New Roman" w:cs="Times New Roman"/>
                <w:color w:val="000000"/>
              </w:rPr>
            </w:pPr>
            <w:r w:rsidRPr="009C5CA3">
              <w:rPr>
                <w:rFonts w:ascii="Times New Roman" w:hAnsi="Times New Roman" w:cs="Times New Roman"/>
              </w:rPr>
              <w:lastRenderedPageBreak/>
              <w:t>3) Under Patient Approach</w:t>
            </w:r>
            <w:r w:rsidR="00B778A1" w:rsidRPr="009C5CA3">
              <w:rPr>
                <w:rFonts w:ascii="Times New Roman" w:hAnsi="Times New Roman" w:cs="Times New Roman"/>
              </w:rPr>
              <w:t>,</w:t>
            </w:r>
            <w:r w:rsidRPr="009C5CA3">
              <w:rPr>
                <w:rFonts w:ascii="Times New Roman" w:hAnsi="Times New Roman" w:cs="Times New Roman"/>
              </w:rPr>
              <w:t xml:space="preserve"> </w:t>
            </w:r>
            <w:r w:rsidR="00B778A1" w:rsidRPr="009C5CA3">
              <w:rPr>
                <w:rFonts w:ascii="Times New Roman" w:hAnsi="Times New Roman" w:cs="Times New Roman"/>
              </w:rPr>
              <w:t>a</w:t>
            </w:r>
            <w:r w:rsidRPr="009C5CA3">
              <w:rPr>
                <w:rFonts w:ascii="Times New Roman" w:hAnsi="Times New Roman" w:cs="Times New Roman"/>
              </w:rPr>
              <w:t xml:space="preserve">dded </w:t>
            </w:r>
            <w:r w:rsidR="00B778A1" w:rsidRPr="009C5CA3">
              <w:rPr>
                <w:rFonts w:ascii="Times New Roman" w:hAnsi="Times New Roman" w:cs="Times New Roman"/>
              </w:rPr>
              <w:t>the following:</w:t>
            </w:r>
            <w:r w:rsidRPr="009C5CA3">
              <w:rPr>
                <w:rFonts w:ascii="Times New Roman" w:hAnsi="Times New Roman" w:cs="Times New Roman"/>
              </w:rPr>
              <w:t xml:space="preserve"> “</w:t>
            </w:r>
            <w:r w:rsidRPr="009C5CA3">
              <w:rPr>
                <w:rFonts w:ascii="Times New Roman" w:hAnsi="Times New Roman" w:cs="Times New Roman"/>
                <w:color w:val="000000"/>
              </w:rPr>
              <w:t>For patients who are minors: In an emergency, EMS personnel may assess and treat without consent of a parent or legal guardian. Consent to emergency medical care is implied. If the parent or guardian is on scene, EMS personnel must explain what assessment and care they are providing. Note that only a parent or legal guardian may refuse care for a patient who is a minor, unless the minor is emancipated, in accordance with Protocol 7.5.</w:t>
            </w:r>
            <w:r w:rsidR="00227E7B" w:rsidRPr="009C5CA3">
              <w:rPr>
                <w:rFonts w:ascii="Times New Roman" w:hAnsi="Times New Roman" w:cs="Times New Roman"/>
                <w:color w:val="000000"/>
              </w:rPr>
              <w:t>”</w:t>
            </w:r>
            <w:r w:rsidR="009C5CA3" w:rsidRPr="009C5CA3">
              <w:rPr>
                <w:rFonts w:ascii="Times New Roman" w:hAnsi="Times New Roman" w:cs="Times New Roman"/>
                <w:color w:val="000000"/>
              </w:rPr>
              <w:t xml:space="preserve"> </w:t>
            </w:r>
          </w:p>
          <w:p w14:paraId="5CCEB5FD" w14:textId="77777777" w:rsidR="00CB22E0" w:rsidRDefault="009C5CA3" w:rsidP="009C5CA3">
            <w:pPr>
              <w:pStyle w:val="NoSpacing"/>
              <w:rPr>
                <w:rFonts w:ascii="Times New Roman" w:hAnsi="Times New Roman" w:cs="Times New Roman"/>
              </w:rPr>
            </w:pPr>
            <w:r w:rsidRPr="009C5CA3">
              <w:rPr>
                <w:rFonts w:ascii="Times New Roman" w:hAnsi="Times New Roman" w:cs="Times New Roman"/>
                <w:color w:val="000000"/>
              </w:rPr>
              <w:t>4) Under Assessment and Treatment Priorities, added the following: “</w:t>
            </w:r>
            <w:r w:rsidRPr="009C5CA3">
              <w:rPr>
                <w:rFonts w:ascii="Times New Roman" w:hAnsi="Times New Roman" w:cs="Times New Roman"/>
              </w:rPr>
              <w:t>A service may use blood analyzer equipment in accordance with manufacturer recommendations.”</w:t>
            </w:r>
          </w:p>
          <w:p w14:paraId="4A71E5E6" w14:textId="577B72F8" w:rsidR="005740CC" w:rsidRPr="009C5CA3" w:rsidRDefault="005740CC" w:rsidP="009C5CA3">
            <w:pPr>
              <w:pStyle w:val="NoSpacing"/>
              <w:rPr>
                <w:rFonts w:ascii="Times New Roman" w:hAnsi="Times New Roman" w:cs="Times New Roman"/>
              </w:rPr>
            </w:pPr>
            <w:r>
              <w:rPr>
                <w:rFonts w:ascii="Times New Roman" w:hAnsi="Times New Roman" w:cs="Times New Roman"/>
              </w:rPr>
              <w:t>5) Under Assessment and Treatment Priorities, regarding IO placement, added the following: “IO may be placed in any generally accepted site for which the paramedic is trained and properly equipped.”</w:t>
            </w:r>
          </w:p>
        </w:tc>
      </w:tr>
      <w:tr w:rsidR="00A4314C" w:rsidRPr="00BE42FE" w14:paraId="43DBADF7" w14:textId="77777777" w:rsidTr="004635E5">
        <w:tc>
          <w:tcPr>
            <w:tcW w:w="2141" w:type="dxa"/>
          </w:tcPr>
          <w:p w14:paraId="0E6EA194" w14:textId="2179C063" w:rsidR="00A4314C" w:rsidRPr="00BE42FE" w:rsidRDefault="00A4314C" w:rsidP="00F85F74">
            <w:pPr>
              <w:rPr>
                <w:rFonts w:ascii="Times New Roman" w:hAnsi="Times New Roman" w:cs="Times New Roman"/>
                <w:sz w:val="22"/>
              </w:rPr>
            </w:pPr>
            <w:r w:rsidRPr="00BE42FE">
              <w:rPr>
                <w:rFonts w:ascii="Times New Roman" w:hAnsi="Times New Roman" w:cs="Times New Roman"/>
                <w:sz w:val="22"/>
              </w:rPr>
              <w:lastRenderedPageBreak/>
              <w:t>2.2</w:t>
            </w:r>
            <w:r w:rsidR="002F62A0" w:rsidRPr="00BE42FE">
              <w:rPr>
                <w:rFonts w:ascii="Times New Roman" w:hAnsi="Times New Roman" w:cs="Times New Roman"/>
                <w:sz w:val="22"/>
              </w:rPr>
              <w:t>P</w:t>
            </w:r>
          </w:p>
        </w:tc>
        <w:tc>
          <w:tcPr>
            <w:tcW w:w="7209" w:type="dxa"/>
          </w:tcPr>
          <w:p w14:paraId="58B5C978" w14:textId="0CA9B0EA" w:rsidR="00B778A1" w:rsidRPr="00BE42FE" w:rsidRDefault="002F62A0" w:rsidP="00F85F74">
            <w:pPr>
              <w:rPr>
                <w:rFonts w:ascii="Times New Roman" w:hAnsi="Times New Roman" w:cs="Times New Roman"/>
                <w:sz w:val="22"/>
              </w:rPr>
            </w:pPr>
            <w:r w:rsidRPr="00BE42FE">
              <w:rPr>
                <w:rFonts w:ascii="Times New Roman" w:hAnsi="Times New Roman" w:cs="Times New Roman"/>
                <w:sz w:val="22"/>
              </w:rPr>
              <w:t>Under paramedic standing orders</w:t>
            </w:r>
            <w:r w:rsidR="00B778A1" w:rsidRPr="00BE42FE">
              <w:rPr>
                <w:rFonts w:ascii="Times New Roman" w:hAnsi="Times New Roman" w:cs="Times New Roman"/>
                <w:sz w:val="22"/>
              </w:rPr>
              <w:t>,</w:t>
            </w:r>
            <w:r w:rsidRPr="00BE42FE">
              <w:rPr>
                <w:rFonts w:ascii="Times New Roman" w:hAnsi="Times New Roman" w:cs="Times New Roman"/>
                <w:sz w:val="22"/>
              </w:rPr>
              <w:t xml:space="preserve"> a</w:t>
            </w:r>
            <w:r w:rsidR="00466DCB" w:rsidRPr="00BE42FE">
              <w:rPr>
                <w:rFonts w:ascii="Times New Roman" w:hAnsi="Times New Roman" w:cs="Times New Roman"/>
                <w:sz w:val="22"/>
              </w:rPr>
              <w:t>dded</w:t>
            </w:r>
            <w:r w:rsidR="00B778A1" w:rsidRPr="00BE42FE">
              <w:rPr>
                <w:rFonts w:ascii="Times New Roman" w:hAnsi="Times New Roman" w:cs="Times New Roman"/>
                <w:sz w:val="22"/>
              </w:rPr>
              <w:t xml:space="preserve"> the following:</w:t>
            </w:r>
            <w:r w:rsidR="00466DCB" w:rsidRPr="00BE42FE">
              <w:rPr>
                <w:rFonts w:ascii="Times New Roman" w:hAnsi="Times New Roman" w:cs="Times New Roman"/>
                <w:sz w:val="22"/>
              </w:rPr>
              <w:t xml:space="preserve"> “for pediatric patients 2 years of age or older</w:t>
            </w:r>
            <w:r w:rsidR="00B778A1" w:rsidRPr="00BE42FE">
              <w:rPr>
                <w:rFonts w:ascii="Times New Roman" w:hAnsi="Times New Roman" w:cs="Times New Roman"/>
                <w:sz w:val="22"/>
              </w:rPr>
              <w:t>.</w:t>
            </w:r>
            <w:r w:rsidR="00227E7B">
              <w:rPr>
                <w:rFonts w:ascii="Times New Roman" w:hAnsi="Times New Roman" w:cs="Times New Roman"/>
                <w:sz w:val="22"/>
              </w:rPr>
              <w:t>”</w:t>
            </w:r>
            <w:r w:rsidRPr="00BE42FE">
              <w:rPr>
                <w:rFonts w:ascii="Times New Roman" w:hAnsi="Times New Roman" w:cs="Times New Roman"/>
                <w:sz w:val="22"/>
              </w:rPr>
              <w:t xml:space="preserve">  </w:t>
            </w:r>
          </w:p>
          <w:p w14:paraId="4539576C" w14:textId="64F4C617" w:rsidR="00A4314C" w:rsidRPr="00BE42FE" w:rsidRDefault="002F62A0" w:rsidP="00F85F74">
            <w:pPr>
              <w:rPr>
                <w:rFonts w:ascii="Times New Roman" w:hAnsi="Times New Roman" w:cs="Times New Roman"/>
                <w:sz w:val="22"/>
              </w:rPr>
            </w:pPr>
            <w:r w:rsidRPr="00BE42FE">
              <w:rPr>
                <w:rFonts w:ascii="Times New Roman" w:hAnsi="Times New Roman" w:cs="Times New Roman"/>
                <w:sz w:val="22"/>
              </w:rPr>
              <w:t>Under EMT</w:t>
            </w:r>
            <w:r w:rsidR="00B778A1" w:rsidRPr="00BE42FE">
              <w:rPr>
                <w:rFonts w:ascii="Times New Roman" w:hAnsi="Times New Roman" w:cs="Times New Roman"/>
                <w:sz w:val="22"/>
              </w:rPr>
              <w:t>-</w:t>
            </w:r>
            <w:r w:rsidRPr="00BE42FE">
              <w:rPr>
                <w:rFonts w:ascii="Times New Roman" w:hAnsi="Times New Roman" w:cs="Times New Roman"/>
                <w:sz w:val="22"/>
              </w:rPr>
              <w:t>Basic</w:t>
            </w:r>
            <w:r w:rsidR="00B778A1" w:rsidRPr="00BE42FE">
              <w:rPr>
                <w:rFonts w:ascii="Times New Roman" w:hAnsi="Times New Roman" w:cs="Times New Roman"/>
                <w:sz w:val="22"/>
              </w:rPr>
              <w:t>,</w:t>
            </w:r>
            <w:r w:rsidRPr="00BE42FE">
              <w:rPr>
                <w:rFonts w:ascii="Times New Roman" w:hAnsi="Times New Roman" w:cs="Times New Roman"/>
                <w:sz w:val="22"/>
              </w:rPr>
              <w:t xml:space="preserve"> moved the second dose of IM epinephrine from medical control to standing order</w:t>
            </w:r>
            <w:r w:rsidR="00227E7B">
              <w:rPr>
                <w:rFonts w:ascii="Times New Roman" w:hAnsi="Times New Roman" w:cs="Times New Roman"/>
                <w:sz w:val="22"/>
              </w:rPr>
              <w:t>.</w:t>
            </w:r>
            <w:r w:rsidRPr="00BE42FE">
              <w:rPr>
                <w:rFonts w:ascii="Times New Roman" w:hAnsi="Times New Roman" w:cs="Times New Roman"/>
                <w:sz w:val="22"/>
              </w:rPr>
              <w:t xml:space="preserve"> For all EMT levels</w:t>
            </w:r>
            <w:r w:rsidR="00227E7B">
              <w:rPr>
                <w:rFonts w:ascii="Times New Roman" w:hAnsi="Times New Roman" w:cs="Times New Roman"/>
                <w:sz w:val="22"/>
              </w:rPr>
              <w:t>,</w:t>
            </w:r>
            <w:r w:rsidRPr="00BE42FE">
              <w:rPr>
                <w:rFonts w:ascii="Times New Roman" w:hAnsi="Times New Roman" w:cs="Times New Roman"/>
                <w:sz w:val="22"/>
              </w:rPr>
              <w:t xml:space="preserve"> changed diphenhydramine maximum dose to 50mg  </w:t>
            </w:r>
          </w:p>
        </w:tc>
      </w:tr>
      <w:tr w:rsidR="003170AC" w:rsidRPr="00BE42FE" w14:paraId="12DEB551" w14:textId="77777777" w:rsidTr="004635E5">
        <w:tc>
          <w:tcPr>
            <w:tcW w:w="2141" w:type="dxa"/>
          </w:tcPr>
          <w:p w14:paraId="641E67ED" w14:textId="437D4940" w:rsidR="003170AC" w:rsidRPr="00BE42FE" w:rsidRDefault="003170AC" w:rsidP="00F85F74">
            <w:pPr>
              <w:rPr>
                <w:rFonts w:ascii="Times New Roman" w:hAnsi="Times New Roman" w:cs="Times New Roman"/>
                <w:sz w:val="22"/>
              </w:rPr>
            </w:pPr>
            <w:r w:rsidRPr="00BE42FE">
              <w:rPr>
                <w:rFonts w:ascii="Times New Roman" w:hAnsi="Times New Roman" w:cs="Times New Roman"/>
                <w:sz w:val="22"/>
              </w:rPr>
              <w:t xml:space="preserve">2.4 </w:t>
            </w:r>
          </w:p>
        </w:tc>
        <w:tc>
          <w:tcPr>
            <w:tcW w:w="7209" w:type="dxa"/>
          </w:tcPr>
          <w:p w14:paraId="7D85D8E5" w14:textId="49705534" w:rsidR="003170AC" w:rsidRPr="00BE42FE" w:rsidRDefault="003170AC" w:rsidP="00F85F74">
            <w:pPr>
              <w:rPr>
                <w:rFonts w:ascii="Times New Roman" w:hAnsi="Times New Roman" w:cs="Times New Roman"/>
                <w:sz w:val="22"/>
              </w:rPr>
            </w:pPr>
            <w:r w:rsidRPr="00BE42FE">
              <w:rPr>
                <w:rFonts w:ascii="Times New Roman" w:hAnsi="Times New Roman" w:cs="Times New Roman"/>
                <w:sz w:val="22"/>
              </w:rPr>
              <w:t>Update to Midazolam dose</w:t>
            </w:r>
            <w:r w:rsidR="00B778A1" w:rsidRPr="00BE42FE">
              <w:rPr>
                <w:rFonts w:ascii="Times New Roman" w:hAnsi="Times New Roman" w:cs="Times New Roman"/>
                <w:sz w:val="22"/>
              </w:rPr>
              <w:t>:</w:t>
            </w:r>
            <w:r w:rsidRPr="00BE42FE">
              <w:rPr>
                <w:rFonts w:ascii="Times New Roman" w:hAnsi="Times New Roman" w:cs="Times New Roman"/>
                <w:sz w:val="22"/>
              </w:rPr>
              <w:t xml:space="preserve"> Now reads 5 mg IV/IO/IM or 10 mg IN</w:t>
            </w:r>
          </w:p>
        </w:tc>
      </w:tr>
      <w:tr w:rsidR="006F5875" w:rsidRPr="00BE42FE" w14:paraId="37234218" w14:textId="77777777" w:rsidTr="004635E5">
        <w:tc>
          <w:tcPr>
            <w:tcW w:w="2141" w:type="dxa"/>
          </w:tcPr>
          <w:p w14:paraId="3B564C11" w14:textId="2297F025" w:rsidR="006F5875" w:rsidRPr="00BE42FE" w:rsidRDefault="006F5875" w:rsidP="00F85F74">
            <w:pPr>
              <w:rPr>
                <w:rFonts w:ascii="Times New Roman" w:hAnsi="Times New Roman" w:cs="Times New Roman"/>
                <w:sz w:val="22"/>
              </w:rPr>
            </w:pPr>
            <w:r w:rsidRPr="00BE42FE">
              <w:rPr>
                <w:rFonts w:ascii="Times New Roman" w:hAnsi="Times New Roman" w:cs="Times New Roman"/>
                <w:sz w:val="22"/>
              </w:rPr>
              <w:t>2.</w:t>
            </w:r>
            <w:r w:rsidR="00593355" w:rsidRPr="00BE42FE">
              <w:rPr>
                <w:rFonts w:ascii="Times New Roman" w:hAnsi="Times New Roman" w:cs="Times New Roman"/>
                <w:sz w:val="22"/>
              </w:rPr>
              <w:t>9</w:t>
            </w:r>
          </w:p>
        </w:tc>
        <w:tc>
          <w:tcPr>
            <w:tcW w:w="7209" w:type="dxa"/>
          </w:tcPr>
          <w:p w14:paraId="78B0F13A" w14:textId="0416D291" w:rsidR="006F5875" w:rsidRPr="00BE42FE" w:rsidRDefault="00593355" w:rsidP="00F85F74">
            <w:pPr>
              <w:rPr>
                <w:rFonts w:ascii="Times New Roman" w:hAnsi="Times New Roman" w:cs="Times New Roman"/>
                <w:sz w:val="22"/>
              </w:rPr>
            </w:pPr>
            <w:r w:rsidRPr="00BE42FE">
              <w:rPr>
                <w:rFonts w:ascii="Times New Roman" w:hAnsi="Times New Roman" w:cs="Times New Roman"/>
                <w:sz w:val="22"/>
              </w:rPr>
              <w:t>Update to Midazolam dose</w:t>
            </w:r>
            <w:r w:rsidR="00B778A1" w:rsidRPr="00BE42FE">
              <w:rPr>
                <w:rFonts w:ascii="Times New Roman" w:hAnsi="Times New Roman" w:cs="Times New Roman"/>
                <w:sz w:val="22"/>
              </w:rPr>
              <w:t>:</w:t>
            </w:r>
            <w:r w:rsidRPr="00BE42FE">
              <w:rPr>
                <w:rFonts w:ascii="Times New Roman" w:hAnsi="Times New Roman" w:cs="Times New Roman"/>
                <w:sz w:val="22"/>
              </w:rPr>
              <w:t xml:space="preserve"> Now reads 5 mg IV/IO/IM or 10 mg IN every 10</w:t>
            </w:r>
            <w:r w:rsidR="00B778A1" w:rsidRPr="00BE42FE">
              <w:rPr>
                <w:rFonts w:ascii="Times New Roman" w:hAnsi="Times New Roman" w:cs="Times New Roman"/>
                <w:sz w:val="22"/>
              </w:rPr>
              <w:t xml:space="preserve"> </w:t>
            </w:r>
            <w:r w:rsidRPr="00BE42FE">
              <w:rPr>
                <w:rFonts w:ascii="Times New Roman" w:hAnsi="Times New Roman" w:cs="Times New Roman"/>
                <w:sz w:val="22"/>
              </w:rPr>
              <w:t>minutes as needed.</w:t>
            </w:r>
          </w:p>
        </w:tc>
      </w:tr>
      <w:tr w:rsidR="00D32380" w:rsidRPr="00BE42FE" w14:paraId="681F7415" w14:textId="77777777" w:rsidTr="004635E5">
        <w:tc>
          <w:tcPr>
            <w:tcW w:w="2141" w:type="dxa"/>
          </w:tcPr>
          <w:p w14:paraId="5CB48D0C" w14:textId="7374AA7A" w:rsidR="00D32380" w:rsidRPr="00BE42FE" w:rsidRDefault="00D32380" w:rsidP="00F85F74">
            <w:pPr>
              <w:rPr>
                <w:rFonts w:ascii="Times New Roman" w:hAnsi="Times New Roman" w:cs="Times New Roman"/>
                <w:sz w:val="22"/>
              </w:rPr>
            </w:pPr>
            <w:r w:rsidRPr="00BE42FE">
              <w:rPr>
                <w:rFonts w:ascii="Times New Roman" w:hAnsi="Times New Roman" w:cs="Times New Roman"/>
                <w:sz w:val="22"/>
              </w:rPr>
              <w:t>2.13</w:t>
            </w:r>
          </w:p>
        </w:tc>
        <w:tc>
          <w:tcPr>
            <w:tcW w:w="7209" w:type="dxa"/>
          </w:tcPr>
          <w:p w14:paraId="1593F4B5" w14:textId="1D604C54" w:rsidR="00D32380" w:rsidRPr="00BE42FE" w:rsidRDefault="00D32380" w:rsidP="00F85F74">
            <w:pPr>
              <w:rPr>
                <w:rFonts w:ascii="Times New Roman" w:hAnsi="Times New Roman" w:cs="Times New Roman"/>
                <w:sz w:val="22"/>
              </w:rPr>
            </w:pPr>
            <w:r w:rsidRPr="00BE42FE">
              <w:rPr>
                <w:rFonts w:ascii="Times New Roman" w:hAnsi="Times New Roman" w:cs="Times New Roman"/>
                <w:sz w:val="22"/>
              </w:rPr>
              <w:t xml:space="preserve">Changed </w:t>
            </w:r>
            <w:r w:rsidR="00227E7B">
              <w:rPr>
                <w:rFonts w:ascii="Times New Roman" w:hAnsi="Times New Roman" w:cs="Times New Roman"/>
                <w:sz w:val="22"/>
              </w:rPr>
              <w:t>“</w:t>
            </w:r>
            <w:r w:rsidRPr="00BE42FE">
              <w:rPr>
                <w:rFonts w:ascii="Times New Roman" w:hAnsi="Times New Roman" w:cs="Times New Roman"/>
                <w:sz w:val="22"/>
              </w:rPr>
              <w:t>renal injury” to “renal dysfunction” in Note box at the bottom of the page.</w:t>
            </w:r>
          </w:p>
        </w:tc>
      </w:tr>
      <w:tr w:rsidR="005740CC" w:rsidRPr="00BE42FE" w14:paraId="04276771" w14:textId="77777777" w:rsidTr="004635E5">
        <w:tc>
          <w:tcPr>
            <w:tcW w:w="2141" w:type="dxa"/>
          </w:tcPr>
          <w:p w14:paraId="4DD3247E" w14:textId="0C6ED5FB" w:rsidR="005740CC" w:rsidRPr="009C0402" w:rsidRDefault="005740CC" w:rsidP="00F85F74">
            <w:pPr>
              <w:rPr>
                <w:rFonts w:ascii="Times New Roman" w:hAnsi="Times New Roman" w:cs="Times New Roman"/>
                <w:sz w:val="22"/>
              </w:rPr>
            </w:pPr>
            <w:r w:rsidRPr="009C0402">
              <w:rPr>
                <w:rFonts w:ascii="Times New Roman" w:hAnsi="Times New Roman" w:cs="Times New Roman"/>
                <w:sz w:val="22"/>
              </w:rPr>
              <w:t>2.14</w:t>
            </w:r>
          </w:p>
        </w:tc>
        <w:tc>
          <w:tcPr>
            <w:tcW w:w="7209" w:type="dxa"/>
          </w:tcPr>
          <w:p w14:paraId="382BD216" w14:textId="5165A9DB" w:rsidR="005740CC" w:rsidRPr="009C0402" w:rsidRDefault="005740CC" w:rsidP="00F85F74">
            <w:pPr>
              <w:rPr>
                <w:rFonts w:ascii="Times New Roman" w:hAnsi="Times New Roman" w:cs="Times New Roman"/>
                <w:sz w:val="22"/>
              </w:rPr>
            </w:pPr>
            <w:r w:rsidRPr="009C0402">
              <w:rPr>
                <w:rFonts w:ascii="Times New Roman" w:hAnsi="Times New Roman" w:cs="Times New Roman"/>
                <w:sz w:val="22"/>
              </w:rPr>
              <w:t>All references made to “Substance Abuse” now changed to “Substance Use” throughout the document.</w:t>
            </w:r>
          </w:p>
        </w:tc>
      </w:tr>
      <w:tr w:rsidR="006F5875" w:rsidRPr="00BE42FE" w14:paraId="49A6A92C" w14:textId="77777777" w:rsidTr="004635E5">
        <w:tc>
          <w:tcPr>
            <w:tcW w:w="2141" w:type="dxa"/>
          </w:tcPr>
          <w:p w14:paraId="47007B5C" w14:textId="77777777" w:rsidR="006F5875" w:rsidRPr="00BE42FE" w:rsidRDefault="006F5875" w:rsidP="00F85F74">
            <w:pPr>
              <w:rPr>
                <w:rFonts w:ascii="Times New Roman" w:hAnsi="Times New Roman" w:cs="Times New Roman"/>
                <w:sz w:val="22"/>
              </w:rPr>
            </w:pPr>
            <w:r w:rsidRPr="00BE42FE">
              <w:rPr>
                <w:rFonts w:ascii="Times New Roman" w:hAnsi="Times New Roman" w:cs="Times New Roman"/>
                <w:sz w:val="22"/>
              </w:rPr>
              <w:t>2.15A</w:t>
            </w:r>
          </w:p>
        </w:tc>
        <w:tc>
          <w:tcPr>
            <w:tcW w:w="7209" w:type="dxa"/>
          </w:tcPr>
          <w:p w14:paraId="788962F7" w14:textId="125D028B" w:rsidR="006F5875" w:rsidRPr="00BE42FE" w:rsidRDefault="006F5875" w:rsidP="00F85F74">
            <w:pPr>
              <w:rPr>
                <w:rFonts w:ascii="Times New Roman" w:hAnsi="Times New Roman" w:cs="Times New Roman"/>
                <w:sz w:val="22"/>
              </w:rPr>
            </w:pPr>
            <w:r w:rsidRPr="00BE42FE">
              <w:rPr>
                <w:rFonts w:ascii="Times New Roman" w:hAnsi="Times New Roman" w:cs="Times New Roman"/>
                <w:sz w:val="22"/>
              </w:rPr>
              <w:t>Note that all levels of EMT may assist patient or caregiver with already-prescribed anticonvulsants.</w:t>
            </w:r>
            <w:r w:rsidR="00593355" w:rsidRPr="00BE42FE">
              <w:rPr>
                <w:rFonts w:ascii="Times New Roman" w:hAnsi="Times New Roman" w:cs="Times New Roman"/>
                <w:sz w:val="22"/>
              </w:rPr>
              <w:t xml:space="preserve"> Update to the Midazolam dose</w:t>
            </w:r>
            <w:r w:rsidR="00227E7B">
              <w:rPr>
                <w:rFonts w:ascii="Times New Roman" w:hAnsi="Times New Roman" w:cs="Times New Roman"/>
                <w:sz w:val="22"/>
              </w:rPr>
              <w:t>: N</w:t>
            </w:r>
            <w:r w:rsidR="00593355" w:rsidRPr="00BE42FE">
              <w:rPr>
                <w:rFonts w:ascii="Times New Roman" w:hAnsi="Times New Roman" w:cs="Times New Roman"/>
                <w:sz w:val="22"/>
              </w:rPr>
              <w:t>ow reads 5 mg IV/IO/IM or 10 mg IN</w:t>
            </w:r>
          </w:p>
        </w:tc>
      </w:tr>
      <w:tr w:rsidR="00593355" w:rsidRPr="00BE42FE" w14:paraId="7233C823" w14:textId="77777777" w:rsidTr="004635E5">
        <w:tc>
          <w:tcPr>
            <w:tcW w:w="2141" w:type="dxa"/>
          </w:tcPr>
          <w:p w14:paraId="4AB89FF5" w14:textId="0B90E541" w:rsidR="00593355" w:rsidRPr="00BE42FE" w:rsidRDefault="00B1127E" w:rsidP="00F85F74">
            <w:pPr>
              <w:rPr>
                <w:rFonts w:ascii="Times New Roman" w:hAnsi="Times New Roman" w:cs="Times New Roman"/>
                <w:sz w:val="22"/>
              </w:rPr>
            </w:pPr>
            <w:r w:rsidRPr="00BE42FE">
              <w:rPr>
                <w:rFonts w:ascii="Times New Roman" w:hAnsi="Times New Roman" w:cs="Times New Roman"/>
                <w:sz w:val="22"/>
              </w:rPr>
              <w:t xml:space="preserve">3.7 </w:t>
            </w:r>
          </w:p>
        </w:tc>
        <w:tc>
          <w:tcPr>
            <w:tcW w:w="7209" w:type="dxa"/>
          </w:tcPr>
          <w:p w14:paraId="27DD5C89" w14:textId="7A98C230" w:rsidR="00593355" w:rsidRPr="00BE42FE" w:rsidRDefault="00B1127E" w:rsidP="00F85F74">
            <w:pPr>
              <w:rPr>
                <w:rFonts w:ascii="Times New Roman" w:hAnsi="Times New Roman" w:cs="Times New Roman"/>
                <w:sz w:val="22"/>
              </w:rPr>
            </w:pPr>
            <w:r w:rsidRPr="00BE42FE">
              <w:rPr>
                <w:rFonts w:ascii="Times New Roman" w:hAnsi="Times New Roman" w:cs="Times New Roman"/>
                <w:sz w:val="22"/>
              </w:rPr>
              <w:t>Update to Midazolam dose</w:t>
            </w:r>
            <w:r w:rsidR="00B778A1" w:rsidRPr="00BE42FE">
              <w:rPr>
                <w:rFonts w:ascii="Times New Roman" w:hAnsi="Times New Roman" w:cs="Times New Roman"/>
                <w:sz w:val="22"/>
              </w:rPr>
              <w:t>:</w:t>
            </w:r>
            <w:r w:rsidRPr="00BE42FE">
              <w:rPr>
                <w:rFonts w:ascii="Times New Roman" w:hAnsi="Times New Roman" w:cs="Times New Roman"/>
                <w:sz w:val="22"/>
              </w:rPr>
              <w:t xml:space="preserve"> Now reads 5 mg IV/IO/IM or 10 mg IN</w:t>
            </w:r>
          </w:p>
        </w:tc>
      </w:tr>
      <w:tr w:rsidR="00AE6476" w:rsidRPr="00BE42FE" w14:paraId="248CBE86" w14:textId="77777777" w:rsidTr="004635E5">
        <w:tc>
          <w:tcPr>
            <w:tcW w:w="2141" w:type="dxa"/>
          </w:tcPr>
          <w:p w14:paraId="4F5ADC92" w14:textId="77909986" w:rsidR="00AE6476" w:rsidRPr="00BE42FE" w:rsidRDefault="00AE6476" w:rsidP="00F85F74">
            <w:pPr>
              <w:rPr>
                <w:rFonts w:ascii="Times New Roman" w:hAnsi="Times New Roman" w:cs="Times New Roman"/>
                <w:sz w:val="22"/>
              </w:rPr>
            </w:pPr>
            <w:r w:rsidRPr="00BE42FE">
              <w:rPr>
                <w:rFonts w:ascii="Times New Roman" w:hAnsi="Times New Roman" w:cs="Times New Roman"/>
                <w:sz w:val="22"/>
              </w:rPr>
              <w:t>3.</w:t>
            </w:r>
            <w:r w:rsidR="004438DD" w:rsidRPr="00BE42FE">
              <w:rPr>
                <w:rFonts w:ascii="Times New Roman" w:hAnsi="Times New Roman" w:cs="Times New Roman"/>
                <w:sz w:val="22"/>
              </w:rPr>
              <w:t>10</w:t>
            </w:r>
          </w:p>
        </w:tc>
        <w:tc>
          <w:tcPr>
            <w:tcW w:w="7209" w:type="dxa"/>
          </w:tcPr>
          <w:p w14:paraId="6BCCA2C1" w14:textId="2718FC82" w:rsidR="00837FCB" w:rsidRPr="00BE42FE" w:rsidRDefault="004438DD" w:rsidP="004438DD">
            <w:pPr>
              <w:rPr>
                <w:rFonts w:ascii="Times New Roman" w:hAnsi="Times New Roman" w:cs="Times New Roman"/>
                <w:sz w:val="22"/>
              </w:rPr>
            </w:pPr>
            <w:r w:rsidRPr="00BE42FE">
              <w:rPr>
                <w:rFonts w:ascii="Times New Roman" w:hAnsi="Times New Roman" w:cs="Times New Roman"/>
                <w:sz w:val="22"/>
              </w:rPr>
              <w:t xml:space="preserve">Under Paramedic standing </w:t>
            </w:r>
            <w:r w:rsidR="00B82AB5" w:rsidRPr="00BE42FE">
              <w:rPr>
                <w:rFonts w:ascii="Times New Roman" w:hAnsi="Times New Roman" w:cs="Times New Roman"/>
                <w:sz w:val="22"/>
              </w:rPr>
              <w:t>orders</w:t>
            </w:r>
            <w:r w:rsidR="00B778A1" w:rsidRPr="00BE42FE">
              <w:rPr>
                <w:rFonts w:ascii="Times New Roman" w:hAnsi="Times New Roman" w:cs="Times New Roman"/>
                <w:sz w:val="22"/>
              </w:rPr>
              <w:t>:</w:t>
            </w:r>
            <w:r w:rsidR="008741BB" w:rsidRPr="00BE42FE">
              <w:rPr>
                <w:rFonts w:ascii="Times New Roman" w:hAnsi="Times New Roman" w:cs="Times New Roman"/>
                <w:sz w:val="22"/>
              </w:rPr>
              <w:t xml:space="preserve"> 1) Removed 50j</w:t>
            </w:r>
            <w:r w:rsidR="00227E7B">
              <w:rPr>
                <w:rFonts w:ascii="Times New Roman" w:hAnsi="Times New Roman" w:cs="Times New Roman"/>
                <w:sz w:val="22"/>
              </w:rPr>
              <w:t xml:space="preserve">, and 2) Added “per </w:t>
            </w:r>
            <w:r w:rsidRPr="00BE42FE">
              <w:rPr>
                <w:rFonts w:ascii="Times New Roman" w:hAnsi="Times New Roman" w:cs="Times New Roman"/>
                <w:color w:val="000000"/>
                <w:sz w:val="22"/>
              </w:rPr>
              <w:t>manufacturer recommendations based on the specific cardiac monitor you are using. For biphasic cardiac monitors, use equivalent biphasic values as per manufacturer. Check rhythm and pulse between each attempted. cardioversion.</w:t>
            </w:r>
            <w:r w:rsidR="008741BB" w:rsidRPr="00BE42FE">
              <w:rPr>
                <w:rFonts w:ascii="Times New Roman" w:hAnsi="Times New Roman" w:cs="Times New Roman"/>
                <w:color w:val="000000"/>
                <w:sz w:val="22"/>
              </w:rPr>
              <w:t>”</w:t>
            </w:r>
            <w:r w:rsidR="006F43CE" w:rsidRPr="00BE42FE">
              <w:rPr>
                <w:rFonts w:ascii="Times New Roman" w:hAnsi="Times New Roman" w:cs="Times New Roman"/>
                <w:sz w:val="22"/>
              </w:rPr>
              <w:t xml:space="preserve"> </w:t>
            </w:r>
          </w:p>
        </w:tc>
      </w:tr>
      <w:tr w:rsidR="006F5875" w:rsidRPr="00BE42FE" w14:paraId="2ECB7193" w14:textId="77777777" w:rsidTr="004635E5">
        <w:tc>
          <w:tcPr>
            <w:tcW w:w="2141" w:type="dxa"/>
          </w:tcPr>
          <w:p w14:paraId="19B4D82D" w14:textId="602BC574" w:rsidR="006F5875" w:rsidRPr="00BE42FE" w:rsidRDefault="004438DD" w:rsidP="00F85F74">
            <w:pPr>
              <w:rPr>
                <w:rFonts w:ascii="Times New Roman" w:hAnsi="Times New Roman" w:cs="Times New Roman"/>
                <w:sz w:val="22"/>
              </w:rPr>
            </w:pPr>
            <w:r w:rsidRPr="00BE42FE">
              <w:rPr>
                <w:rFonts w:ascii="Times New Roman" w:hAnsi="Times New Roman" w:cs="Times New Roman"/>
                <w:sz w:val="22"/>
              </w:rPr>
              <w:t xml:space="preserve">4.1 </w:t>
            </w:r>
          </w:p>
        </w:tc>
        <w:tc>
          <w:tcPr>
            <w:tcW w:w="7209" w:type="dxa"/>
          </w:tcPr>
          <w:p w14:paraId="49D5EBFF" w14:textId="445C2408" w:rsidR="006F5875" w:rsidRPr="00BE42FE" w:rsidRDefault="004438DD" w:rsidP="00F85F74">
            <w:pPr>
              <w:rPr>
                <w:rFonts w:ascii="Times New Roman" w:hAnsi="Times New Roman" w:cs="Times New Roman"/>
                <w:sz w:val="22"/>
              </w:rPr>
            </w:pPr>
            <w:r w:rsidRPr="00BE42FE">
              <w:rPr>
                <w:rFonts w:ascii="Times New Roman" w:hAnsi="Times New Roman" w:cs="Times New Roman"/>
                <w:sz w:val="22"/>
              </w:rPr>
              <w:t xml:space="preserve">Updated fluid therapy </w:t>
            </w:r>
            <w:r w:rsidR="0002301B" w:rsidRPr="00BE42FE">
              <w:rPr>
                <w:rFonts w:ascii="Times New Roman" w:hAnsi="Times New Roman" w:cs="Times New Roman"/>
                <w:sz w:val="22"/>
              </w:rPr>
              <w:t>under Advanced EMT standing orders</w:t>
            </w:r>
            <w:r w:rsidR="00227E7B">
              <w:rPr>
                <w:rFonts w:ascii="Times New Roman" w:hAnsi="Times New Roman" w:cs="Times New Roman"/>
                <w:sz w:val="22"/>
              </w:rPr>
              <w:t>: R</w:t>
            </w:r>
            <w:r w:rsidRPr="00BE42FE">
              <w:rPr>
                <w:rFonts w:ascii="Times New Roman" w:hAnsi="Times New Roman" w:cs="Times New Roman"/>
                <w:sz w:val="22"/>
              </w:rPr>
              <w:t>emove</w:t>
            </w:r>
            <w:r w:rsidR="00227E7B">
              <w:rPr>
                <w:rFonts w:ascii="Times New Roman" w:hAnsi="Times New Roman" w:cs="Times New Roman"/>
                <w:sz w:val="22"/>
              </w:rPr>
              <w:t>d</w:t>
            </w:r>
            <w:r w:rsidRPr="00BE42FE">
              <w:rPr>
                <w:rFonts w:ascii="Times New Roman" w:hAnsi="Times New Roman" w:cs="Times New Roman"/>
                <w:sz w:val="22"/>
              </w:rPr>
              <w:t xml:space="preserve"> </w:t>
            </w:r>
            <w:r w:rsidR="0002301B" w:rsidRPr="00BE42FE">
              <w:rPr>
                <w:rFonts w:ascii="Times New Roman" w:hAnsi="Times New Roman" w:cs="Times New Roman"/>
                <w:sz w:val="22"/>
              </w:rPr>
              <w:t xml:space="preserve">Adults - 1 liter bolus of normal saline, Pediatric 20ml/kg normal saline and burns less than 20% age appropriate, maintenance fluids. </w:t>
            </w:r>
          </w:p>
        </w:tc>
      </w:tr>
      <w:tr w:rsidR="004C21A0" w:rsidRPr="00BE42FE" w14:paraId="4A3CE09A" w14:textId="77777777" w:rsidTr="004635E5">
        <w:tc>
          <w:tcPr>
            <w:tcW w:w="2141" w:type="dxa"/>
          </w:tcPr>
          <w:p w14:paraId="38E25FD5" w14:textId="2317DAED" w:rsidR="004C21A0" w:rsidRPr="00BE42FE" w:rsidRDefault="004C21A0" w:rsidP="00F85F74">
            <w:pPr>
              <w:rPr>
                <w:rFonts w:ascii="Times New Roman" w:hAnsi="Times New Roman" w:cs="Times New Roman"/>
                <w:sz w:val="22"/>
              </w:rPr>
            </w:pPr>
            <w:r w:rsidRPr="00BE42FE">
              <w:rPr>
                <w:rFonts w:ascii="Times New Roman" w:hAnsi="Times New Roman" w:cs="Times New Roman"/>
                <w:sz w:val="22"/>
              </w:rPr>
              <w:t>6.7</w:t>
            </w:r>
          </w:p>
        </w:tc>
        <w:tc>
          <w:tcPr>
            <w:tcW w:w="7209" w:type="dxa"/>
          </w:tcPr>
          <w:p w14:paraId="5F8346B8" w14:textId="7B041A92" w:rsidR="004C21A0" w:rsidRPr="00BE42FE" w:rsidRDefault="004C21A0" w:rsidP="00F85F74">
            <w:pPr>
              <w:rPr>
                <w:rFonts w:ascii="Times New Roman" w:hAnsi="Times New Roman" w:cs="Times New Roman"/>
                <w:sz w:val="22"/>
              </w:rPr>
            </w:pPr>
            <w:r w:rsidRPr="00BE42FE">
              <w:rPr>
                <w:rFonts w:ascii="Times New Roman" w:hAnsi="Times New Roman" w:cs="Times New Roman"/>
                <w:sz w:val="22"/>
              </w:rPr>
              <w:t>Under “Guidelines …” point 1</w:t>
            </w:r>
            <w:r w:rsidR="00292AC5" w:rsidRPr="00BE42FE">
              <w:rPr>
                <w:rFonts w:ascii="Times New Roman" w:hAnsi="Times New Roman" w:cs="Times New Roman"/>
                <w:sz w:val="22"/>
              </w:rPr>
              <w:t>:</w:t>
            </w:r>
            <w:r w:rsidRPr="00BE42FE">
              <w:rPr>
                <w:rFonts w:ascii="Times New Roman" w:hAnsi="Times New Roman" w:cs="Times New Roman"/>
                <w:sz w:val="22"/>
              </w:rPr>
              <w:t xml:space="preserve"> Changed pediatric age from 8 to 12 years of age.</w:t>
            </w:r>
          </w:p>
        </w:tc>
      </w:tr>
      <w:tr w:rsidR="00FD3E96" w:rsidRPr="00BE42FE" w14:paraId="560FE82A" w14:textId="77777777" w:rsidTr="004635E5">
        <w:tc>
          <w:tcPr>
            <w:tcW w:w="2141" w:type="dxa"/>
          </w:tcPr>
          <w:p w14:paraId="2847AB28" w14:textId="21B72370" w:rsidR="00FD3E96" w:rsidRPr="00BE42FE" w:rsidRDefault="00FD3E96" w:rsidP="00F85F74">
            <w:pPr>
              <w:rPr>
                <w:rFonts w:ascii="Times New Roman" w:hAnsi="Times New Roman" w:cs="Times New Roman"/>
                <w:sz w:val="22"/>
              </w:rPr>
            </w:pPr>
            <w:r w:rsidRPr="00BE42FE">
              <w:rPr>
                <w:rFonts w:ascii="Times New Roman" w:hAnsi="Times New Roman" w:cs="Times New Roman"/>
                <w:sz w:val="22"/>
              </w:rPr>
              <w:t>6.</w:t>
            </w:r>
            <w:r w:rsidR="00BE42FE" w:rsidRPr="00BE42FE">
              <w:rPr>
                <w:rFonts w:ascii="Times New Roman" w:hAnsi="Times New Roman" w:cs="Times New Roman"/>
                <w:sz w:val="22"/>
              </w:rPr>
              <w:t>19</w:t>
            </w:r>
          </w:p>
        </w:tc>
        <w:tc>
          <w:tcPr>
            <w:tcW w:w="7209" w:type="dxa"/>
          </w:tcPr>
          <w:p w14:paraId="607DD2E1" w14:textId="677C48C0" w:rsidR="00FD3E96" w:rsidRPr="00BE42FE" w:rsidRDefault="00FD3E96" w:rsidP="00F85F74">
            <w:pPr>
              <w:rPr>
                <w:rFonts w:ascii="Times New Roman" w:hAnsi="Times New Roman" w:cs="Times New Roman"/>
                <w:sz w:val="22"/>
              </w:rPr>
            </w:pPr>
            <w:r w:rsidRPr="00BE42FE">
              <w:rPr>
                <w:rFonts w:ascii="Times New Roman" w:hAnsi="Times New Roman" w:cs="Times New Roman"/>
                <w:sz w:val="22"/>
              </w:rPr>
              <w:t>New protocol added</w:t>
            </w:r>
            <w:r w:rsidR="00292AC5" w:rsidRPr="00BE42FE">
              <w:rPr>
                <w:rFonts w:ascii="Times New Roman" w:hAnsi="Times New Roman" w:cs="Times New Roman"/>
                <w:sz w:val="22"/>
              </w:rPr>
              <w:t>:</w:t>
            </w:r>
            <w:r w:rsidRPr="00BE42FE">
              <w:rPr>
                <w:rFonts w:ascii="Times New Roman" w:hAnsi="Times New Roman" w:cs="Times New Roman"/>
                <w:sz w:val="22"/>
              </w:rPr>
              <w:t xml:space="preserve"> Antibiotic Infusions for Sepsis Patients</w:t>
            </w:r>
          </w:p>
        </w:tc>
      </w:tr>
      <w:tr w:rsidR="006F5875" w:rsidRPr="00BE42FE" w14:paraId="15389C98" w14:textId="77777777" w:rsidTr="004635E5">
        <w:tc>
          <w:tcPr>
            <w:tcW w:w="2141" w:type="dxa"/>
          </w:tcPr>
          <w:p w14:paraId="03967DB6" w14:textId="5AE57042" w:rsidR="006F5875" w:rsidRPr="00BE42FE" w:rsidRDefault="006F5875" w:rsidP="00F85F74">
            <w:pPr>
              <w:rPr>
                <w:rFonts w:ascii="Times New Roman" w:hAnsi="Times New Roman" w:cs="Times New Roman"/>
                <w:sz w:val="22"/>
              </w:rPr>
            </w:pPr>
            <w:r w:rsidRPr="00BE42FE">
              <w:rPr>
                <w:rFonts w:ascii="Times New Roman" w:hAnsi="Times New Roman" w:cs="Times New Roman"/>
                <w:sz w:val="22"/>
              </w:rPr>
              <w:t>7.</w:t>
            </w:r>
            <w:r w:rsidR="0002301B" w:rsidRPr="00BE42FE">
              <w:rPr>
                <w:rFonts w:ascii="Times New Roman" w:hAnsi="Times New Roman" w:cs="Times New Roman"/>
                <w:sz w:val="22"/>
              </w:rPr>
              <w:t>4</w:t>
            </w:r>
          </w:p>
        </w:tc>
        <w:tc>
          <w:tcPr>
            <w:tcW w:w="7209" w:type="dxa"/>
          </w:tcPr>
          <w:p w14:paraId="3F615CF9" w14:textId="3140F2B0" w:rsidR="006F5875" w:rsidRPr="00BE42FE" w:rsidRDefault="0002301B" w:rsidP="00F85F74">
            <w:pPr>
              <w:rPr>
                <w:rFonts w:ascii="Times New Roman" w:hAnsi="Times New Roman" w:cs="Times New Roman"/>
                <w:sz w:val="22"/>
              </w:rPr>
            </w:pPr>
            <w:r w:rsidRPr="00BE42FE">
              <w:rPr>
                <w:rFonts w:ascii="Times New Roman" w:hAnsi="Times New Roman" w:cs="Times New Roman"/>
                <w:sz w:val="22"/>
              </w:rPr>
              <w:t xml:space="preserve">Update to pediatric </w:t>
            </w:r>
            <w:r w:rsidR="00102BB7" w:rsidRPr="00BE42FE">
              <w:rPr>
                <w:rFonts w:ascii="Times New Roman" w:hAnsi="Times New Roman" w:cs="Times New Roman"/>
                <w:sz w:val="22"/>
              </w:rPr>
              <w:t>weight-based</w:t>
            </w:r>
            <w:r w:rsidRPr="00BE42FE">
              <w:rPr>
                <w:rFonts w:ascii="Times New Roman" w:hAnsi="Times New Roman" w:cs="Times New Roman"/>
                <w:sz w:val="22"/>
              </w:rPr>
              <w:t xml:space="preserve"> transport devices to now include 2.3 – 45 kg</w:t>
            </w:r>
            <w:r w:rsidR="00102BB7" w:rsidRPr="00BE42FE">
              <w:rPr>
                <w:rFonts w:ascii="Times New Roman" w:hAnsi="Times New Roman" w:cs="Times New Roman"/>
                <w:sz w:val="22"/>
              </w:rPr>
              <w:t xml:space="preserve"> or to cover weight range of between 5 and 99 pounds.  </w:t>
            </w:r>
          </w:p>
        </w:tc>
      </w:tr>
      <w:tr w:rsidR="00102BB7" w:rsidRPr="00BE42FE" w14:paraId="6D64F976" w14:textId="77777777" w:rsidTr="004635E5">
        <w:tc>
          <w:tcPr>
            <w:tcW w:w="2141" w:type="dxa"/>
          </w:tcPr>
          <w:p w14:paraId="23183DE5" w14:textId="54D3273E" w:rsidR="00102BB7" w:rsidRPr="00BE42FE" w:rsidRDefault="00102BB7" w:rsidP="00F85F74">
            <w:pPr>
              <w:rPr>
                <w:rFonts w:ascii="Times New Roman" w:hAnsi="Times New Roman" w:cs="Times New Roman"/>
                <w:sz w:val="22"/>
              </w:rPr>
            </w:pPr>
            <w:r w:rsidRPr="00BE42FE">
              <w:rPr>
                <w:rFonts w:ascii="Times New Roman" w:hAnsi="Times New Roman" w:cs="Times New Roman"/>
                <w:sz w:val="22"/>
              </w:rPr>
              <w:t xml:space="preserve">7.6 </w:t>
            </w:r>
          </w:p>
        </w:tc>
        <w:tc>
          <w:tcPr>
            <w:tcW w:w="7209" w:type="dxa"/>
          </w:tcPr>
          <w:p w14:paraId="740B37B4" w14:textId="1DDF1309" w:rsidR="00102BB7" w:rsidRPr="00BE42FE" w:rsidRDefault="00102BB7" w:rsidP="00F85F74">
            <w:pPr>
              <w:rPr>
                <w:rFonts w:ascii="Times New Roman" w:hAnsi="Times New Roman" w:cs="Times New Roman"/>
                <w:sz w:val="22"/>
              </w:rPr>
            </w:pPr>
            <w:r w:rsidRPr="00BE42FE">
              <w:rPr>
                <w:rFonts w:ascii="Times New Roman" w:hAnsi="Times New Roman" w:cs="Times New Roman"/>
                <w:sz w:val="22"/>
              </w:rPr>
              <w:t>For sedation with Midazolam the Adult dosing</w:t>
            </w:r>
            <w:r w:rsidR="00227E7B">
              <w:rPr>
                <w:rFonts w:ascii="Times New Roman" w:hAnsi="Times New Roman" w:cs="Times New Roman"/>
                <w:sz w:val="22"/>
              </w:rPr>
              <w:t>:</w:t>
            </w:r>
            <w:r w:rsidRPr="00BE42FE">
              <w:rPr>
                <w:rFonts w:ascii="Times New Roman" w:hAnsi="Times New Roman" w:cs="Times New Roman"/>
                <w:sz w:val="22"/>
              </w:rPr>
              <w:t xml:space="preserve"> </w:t>
            </w:r>
            <w:r w:rsidR="00227E7B">
              <w:rPr>
                <w:rFonts w:ascii="Times New Roman" w:hAnsi="Times New Roman" w:cs="Times New Roman"/>
                <w:sz w:val="22"/>
              </w:rPr>
              <w:t>N</w:t>
            </w:r>
            <w:r w:rsidRPr="00BE42FE">
              <w:rPr>
                <w:rFonts w:ascii="Times New Roman" w:hAnsi="Times New Roman" w:cs="Times New Roman"/>
                <w:sz w:val="22"/>
              </w:rPr>
              <w:t>ow reads 0.5mg-5mg IV/IO/IM and 2mg -10mg IN</w:t>
            </w:r>
          </w:p>
        </w:tc>
      </w:tr>
      <w:tr w:rsidR="006A4D6C" w:rsidRPr="00BE42FE" w14:paraId="17E3CD18" w14:textId="77777777" w:rsidTr="004635E5">
        <w:tc>
          <w:tcPr>
            <w:tcW w:w="2141" w:type="dxa"/>
          </w:tcPr>
          <w:p w14:paraId="2EC4ADBE" w14:textId="06C32B61" w:rsidR="006A4D6C" w:rsidRPr="00BE42FE" w:rsidRDefault="006A4D6C" w:rsidP="00F85F74">
            <w:pPr>
              <w:rPr>
                <w:rFonts w:ascii="Times New Roman" w:hAnsi="Times New Roman" w:cs="Times New Roman"/>
                <w:sz w:val="22"/>
              </w:rPr>
            </w:pPr>
            <w:r w:rsidRPr="00BE42FE">
              <w:rPr>
                <w:rFonts w:ascii="Times New Roman" w:hAnsi="Times New Roman" w:cs="Times New Roman"/>
                <w:sz w:val="22"/>
              </w:rPr>
              <w:t>8.3</w:t>
            </w:r>
          </w:p>
        </w:tc>
        <w:tc>
          <w:tcPr>
            <w:tcW w:w="7209" w:type="dxa"/>
          </w:tcPr>
          <w:p w14:paraId="4A4A1A67" w14:textId="25FFD561" w:rsidR="006A4D6C" w:rsidRPr="00BE42FE" w:rsidRDefault="006A4D6C" w:rsidP="00F85F74">
            <w:pPr>
              <w:rPr>
                <w:rFonts w:ascii="Times New Roman" w:hAnsi="Times New Roman" w:cs="Times New Roman"/>
                <w:sz w:val="22"/>
              </w:rPr>
            </w:pPr>
            <w:r w:rsidRPr="00BE42FE">
              <w:rPr>
                <w:rFonts w:ascii="Times New Roman" w:hAnsi="Times New Roman" w:cs="Times New Roman"/>
                <w:sz w:val="22"/>
              </w:rPr>
              <w:t>New Protocol Added</w:t>
            </w:r>
            <w:r w:rsidR="00292AC5" w:rsidRPr="00BE42FE">
              <w:rPr>
                <w:rFonts w:ascii="Times New Roman" w:hAnsi="Times New Roman" w:cs="Times New Roman"/>
                <w:sz w:val="22"/>
              </w:rPr>
              <w:t>:</w:t>
            </w:r>
            <w:r w:rsidRPr="00BE42FE">
              <w:rPr>
                <w:rFonts w:ascii="Times New Roman" w:hAnsi="Times New Roman" w:cs="Times New Roman"/>
                <w:sz w:val="22"/>
              </w:rPr>
              <w:t xml:space="preserve"> Hazardous Materials Response by EMS</w:t>
            </w:r>
          </w:p>
        </w:tc>
      </w:tr>
      <w:tr w:rsidR="006D6F87" w:rsidRPr="00BE42FE" w14:paraId="7112C4FC" w14:textId="77777777" w:rsidTr="004635E5">
        <w:tc>
          <w:tcPr>
            <w:tcW w:w="2141" w:type="dxa"/>
          </w:tcPr>
          <w:p w14:paraId="49A35C2E" w14:textId="11EA08BA" w:rsidR="006D6F87" w:rsidRPr="00BE42FE" w:rsidRDefault="006D6F87" w:rsidP="00F85F74">
            <w:pPr>
              <w:rPr>
                <w:rFonts w:ascii="Times New Roman" w:hAnsi="Times New Roman" w:cs="Times New Roman"/>
                <w:sz w:val="22"/>
              </w:rPr>
            </w:pPr>
            <w:r w:rsidRPr="00BE42FE">
              <w:rPr>
                <w:rFonts w:ascii="Times New Roman" w:hAnsi="Times New Roman" w:cs="Times New Roman"/>
                <w:sz w:val="22"/>
              </w:rPr>
              <w:t>A.1</w:t>
            </w:r>
          </w:p>
        </w:tc>
        <w:tc>
          <w:tcPr>
            <w:tcW w:w="7209" w:type="dxa"/>
          </w:tcPr>
          <w:p w14:paraId="1B1433C5" w14:textId="5C68BEDB" w:rsidR="006D6F87" w:rsidRPr="00BE42FE" w:rsidRDefault="006D6F87" w:rsidP="00F85F74">
            <w:pPr>
              <w:rPr>
                <w:rFonts w:ascii="Times New Roman" w:hAnsi="Times New Roman" w:cs="Times New Roman"/>
                <w:sz w:val="22"/>
              </w:rPr>
            </w:pPr>
            <w:r w:rsidRPr="00BE42FE">
              <w:rPr>
                <w:rFonts w:ascii="Times New Roman" w:hAnsi="Times New Roman" w:cs="Times New Roman"/>
                <w:sz w:val="22"/>
              </w:rPr>
              <w:t>Under Guidelines Section A1-4a</w:t>
            </w:r>
            <w:r w:rsidR="00292AC5" w:rsidRPr="00BE42FE">
              <w:rPr>
                <w:rFonts w:ascii="Times New Roman" w:hAnsi="Times New Roman" w:cs="Times New Roman"/>
                <w:sz w:val="22"/>
              </w:rPr>
              <w:t>,</w:t>
            </w:r>
            <w:r w:rsidRPr="00BE42FE">
              <w:rPr>
                <w:rFonts w:ascii="Times New Roman" w:hAnsi="Times New Roman" w:cs="Times New Roman"/>
                <w:sz w:val="22"/>
              </w:rPr>
              <w:t xml:space="preserve"> last sentence </w:t>
            </w:r>
            <w:r w:rsidR="00292AC5" w:rsidRPr="00BE42FE">
              <w:rPr>
                <w:rFonts w:ascii="Times New Roman" w:hAnsi="Times New Roman" w:cs="Times New Roman"/>
                <w:sz w:val="22"/>
              </w:rPr>
              <w:t>regarding</w:t>
            </w:r>
            <w:r w:rsidRPr="00BE42FE">
              <w:rPr>
                <w:rFonts w:ascii="Times New Roman" w:hAnsi="Times New Roman" w:cs="Times New Roman"/>
                <w:sz w:val="22"/>
              </w:rPr>
              <w:t xml:space="preserve"> minimum staffing for a BLS ambulance</w:t>
            </w:r>
            <w:r w:rsidR="00D059C0" w:rsidRPr="00BE42FE">
              <w:rPr>
                <w:rFonts w:ascii="Times New Roman" w:hAnsi="Times New Roman" w:cs="Times New Roman"/>
                <w:sz w:val="22"/>
              </w:rPr>
              <w:t xml:space="preserve"> now reads</w:t>
            </w:r>
            <w:r w:rsidR="00292AC5" w:rsidRPr="00BE42FE">
              <w:rPr>
                <w:rFonts w:ascii="Times New Roman" w:hAnsi="Times New Roman" w:cs="Times New Roman"/>
                <w:sz w:val="22"/>
              </w:rPr>
              <w:t>:</w:t>
            </w:r>
            <w:r w:rsidRPr="00BE42FE">
              <w:rPr>
                <w:rFonts w:ascii="Times New Roman" w:hAnsi="Times New Roman" w:cs="Times New Roman"/>
                <w:sz w:val="22"/>
              </w:rPr>
              <w:t xml:space="preserve"> </w:t>
            </w:r>
            <w:r w:rsidR="00D059C0" w:rsidRPr="00BE42FE">
              <w:rPr>
                <w:rFonts w:ascii="Times New Roman" w:hAnsi="Times New Roman" w:cs="Times New Roman"/>
                <w:sz w:val="22"/>
              </w:rPr>
              <w:t>“one EMT</w:t>
            </w:r>
            <w:r w:rsidR="00292AC5" w:rsidRPr="00BE42FE">
              <w:rPr>
                <w:rFonts w:ascii="Times New Roman" w:hAnsi="Times New Roman" w:cs="Times New Roman"/>
                <w:sz w:val="22"/>
              </w:rPr>
              <w:t>-Basic</w:t>
            </w:r>
            <w:r w:rsidR="00D059C0" w:rsidRPr="00BE42FE">
              <w:rPr>
                <w:rFonts w:ascii="Times New Roman" w:hAnsi="Times New Roman" w:cs="Times New Roman"/>
                <w:sz w:val="22"/>
              </w:rPr>
              <w:t xml:space="preserve"> and one person trained to the first responder level.” </w:t>
            </w:r>
          </w:p>
        </w:tc>
      </w:tr>
      <w:tr w:rsidR="00466DCB" w:rsidRPr="00BE42FE" w14:paraId="669232E8" w14:textId="77777777" w:rsidTr="004635E5">
        <w:tc>
          <w:tcPr>
            <w:tcW w:w="2141" w:type="dxa"/>
          </w:tcPr>
          <w:p w14:paraId="2D72E71F" w14:textId="5A5D93D9" w:rsidR="00466DCB" w:rsidRPr="00BE42FE" w:rsidRDefault="00466DCB" w:rsidP="00F85F74">
            <w:pPr>
              <w:rPr>
                <w:rFonts w:ascii="Times New Roman" w:hAnsi="Times New Roman" w:cs="Times New Roman"/>
                <w:sz w:val="22"/>
              </w:rPr>
            </w:pPr>
            <w:r w:rsidRPr="00BE42FE">
              <w:rPr>
                <w:rFonts w:ascii="Times New Roman" w:hAnsi="Times New Roman" w:cs="Times New Roman"/>
                <w:sz w:val="22"/>
              </w:rPr>
              <w:t>A.2</w:t>
            </w:r>
          </w:p>
        </w:tc>
        <w:tc>
          <w:tcPr>
            <w:tcW w:w="7209" w:type="dxa"/>
          </w:tcPr>
          <w:p w14:paraId="2C196DB3" w14:textId="52FDC239" w:rsidR="00466DCB" w:rsidRPr="00BE42FE" w:rsidRDefault="00466DCB" w:rsidP="00F85F74">
            <w:pPr>
              <w:rPr>
                <w:rFonts w:ascii="Times New Roman" w:hAnsi="Times New Roman" w:cs="Times New Roman"/>
                <w:sz w:val="22"/>
              </w:rPr>
            </w:pPr>
            <w:r w:rsidRPr="00BE42FE">
              <w:rPr>
                <w:rFonts w:ascii="Times New Roman" w:hAnsi="Times New Roman" w:cs="Times New Roman"/>
                <w:sz w:val="22"/>
              </w:rPr>
              <w:t>Added “Advanced” to the following</w:t>
            </w:r>
            <w:r w:rsidR="00292AC5" w:rsidRPr="00BE42FE">
              <w:rPr>
                <w:rFonts w:ascii="Times New Roman" w:hAnsi="Times New Roman" w:cs="Times New Roman"/>
                <w:sz w:val="22"/>
              </w:rPr>
              <w:t>:</w:t>
            </w:r>
            <w:r w:rsidRPr="00BE42FE">
              <w:rPr>
                <w:rFonts w:ascii="Times New Roman" w:hAnsi="Times New Roman" w:cs="Times New Roman"/>
                <w:sz w:val="22"/>
              </w:rPr>
              <w:t xml:space="preserve">   “</w:t>
            </w:r>
            <w:r w:rsidRPr="00BE42FE">
              <w:rPr>
                <w:rFonts w:ascii="Times New Roman" w:hAnsi="Times New Roman" w:cs="Times New Roman"/>
                <w:i/>
                <w:iCs/>
                <w:color w:val="000000"/>
                <w:sz w:val="22"/>
              </w:rPr>
              <w:t>Skills allowed only under Paramedic/Advanced-Basic/ALS-assist staffing and training.”</w:t>
            </w:r>
          </w:p>
        </w:tc>
      </w:tr>
    </w:tbl>
    <w:p w14:paraId="744641BD" w14:textId="77777777" w:rsidR="006F5875" w:rsidRPr="00BE42FE" w:rsidRDefault="006F5875" w:rsidP="006F5875">
      <w:pPr>
        <w:pStyle w:val="Body"/>
        <w:shd w:val="clear" w:color="auto" w:fill="FFFFFF"/>
        <w:spacing w:after="0" w:line="240" w:lineRule="auto"/>
        <w:rPr>
          <w:rFonts w:ascii="Times New Roman" w:hAnsi="Times New Roman" w:cs="Times New Roman"/>
          <w:b/>
          <w:bCs/>
          <w:u w:val="single"/>
        </w:rPr>
      </w:pPr>
    </w:p>
    <w:p w14:paraId="1A80A9E5" w14:textId="33A8BAEC" w:rsidR="006F4567" w:rsidRPr="00BE42FE" w:rsidRDefault="00626BED" w:rsidP="00BE42FE">
      <w:pPr>
        <w:pStyle w:val="Body"/>
        <w:shd w:val="clear" w:color="auto" w:fill="FFFFFF"/>
        <w:spacing w:after="0" w:line="240" w:lineRule="auto"/>
        <w:rPr>
          <w:rFonts w:ascii="Arial" w:hAnsi="Arial" w:cs="Arial"/>
        </w:rPr>
      </w:pPr>
      <w:r w:rsidRPr="00BE42FE">
        <w:rPr>
          <w:rFonts w:ascii="Times New Roman" w:hAnsi="Times New Roman" w:cs="Times New Roman"/>
        </w:rPr>
        <w:t>Thank you for your continued collaboration and efforts to effectively serve patients across the Commonwealth.  If you have any questions on the</w:t>
      </w:r>
      <w:r w:rsidR="009038B3" w:rsidRPr="00BE42FE">
        <w:rPr>
          <w:rFonts w:ascii="Times New Roman" w:hAnsi="Times New Roman" w:cs="Times New Roman"/>
        </w:rPr>
        <w:t xml:space="preserve"> Statewide Treatment Protocols version</w:t>
      </w:r>
      <w:r w:rsidRPr="00BE42FE">
        <w:rPr>
          <w:rFonts w:ascii="Times New Roman" w:hAnsi="Times New Roman" w:cs="Times New Roman"/>
        </w:rPr>
        <w:t xml:space="preserve"> 202</w:t>
      </w:r>
      <w:r w:rsidR="006A4D6C" w:rsidRPr="00BE42FE">
        <w:rPr>
          <w:rFonts w:ascii="Times New Roman" w:hAnsi="Times New Roman" w:cs="Times New Roman"/>
        </w:rPr>
        <w:t>5</w:t>
      </w:r>
      <w:r w:rsidRPr="00BE42FE">
        <w:rPr>
          <w:rFonts w:ascii="Times New Roman" w:hAnsi="Times New Roman" w:cs="Times New Roman"/>
        </w:rPr>
        <w:t>.1</w:t>
      </w:r>
      <w:r w:rsidR="009038B3" w:rsidRPr="00BE42FE">
        <w:rPr>
          <w:rFonts w:ascii="Times New Roman" w:hAnsi="Times New Roman" w:cs="Times New Roman"/>
        </w:rPr>
        <w:t>,</w:t>
      </w:r>
      <w:r w:rsidR="00194C2B" w:rsidRPr="00BE42FE">
        <w:rPr>
          <w:rFonts w:ascii="Times New Roman" w:hAnsi="Times New Roman" w:cs="Times New Roman"/>
        </w:rPr>
        <w:t xml:space="preserve"> </w:t>
      </w:r>
      <w:r w:rsidRPr="00BE42FE">
        <w:rPr>
          <w:rFonts w:ascii="Times New Roman" w:hAnsi="Times New Roman" w:cs="Times New Roman"/>
        </w:rPr>
        <w:t xml:space="preserve">please contact Renée Atherton, NRP, Clinical Coordinator, at </w:t>
      </w:r>
      <w:hyperlink r:id="rId9" w:history="1">
        <w:r w:rsidRPr="00BE42FE">
          <w:rPr>
            <w:rStyle w:val="Hyperlink"/>
            <w:rFonts w:ascii="Times New Roman" w:hAnsi="Times New Roman" w:cs="Times New Roman"/>
          </w:rPr>
          <w:t>renee.atherton@mass.gov</w:t>
        </w:r>
      </w:hyperlink>
      <w:r w:rsidRPr="00B82AB5">
        <w:rPr>
          <w:rFonts w:ascii="Times New Roman" w:hAnsi="Times New Roman" w:cs="Times New Roman"/>
          <w:sz w:val="24"/>
          <w:szCs w:val="24"/>
        </w:rPr>
        <w:t>.</w:t>
      </w:r>
      <w:bookmarkEnd w:id="0"/>
      <w:bookmarkEnd w:id="1"/>
    </w:p>
    <w:sectPr w:rsidR="006F4567" w:rsidRPr="00BE42F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696DCEC"/>
    <w:lvl w:ilvl="0">
      <w:numFmt w:val="bullet"/>
      <w:lvlText w:val="*"/>
      <w:lvlJc w:val="left"/>
      <w:pPr>
        <w:ind w:left="0" w:firstLine="0"/>
      </w:pPr>
    </w:lvl>
  </w:abstractNum>
  <w:abstractNum w:abstractNumId="1" w15:restartNumberingAfterBreak="0">
    <w:nsid w:val="24CF437E"/>
    <w:multiLevelType w:val="hybridMultilevel"/>
    <w:tmpl w:val="D55A9892"/>
    <w:lvl w:ilvl="0" w:tplc="95B6E258">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265F3634"/>
    <w:multiLevelType w:val="hybridMultilevel"/>
    <w:tmpl w:val="4CD2A6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E35857"/>
    <w:multiLevelType w:val="hybridMultilevel"/>
    <w:tmpl w:val="B032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6057301">
    <w:abstractNumId w:val="2"/>
  </w:num>
  <w:num w:numId="2" w16cid:durableId="1987120419">
    <w:abstractNumId w:val="3"/>
  </w:num>
  <w:num w:numId="3" w16cid:durableId="789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5827600">
    <w:abstractNumId w:val="0"/>
    <w:lvlOverride w:ilvl="0">
      <w:lvl w:ilvl="0">
        <w:numFmt w:val="decimal"/>
        <w:lvlText w:val=""/>
        <w:legacy w:legacy="1" w:legacySpace="0" w:legacyIndent="0"/>
        <w:lvlJc w:val="left"/>
        <w:pPr>
          <w:ind w:left="0" w:firstLine="0"/>
        </w:pPr>
        <w:rPr>
          <w:rFonts w:ascii="Symbol" w:hAnsi="Symbol" w:hint="default"/>
          <w:color w:val="auto"/>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2FAC"/>
    <w:rsid w:val="00013776"/>
    <w:rsid w:val="0002301B"/>
    <w:rsid w:val="00033154"/>
    <w:rsid w:val="00034B99"/>
    <w:rsid w:val="00034D3C"/>
    <w:rsid w:val="0003717D"/>
    <w:rsid w:val="00037CA1"/>
    <w:rsid w:val="000413CC"/>
    <w:rsid w:val="00042048"/>
    <w:rsid w:val="00042FA8"/>
    <w:rsid w:val="0004471D"/>
    <w:rsid w:val="000453FE"/>
    <w:rsid w:val="000537DA"/>
    <w:rsid w:val="000818C6"/>
    <w:rsid w:val="00093C7D"/>
    <w:rsid w:val="000A1DE1"/>
    <w:rsid w:val="000B7D96"/>
    <w:rsid w:val="000E0885"/>
    <w:rsid w:val="000F315B"/>
    <w:rsid w:val="001012B8"/>
    <w:rsid w:val="00102BB7"/>
    <w:rsid w:val="001063F6"/>
    <w:rsid w:val="001110DE"/>
    <w:rsid w:val="001125C0"/>
    <w:rsid w:val="0011552E"/>
    <w:rsid w:val="001218F2"/>
    <w:rsid w:val="00133BDD"/>
    <w:rsid w:val="00142879"/>
    <w:rsid w:val="0015268B"/>
    <w:rsid w:val="00153170"/>
    <w:rsid w:val="00172AD2"/>
    <w:rsid w:val="001750CF"/>
    <w:rsid w:val="00177C77"/>
    <w:rsid w:val="00181D39"/>
    <w:rsid w:val="00194C2B"/>
    <w:rsid w:val="0019576F"/>
    <w:rsid w:val="001B6693"/>
    <w:rsid w:val="001C5BB1"/>
    <w:rsid w:val="001D49B3"/>
    <w:rsid w:val="001F27A2"/>
    <w:rsid w:val="00201A83"/>
    <w:rsid w:val="0021698C"/>
    <w:rsid w:val="00216A49"/>
    <w:rsid w:val="00227E7B"/>
    <w:rsid w:val="00234E82"/>
    <w:rsid w:val="002362F4"/>
    <w:rsid w:val="002437BA"/>
    <w:rsid w:val="00251275"/>
    <w:rsid w:val="00260D54"/>
    <w:rsid w:val="002738CD"/>
    <w:rsid w:val="00275F22"/>
    <w:rsid w:val="00276957"/>
    <w:rsid w:val="00276DCC"/>
    <w:rsid w:val="00286007"/>
    <w:rsid w:val="00292AC5"/>
    <w:rsid w:val="002A132F"/>
    <w:rsid w:val="002A343C"/>
    <w:rsid w:val="002D1C21"/>
    <w:rsid w:val="002F62A0"/>
    <w:rsid w:val="00301022"/>
    <w:rsid w:val="00306A71"/>
    <w:rsid w:val="00313F98"/>
    <w:rsid w:val="00314475"/>
    <w:rsid w:val="003170AC"/>
    <w:rsid w:val="00335FCA"/>
    <w:rsid w:val="00343AF3"/>
    <w:rsid w:val="00360028"/>
    <w:rsid w:val="003632B2"/>
    <w:rsid w:val="00365DD9"/>
    <w:rsid w:val="0036694E"/>
    <w:rsid w:val="00366A55"/>
    <w:rsid w:val="00375EAD"/>
    <w:rsid w:val="00385812"/>
    <w:rsid w:val="0039125B"/>
    <w:rsid w:val="00392D0B"/>
    <w:rsid w:val="003A7AFC"/>
    <w:rsid w:val="003C1B22"/>
    <w:rsid w:val="003C4C53"/>
    <w:rsid w:val="003C60EF"/>
    <w:rsid w:val="003E6FDC"/>
    <w:rsid w:val="003E7FEF"/>
    <w:rsid w:val="003F634E"/>
    <w:rsid w:val="0040019A"/>
    <w:rsid w:val="00413035"/>
    <w:rsid w:val="00421312"/>
    <w:rsid w:val="004438DD"/>
    <w:rsid w:val="00446E2C"/>
    <w:rsid w:val="00447205"/>
    <w:rsid w:val="00456360"/>
    <w:rsid w:val="0046312C"/>
    <w:rsid w:val="004635E5"/>
    <w:rsid w:val="00466DCB"/>
    <w:rsid w:val="004812AA"/>
    <w:rsid w:val="004813AC"/>
    <w:rsid w:val="004B37A0"/>
    <w:rsid w:val="004B5CFB"/>
    <w:rsid w:val="004C1A74"/>
    <w:rsid w:val="004C21A0"/>
    <w:rsid w:val="004D07BB"/>
    <w:rsid w:val="004D6B39"/>
    <w:rsid w:val="004E0C3F"/>
    <w:rsid w:val="004E36D8"/>
    <w:rsid w:val="004F420A"/>
    <w:rsid w:val="004F5259"/>
    <w:rsid w:val="004F6822"/>
    <w:rsid w:val="004F75C4"/>
    <w:rsid w:val="00512956"/>
    <w:rsid w:val="0052070D"/>
    <w:rsid w:val="00521EF1"/>
    <w:rsid w:val="00530145"/>
    <w:rsid w:val="00537E5B"/>
    <w:rsid w:val="00542079"/>
    <w:rsid w:val="005448AA"/>
    <w:rsid w:val="00567EE7"/>
    <w:rsid w:val="005740CC"/>
    <w:rsid w:val="00593355"/>
    <w:rsid w:val="005B0863"/>
    <w:rsid w:val="005B40A5"/>
    <w:rsid w:val="005C0A59"/>
    <w:rsid w:val="005D5744"/>
    <w:rsid w:val="0060714B"/>
    <w:rsid w:val="00617DD2"/>
    <w:rsid w:val="00622D58"/>
    <w:rsid w:val="00626BED"/>
    <w:rsid w:val="00630080"/>
    <w:rsid w:val="00642035"/>
    <w:rsid w:val="006544A8"/>
    <w:rsid w:val="006633CE"/>
    <w:rsid w:val="00690AD8"/>
    <w:rsid w:val="00696B9C"/>
    <w:rsid w:val="006A4D6C"/>
    <w:rsid w:val="006D06D9"/>
    <w:rsid w:val="006D6F87"/>
    <w:rsid w:val="006D77A6"/>
    <w:rsid w:val="006E4810"/>
    <w:rsid w:val="006E5C3C"/>
    <w:rsid w:val="006E6060"/>
    <w:rsid w:val="006F099E"/>
    <w:rsid w:val="006F43CE"/>
    <w:rsid w:val="006F4567"/>
    <w:rsid w:val="006F5875"/>
    <w:rsid w:val="006F6CF6"/>
    <w:rsid w:val="006F7461"/>
    <w:rsid w:val="00701883"/>
    <w:rsid w:val="00702109"/>
    <w:rsid w:val="00713DB8"/>
    <w:rsid w:val="0072610D"/>
    <w:rsid w:val="00740E77"/>
    <w:rsid w:val="00753BAF"/>
    <w:rsid w:val="00755F29"/>
    <w:rsid w:val="00757006"/>
    <w:rsid w:val="00762F5D"/>
    <w:rsid w:val="00766B13"/>
    <w:rsid w:val="00773872"/>
    <w:rsid w:val="007A4BE6"/>
    <w:rsid w:val="007A6BB4"/>
    <w:rsid w:val="007B3CDB"/>
    <w:rsid w:val="007B3F4B"/>
    <w:rsid w:val="007B5B15"/>
    <w:rsid w:val="007B7347"/>
    <w:rsid w:val="007C4678"/>
    <w:rsid w:val="007D10F3"/>
    <w:rsid w:val="007D59D2"/>
    <w:rsid w:val="007D5E5A"/>
    <w:rsid w:val="007D625A"/>
    <w:rsid w:val="007E60A0"/>
    <w:rsid w:val="007E6CE8"/>
    <w:rsid w:val="007F1DED"/>
    <w:rsid w:val="007F3CDB"/>
    <w:rsid w:val="00831BA9"/>
    <w:rsid w:val="00837FCB"/>
    <w:rsid w:val="00844802"/>
    <w:rsid w:val="00861FA8"/>
    <w:rsid w:val="0086624B"/>
    <w:rsid w:val="00867F83"/>
    <w:rsid w:val="008741BB"/>
    <w:rsid w:val="00874C9F"/>
    <w:rsid w:val="00875E8A"/>
    <w:rsid w:val="00893D25"/>
    <w:rsid w:val="008C2570"/>
    <w:rsid w:val="008E0DB6"/>
    <w:rsid w:val="008E3C23"/>
    <w:rsid w:val="008E4D7C"/>
    <w:rsid w:val="009013C4"/>
    <w:rsid w:val="009038B3"/>
    <w:rsid w:val="009369F8"/>
    <w:rsid w:val="00964847"/>
    <w:rsid w:val="009730E5"/>
    <w:rsid w:val="009908FF"/>
    <w:rsid w:val="00995505"/>
    <w:rsid w:val="00997DB2"/>
    <w:rsid w:val="009A6FF7"/>
    <w:rsid w:val="009C0402"/>
    <w:rsid w:val="009C4428"/>
    <w:rsid w:val="009C5CA3"/>
    <w:rsid w:val="009D22BE"/>
    <w:rsid w:val="009D48CD"/>
    <w:rsid w:val="009D5ED8"/>
    <w:rsid w:val="009E1D81"/>
    <w:rsid w:val="009F1035"/>
    <w:rsid w:val="009F7072"/>
    <w:rsid w:val="00A0095F"/>
    <w:rsid w:val="00A031F7"/>
    <w:rsid w:val="00A07239"/>
    <w:rsid w:val="00A11C7C"/>
    <w:rsid w:val="00A14858"/>
    <w:rsid w:val="00A30723"/>
    <w:rsid w:val="00A4314C"/>
    <w:rsid w:val="00A43890"/>
    <w:rsid w:val="00A55F4A"/>
    <w:rsid w:val="00A62130"/>
    <w:rsid w:val="00A6490C"/>
    <w:rsid w:val="00A65101"/>
    <w:rsid w:val="00A66064"/>
    <w:rsid w:val="00A90022"/>
    <w:rsid w:val="00A9715F"/>
    <w:rsid w:val="00AA0390"/>
    <w:rsid w:val="00AA4DEF"/>
    <w:rsid w:val="00AC3F17"/>
    <w:rsid w:val="00AE6476"/>
    <w:rsid w:val="00AE71B0"/>
    <w:rsid w:val="00B07FF6"/>
    <w:rsid w:val="00B1127E"/>
    <w:rsid w:val="00B14C6F"/>
    <w:rsid w:val="00B170A4"/>
    <w:rsid w:val="00B22395"/>
    <w:rsid w:val="00B32EF9"/>
    <w:rsid w:val="00B403BF"/>
    <w:rsid w:val="00B44250"/>
    <w:rsid w:val="00B608D9"/>
    <w:rsid w:val="00B610A5"/>
    <w:rsid w:val="00B70D49"/>
    <w:rsid w:val="00B778A1"/>
    <w:rsid w:val="00B800D9"/>
    <w:rsid w:val="00B82AB5"/>
    <w:rsid w:val="00B84E5D"/>
    <w:rsid w:val="00B900BC"/>
    <w:rsid w:val="00B92CC4"/>
    <w:rsid w:val="00B96081"/>
    <w:rsid w:val="00BA4055"/>
    <w:rsid w:val="00BA7222"/>
    <w:rsid w:val="00BA7FB6"/>
    <w:rsid w:val="00BE42FE"/>
    <w:rsid w:val="00BF3FB3"/>
    <w:rsid w:val="00BF7DF6"/>
    <w:rsid w:val="00C02A3E"/>
    <w:rsid w:val="00C121BF"/>
    <w:rsid w:val="00C13445"/>
    <w:rsid w:val="00C16C38"/>
    <w:rsid w:val="00C17771"/>
    <w:rsid w:val="00C20BFE"/>
    <w:rsid w:val="00C2296B"/>
    <w:rsid w:val="00C238A5"/>
    <w:rsid w:val="00C4569A"/>
    <w:rsid w:val="00C46D29"/>
    <w:rsid w:val="00C74C7A"/>
    <w:rsid w:val="00C9022E"/>
    <w:rsid w:val="00C96FEF"/>
    <w:rsid w:val="00CB22E0"/>
    <w:rsid w:val="00CB39F0"/>
    <w:rsid w:val="00CB74A4"/>
    <w:rsid w:val="00CC1778"/>
    <w:rsid w:val="00CE575B"/>
    <w:rsid w:val="00CF3DE8"/>
    <w:rsid w:val="00D0493F"/>
    <w:rsid w:val="00D059C0"/>
    <w:rsid w:val="00D13CE8"/>
    <w:rsid w:val="00D22946"/>
    <w:rsid w:val="00D32380"/>
    <w:rsid w:val="00D36E48"/>
    <w:rsid w:val="00D469A3"/>
    <w:rsid w:val="00D56F91"/>
    <w:rsid w:val="00D67867"/>
    <w:rsid w:val="00D67B03"/>
    <w:rsid w:val="00D8671C"/>
    <w:rsid w:val="00D91390"/>
    <w:rsid w:val="00DA57C3"/>
    <w:rsid w:val="00DA70F2"/>
    <w:rsid w:val="00DB6AD3"/>
    <w:rsid w:val="00DB6B8F"/>
    <w:rsid w:val="00DC3855"/>
    <w:rsid w:val="00DF103C"/>
    <w:rsid w:val="00DF6DCC"/>
    <w:rsid w:val="00DF7670"/>
    <w:rsid w:val="00E077E4"/>
    <w:rsid w:val="00E20E0A"/>
    <w:rsid w:val="00E242A8"/>
    <w:rsid w:val="00E274B8"/>
    <w:rsid w:val="00E370D0"/>
    <w:rsid w:val="00E37A45"/>
    <w:rsid w:val="00E52353"/>
    <w:rsid w:val="00E72707"/>
    <w:rsid w:val="00E7746C"/>
    <w:rsid w:val="00E846AD"/>
    <w:rsid w:val="00E97046"/>
    <w:rsid w:val="00EA0E03"/>
    <w:rsid w:val="00EA3C58"/>
    <w:rsid w:val="00EA61A6"/>
    <w:rsid w:val="00EA6881"/>
    <w:rsid w:val="00EC19B8"/>
    <w:rsid w:val="00EC2EFA"/>
    <w:rsid w:val="00ED7324"/>
    <w:rsid w:val="00EE161E"/>
    <w:rsid w:val="00EF2EEF"/>
    <w:rsid w:val="00F026D4"/>
    <w:rsid w:val="00F0586E"/>
    <w:rsid w:val="00F2401C"/>
    <w:rsid w:val="00F3545F"/>
    <w:rsid w:val="00F43932"/>
    <w:rsid w:val="00F50728"/>
    <w:rsid w:val="00F60125"/>
    <w:rsid w:val="00F61195"/>
    <w:rsid w:val="00F82E92"/>
    <w:rsid w:val="00F87D03"/>
    <w:rsid w:val="00F9192C"/>
    <w:rsid w:val="00FA1F60"/>
    <w:rsid w:val="00FA575E"/>
    <w:rsid w:val="00FB0BD9"/>
    <w:rsid w:val="00FC412C"/>
    <w:rsid w:val="00FC6B42"/>
    <w:rsid w:val="00FD3E96"/>
    <w:rsid w:val="00FD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CommentReference">
    <w:name w:val="annotation reference"/>
    <w:basedOn w:val="DefaultParagraphFont"/>
    <w:rsid w:val="00875E8A"/>
    <w:rPr>
      <w:sz w:val="16"/>
      <w:szCs w:val="16"/>
    </w:rPr>
  </w:style>
  <w:style w:type="paragraph" w:styleId="CommentText">
    <w:name w:val="annotation text"/>
    <w:basedOn w:val="Normal"/>
    <w:link w:val="CommentTextChar"/>
    <w:rsid w:val="00875E8A"/>
    <w:rPr>
      <w:sz w:val="20"/>
    </w:rPr>
  </w:style>
  <w:style w:type="character" w:customStyle="1" w:styleId="CommentTextChar">
    <w:name w:val="Comment Text Char"/>
    <w:basedOn w:val="DefaultParagraphFont"/>
    <w:link w:val="CommentText"/>
    <w:rsid w:val="00875E8A"/>
  </w:style>
  <w:style w:type="paragraph" w:styleId="CommentSubject">
    <w:name w:val="annotation subject"/>
    <w:basedOn w:val="CommentText"/>
    <w:next w:val="CommentText"/>
    <w:link w:val="CommentSubjectChar"/>
    <w:rsid w:val="00875E8A"/>
    <w:rPr>
      <w:b/>
      <w:bCs/>
    </w:rPr>
  </w:style>
  <w:style w:type="character" w:customStyle="1" w:styleId="CommentSubjectChar">
    <w:name w:val="Comment Subject Char"/>
    <w:basedOn w:val="CommentTextChar"/>
    <w:link w:val="CommentSubject"/>
    <w:rsid w:val="00875E8A"/>
    <w:rPr>
      <w:b/>
      <w:bCs/>
    </w:rPr>
  </w:style>
  <w:style w:type="paragraph" w:styleId="Header">
    <w:name w:val="header"/>
    <w:basedOn w:val="Normal"/>
    <w:link w:val="HeaderChar"/>
    <w:uiPriority w:val="99"/>
    <w:unhideWhenUsed/>
    <w:rsid w:val="006544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44A8"/>
    <w:rPr>
      <w:rFonts w:asciiTheme="minorHAnsi" w:eastAsiaTheme="minorHAnsi" w:hAnsiTheme="minorHAnsi" w:cstheme="minorBidi"/>
      <w:sz w:val="22"/>
      <w:szCs w:val="22"/>
    </w:rPr>
  </w:style>
  <w:style w:type="paragraph" w:customStyle="1" w:styleId="Body">
    <w:name w:val="Body"/>
    <w:rsid w:val="006544A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ListParagraph">
    <w:name w:val="List Paragraph"/>
    <w:basedOn w:val="Normal"/>
    <w:uiPriority w:val="34"/>
    <w:qFormat/>
    <w:rsid w:val="00172AD2"/>
    <w:pPr>
      <w:ind w:left="720"/>
      <w:contextualSpacing/>
    </w:pPr>
  </w:style>
  <w:style w:type="paragraph" w:customStyle="1" w:styleId="Default">
    <w:name w:val="Default"/>
    <w:rsid w:val="00306A71"/>
    <w:pPr>
      <w:autoSpaceDE w:val="0"/>
      <w:autoSpaceDN w:val="0"/>
      <w:adjustRightInd w:val="0"/>
    </w:pPr>
    <w:rPr>
      <w:rFonts w:ascii="Arial Rounded MT Bold" w:hAnsi="Arial Rounded MT Bold" w:cs="Arial Rounded MT Bold"/>
      <w:color w:val="000000"/>
      <w:sz w:val="24"/>
      <w:szCs w:val="24"/>
    </w:rPr>
  </w:style>
  <w:style w:type="table" w:styleId="TableGrid">
    <w:name w:val="Table Grid"/>
    <w:basedOn w:val="TableNormal"/>
    <w:uiPriority w:val="59"/>
    <w:rsid w:val="006F58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0E0A"/>
    <w:rPr>
      <w:sz w:val="24"/>
    </w:rPr>
  </w:style>
  <w:style w:type="paragraph" w:styleId="NoSpacing">
    <w:name w:val="No Spacing"/>
    <w:uiPriority w:val="1"/>
    <w:qFormat/>
    <w:rsid w:val="009C5CA3"/>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16534032">
      <w:bodyDiv w:val="1"/>
      <w:marLeft w:val="0"/>
      <w:marRight w:val="0"/>
      <w:marTop w:val="0"/>
      <w:marBottom w:val="0"/>
      <w:divBdr>
        <w:top w:val="none" w:sz="0" w:space="0" w:color="auto"/>
        <w:left w:val="none" w:sz="0" w:space="0" w:color="auto"/>
        <w:bottom w:val="none" w:sz="0" w:space="0" w:color="auto"/>
        <w:right w:val="none" w:sz="0" w:space="0" w:color="auto"/>
      </w:divBdr>
    </w:div>
    <w:div w:id="841699012">
      <w:bodyDiv w:val="1"/>
      <w:marLeft w:val="0"/>
      <w:marRight w:val="0"/>
      <w:marTop w:val="0"/>
      <w:marBottom w:val="0"/>
      <w:divBdr>
        <w:top w:val="none" w:sz="0" w:space="0" w:color="auto"/>
        <w:left w:val="none" w:sz="0" w:space="0" w:color="auto"/>
        <w:bottom w:val="none" w:sz="0" w:space="0" w:color="auto"/>
        <w:right w:val="none" w:sz="0" w:space="0" w:color="auto"/>
      </w:divBdr>
    </w:div>
    <w:div w:id="1212183684">
      <w:bodyDiv w:val="1"/>
      <w:marLeft w:val="0"/>
      <w:marRight w:val="0"/>
      <w:marTop w:val="0"/>
      <w:marBottom w:val="0"/>
      <w:divBdr>
        <w:top w:val="none" w:sz="0" w:space="0" w:color="auto"/>
        <w:left w:val="none" w:sz="0" w:space="0" w:color="auto"/>
        <w:bottom w:val="none" w:sz="0" w:space="0" w:color="auto"/>
        <w:right w:val="none" w:sz="0" w:space="0" w:color="auto"/>
      </w:divBdr>
    </w:div>
    <w:div w:id="1412501613">
      <w:bodyDiv w:val="1"/>
      <w:marLeft w:val="0"/>
      <w:marRight w:val="0"/>
      <w:marTop w:val="0"/>
      <w:marBottom w:val="0"/>
      <w:divBdr>
        <w:top w:val="none" w:sz="0" w:space="0" w:color="auto"/>
        <w:left w:val="none" w:sz="0" w:space="0" w:color="auto"/>
        <w:bottom w:val="none" w:sz="0" w:space="0" w:color="auto"/>
        <w:right w:val="none" w:sz="0" w:space="0" w:color="auto"/>
      </w:divBdr>
    </w:div>
    <w:div w:id="191446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nee.atherton@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828</Words>
  <Characters>4797</Characters>
  <Application>Microsoft Office Word</Application>
  <DocSecurity>0</DocSecurity>
  <Lines>126</Lines>
  <Paragraphs>74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Cameron, Silva (DPH)</cp:lastModifiedBy>
  <cp:revision>2</cp:revision>
  <cp:lastPrinted>2024-01-16T21:00:00Z</cp:lastPrinted>
  <dcterms:created xsi:type="dcterms:W3CDTF">2025-04-15T16:56:00Z</dcterms:created>
  <dcterms:modified xsi:type="dcterms:W3CDTF">2025-04-15T16:56:00Z</dcterms:modified>
</cp:coreProperties>
</file>