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CE691" w14:textId="3174A4D5" w:rsidR="00EF0801" w:rsidRDefault="001E4B12">
      <w:pPr>
        <w:spacing w:before="0"/>
        <w:ind w:left="0" w:right="0"/>
        <w:jc w:val="left"/>
        <w:rPr>
          <w:rFonts w:eastAsiaTheme="majorEastAsia" w:cstheme="majorBidi"/>
          <w:b/>
          <w:sz w:val="40"/>
          <w:szCs w:val="40"/>
        </w:rPr>
      </w:pPr>
      <w:r>
        <w:rPr>
          <w:rFonts w:eastAsiaTheme="majorEastAsia" w:cstheme="majorBidi"/>
          <w:b/>
          <w:sz w:val="40"/>
          <w:szCs w:val="40"/>
        </w:rPr>
        <w:drawing>
          <wp:anchor distT="0" distB="0" distL="114300" distR="114300" simplePos="0" relativeHeight="252057600" behindDoc="1" locked="0" layoutInCell="1" allowOverlap="1" wp14:anchorId="24565A30" wp14:editId="19624B86">
            <wp:simplePos x="0" y="0"/>
            <wp:positionH relativeFrom="column">
              <wp:posOffset>-982133</wp:posOffset>
            </wp:positionH>
            <wp:positionV relativeFrom="paragraph">
              <wp:posOffset>-914400</wp:posOffset>
            </wp:positionV>
            <wp:extent cx="8793477" cy="10083800"/>
            <wp:effectExtent l="0" t="0" r="8255" b="0"/>
            <wp:wrapNone/>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Stock-529209611.jpg"/>
                    <pic:cNvPicPr/>
                  </pic:nvPicPr>
                  <pic:blipFill rotWithShape="1">
                    <a:blip r:embed="rId9" cstate="print">
                      <a:extLst>
                        <a:ext uri="{28A0092B-C50C-407E-A947-70E740481C1C}">
                          <a14:useLocalDpi xmlns:a14="http://schemas.microsoft.com/office/drawing/2010/main" val="0"/>
                        </a:ext>
                      </a:extLst>
                    </a:blip>
                    <a:srcRect t="23868"/>
                    <a:stretch/>
                  </pic:blipFill>
                  <pic:spPr bwMode="auto">
                    <a:xfrm>
                      <a:off x="0" y="0"/>
                      <a:ext cx="8796823" cy="100876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5B4CBD" w14:textId="00F4BAF7" w:rsidR="00EF0801" w:rsidRDefault="00EF0801" w:rsidP="006E3904">
      <w:pPr>
        <w:pStyle w:val="Title"/>
      </w:pPr>
    </w:p>
    <w:p w14:paraId="3E9BDD7B" w14:textId="77777777" w:rsidR="00EF0801" w:rsidRDefault="00EF0801" w:rsidP="006E3904">
      <w:pPr>
        <w:pStyle w:val="Title"/>
      </w:pPr>
    </w:p>
    <w:p w14:paraId="7C8C8408" w14:textId="77777777" w:rsidR="00EF0801" w:rsidRDefault="00EF0801" w:rsidP="006E3904">
      <w:pPr>
        <w:pStyle w:val="Title"/>
      </w:pPr>
    </w:p>
    <w:p w14:paraId="35B22AA2" w14:textId="77C37B04" w:rsidR="00EF0801" w:rsidRDefault="001E2DF1" w:rsidP="006E3904">
      <w:pPr>
        <w:pStyle w:val="Title"/>
      </w:pPr>
      <w:r>
        <mc:AlternateContent>
          <mc:Choice Requires="wps">
            <w:drawing>
              <wp:anchor distT="0" distB="0" distL="114300" distR="114300" simplePos="0" relativeHeight="251348992" behindDoc="0" locked="0" layoutInCell="1" allowOverlap="1" wp14:anchorId="0EBEC710" wp14:editId="5B80B37F">
                <wp:simplePos x="0" y="0"/>
                <wp:positionH relativeFrom="page">
                  <wp:posOffset>-13335</wp:posOffset>
                </wp:positionH>
                <wp:positionV relativeFrom="paragraph">
                  <wp:posOffset>441960</wp:posOffset>
                </wp:positionV>
                <wp:extent cx="7996687" cy="1518661"/>
                <wp:effectExtent l="0" t="0" r="4445" b="5715"/>
                <wp:wrapNone/>
                <wp:docPr id="5" name="Rectangle 5"/>
                <wp:cNvGraphicFramePr/>
                <a:graphic xmlns:a="http://schemas.openxmlformats.org/drawingml/2006/main">
                  <a:graphicData uri="http://schemas.microsoft.com/office/word/2010/wordprocessingShape">
                    <wps:wsp>
                      <wps:cNvSpPr/>
                      <wps:spPr>
                        <a:xfrm>
                          <a:off x="0" y="0"/>
                          <a:ext cx="7996687" cy="1518661"/>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E696A" w14:textId="40F296A4" w:rsidR="00B67293" w:rsidRPr="00CA21D0" w:rsidRDefault="00B67293" w:rsidP="00FC64DD">
                            <w:pPr>
                              <w:pStyle w:val="Chapter"/>
                            </w:pPr>
                            <w:r>
                              <w:t xml:space="preserve"> </w:t>
                            </w:r>
                            <w:r>
                              <w:tab/>
                            </w:r>
                            <w:r>
                              <w:tab/>
                            </w:r>
                            <w:r w:rsidRPr="00CA21D0">
                              <w:t>CHAPTER 1</w:t>
                            </w:r>
                            <w:r>
                              <w:t xml:space="preserve"> </w:t>
                            </w:r>
                          </w:p>
                          <w:p w14:paraId="705EE611" w14:textId="77777777" w:rsidR="00B67293" w:rsidRPr="00CA21D0" w:rsidRDefault="00B67293" w:rsidP="00EF0801">
                            <w:pPr>
                              <w:pStyle w:val="ChapterName"/>
                              <w:rPr>
                                <w:rFonts w:cstheme="minorHAnsi"/>
                              </w:rPr>
                            </w:pPr>
                            <w:r w:rsidRPr="00CA21D0">
                              <w:rPr>
                                <w:rFonts w:cstheme="minorHAnsi"/>
                              </w:rPr>
                              <w:t>Population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6" style="position:absolute;left:0;text-align:left;margin-left:-1.05pt;margin-top:34.8pt;width:629.65pt;height:119.6pt;z-index:251348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" fillcolor="#1f3763 [1604]" stroked="f" strokeweight="4.5pt">
                <v:textbox>
                  <w:txbxContent>
                    <w:p w14:paraId="373E696A" w14:textId="40F296A4" w:rsidR="00B67293" w:rsidRPr="00CA21D0" w:rsidRDefault="00B67293" w:rsidP="00FC64DD">
                      <w:pPr>
                        <w:pStyle w:val="Chapter"/>
                      </w:pPr>
                      <w:r>
                        <w:t xml:space="preserve"> </w:t>
                      </w:r>
                      <w:r>
                        <w:tab/>
                      </w:r>
                      <w:r>
                        <w:tab/>
                      </w:r>
                      <w:r w:rsidRPr="00CA21D0">
                        <w:t>CHAPTER 1</w:t>
                      </w:r>
                      <w:r>
                        <w:t xml:space="preserve"> </w:t>
                      </w:r>
                    </w:p>
                    <w:p w14:paraId="705EE611" w14:textId="77777777" w:rsidR="00B67293" w:rsidRPr="00CA21D0" w:rsidRDefault="00B67293" w:rsidP="00EF0801">
                      <w:pPr>
                        <w:pStyle w:val="ChapterName"/>
                        <w:rPr>
                          <w:rFonts w:cstheme="minorHAnsi"/>
                        </w:rPr>
                      </w:pPr>
                      <w:r w:rsidRPr="00CA21D0">
                        <w:rPr>
                          <w:rFonts w:cstheme="minorHAnsi"/>
                        </w:rPr>
                        <w:t>Population Characteristics</w:t>
                      </w:r>
                    </w:p>
                  </w:txbxContent>
                </v:textbox>
                <w10:wrap anchorx="page"/>
              </v:rect>
            </w:pict>
          </mc:Fallback>
        </mc:AlternateContent>
      </w:r>
    </w:p>
    <w:p w14:paraId="0F1A48EB" w14:textId="517B06DF" w:rsidR="00EF0801" w:rsidRDefault="00EF0801" w:rsidP="00EF0801">
      <w:pPr>
        <w:rPr>
          <w:rFonts w:ascii="Aileron Light" w:eastAsiaTheme="majorEastAsia" w:hAnsi="Aileron Light" w:cstheme="majorBidi"/>
          <w:spacing w:val="-10"/>
          <w:kern w:val="28"/>
          <w:sz w:val="100"/>
          <w:szCs w:val="100"/>
        </w:rPr>
      </w:pPr>
      <w:r>
        <w:br w:type="page"/>
      </w:r>
    </w:p>
    <w:p w14:paraId="7E6C1E75" w14:textId="4639C62E" w:rsidR="00EF0801" w:rsidRDefault="00EF0801" w:rsidP="006E3904">
      <w:pPr>
        <w:pStyle w:val="Title"/>
      </w:pPr>
      <w:r>
        <w:lastRenderedPageBreak/>
        <w:drawing>
          <wp:anchor distT="0" distB="0" distL="114300" distR="114300" simplePos="0" relativeHeight="251362304" behindDoc="1" locked="0" layoutInCell="1" allowOverlap="1" wp14:anchorId="153B42D2" wp14:editId="2C174766">
            <wp:simplePos x="0" y="0"/>
            <wp:positionH relativeFrom="page">
              <wp:posOffset>-567267</wp:posOffset>
            </wp:positionH>
            <wp:positionV relativeFrom="paragraph">
              <wp:posOffset>-1371600</wp:posOffset>
            </wp:positionV>
            <wp:extent cx="8453967" cy="4228945"/>
            <wp:effectExtent l="0" t="0" r="4445" b="635"/>
            <wp:wrapNone/>
            <wp:docPr id="76" name="Picture 76" descr="This image is of 5 people standing on a subway platform as a blue line train goes by.  A black male with an attache bag, white maile with a baseball cap, two white women, on eof whom is reading a book and another male. All oprepared for the weather with raincoat or umbrella." title="Subwa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ppData\Local\Microsoft\Windows\INetCache\Content.Word\iStock-61611616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022" b="9530"/>
                    <a:stretch/>
                  </pic:blipFill>
                  <pic:spPr bwMode="auto">
                    <a:xfrm>
                      <a:off x="0" y="0"/>
                      <a:ext cx="8460119" cy="42320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D96C76" w14:textId="77777777" w:rsidR="00EF0801" w:rsidRDefault="00EF0801" w:rsidP="006E3904">
      <w:pPr>
        <w:pStyle w:val="Title"/>
      </w:pPr>
    </w:p>
    <w:p w14:paraId="7422AB61" w14:textId="77777777" w:rsidR="00EF0801" w:rsidRDefault="00EF0801" w:rsidP="006E3904">
      <w:pPr>
        <w:pStyle w:val="Title"/>
      </w:pPr>
    </w:p>
    <w:p w14:paraId="71159123" w14:textId="77777777" w:rsidR="00EF0801" w:rsidRDefault="00EF0801" w:rsidP="00B67293">
      <w:pPr>
        <w:pStyle w:val="Title"/>
        <w:spacing w:line="360" w:lineRule="auto"/>
      </w:pPr>
    </w:p>
    <w:p w14:paraId="6F41EBCD" w14:textId="77777777" w:rsidR="001E4B12" w:rsidRPr="00B67293" w:rsidRDefault="001E4B12" w:rsidP="00B67293">
      <w:pPr>
        <w:spacing w:line="360" w:lineRule="auto"/>
      </w:pPr>
    </w:p>
    <w:p w14:paraId="73A8E8F0" w14:textId="51817A69" w:rsidR="001E4B12" w:rsidRPr="00B67293" w:rsidRDefault="001E4B12" w:rsidP="00B67293">
      <w:pPr>
        <w:pStyle w:val="Title"/>
        <w:spacing w:line="360" w:lineRule="auto"/>
        <w:ind w:right="-360"/>
      </w:pPr>
      <w:r w:rsidRPr="00B67293">
        <w:t>Population Characteristics</w:t>
      </w:r>
    </w:p>
    <w:p w14:paraId="31FD3906" w14:textId="48E90D66" w:rsidR="001E4B12" w:rsidRPr="00592C35" w:rsidRDefault="001E4B12" w:rsidP="00B67293">
      <w:pPr>
        <w:spacing w:line="360" w:lineRule="auto"/>
        <w:ind w:right="-360"/>
        <w:rPr>
          <w:sz w:val="24"/>
          <w:szCs w:val="24"/>
        </w:rPr>
      </w:pPr>
      <w:r w:rsidRPr="00592C35">
        <w:rPr>
          <w:sz w:val="24"/>
          <w:szCs w:val="24"/>
        </w:rPr>
        <w:t xml:space="preserve">This chapter provides an overview of the population characteristics in Massachusetts. While Massachusetts is ranked first overall state, first in education and second in health care by </w:t>
      </w:r>
      <w:hyperlink r:id="rId11" w:history="1">
        <w:r w:rsidRPr="00592C35">
          <w:rPr>
            <w:rStyle w:val="Hyperlink"/>
            <w:i/>
            <w:iCs/>
            <w:sz w:val="24"/>
            <w:szCs w:val="24"/>
          </w:rPr>
          <w:t>US News and World Report</w:t>
        </w:r>
      </w:hyperlink>
      <w:r w:rsidRPr="00592C35">
        <w:rPr>
          <w:sz w:val="24"/>
          <w:szCs w:val="24"/>
        </w:rPr>
        <w:t xml:space="preserve">, health disparities and inequities persist.  This helps provide context to the data that follows. Since there is no widely accepted consensus on which elements best describe population characteristics, the following topic areas provide some context: </w:t>
      </w:r>
    </w:p>
    <w:p w14:paraId="5A815C24" w14:textId="0A90CA08" w:rsidR="001E4B12" w:rsidRPr="00592C35" w:rsidRDefault="001E4B12" w:rsidP="00B67293">
      <w:pPr>
        <w:pStyle w:val="ListParagraph"/>
        <w:numPr>
          <w:ilvl w:val="0"/>
          <w:numId w:val="23"/>
        </w:numPr>
        <w:spacing w:line="360" w:lineRule="auto"/>
        <w:ind w:right="-360"/>
        <w:rPr>
          <w:sz w:val="24"/>
          <w:szCs w:val="24"/>
        </w:rPr>
      </w:pPr>
      <w:r w:rsidRPr="00592C35">
        <w:rPr>
          <w:sz w:val="24"/>
          <w:szCs w:val="24"/>
        </w:rPr>
        <w:t>Demographics</w:t>
      </w:r>
    </w:p>
    <w:p w14:paraId="2FB8BD6D" w14:textId="0058CF9E" w:rsidR="001E4B12" w:rsidRPr="00592C35" w:rsidRDefault="001E4B12" w:rsidP="00B67293">
      <w:pPr>
        <w:pStyle w:val="ListParagraph"/>
        <w:numPr>
          <w:ilvl w:val="0"/>
          <w:numId w:val="23"/>
        </w:numPr>
        <w:spacing w:line="360" w:lineRule="auto"/>
        <w:ind w:right="-360"/>
        <w:rPr>
          <w:sz w:val="24"/>
          <w:szCs w:val="24"/>
        </w:rPr>
      </w:pPr>
      <w:r w:rsidRPr="00592C35">
        <w:rPr>
          <w:sz w:val="24"/>
          <w:szCs w:val="24"/>
        </w:rPr>
        <w:t>Social and Economic Factors</w:t>
      </w:r>
    </w:p>
    <w:p w14:paraId="5D6ABD3E" w14:textId="3B5F03C4" w:rsidR="000E1EF1" w:rsidRPr="00592C35" w:rsidRDefault="00AC1715" w:rsidP="00B67293">
      <w:pPr>
        <w:pStyle w:val="ListParagraph"/>
        <w:numPr>
          <w:ilvl w:val="0"/>
          <w:numId w:val="11"/>
        </w:numPr>
        <w:spacing w:line="360" w:lineRule="auto"/>
        <w:ind w:right="-360"/>
        <w:rPr>
          <w:sz w:val="24"/>
          <w:szCs w:val="24"/>
        </w:rPr>
      </w:pPr>
      <w:r w:rsidRPr="00B67293">
        <mc:AlternateContent>
          <mc:Choice Requires="wps">
            <w:drawing>
              <wp:anchor distT="0" distB="0" distL="114300" distR="114300" simplePos="0" relativeHeight="252056576" behindDoc="1" locked="0" layoutInCell="1" allowOverlap="1" wp14:anchorId="2B634414" wp14:editId="5B136161">
                <wp:simplePos x="0" y="0"/>
                <wp:positionH relativeFrom="column">
                  <wp:posOffset>-217967</wp:posOffset>
                </wp:positionH>
                <wp:positionV relativeFrom="paragraph">
                  <wp:posOffset>333493</wp:posOffset>
                </wp:positionV>
                <wp:extent cx="6783572" cy="1924493"/>
                <wp:effectExtent l="0" t="0" r="0" b="0"/>
                <wp:wrapNone/>
                <wp:docPr id="8" name="Rectangle 8"/>
                <wp:cNvGraphicFramePr/>
                <a:graphic xmlns:a="http://schemas.openxmlformats.org/drawingml/2006/main">
                  <a:graphicData uri="http://schemas.microsoft.com/office/word/2010/wordprocessingShape">
                    <wps:wsp>
                      <wps:cNvSpPr/>
                      <wps:spPr>
                        <a:xfrm>
                          <a:off x="0" y="0"/>
                          <a:ext cx="6783572" cy="1924493"/>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6D3FF1" w14:textId="77777777" w:rsidR="00B67293" w:rsidRPr="00592C35" w:rsidRDefault="00B67293" w:rsidP="001E4B12">
                            <w:pPr>
                              <w:ind w:left="0" w:right="270"/>
                              <w:jc w:val="left"/>
                              <w:rPr>
                                <w:b/>
                                <w:color w:val="203864"/>
                                <w:sz w:val="24"/>
                                <w:szCs w:val="24"/>
                              </w:rPr>
                            </w:pPr>
                            <w:r w:rsidRPr="00592C35">
                              <w:rPr>
                                <w:b/>
                                <w:color w:val="203864"/>
                                <w:sz w:val="24"/>
                                <w:szCs w:val="24"/>
                              </w:rPr>
                              <w:t>Chapter Data Highlights</w:t>
                            </w:r>
                          </w:p>
                          <w:p w14:paraId="603AC6FB"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 xml:space="preserve">Massachusetts ranked #1 overall state by </w:t>
                            </w:r>
                            <w:hyperlink r:id="rId12" w:history="1">
                              <w:r w:rsidRPr="00592C35">
                                <w:rPr>
                                  <w:color w:val="000000" w:themeColor="text1"/>
                                  <w:sz w:val="24"/>
                                  <w:szCs w:val="24"/>
                                </w:rPr>
                                <w:t>US News</w:t>
                              </w:r>
                            </w:hyperlink>
                          </w:p>
                          <w:p w14:paraId="49F0817F" w14:textId="77777777" w:rsidR="00B67293" w:rsidRPr="00592C35" w:rsidRDefault="00B67293" w:rsidP="005953B5">
                            <w:pPr>
                              <w:pStyle w:val="ListParagraph"/>
                              <w:numPr>
                                <w:ilvl w:val="0"/>
                                <w:numId w:val="22"/>
                              </w:numPr>
                              <w:spacing w:before="0" w:after="60"/>
                              <w:ind w:left="450" w:right="86"/>
                              <w:jc w:val="left"/>
                              <w:rPr>
                                <w:color w:val="000000" w:themeColor="text1"/>
                                <w:sz w:val="24"/>
                                <w:szCs w:val="24"/>
                              </w:rPr>
                            </w:pPr>
                            <w:r w:rsidRPr="00592C35">
                              <w:rPr>
                                <w:color w:val="000000" w:themeColor="text1"/>
                                <w:sz w:val="24"/>
                                <w:szCs w:val="24"/>
                              </w:rPr>
                              <w:t>Massachusetts is ranked  #1 in education and  #2 in health care</w:t>
                            </w:r>
                          </w:p>
                          <w:p w14:paraId="2AA4B7B6"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Massachusetts is ranked among the top 10 states for the economy</w:t>
                            </w:r>
                          </w:p>
                          <w:p w14:paraId="0C287B0A"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The rate of population increase of people of color in Massachusetts is increasing at four times the national rate</w:t>
                            </w:r>
                          </w:p>
                          <w:p w14:paraId="0804F1C6" w14:textId="633D3453" w:rsidR="00B67293" w:rsidRPr="00592C35" w:rsidRDefault="0057314A" w:rsidP="005953B5">
                            <w:pPr>
                              <w:pStyle w:val="ListParagraph"/>
                              <w:numPr>
                                <w:ilvl w:val="0"/>
                                <w:numId w:val="22"/>
                              </w:numPr>
                              <w:spacing w:before="0" w:after="60"/>
                              <w:ind w:left="450" w:right="0"/>
                              <w:rPr>
                                <w:color w:val="000000" w:themeColor="text1"/>
                                <w:sz w:val="24"/>
                                <w:szCs w:val="24"/>
                              </w:rPr>
                            </w:pPr>
                            <w:r>
                              <w:rPr>
                                <w:color w:val="000000" w:themeColor="text1"/>
                                <w:sz w:val="24"/>
                                <w:szCs w:val="24"/>
                              </w:rPr>
                              <w:t>The older adult</w:t>
                            </w:r>
                            <w:r w:rsidR="00B67293" w:rsidRPr="00592C35">
                              <w:rPr>
                                <w:color w:val="000000" w:themeColor="text1"/>
                                <w:sz w:val="24"/>
                                <w:szCs w:val="24"/>
                              </w:rPr>
                              <w:t xml:space="preserve"> population in Massachusetts is growing at a faster rate than the national average</w:t>
                            </w:r>
                          </w:p>
                        </w:txbxContent>
                      </wps:txbx>
                      <wps:bodyPr rot="0" spcFirstLastPara="0" vertOverflow="overflow" horzOverflow="overflow" vert="horz" wrap="square" lIns="182880" tIns="45720" rIns="18288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17.15pt;margin-top:26.25pt;width:534.15pt;height:151.55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" fillcolor="#d9e2f3 [660]" stroked="f" strokeweight="1pt">
                <v:textbox inset="14.4pt,,14.4pt">
                  <w:txbxContent>
                    <w:p w14:paraId="1E6D3FF1" w14:textId="77777777" w:rsidR="00B67293" w:rsidRPr="00592C35" w:rsidRDefault="00B67293" w:rsidP="001E4B12">
                      <w:pPr>
                        <w:ind w:left="0" w:right="270"/>
                        <w:jc w:val="left"/>
                        <w:rPr>
                          <w:b/>
                          <w:color w:val="203864"/>
                          <w:sz w:val="24"/>
                          <w:szCs w:val="24"/>
                        </w:rPr>
                      </w:pPr>
                      <w:r w:rsidRPr="00592C35">
                        <w:rPr>
                          <w:b/>
                          <w:color w:val="203864"/>
                          <w:sz w:val="24"/>
                          <w:szCs w:val="24"/>
                        </w:rPr>
                        <w:t>Chapter Data Highlights</w:t>
                      </w:r>
                    </w:p>
                    <w:p w14:paraId="603AC6FB"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 xml:space="preserve">Massachusetts ranked #1 overall state by </w:t>
                      </w:r>
                      <w:hyperlink r:id="rId13" w:history="1">
                        <w:r w:rsidRPr="00592C35">
                          <w:rPr>
                            <w:color w:val="000000" w:themeColor="text1"/>
                            <w:sz w:val="24"/>
                            <w:szCs w:val="24"/>
                          </w:rPr>
                          <w:t>US News</w:t>
                        </w:r>
                      </w:hyperlink>
                    </w:p>
                    <w:p w14:paraId="49F0817F" w14:textId="77777777" w:rsidR="00B67293" w:rsidRPr="00592C35" w:rsidRDefault="00B67293" w:rsidP="005953B5">
                      <w:pPr>
                        <w:pStyle w:val="ListParagraph"/>
                        <w:numPr>
                          <w:ilvl w:val="0"/>
                          <w:numId w:val="22"/>
                        </w:numPr>
                        <w:spacing w:before="0" w:after="60"/>
                        <w:ind w:left="450" w:right="86"/>
                        <w:jc w:val="left"/>
                        <w:rPr>
                          <w:color w:val="000000" w:themeColor="text1"/>
                          <w:sz w:val="24"/>
                          <w:szCs w:val="24"/>
                        </w:rPr>
                      </w:pPr>
                      <w:r w:rsidRPr="00592C35">
                        <w:rPr>
                          <w:color w:val="000000" w:themeColor="text1"/>
                          <w:sz w:val="24"/>
                          <w:szCs w:val="24"/>
                        </w:rPr>
                        <w:t>Massachusetts is ranked  #1 in education and  #2 in health care</w:t>
                      </w:r>
                    </w:p>
                    <w:p w14:paraId="2AA4B7B6"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Massachusetts is ranked among the top 10 states for the economy</w:t>
                      </w:r>
                    </w:p>
                    <w:p w14:paraId="0C287B0A" w14:textId="77777777" w:rsidR="00B67293" w:rsidRPr="00592C35" w:rsidRDefault="00B67293" w:rsidP="005953B5">
                      <w:pPr>
                        <w:pStyle w:val="ListParagraph"/>
                        <w:numPr>
                          <w:ilvl w:val="0"/>
                          <w:numId w:val="22"/>
                        </w:numPr>
                        <w:spacing w:before="0" w:after="60"/>
                        <w:ind w:left="450" w:right="86"/>
                        <w:contextualSpacing w:val="0"/>
                        <w:jc w:val="left"/>
                        <w:rPr>
                          <w:color w:val="000000" w:themeColor="text1"/>
                          <w:sz w:val="24"/>
                          <w:szCs w:val="24"/>
                        </w:rPr>
                      </w:pPr>
                      <w:r w:rsidRPr="00592C35">
                        <w:rPr>
                          <w:color w:val="000000" w:themeColor="text1"/>
                          <w:sz w:val="24"/>
                          <w:szCs w:val="24"/>
                        </w:rPr>
                        <w:t>The rate of population increase of people of color in Massachusetts is increasing at four times the national rate</w:t>
                      </w:r>
                    </w:p>
                    <w:p w14:paraId="0804F1C6" w14:textId="633D3453" w:rsidR="00B67293" w:rsidRPr="00592C35" w:rsidRDefault="0057314A" w:rsidP="005953B5">
                      <w:pPr>
                        <w:pStyle w:val="ListParagraph"/>
                        <w:numPr>
                          <w:ilvl w:val="0"/>
                          <w:numId w:val="22"/>
                        </w:numPr>
                        <w:spacing w:before="0" w:after="60"/>
                        <w:ind w:left="450" w:right="0"/>
                        <w:rPr>
                          <w:color w:val="000000" w:themeColor="text1"/>
                          <w:sz w:val="24"/>
                          <w:szCs w:val="24"/>
                        </w:rPr>
                      </w:pPr>
                      <w:r>
                        <w:rPr>
                          <w:color w:val="000000" w:themeColor="text1"/>
                          <w:sz w:val="24"/>
                          <w:szCs w:val="24"/>
                        </w:rPr>
                        <w:t>The older adult</w:t>
                      </w:r>
                      <w:r w:rsidR="00B67293" w:rsidRPr="00592C35">
                        <w:rPr>
                          <w:color w:val="000000" w:themeColor="text1"/>
                          <w:sz w:val="24"/>
                          <w:szCs w:val="24"/>
                        </w:rPr>
                        <w:t xml:space="preserve"> population in Massachusetts is growing at a faster rate than the national average</w:t>
                      </w:r>
                    </w:p>
                  </w:txbxContent>
                </v:textbox>
              </v:rect>
            </w:pict>
          </mc:Fallback>
        </mc:AlternateContent>
      </w:r>
      <w:r w:rsidR="001E4B12" w:rsidRPr="00592C35">
        <w:rPr>
          <w:sz w:val="24"/>
          <w:szCs w:val="24"/>
        </w:rPr>
        <w:t>Mortality</w:t>
      </w:r>
    </w:p>
    <w:p w14:paraId="7EA8D813" w14:textId="1CAD31DF" w:rsidR="001E4B12" w:rsidRPr="00B67293" w:rsidRDefault="001E4B12" w:rsidP="00B67293">
      <w:pPr>
        <w:spacing w:line="360" w:lineRule="auto"/>
        <w:rPr>
          <w:b/>
          <w:sz w:val="40"/>
          <w:szCs w:val="40"/>
        </w:rPr>
      </w:pPr>
      <w:r w:rsidRPr="00B67293">
        <w:rPr>
          <w:b/>
          <w:sz w:val="40"/>
          <w:szCs w:val="40"/>
        </w:rPr>
        <w:br/>
      </w:r>
      <w:r w:rsidRPr="00B67293">
        <w:rPr>
          <w:b/>
          <w:sz w:val="40"/>
          <w:szCs w:val="40"/>
        </w:rPr>
        <w:br/>
      </w:r>
    </w:p>
    <w:p w14:paraId="3759F0EC" w14:textId="0DD84EC6" w:rsidR="00EF0801" w:rsidRPr="00B67293" w:rsidRDefault="00EF0801" w:rsidP="00B67293">
      <w:pPr>
        <w:pStyle w:val="Heading1"/>
        <w:spacing w:line="360" w:lineRule="auto"/>
      </w:pPr>
      <w:r w:rsidRPr="00B67293">
        <w:lastRenderedPageBreak/>
        <w:t>Overview</w:t>
      </w:r>
    </w:p>
    <w:p w14:paraId="7A39015E" w14:textId="77777777" w:rsidR="00B6620D" w:rsidRPr="00592C35" w:rsidRDefault="00B6620D" w:rsidP="00B67293">
      <w:pPr>
        <w:spacing w:line="360" w:lineRule="auto"/>
        <w:ind w:right="-360"/>
        <w:rPr>
          <w:sz w:val="24"/>
          <w:szCs w:val="24"/>
        </w:rPr>
      </w:pPr>
      <w:r w:rsidRPr="00592C35">
        <w:rPr>
          <w:sz w:val="24"/>
          <w:szCs w:val="24"/>
        </w:rPr>
        <w:t>Where individuals, families, and communities live, age, work,  and play profoundly shapes their health.</w:t>
      </w:r>
      <w:r w:rsidRPr="00592C35">
        <w:rPr>
          <w:rStyle w:val="EndnoteReference"/>
          <w:sz w:val="24"/>
          <w:szCs w:val="24"/>
        </w:rPr>
        <w:endnoteReference w:id="2"/>
      </w:r>
      <w:r w:rsidRPr="00592C35">
        <w:rPr>
          <w:sz w:val="24"/>
          <w:szCs w:val="24"/>
        </w:rPr>
        <w:t xml:space="preserve"> In addition, disparities in health outcomes are linked with socioeconomic status, race/ethnicity, gender, immigration, and other social characteristics.</w:t>
      </w:r>
      <w:r w:rsidRPr="00592C35">
        <w:rPr>
          <w:rStyle w:val="EndnoteReference"/>
          <w:sz w:val="24"/>
          <w:szCs w:val="24"/>
        </w:rPr>
        <w:endnoteReference w:id="3"/>
      </w:r>
      <w:r w:rsidRPr="00592C35">
        <w:rPr>
          <w:sz w:val="24"/>
          <w:szCs w:val="24"/>
        </w:rPr>
        <w:t xml:space="preserve"> Understanding how these social, geographic and economic factors shape health is necessary to identify areas for intervention to meet the needs of the Commonwealth. Consequently, the characteristics of Massachusetts’ residents and changes in the population over time are important for understanding the Commonwealth as a whole and for particular population groups.</w:t>
      </w:r>
    </w:p>
    <w:p w14:paraId="77F67F30" w14:textId="77777777" w:rsidR="00B6620D" w:rsidRPr="00592C35" w:rsidRDefault="00B6620D" w:rsidP="00B67293">
      <w:pPr>
        <w:spacing w:line="360" w:lineRule="auto"/>
        <w:ind w:right="-360"/>
        <w:rPr>
          <w:sz w:val="24"/>
          <w:szCs w:val="24"/>
        </w:rPr>
      </w:pPr>
      <w:r w:rsidRPr="00592C35">
        <w:rPr>
          <w:sz w:val="24"/>
          <w:szCs w:val="24"/>
        </w:rPr>
        <w:t xml:space="preserve">Diversity and education are two aspects of the state’s population worth noting as strengths. With two in five residents identifying as immigrants or racial/ethnic minorities, the diversity of the Commonwealth is an important asset. Education also represents a strength. The Commonwealth has the highest proportion of college graduates in the nation. Average household incomes are higher than in most other states. Yet, while Massachusetts overall has a favorable social and economic profile, disparities remain.  </w:t>
      </w:r>
    </w:p>
    <w:p w14:paraId="1C9F7C6D" w14:textId="77777777" w:rsidR="001B52C7" w:rsidRPr="00B67293" w:rsidRDefault="001B52C7" w:rsidP="00B67293">
      <w:pPr>
        <w:pStyle w:val="Heading1"/>
        <w:spacing w:line="360" w:lineRule="auto"/>
        <w:rPr>
          <w:rFonts w:eastAsia="Times New Roman"/>
        </w:rPr>
      </w:pPr>
      <w:r w:rsidRPr="00B67293">
        <w:rPr>
          <w:rFonts w:eastAsia="Times New Roman"/>
        </w:rPr>
        <w:t>Demographics</w:t>
      </w:r>
    </w:p>
    <w:p w14:paraId="2D751693"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Who lives in Massachusetts? How large is the population and how has the demographic composition of the Commonwealth changed over time? This section addresses these questions.</w:t>
      </w:r>
    </w:p>
    <w:p w14:paraId="7FEFC8FC" w14:textId="77777777" w:rsidR="001B52C7" w:rsidRPr="00B67293" w:rsidRDefault="001B52C7" w:rsidP="00B67293">
      <w:pPr>
        <w:pStyle w:val="Heading2"/>
        <w:spacing w:line="360" w:lineRule="auto"/>
      </w:pPr>
      <w:r w:rsidRPr="00B67293">
        <w:t>Population Size and Growth</w:t>
      </w:r>
    </w:p>
    <w:p w14:paraId="2CFE659B" w14:textId="04E66784"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Massachusetts remains the third most densely populated state in the US and ranks 15th in population size</w:t>
      </w:r>
      <w:r w:rsidRPr="00592C35">
        <w:rPr>
          <w:rFonts w:eastAsia="Calibri" w:cs="Times New Roman"/>
          <w:sz w:val="24"/>
          <w:szCs w:val="24"/>
          <w:vertAlign w:val="superscript"/>
        </w:rPr>
        <w:endnoteReference w:id="4"/>
      </w:r>
      <w:r w:rsidRPr="00592C35">
        <w:rPr>
          <w:rFonts w:eastAsia="Calibri" w:cs="Times New Roman"/>
          <w:sz w:val="24"/>
          <w:szCs w:val="24"/>
        </w:rPr>
        <w:t xml:space="preserve"> with 6.8 million residents. The Commonwealth’s population grew 3.5% from 2006-2010 to 2011-2015, below the national average of 4.1% for the same time period</w:t>
      </w:r>
      <w:r w:rsidR="00A350C3" w:rsidRPr="00592C35">
        <w:rPr>
          <w:rFonts w:eastAsia="Calibri" w:cs="Times New Roman"/>
          <w:sz w:val="24"/>
          <w:szCs w:val="24"/>
        </w:rPr>
        <w:t xml:space="preserve"> </w:t>
      </w:r>
      <w:r w:rsidR="00A350C3" w:rsidRPr="00592C35">
        <w:rPr>
          <w:rFonts w:eastAsia="Calibri" w:cs="Times New Roman"/>
          <w:b/>
          <w:sz w:val="24"/>
          <w:szCs w:val="24"/>
        </w:rPr>
        <w:t>(see Figure 1.1)</w:t>
      </w:r>
      <w:r w:rsidRPr="00592C35">
        <w:rPr>
          <w:rFonts w:eastAsia="Calibri" w:cs="Times New Roman"/>
          <w:sz w:val="24"/>
          <w:szCs w:val="24"/>
        </w:rPr>
        <w:t xml:space="preserve">. </w:t>
      </w:r>
    </w:p>
    <w:p w14:paraId="368CC11A" w14:textId="38C2A40C" w:rsidR="00B67293" w:rsidRPr="00592C35" w:rsidRDefault="001B52C7" w:rsidP="00B67293">
      <w:pPr>
        <w:spacing w:before="0" w:after="0" w:line="360" w:lineRule="auto"/>
        <w:ind w:right="-360"/>
        <w:rPr>
          <w:rFonts w:eastAsia="Calibri" w:cs="Times New Roman"/>
          <w:sz w:val="24"/>
          <w:szCs w:val="24"/>
        </w:rPr>
      </w:pPr>
      <w:r w:rsidRPr="00592C35">
        <w:rPr>
          <w:rFonts w:eastAsia="Calibri" w:cs="Times New Roman"/>
          <w:sz w:val="24"/>
          <w:szCs w:val="24"/>
        </w:rPr>
        <w:t>Boston is the largest city in the state, with 667,137 residents or 9.8% of the total population. Franklin, Berkshire, and Barnstable counties are the only counties in the state that have lost population since 2010.</w:t>
      </w:r>
    </w:p>
    <w:p w14:paraId="1E1C3C26" w14:textId="77777777" w:rsidR="00B67293" w:rsidRPr="00592C35" w:rsidRDefault="00B67293">
      <w:pPr>
        <w:spacing w:before="0"/>
        <w:ind w:left="0" w:right="0"/>
        <w:jc w:val="left"/>
        <w:rPr>
          <w:rFonts w:eastAsia="Calibri" w:cs="Times New Roman"/>
          <w:sz w:val="24"/>
          <w:szCs w:val="24"/>
        </w:rPr>
      </w:pPr>
      <w:r w:rsidRPr="00592C35">
        <w:rPr>
          <w:rFonts w:eastAsia="Calibri" w:cs="Times New Roman"/>
          <w:sz w:val="24"/>
          <w:szCs w:val="24"/>
        </w:rPr>
        <w:br w:type="page"/>
      </w:r>
    </w:p>
    <w:p w14:paraId="50D8DB76" w14:textId="77777777" w:rsidR="001B52C7" w:rsidRPr="00592C35" w:rsidRDefault="001B52C7" w:rsidP="00B67293">
      <w:pPr>
        <w:spacing w:line="360" w:lineRule="auto"/>
        <w:ind w:right="-360"/>
        <w:jc w:val="center"/>
        <w:rPr>
          <w:rFonts w:eastAsia="Calibri" w:cs="Times New Roman"/>
          <w:b/>
          <w:smallCaps/>
          <w:noProof w:val="0"/>
          <w:sz w:val="24"/>
          <w:szCs w:val="24"/>
        </w:rPr>
      </w:pPr>
      <w:r w:rsidRPr="00592C35">
        <w:rPr>
          <w:rFonts w:eastAsia="Calibri" w:cs="Times New Roman"/>
          <w:b/>
          <w:noProof w:val="0"/>
          <w:sz w:val="24"/>
          <w:szCs w:val="24"/>
        </w:rPr>
        <w:lastRenderedPageBreak/>
        <w:t xml:space="preserve">Figure </w:t>
      </w:r>
      <w:r w:rsidRPr="00592C35">
        <w:rPr>
          <w:rFonts w:eastAsia="Calibri" w:cs="Times New Roman"/>
          <w:b/>
          <w:smallCaps/>
          <w:noProof w:val="0"/>
          <w:sz w:val="24"/>
          <w:szCs w:val="24"/>
        </w:rPr>
        <w:t>1.1</w:t>
      </w:r>
    </w:p>
    <w:p w14:paraId="2A680F9E" w14:textId="77777777" w:rsidR="001B52C7" w:rsidRPr="00592C35" w:rsidRDefault="001B52C7" w:rsidP="00B67293">
      <w:pPr>
        <w:numPr>
          <w:ilvl w:val="1"/>
          <w:numId w:val="0"/>
        </w:numPr>
        <w:spacing w:before="0" w:after="0"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Massachusetts Population, 2000 - 2016</w:t>
      </w:r>
    </w:p>
    <w:p w14:paraId="752BDA64" w14:textId="31DD645F" w:rsidR="001B52C7" w:rsidRPr="00592C35" w:rsidRDefault="00D56150" w:rsidP="00B67293">
      <w:pPr>
        <w:spacing w:line="360" w:lineRule="auto"/>
        <w:ind w:right="-360"/>
        <w:jc w:val="center"/>
        <w:rPr>
          <w:rFonts w:eastAsia="Calibri" w:cs="Times New Roman"/>
          <w:sz w:val="24"/>
          <w:szCs w:val="24"/>
        </w:rPr>
      </w:pPr>
      <w:r w:rsidRPr="00592C35">
        <w:rPr>
          <w:sz w:val="24"/>
          <w:szCs w:val="24"/>
        </w:rPr>
        <w:drawing>
          <wp:inline distT="0" distB="0" distL="0" distR="0" wp14:anchorId="15605021" wp14:editId="01B5674A">
            <wp:extent cx="4533900" cy="2252133"/>
            <wp:effectExtent l="0" t="0" r="0" b="0"/>
            <wp:docPr id="65" name="Chart 65" descr="This line chart shows the upward trend in growth of Massachusetts’ population.  In 2000 there were 6.4 million people and in 2016 there were 6.8 million people.">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59B996-227D-49AE-9962-0EF9E87E9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661ECC"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POPULATION DIVISION</w:t>
      </w:r>
    </w:p>
    <w:p w14:paraId="1EB84450" w14:textId="77777777" w:rsidR="001B52C7" w:rsidRPr="00592C35" w:rsidRDefault="001B52C7" w:rsidP="00B67293">
      <w:pPr>
        <w:spacing w:line="360" w:lineRule="auto"/>
        <w:ind w:right="-360"/>
        <w:rPr>
          <w:rFonts w:eastAsia="Calibri" w:cs="Calibri"/>
          <w:color w:val="000000"/>
          <w:sz w:val="24"/>
          <w:szCs w:val="24"/>
        </w:rPr>
      </w:pPr>
      <w:r w:rsidRPr="00592C35">
        <w:rPr>
          <w:rFonts w:eastAsia="Calibri" w:cs="Calibri"/>
          <w:color w:val="000000"/>
          <w:sz w:val="24"/>
          <w:szCs w:val="24"/>
        </w:rPr>
        <w:t xml:space="preserve">As part of this health assessment, MDPH conducted 11 focus groups and 30 key informant interviews with stakeholders across the Commonwealth. Several of these participants observed that the growth of their communities, especially in the more populous areas, has led to a strain in affordable housing and an increase in gentrification. </w:t>
      </w:r>
    </w:p>
    <w:p w14:paraId="21C2CD1B" w14:textId="77777777" w:rsidR="001B52C7" w:rsidRPr="00592C35" w:rsidRDefault="001B52C7" w:rsidP="00B67293">
      <w:pPr>
        <w:spacing w:line="360" w:lineRule="auto"/>
        <w:ind w:right="-360"/>
        <w:rPr>
          <w:rFonts w:cs="Calibri"/>
          <w:color w:val="000000" w:themeColor="text1"/>
          <w:sz w:val="24"/>
          <w:szCs w:val="24"/>
        </w:rPr>
      </w:pPr>
      <w:r w:rsidRPr="00592C35">
        <w:rPr>
          <w:rFonts w:cs="Calibri"/>
          <w:color w:val="000000" w:themeColor="text1"/>
          <w:sz w:val="24"/>
          <w:szCs w:val="24"/>
        </w:rPr>
        <w:t xml:space="preserve">As one focus group participant shared: </w:t>
      </w:r>
      <w:r w:rsidRPr="00592C35">
        <w:rPr>
          <w:rFonts w:cs="Calibri"/>
          <w:i/>
          <w:color w:val="000000" w:themeColor="text1"/>
          <w:sz w:val="24"/>
          <w:szCs w:val="24"/>
        </w:rPr>
        <w:t>“Western Mass is growing and people who have been here for generations are being priced out of their homes.”</w:t>
      </w:r>
      <w:r w:rsidRPr="00592C35">
        <w:rPr>
          <w:rFonts w:cs="Calibri"/>
          <w:color w:val="000000" w:themeColor="text1"/>
          <w:sz w:val="24"/>
          <w:szCs w:val="24"/>
        </w:rPr>
        <w:t xml:space="preserve">  However, focus group participants in Cape Cod worried about a declining population. One shared that:  </w:t>
      </w:r>
      <w:r w:rsidRPr="00592C35">
        <w:rPr>
          <w:rFonts w:cs="Calibri"/>
          <w:i/>
          <w:color w:val="000000" w:themeColor="text1"/>
          <w:sz w:val="24"/>
          <w:szCs w:val="24"/>
        </w:rPr>
        <w:t>“There aren’t a lot of opportunities out here for people in their 30’s and younger. People leave the Cape when they graduate high school and don’t come back because they feel like nothing is here.”</w:t>
      </w:r>
      <w:r w:rsidRPr="00592C35">
        <w:rPr>
          <w:rFonts w:cs="Calibri"/>
          <w:color w:val="000000" w:themeColor="text1"/>
          <w:sz w:val="24"/>
          <w:szCs w:val="24"/>
        </w:rPr>
        <w:t xml:space="preserve">  </w:t>
      </w:r>
    </w:p>
    <w:p w14:paraId="494352CF" w14:textId="2A9C1C8F" w:rsidR="001B52C7" w:rsidRPr="00B67293" w:rsidRDefault="001B52C7" w:rsidP="00B67293">
      <w:pPr>
        <w:pStyle w:val="Heading2"/>
        <w:spacing w:line="360" w:lineRule="auto"/>
        <w:ind w:right="-360"/>
      </w:pPr>
      <w:r w:rsidRPr="00B67293">
        <w:t>Population Density</w:t>
      </w:r>
    </w:p>
    <w:p w14:paraId="36CCAC69" w14:textId="2BFB5BDF" w:rsidR="00B67293" w:rsidRPr="00592C35" w:rsidRDefault="001B52C7" w:rsidP="00B67293">
      <w:pPr>
        <w:spacing w:line="360" w:lineRule="auto"/>
        <w:ind w:right="-360"/>
        <w:rPr>
          <w:color w:val="000000" w:themeColor="text1"/>
          <w:sz w:val="24"/>
          <w:szCs w:val="24"/>
        </w:rPr>
      </w:pPr>
      <w:r w:rsidRPr="00592C35">
        <w:rPr>
          <w:color w:val="000000" w:themeColor="text1"/>
          <w:sz w:val="24"/>
          <w:szCs w:val="24"/>
        </w:rPr>
        <w:t>Massachusetts is often thought of as urban because of the dense concentration of people in metro-Boston and other cities. But 52% of Massachusetts’ landmass is classified as rural, including 56% of the state’s cities and towns. Residents of these rural communities total 679,911, which is about 10% of the state’s total population. Since 2010 three counties have decreased in size, all of them rural.</w:t>
      </w:r>
    </w:p>
    <w:p w14:paraId="64FF107C" w14:textId="77777777" w:rsidR="001B52C7" w:rsidRPr="00592C35" w:rsidRDefault="001B52C7" w:rsidP="00B67293">
      <w:pPr>
        <w:pStyle w:val="SHAFigureNumber"/>
        <w:spacing w:line="360" w:lineRule="auto"/>
        <w:rPr>
          <w:sz w:val="24"/>
          <w:szCs w:val="24"/>
        </w:rPr>
      </w:pPr>
      <w:bookmarkStart w:id="0" w:name="_Hlk494370676"/>
      <w:r w:rsidRPr="00592C35">
        <w:rPr>
          <w:sz w:val="24"/>
          <w:szCs w:val="24"/>
        </w:rPr>
        <w:lastRenderedPageBreak/>
        <w:t xml:space="preserve">Figure </w:t>
      </w:r>
      <w:r w:rsidRPr="00592C35">
        <w:rPr>
          <w:smallCaps/>
          <w:sz w:val="24"/>
          <w:szCs w:val="24"/>
        </w:rPr>
        <w:t>1.2</w:t>
      </w:r>
      <w:r w:rsidRPr="00592C35">
        <w:rPr>
          <w:sz w:val="24"/>
          <w:szCs w:val="24"/>
        </w:rPr>
        <w:t xml:space="preserve"> </w:t>
      </w:r>
    </w:p>
    <w:p w14:paraId="282844CF" w14:textId="4E71AF4C" w:rsidR="001B52C7" w:rsidRPr="00592C35" w:rsidRDefault="001B52C7" w:rsidP="00B67293">
      <w:pPr>
        <w:pStyle w:val="SHAFigureNumber"/>
        <w:spacing w:line="360" w:lineRule="auto"/>
        <w:rPr>
          <w:sz w:val="24"/>
          <w:szCs w:val="24"/>
        </w:rPr>
      </w:pPr>
      <w:r w:rsidRPr="00592C35">
        <w:rPr>
          <w:sz w:val="24"/>
          <w:szCs w:val="24"/>
        </w:rPr>
        <w:t>Massachusetts Rural Cities and Towns, 2017</w:t>
      </w:r>
    </w:p>
    <w:bookmarkEnd w:id="0"/>
    <w:p w14:paraId="2BE471EC" w14:textId="5615050F" w:rsidR="001B52C7" w:rsidRPr="00592C35" w:rsidRDefault="0080649D" w:rsidP="00B67293">
      <w:pPr>
        <w:spacing w:line="360" w:lineRule="auto"/>
        <w:ind w:right="-360"/>
        <w:jc w:val="center"/>
        <w:rPr>
          <w:sz w:val="24"/>
          <w:szCs w:val="24"/>
        </w:rPr>
      </w:pPr>
      <w:r w:rsidRPr="00592C35">
        <w:rPr>
          <w:sz w:val="24"/>
          <w:szCs w:val="24"/>
        </w:rPr>
        <w:drawing>
          <wp:inline distT="0" distB="0" distL="0" distR="0" wp14:anchorId="765DD148" wp14:editId="6F26395D">
            <wp:extent cx="5913475" cy="3594296"/>
            <wp:effectExtent l="0" t="0" r="0" b="6350"/>
            <wp:docPr id="224" name="Picture 224" descr="This is a map that shows the entire state of Massachusetts. There are shaded areas within the map that classify landmass density by city, rural city, rural town, and town. The darkest shaded areas represent cities, moderately shaded shared areas represent rural cities, lightly shaded areas represent rural towns, and white areas represent towns. Most of the rural towns and rural cities are located in western and central regions as well as the Cape Cod areas of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chetti\AppData\Local\Microsoft\Windows\INetCache\Content.Word\1_2_RuralComs.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791" b="4378"/>
                    <a:stretch/>
                  </pic:blipFill>
                  <pic:spPr bwMode="auto">
                    <a:xfrm>
                      <a:off x="0" y="0"/>
                      <a:ext cx="5941666" cy="3611431"/>
                    </a:xfrm>
                    <a:prstGeom prst="rect">
                      <a:avLst/>
                    </a:prstGeom>
                    <a:noFill/>
                    <a:ln>
                      <a:noFill/>
                    </a:ln>
                    <a:extLst>
                      <a:ext uri="{53640926-AAD7-44D8-BBD7-CCE9431645EC}">
                        <a14:shadowObscured xmlns:a14="http://schemas.microsoft.com/office/drawing/2010/main"/>
                      </a:ext>
                    </a:extLst>
                  </pic:spPr>
                </pic:pic>
              </a:graphicData>
            </a:graphic>
          </wp:inline>
        </w:drawing>
      </w:r>
    </w:p>
    <w:p w14:paraId="75F33177" w14:textId="45D08D9D" w:rsidR="001B52C7" w:rsidRPr="00592C35" w:rsidRDefault="00A350C3" w:rsidP="00B67293">
      <w:pPr>
        <w:spacing w:line="360" w:lineRule="auto"/>
        <w:ind w:right="-360"/>
        <w:rPr>
          <w:color w:val="000000" w:themeColor="text1"/>
          <w:sz w:val="24"/>
          <w:szCs w:val="24"/>
        </w:rPr>
      </w:pPr>
      <w:r w:rsidRPr="00592C35">
        <w:rPr>
          <w:sz w:val="24"/>
          <w:szCs w:val="24"/>
        </w:rPr>
        <w:t xml:space="preserve">As shown in </w:t>
      </w:r>
      <w:r w:rsidRPr="00592C35">
        <w:rPr>
          <w:b/>
          <w:sz w:val="24"/>
          <w:szCs w:val="24"/>
        </w:rPr>
        <w:t>Figure 2.1</w:t>
      </w:r>
      <w:r w:rsidRPr="00592C35">
        <w:rPr>
          <w:sz w:val="24"/>
          <w:szCs w:val="24"/>
        </w:rPr>
        <w:t xml:space="preserve"> above, r</w:t>
      </w:r>
      <w:r w:rsidR="001B52C7" w:rsidRPr="00592C35">
        <w:rPr>
          <w:sz w:val="24"/>
          <w:szCs w:val="24"/>
        </w:rPr>
        <w:t>ural</w:t>
      </w:r>
      <w:r w:rsidR="008C3CB6" w:rsidRPr="00592C35">
        <w:rPr>
          <w:color w:val="000000" w:themeColor="text1"/>
          <w:sz w:val="24"/>
          <w:szCs w:val="24"/>
        </w:rPr>
        <w:t xml:space="preserve"> Massachusetts</w:t>
      </w:r>
      <w:r w:rsidR="001B52C7" w:rsidRPr="00592C35">
        <w:rPr>
          <w:color w:val="000000" w:themeColor="text1"/>
          <w:sz w:val="24"/>
          <w:szCs w:val="24"/>
        </w:rPr>
        <w:t xml:space="preserve"> spans the entire length of the state from the Berkshires to the Islands and includes mountains, farm land, rolling hills, seaside coasts, islands, and dense forest. These rural areas are known for their scenic beauty, outdoor recreation, vacation destinations, abundance of farms, communities of artists, well-known educational institutions, quintessential town centers, and New England charm.</w:t>
      </w:r>
    </w:p>
    <w:p w14:paraId="0DBD8E0E" w14:textId="79C868FB" w:rsidR="001B52C7" w:rsidRPr="00592C35" w:rsidRDefault="001B52C7" w:rsidP="00B67293">
      <w:pPr>
        <w:spacing w:line="360" w:lineRule="auto"/>
        <w:ind w:right="-360"/>
        <w:rPr>
          <w:color w:val="000000" w:themeColor="text1"/>
          <w:sz w:val="24"/>
          <w:szCs w:val="24"/>
        </w:rPr>
      </w:pPr>
      <w:r w:rsidRPr="00592C35">
        <w:rPr>
          <w:color w:val="000000" w:themeColor="text1"/>
          <w:sz w:val="24"/>
          <w:szCs w:val="24"/>
        </w:rPr>
        <w:t xml:space="preserve">Massachusetts’ seasonal tourist destinations, former mill towns, and agricultural economies face many challenges and tend to be more economically distressed than their urban neighbors. Often the leading industry has moved, leaving these communities with a shortage of employment opportunities and living wages. Rural communities often lack the infrastructure (e.g., broadband internet) needed to attract businesses and the expenses associated with development can be high. The costs per capita associated with health and human services delivery tend to be higher in rural areas because of their lower population density. </w:t>
      </w:r>
    </w:p>
    <w:p w14:paraId="3BFF7140" w14:textId="77777777" w:rsidR="001B52C7" w:rsidRPr="00592C35" w:rsidRDefault="001B52C7" w:rsidP="00B67293">
      <w:pPr>
        <w:spacing w:line="360" w:lineRule="auto"/>
        <w:ind w:right="-360"/>
        <w:rPr>
          <w:i/>
          <w:color w:val="000000" w:themeColor="text1"/>
          <w:sz w:val="24"/>
          <w:szCs w:val="24"/>
        </w:rPr>
      </w:pPr>
      <w:r w:rsidRPr="00592C35">
        <w:rPr>
          <w:color w:val="000000" w:themeColor="text1"/>
          <w:sz w:val="24"/>
          <w:szCs w:val="24"/>
        </w:rPr>
        <w:lastRenderedPageBreak/>
        <w:t>Tourism communities see a seasonal growth in employment, but employment in this sector carries lower wages for short periods of time during the year. Some year-round residents may need to earn a salary to live on for a year in only a few months. This seasonal bloom in population places a great strain on affordable housing and health services. Limited public transportation in these areas can create additional barriers for employment and health access.</w:t>
      </w:r>
    </w:p>
    <w:p w14:paraId="51A866A3" w14:textId="77777777" w:rsidR="001B52C7" w:rsidRPr="00B67293" w:rsidRDefault="001B52C7" w:rsidP="00B67293">
      <w:pPr>
        <w:pStyle w:val="Heading3"/>
        <w:spacing w:line="360" w:lineRule="auto"/>
      </w:pPr>
      <w:r w:rsidRPr="00B67293">
        <w:t>Births</w:t>
      </w:r>
    </w:p>
    <w:p w14:paraId="44765282" w14:textId="0585C6CF" w:rsidR="001B52C7" w:rsidRPr="00592C35" w:rsidRDefault="001B52C7" w:rsidP="00B67293">
      <w:pPr>
        <w:spacing w:line="360" w:lineRule="auto"/>
        <w:ind w:right="-360"/>
        <w:rPr>
          <w:sz w:val="24"/>
          <w:szCs w:val="24"/>
        </w:rPr>
      </w:pPr>
      <w:r w:rsidRPr="00592C35">
        <w:rPr>
          <w:sz w:val="24"/>
          <w:szCs w:val="24"/>
        </w:rPr>
        <w:t>The birth rate in Massachusetts has been steadily declining over the past several decades</w:t>
      </w:r>
      <w:r w:rsidR="00A350C3" w:rsidRPr="00592C35">
        <w:rPr>
          <w:sz w:val="24"/>
          <w:szCs w:val="24"/>
        </w:rPr>
        <w:t xml:space="preserve">, as shown in </w:t>
      </w:r>
      <w:r w:rsidR="00A350C3" w:rsidRPr="00592C35">
        <w:rPr>
          <w:b/>
          <w:sz w:val="24"/>
          <w:szCs w:val="24"/>
        </w:rPr>
        <w:t>Figure 1.3</w:t>
      </w:r>
      <w:r w:rsidRPr="00592C35">
        <w:rPr>
          <w:sz w:val="24"/>
          <w:szCs w:val="24"/>
        </w:rPr>
        <w:t>. In 2015, there were 71,484 births to Massachusetts resident mothers, a decline of 0.5% from 71,867 in 2014 and a decline of 22.7% since 1990. In 2015, the number of births to mothers under the age of 30 (2015 – 28,890; 2014 – 29,858) decreased by 3.2% whereas the number of births to mothers ages 30 and older increased by 1.4% from 2014 (2015 – 42,5</w:t>
      </w:r>
      <w:r w:rsidR="003B7C27" w:rsidRPr="00592C35">
        <w:rPr>
          <w:sz w:val="24"/>
          <w:szCs w:val="24"/>
        </w:rPr>
        <w:t>94;</w:t>
      </w:r>
      <w:r w:rsidRPr="00592C35">
        <w:rPr>
          <w:sz w:val="24"/>
          <w:szCs w:val="24"/>
        </w:rPr>
        <w:t xml:space="preserve"> 2014 – 42,009). </w:t>
      </w:r>
    </w:p>
    <w:p w14:paraId="0A481029" w14:textId="77777777" w:rsidR="001B52C7" w:rsidRPr="00592C35" w:rsidRDefault="001B52C7" w:rsidP="00B67293">
      <w:pPr>
        <w:pStyle w:val="SHAFigureNumber"/>
        <w:spacing w:line="360" w:lineRule="auto"/>
        <w:rPr>
          <w:sz w:val="24"/>
          <w:szCs w:val="24"/>
        </w:rPr>
      </w:pPr>
      <w:r w:rsidRPr="00592C35">
        <w:rPr>
          <w:sz w:val="24"/>
          <w:szCs w:val="24"/>
        </w:rPr>
        <w:t>Figure 1.3</w:t>
      </w:r>
    </w:p>
    <w:p w14:paraId="09A09A96" w14:textId="77777777" w:rsidR="001B52C7" w:rsidRPr="00592C35" w:rsidRDefault="001B52C7" w:rsidP="00B67293">
      <w:pPr>
        <w:pStyle w:val="SHAFigureNumber"/>
        <w:spacing w:line="360" w:lineRule="auto"/>
        <w:rPr>
          <w:sz w:val="24"/>
          <w:szCs w:val="24"/>
        </w:rPr>
      </w:pPr>
      <w:r w:rsidRPr="00592C35">
        <w:rPr>
          <w:sz w:val="24"/>
          <w:szCs w:val="24"/>
        </w:rPr>
        <w:t>Massachusetts Birth Rate Trends, Total Population, 1990, 2001-2015</w:t>
      </w:r>
    </w:p>
    <w:p w14:paraId="71572DFA" w14:textId="16FBD875" w:rsidR="001B52C7" w:rsidRPr="00592C35" w:rsidRDefault="002D25C2" w:rsidP="00B67293">
      <w:pPr>
        <w:pStyle w:val="FigTitle"/>
        <w:spacing w:line="360" w:lineRule="auto"/>
        <w:ind w:right="-360"/>
        <w:jc w:val="center"/>
        <w:rPr>
          <w:sz w:val="24"/>
          <w:szCs w:val="24"/>
        </w:rPr>
      </w:pPr>
      <w:r w:rsidRPr="00592C35">
        <w:rPr>
          <w:sz w:val="24"/>
          <w:szCs w:val="24"/>
        </w:rPr>
        <w:drawing>
          <wp:inline distT="0" distB="0" distL="0" distR="0" wp14:anchorId="56ABAF7C" wp14:editId="5B8D494F">
            <wp:extent cx="5467350" cy="2976564"/>
            <wp:effectExtent l="0" t="0" r="0" b="0"/>
            <wp:docPr id="74" name="Chart 74" descr="This line graph shows the steadily declining birth rate in Massachusetts from 1990 through 2015. In 2015, there were 71,484 births to Massachusetts resident mothers, a decline of 0.5% from 71,867 in 2014 and a decline of 22.7% since 1990. In 2015, the number of births to mothers under the age of 30 (2015 – 28,890; 2014 – 29,858) decreased by 3.2% whereas the number of births to mothers ages 30 and older increased by 1.4% from 2014 (2015 – 42,594; 2014 – 42,009).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CC64F9-248E-495A-927E-6535175396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88BC695" w14:textId="63A8F9B4" w:rsidR="006C055D" w:rsidRPr="00592C35" w:rsidRDefault="001B52C7" w:rsidP="00B67293">
      <w:pPr>
        <w:spacing w:before="0" w:after="0" w:line="360" w:lineRule="auto"/>
        <w:ind w:right="-360"/>
        <w:rPr>
          <w:sz w:val="24"/>
          <w:szCs w:val="24"/>
        </w:rPr>
      </w:pPr>
      <w:r w:rsidRPr="00592C35">
        <w:rPr>
          <w:sz w:val="24"/>
          <w:szCs w:val="24"/>
        </w:rPr>
        <w:t>In birth trends by race, the proportion of births to White non-Hispanic mothers has declined, while births to Black non-Hispanic, Asian</w:t>
      </w:r>
      <w:r w:rsidR="00D37AB4" w:rsidRPr="00592C35">
        <w:rPr>
          <w:sz w:val="24"/>
          <w:szCs w:val="24"/>
        </w:rPr>
        <w:t xml:space="preserve"> non-Hispanic</w:t>
      </w:r>
      <w:r w:rsidRPr="00592C35">
        <w:rPr>
          <w:sz w:val="24"/>
          <w:szCs w:val="24"/>
        </w:rPr>
        <w:t>, and Hispanic mothers has increased since 1990</w:t>
      </w:r>
      <w:r w:rsidR="00A350C3" w:rsidRPr="00592C35">
        <w:rPr>
          <w:sz w:val="24"/>
          <w:szCs w:val="24"/>
        </w:rPr>
        <w:t xml:space="preserve"> </w:t>
      </w:r>
      <w:r w:rsidR="00A350C3" w:rsidRPr="00592C35">
        <w:rPr>
          <w:b/>
          <w:sz w:val="24"/>
          <w:szCs w:val="24"/>
        </w:rPr>
        <w:t>(see Figure 1.4)</w:t>
      </w:r>
      <w:r w:rsidRPr="00592C35">
        <w:rPr>
          <w:sz w:val="24"/>
          <w:szCs w:val="24"/>
        </w:rPr>
        <w:t xml:space="preserve">. Most recently, the proportion of births to White mothers declined by 1.5% (from 61.4% in 2014 to 60.5% in 2015) </w:t>
      </w:r>
      <w:r w:rsidRPr="00592C35">
        <w:rPr>
          <w:sz w:val="24"/>
          <w:szCs w:val="24"/>
        </w:rPr>
        <w:lastRenderedPageBreak/>
        <w:t xml:space="preserve">and the proportion of births to Hispanic mothers increased by 2.8% (from 17.6% in 2014 to 18.1% in 2015). The proportion of births to Asian </w:t>
      </w:r>
      <w:r w:rsidR="00153901" w:rsidRPr="00592C35">
        <w:rPr>
          <w:sz w:val="24"/>
          <w:szCs w:val="24"/>
        </w:rPr>
        <w:t xml:space="preserve">non-Hispanic </w:t>
      </w:r>
      <w:r w:rsidRPr="00592C35">
        <w:rPr>
          <w:sz w:val="24"/>
          <w:szCs w:val="24"/>
        </w:rPr>
        <w:t>mothers increased by 2.2% (from 8.9% in 2014 to 9.1% in 2015).</w:t>
      </w:r>
    </w:p>
    <w:p w14:paraId="3C7DA6B1" w14:textId="77777777" w:rsidR="001B52C7" w:rsidRPr="00592C35" w:rsidRDefault="001B52C7" w:rsidP="00B67293">
      <w:pPr>
        <w:pStyle w:val="SHAFigureNumber"/>
        <w:spacing w:line="360" w:lineRule="auto"/>
        <w:rPr>
          <w:sz w:val="24"/>
          <w:szCs w:val="24"/>
        </w:rPr>
      </w:pPr>
      <w:r w:rsidRPr="00592C35">
        <w:rPr>
          <w:sz w:val="24"/>
          <w:szCs w:val="24"/>
        </w:rPr>
        <w:t>Figure 1.4</w:t>
      </w:r>
    </w:p>
    <w:p w14:paraId="28909093" w14:textId="77777777" w:rsidR="002F3038" w:rsidRPr="00592C35" w:rsidRDefault="001B52C7" w:rsidP="00B67293">
      <w:pPr>
        <w:pStyle w:val="SHAFigureNumber"/>
        <w:spacing w:line="360" w:lineRule="auto"/>
        <w:rPr>
          <w:rFonts w:eastAsia="Calibri" w:cs="Times New Roman"/>
          <w:sz w:val="24"/>
          <w:szCs w:val="24"/>
        </w:rPr>
      </w:pPr>
      <w:r w:rsidRPr="00592C35">
        <w:rPr>
          <w:sz w:val="24"/>
          <w:szCs w:val="24"/>
        </w:rPr>
        <w:t>Percent of Total B</w:t>
      </w:r>
      <w:r w:rsidR="001955C2" w:rsidRPr="00592C35">
        <w:rPr>
          <w:sz w:val="24"/>
          <w:szCs w:val="24"/>
        </w:rPr>
        <w:t>irths by Race, Massachusetts, 1990</w:t>
      </w:r>
      <w:r w:rsidR="003839D3" w:rsidRPr="00592C35">
        <w:rPr>
          <w:sz w:val="24"/>
          <w:szCs w:val="24"/>
        </w:rPr>
        <w:t>, 2001</w:t>
      </w:r>
      <w:r w:rsidRPr="00592C35">
        <w:rPr>
          <w:sz w:val="24"/>
          <w:szCs w:val="24"/>
        </w:rPr>
        <w:t>-2015</w:t>
      </w:r>
    </w:p>
    <w:p w14:paraId="4D07204F" w14:textId="77777777" w:rsidR="002F3038" w:rsidRPr="00B67293" w:rsidRDefault="002F3038" w:rsidP="00B67293">
      <w:pPr>
        <w:spacing w:before="0" w:after="0" w:line="360" w:lineRule="auto"/>
        <w:ind w:right="-360"/>
        <w:jc w:val="center"/>
        <w:rPr>
          <w:rFonts w:eastAsia="Calibri" w:cs="Times New Roman"/>
        </w:rPr>
      </w:pPr>
      <w:r w:rsidRPr="00B67293">
        <w:rPr>
          <w:rFonts w:eastAsia="Calibri" w:cs="Times New Roman"/>
        </w:rPr>
        <w:drawing>
          <wp:inline distT="0" distB="0" distL="0" distR="0" wp14:anchorId="38ED8144" wp14:editId="0A84D3FD">
            <wp:extent cx="5259457" cy="3860525"/>
            <wp:effectExtent l="0" t="0" r="0" b="635"/>
            <wp:docPr id="676" name="Chart 676" descr="This line graph shows the birth trends in Massachusetts by race from 1990 to 2015. The proportion of births to White non-Hispanic mothers has declined from 78% in 1990 to 61% in 2015. Births to Black non-Hispanics increased from 8% in 1990 to 10% in 2015. Births to Asian non-Hispanic increased from 4% in 1990 to 9% in 2015. Births to Hispanic mothers increased from 9% in 1990 to 18% in 2015. ">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arto="http://schemas.microsoft.com/office/word/2006/arto" id="{8883F674-2586-4724-8D77-957AC7DC8E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8BAE2B" w14:textId="77777777" w:rsidR="001B52C7" w:rsidRPr="00B67293" w:rsidRDefault="001B52C7" w:rsidP="00B67293">
      <w:pPr>
        <w:pStyle w:val="Heading2"/>
        <w:spacing w:line="360" w:lineRule="auto"/>
        <w:ind w:right="-360"/>
      </w:pPr>
      <w:r w:rsidRPr="00B67293">
        <w:t>Gender</w:t>
      </w:r>
    </w:p>
    <w:p w14:paraId="04A57B78" w14:textId="77777777" w:rsidR="001B52C7" w:rsidRDefault="001B52C7" w:rsidP="00B67293">
      <w:pPr>
        <w:spacing w:line="360" w:lineRule="auto"/>
        <w:ind w:right="-360"/>
        <w:rPr>
          <w:sz w:val="26"/>
          <w:szCs w:val="26"/>
        </w:rPr>
      </w:pPr>
      <w:r w:rsidRPr="00592C35">
        <w:rPr>
          <w:sz w:val="26"/>
          <w:szCs w:val="26"/>
        </w:rPr>
        <w:t>From birth to middle age, the proportion of boys and men in the Commonwealth exceeds that of girls and women. However, for the oldest group, those 65 years of age or older, the population of women (16.4%) exceeds that of men (12.9%). Among those 85 years of age and older, women outnumber men two to one. As a result, women represent the majority population at 51.5%.</w:t>
      </w:r>
    </w:p>
    <w:p w14:paraId="46BBECD2" w14:textId="77777777" w:rsidR="00AC1715" w:rsidRPr="00592C35" w:rsidRDefault="00AC1715" w:rsidP="00B67293">
      <w:pPr>
        <w:spacing w:line="360" w:lineRule="auto"/>
        <w:ind w:right="-360"/>
        <w:rPr>
          <w:sz w:val="26"/>
          <w:szCs w:val="26"/>
        </w:rPr>
      </w:pPr>
    </w:p>
    <w:p w14:paraId="5B7E67E2" w14:textId="77777777" w:rsidR="001B52C7" w:rsidRPr="00B67293" w:rsidRDefault="001B52C7" w:rsidP="00B67293">
      <w:pPr>
        <w:pStyle w:val="Heading2"/>
        <w:spacing w:line="360" w:lineRule="auto"/>
        <w:ind w:right="-360"/>
      </w:pPr>
      <w:r w:rsidRPr="00B67293">
        <w:lastRenderedPageBreak/>
        <w:t>LGBTQ</w:t>
      </w:r>
    </w:p>
    <w:p w14:paraId="1B643946" w14:textId="77777777" w:rsidR="001B52C7" w:rsidRPr="00592C35" w:rsidRDefault="001B52C7" w:rsidP="00B67293">
      <w:pPr>
        <w:spacing w:line="360" w:lineRule="auto"/>
        <w:ind w:right="-360"/>
        <w:rPr>
          <w:rFonts w:cs="Times New Roman"/>
          <w:noProof w:val="0"/>
          <w:sz w:val="24"/>
          <w:szCs w:val="24"/>
        </w:rPr>
      </w:pPr>
      <w:r w:rsidRPr="00592C35">
        <w:rPr>
          <w:sz w:val="24"/>
          <w:szCs w:val="24"/>
        </w:rPr>
        <w:t>Data on lesbian, gay, bisexual, transgender, and queer (LGBTQ) populations in Massachusetts are slowly becoming more available. The only major source of statewide data is the Youth Risk Behavior Surveillance System (MA YRBS). In 2013, a question was added to the MA YRBS asking whether students identify as transgender. Further, a question asking about Gender Expression was added to the MA YRBS in 2017.</w:t>
      </w:r>
    </w:p>
    <w:p w14:paraId="6EF5E2AE" w14:textId="00D4A3D7" w:rsidR="001B52C7" w:rsidRPr="00592C35" w:rsidRDefault="001B52C7" w:rsidP="00B67293">
      <w:pPr>
        <w:spacing w:before="160" w:after="100" w:line="360" w:lineRule="auto"/>
        <w:ind w:right="-360"/>
        <w:rPr>
          <w:sz w:val="24"/>
          <w:szCs w:val="24"/>
        </w:rPr>
      </w:pPr>
      <w:r w:rsidRPr="00592C35">
        <w:rPr>
          <w:sz w:val="24"/>
          <w:szCs w:val="24"/>
        </w:rPr>
        <w:t>According to the Massachusetts Department of Elementary and Secondary Education analysis of the 2011-2015 MA YRBS data, 14.8% of Massachusetts youth identified as Sexual and/or Gender minority. Due to data limitations</w:t>
      </w:r>
      <w:r w:rsidR="003B7C27" w:rsidRPr="00592C35">
        <w:rPr>
          <w:sz w:val="24"/>
          <w:szCs w:val="24"/>
        </w:rPr>
        <w:t>,</w:t>
      </w:r>
      <w:r w:rsidRPr="00592C35">
        <w:rPr>
          <w:sz w:val="24"/>
          <w:szCs w:val="24"/>
        </w:rPr>
        <w:t xml:space="preserve">  MDPH believes  that this is an undercount of actual rates. Among Sexual and/or Gender Minority Youth, 63% are White, 20% are</w:t>
      </w:r>
      <w:r w:rsidR="007812CC" w:rsidRPr="00592C35">
        <w:rPr>
          <w:sz w:val="24"/>
          <w:szCs w:val="24"/>
        </w:rPr>
        <w:t xml:space="preserve"> Hispanic, 9</w:t>
      </w:r>
      <w:r w:rsidRPr="00592C35">
        <w:rPr>
          <w:sz w:val="24"/>
          <w:szCs w:val="24"/>
        </w:rPr>
        <w:t xml:space="preserve">% are Black, 5% are Asian, and 3% are Multi-Ethnic.  </w:t>
      </w:r>
    </w:p>
    <w:p w14:paraId="6A062C83" w14:textId="789E1AEF" w:rsidR="001B52C7" w:rsidRPr="00B67293" w:rsidRDefault="00B67293" w:rsidP="00B67293">
      <w:pPr>
        <w:pStyle w:val="Heading2"/>
        <w:spacing w:line="360" w:lineRule="auto"/>
        <w:ind w:right="-360"/>
      </w:pPr>
      <w:r w:rsidRPr="00B67293">
        <w:rPr>
          <w:b w:val="0"/>
          <w:sz w:val="21"/>
          <w:szCs w:val="21"/>
        </w:rPr>
        <mc:AlternateContent>
          <mc:Choice Requires="wps">
            <w:drawing>
              <wp:anchor distT="0" distB="0" distL="114300" distR="114300" simplePos="0" relativeHeight="251994112" behindDoc="0" locked="0" layoutInCell="1" allowOverlap="1" wp14:anchorId="531CAF29" wp14:editId="2A062CE0">
                <wp:simplePos x="0" y="0"/>
                <wp:positionH relativeFrom="margin">
                  <wp:posOffset>4255135</wp:posOffset>
                </wp:positionH>
                <wp:positionV relativeFrom="margin">
                  <wp:posOffset>1405890</wp:posOffset>
                </wp:positionV>
                <wp:extent cx="2286000" cy="1946910"/>
                <wp:effectExtent l="0" t="0" r="0" b="0"/>
                <wp:wrapSquare wrapText="bothSides"/>
                <wp:docPr id="246" name="Rectangle 246"/>
                <wp:cNvGraphicFramePr/>
                <a:graphic xmlns:a="http://schemas.openxmlformats.org/drawingml/2006/main">
                  <a:graphicData uri="http://schemas.microsoft.com/office/word/2010/wordprocessingShape">
                    <wps:wsp>
                      <wps:cNvSpPr/>
                      <wps:spPr>
                        <a:xfrm>
                          <a:off x="0" y="0"/>
                          <a:ext cx="2286000" cy="1946910"/>
                        </a:xfrm>
                        <a:prstGeom prst="rect">
                          <a:avLst/>
                        </a:prstGeom>
                        <a:solidFill>
                          <a:srgbClr val="EFF3FF"/>
                        </a:solidFill>
                        <a:ln w="12700" cap="flat" cmpd="sng" algn="ctr">
                          <a:noFill/>
                          <a:prstDash val="solid"/>
                          <a:miter lim="800000"/>
                        </a:ln>
                        <a:effectLst/>
                      </wps:spPr>
                      <wps:txbx>
                        <w:txbxContent>
                          <w:p w14:paraId="20D11FDD" w14:textId="77777777" w:rsidR="00B67293" w:rsidRPr="00592C35" w:rsidRDefault="00B67293" w:rsidP="00911393">
                            <w:pPr>
                              <w:shd w:val="clear" w:color="auto" w:fill="EFF3FF"/>
                              <w:ind w:left="0" w:right="17"/>
                              <w:jc w:val="left"/>
                              <w:rPr>
                                <w:b/>
                                <w:color w:val="203864"/>
                                <w:sz w:val="24"/>
                                <w:szCs w:val="24"/>
                              </w:rPr>
                            </w:pPr>
                            <w:r w:rsidRPr="00592C35">
                              <w:rPr>
                                <w:color w:val="203864"/>
                                <w:sz w:val="24"/>
                                <w:szCs w:val="24"/>
                              </w:rPr>
                              <w:t>“Recognizing that demographic shift towards older adults is happening, the Governor created the State’s first advisory council on aging that will guide administration policy to support healthy aging.”</w:t>
                            </w:r>
                            <w:r w:rsidRPr="00592C35">
                              <w:rPr>
                                <w:b/>
                                <w:color w:val="203864"/>
                                <w:sz w:val="24"/>
                                <w:szCs w:val="24"/>
                              </w:rPr>
                              <w:t xml:space="preserve"> </w:t>
                            </w:r>
                          </w:p>
                          <w:p w14:paraId="70448D9D" w14:textId="77777777" w:rsidR="00B67293" w:rsidRPr="00592C35" w:rsidRDefault="00B67293" w:rsidP="00911393">
                            <w:pPr>
                              <w:shd w:val="clear" w:color="auto" w:fill="EFF3FF"/>
                              <w:ind w:left="0" w:right="17"/>
                              <w:jc w:val="right"/>
                              <w:rPr>
                                <w:color w:val="203864"/>
                                <w:sz w:val="24"/>
                                <w:szCs w:val="24"/>
                              </w:rPr>
                            </w:pPr>
                            <w:r w:rsidRPr="00592C35">
                              <w:rPr>
                                <w:color w:val="203864"/>
                                <w:sz w:val="24"/>
                                <w:szCs w:val="24"/>
                              </w:rPr>
                              <w:t>Key Informant Interviewee</w:t>
                            </w:r>
                          </w:p>
                          <w:p w14:paraId="75181287" w14:textId="48C95EBE" w:rsidR="00B67293" w:rsidRPr="00607155" w:rsidRDefault="00B67293" w:rsidP="00582880">
                            <w:pPr>
                              <w:shd w:val="clear" w:color="auto" w:fill="EFF3FF"/>
                              <w:ind w:left="180" w:right="17"/>
                              <w:jc w:val="right"/>
                              <w:rPr>
                                <w:smallCaps/>
                                <w:color w:val="2F549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6" o:spid="_x0000_s1028" style="position:absolute;left:0;text-align:left;margin-left:335.05pt;margin-top:110.7pt;width:180pt;height:153.3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" fillcolor="#eff3ff" stroked="f" strokeweight="1pt">
                <v:textbox>
                  <w:txbxContent>
                    <w:p w14:paraId="20D11FDD" w14:textId="77777777" w:rsidR="00B67293" w:rsidRPr="00592C35" w:rsidRDefault="00B67293" w:rsidP="00911393">
                      <w:pPr>
                        <w:shd w:val="clear" w:color="auto" w:fill="EFF3FF"/>
                        <w:ind w:left="0" w:right="17"/>
                        <w:jc w:val="left"/>
                        <w:rPr>
                          <w:b/>
                          <w:color w:val="203864"/>
                          <w:sz w:val="24"/>
                          <w:szCs w:val="24"/>
                        </w:rPr>
                      </w:pPr>
                      <w:r w:rsidRPr="00592C35">
                        <w:rPr>
                          <w:color w:val="203864"/>
                          <w:sz w:val="24"/>
                          <w:szCs w:val="24"/>
                        </w:rPr>
                        <w:t>“Recognizing that demographic shift towards older adults is happening, the Governor created the State’s first advisory council on aging that will guide administration policy to support healthy aging.”</w:t>
                      </w:r>
                      <w:r w:rsidRPr="00592C35">
                        <w:rPr>
                          <w:b/>
                          <w:color w:val="203864"/>
                          <w:sz w:val="24"/>
                          <w:szCs w:val="24"/>
                        </w:rPr>
                        <w:t xml:space="preserve"> </w:t>
                      </w:r>
                    </w:p>
                    <w:p w14:paraId="70448D9D" w14:textId="77777777" w:rsidR="00B67293" w:rsidRPr="00592C35" w:rsidRDefault="00B67293" w:rsidP="00911393">
                      <w:pPr>
                        <w:shd w:val="clear" w:color="auto" w:fill="EFF3FF"/>
                        <w:ind w:left="0" w:right="17"/>
                        <w:jc w:val="right"/>
                        <w:rPr>
                          <w:color w:val="203864"/>
                          <w:sz w:val="24"/>
                          <w:szCs w:val="24"/>
                        </w:rPr>
                      </w:pPr>
                      <w:r w:rsidRPr="00592C35">
                        <w:rPr>
                          <w:color w:val="203864"/>
                          <w:sz w:val="24"/>
                          <w:szCs w:val="24"/>
                        </w:rPr>
                        <w:t>Key Informant Interviewee</w:t>
                      </w:r>
                    </w:p>
                    <w:p w14:paraId="75181287" w14:textId="48C95EBE" w:rsidR="00B67293" w:rsidRPr="00607155" w:rsidRDefault="00B67293" w:rsidP="00582880">
                      <w:pPr>
                        <w:shd w:val="clear" w:color="auto" w:fill="EFF3FF"/>
                        <w:ind w:left="180" w:right="17"/>
                        <w:jc w:val="right"/>
                        <w:rPr>
                          <w:smallCaps/>
                          <w:color w:val="2F5496"/>
                          <w:sz w:val="24"/>
                          <w:szCs w:val="24"/>
                        </w:rPr>
                      </w:pPr>
                    </w:p>
                  </w:txbxContent>
                </v:textbox>
                <w10:wrap type="square" anchorx="margin" anchory="margin"/>
              </v:rect>
            </w:pict>
          </mc:Fallback>
        </mc:AlternateContent>
      </w:r>
      <w:r w:rsidR="001B52C7" w:rsidRPr="00B67293">
        <w:t xml:space="preserve">Age </w:t>
      </w:r>
    </w:p>
    <w:p w14:paraId="09E68ECF" w14:textId="2E281DDB" w:rsidR="001B52C7" w:rsidRPr="00592C35" w:rsidRDefault="001B52C7" w:rsidP="00B67293">
      <w:pPr>
        <w:spacing w:line="360" w:lineRule="auto"/>
        <w:ind w:right="-360"/>
        <w:rPr>
          <w:sz w:val="24"/>
          <w:szCs w:val="24"/>
        </w:rPr>
      </w:pPr>
      <w:r w:rsidRPr="00592C35">
        <w:rPr>
          <w:sz w:val="24"/>
          <w:szCs w:val="24"/>
        </w:rPr>
        <w:t xml:space="preserve">The Commonwealth’s population is aging. More than one-third of residents are 45 years or older (43%). The median age of Massachusetts residents increased, from 38.7 years in 2006-2010 to 39.3 years in 2011-2015. This exceeds the median age for adults across the US (37.6 years). Two-thirds of Massachusetts counties (10 out of 14) have a median age of 40 or older. Mirroring national patterns, the proportion of Massachusetts residents from birth to 18 years of age has decreased and the percent of the population 65 years of age or older has increased. </w:t>
      </w:r>
    </w:p>
    <w:p w14:paraId="6D016048" w14:textId="14B05258" w:rsidR="001B52C7" w:rsidRPr="00592C35" w:rsidRDefault="001B52C7" w:rsidP="00B67293">
      <w:pPr>
        <w:spacing w:line="360" w:lineRule="auto"/>
        <w:ind w:right="-360"/>
        <w:rPr>
          <w:sz w:val="24"/>
          <w:szCs w:val="24"/>
        </w:rPr>
      </w:pPr>
      <w:r w:rsidRPr="00592C35">
        <w:rPr>
          <w:sz w:val="24"/>
          <w:szCs w:val="24"/>
        </w:rPr>
        <w:t xml:space="preserve">Key informant interviewees and focus group participants mentioned that there is a growing and vibrant senior community. Concerns about meeting the needs of this rapidly growing population also emerged. Interviewees identified critical issues such as health security (e.g. support for family caregivers, access to affordable medication, long-term care services), and financial security (e.g. work and employment protection, retirement savings issues, housing stability). One interviewee commented, </w:t>
      </w:r>
      <w:r w:rsidRPr="00592C35">
        <w:rPr>
          <w:i/>
          <w:sz w:val="24"/>
          <w:szCs w:val="24"/>
        </w:rPr>
        <w:t>“When we’re thinking about who our employers, businesses, and educators are – breaking down the barriers and changing the perceived discrimination against getting old, that needs to start as a fundamental piece of how we educate people.”</w:t>
      </w:r>
    </w:p>
    <w:p w14:paraId="68D79620" w14:textId="4E45D516" w:rsidR="001B52C7" w:rsidRPr="00592C35" w:rsidRDefault="0080649D" w:rsidP="00B67293">
      <w:pPr>
        <w:spacing w:line="360" w:lineRule="auto"/>
        <w:ind w:right="-360"/>
        <w:rPr>
          <w:sz w:val="24"/>
          <w:szCs w:val="24"/>
        </w:rPr>
      </w:pPr>
      <w:r w:rsidRPr="00592C35">
        <w:rPr>
          <w:sz w:val="24"/>
          <w:szCs w:val="24"/>
        </w:rPr>
        <w:lastRenderedPageBreak/>
        <w:t>State</w:t>
      </w:r>
      <w:r w:rsidR="001B52C7" w:rsidRPr="00592C35">
        <w:rPr>
          <w:sz w:val="24"/>
          <w:szCs w:val="24"/>
        </w:rPr>
        <w:t xml:space="preserve">wide initiatives such as the </w:t>
      </w:r>
      <w:hyperlink r:id="rId18" w:history="1">
        <w:r w:rsidR="001B52C7" w:rsidRPr="00592C35">
          <w:rPr>
            <w:rStyle w:val="Hyperlink"/>
            <w:color w:val="auto"/>
            <w:sz w:val="24"/>
            <w:szCs w:val="24"/>
          </w:rPr>
          <w:t>Massachusetts Healthy Aging Collaborative</w:t>
        </w:r>
      </w:hyperlink>
      <w:r w:rsidR="003B7C27" w:rsidRPr="00592C35">
        <w:rPr>
          <w:rStyle w:val="Hyperlink"/>
          <w:color w:val="auto"/>
          <w:sz w:val="24"/>
          <w:szCs w:val="24"/>
        </w:rPr>
        <w:t>,</w:t>
      </w:r>
      <w:r w:rsidR="001B52C7" w:rsidRPr="00592C35">
        <w:rPr>
          <w:sz w:val="24"/>
          <w:szCs w:val="24"/>
        </w:rPr>
        <w:t xml:space="preserve"> which aims to create age-friendly livable communities, were noted as strengths that can be leveraged moving forward. </w:t>
      </w:r>
      <w:r w:rsidR="001B52C7" w:rsidRPr="00592C35">
        <w:rPr>
          <w:color w:val="000000" w:themeColor="text1"/>
          <w:sz w:val="24"/>
          <w:szCs w:val="24"/>
        </w:rPr>
        <w:t>In 2011-2015, 11.3% of Massachusetts residents 65 years of age or older lived alone, slightly more than the prop</w:t>
      </w:r>
      <w:r w:rsidR="001B52C7" w:rsidRPr="00592C35">
        <w:rPr>
          <w:sz w:val="24"/>
          <w:szCs w:val="24"/>
        </w:rPr>
        <w:t>ortion in 2006-2010 (10.6%) and across the US in 2011-2015 (10.1%).</w:t>
      </w:r>
    </w:p>
    <w:p w14:paraId="31A74016" w14:textId="77777777" w:rsidR="001B52C7" w:rsidRPr="00B67293" w:rsidRDefault="001B52C7" w:rsidP="00B67293">
      <w:pPr>
        <w:pStyle w:val="Heading2"/>
        <w:spacing w:line="360" w:lineRule="auto"/>
      </w:pPr>
      <w:r w:rsidRPr="00B67293">
        <w:t>Race/Ethnicity</w:t>
      </w:r>
    </w:p>
    <w:p w14:paraId="78526C7F" w14:textId="3251691B" w:rsidR="001B52C7" w:rsidRPr="00592C35" w:rsidRDefault="001B52C7" w:rsidP="00B67293">
      <w:pPr>
        <w:spacing w:line="360" w:lineRule="auto"/>
        <w:ind w:right="-360"/>
        <w:rPr>
          <w:sz w:val="24"/>
          <w:szCs w:val="24"/>
        </w:rPr>
      </w:pPr>
      <w:r w:rsidRPr="00592C35">
        <w:rPr>
          <w:sz w:val="24"/>
          <w:szCs w:val="24"/>
        </w:rPr>
        <w:t>The Commonwealth is less diverse than the US as a whole. Races and ethnicities other than the White non-Hispanic population comprise 27% of the total state population compared to 39% in the US. However, the minority population in Massachusetts has been increasing at a faster rate than the US average. From 2010 to 2016, races and ethnicities other than White non-H</w:t>
      </w:r>
      <w:r w:rsidR="007812CC" w:rsidRPr="00592C35">
        <w:rPr>
          <w:sz w:val="24"/>
          <w:szCs w:val="24"/>
        </w:rPr>
        <w:t>ispanic increased 4%, from 23</w:t>
      </w:r>
      <w:r w:rsidRPr="00592C35">
        <w:rPr>
          <w:sz w:val="24"/>
          <w:szCs w:val="24"/>
        </w:rPr>
        <w:t>% to 27%, compared to a 2.6% increase nationally.</w:t>
      </w:r>
    </w:p>
    <w:p w14:paraId="0D19428B" w14:textId="77777777" w:rsidR="001B52C7" w:rsidRPr="00592C35" w:rsidRDefault="001B52C7" w:rsidP="00B67293">
      <w:pPr>
        <w:spacing w:line="360" w:lineRule="auto"/>
        <w:ind w:right="-360"/>
        <w:rPr>
          <w:sz w:val="24"/>
          <w:szCs w:val="24"/>
        </w:rPr>
      </w:pPr>
      <w:r w:rsidRPr="00592C35">
        <w:rPr>
          <w:sz w:val="24"/>
          <w:szCs w:val="24"/>
        </w:rPr>
        <w:t xml:space="preserve">Geographically, Nantucket, Essex, and Norfolk counties experienced the largest increases in minority populations between 2010 and 2016 compared to other Massachusetts counties. Franklin, Barnstable, and Berkshire counties were the least diverse in terms of race/ethnicity during the same time period. </w:t>
      </w:r>
    </w:p>
    <w:p w14:paraId="1D1A9275" w14:textId="29D92F68" w:rsidR="001B52C7" w:rsidRPr="00592C35" w:rsidRDefault="001B52C7" w:rsidP="00B67293">
      <w:pPr>
        <w:spacing w:line="360" w:lineRule="auto"/>
        <w:ind w:right="-360"/>
        <w:rPr>
          <w:sz w:val="24"/>
          <w:szCs w:val="24"/>
        </w:rPr>
      </w:pPr>
      <w:r w:rsidRPr="00592C35">
        <w:rPr>
          <w:sz w:val="24"/>
          <w:szCs w:val="24"/>
        </w:rPr>
        <w:t xml:space="preserve">Across the </w:t>
      </w:r>
      <w:r w:rsidR="003B7C27" w:rsidRPr="00592C35">
        <w:rPr>
          <w:sz w:val="24"/>
          <w:szCs w:val="24"/>
        </w:rPr>
        <w:t>Commonwealth</w:t>
      </w:r>
      <w:r w:rsidRPr="00592C35">
        <w:rPr>
          <w:sz w:val="24"/>
          <w:szCs w:val="24"/>
        </w:rPr>
        <w:t xml:space="preserve">, population growth among Hispanics increased faster than the national rate.  Similar to national data, the median age of the Hispanic population in Massachusetts is younger (27.9 years) compared to </w:t>
      </w:r>
      <w:r w:rsidRPr="00592C35">
        <w:rPr>
          <w:color w:val="000000" w:themeColor="text1"/>
          <w:sz w:val="24"/>
          <w:szCs w:val="24"/>
        </w:rPr>
        <w:t>the non-Hispanic population (41.5 years).</w:t>
      </w:r>
      <w:r w:rsidRPr="00592C35">
        <w:rPr>
          <w:sz w:val="24"/>
          <w:szCs w:val="24"/>
        </w:rPr>
        <w:t xml:space="preserve"> </w:t>
      </w:r>
    </w:p>
    <w:p w14:paraId="1F7162AE" w14:textId="77777777" w:rsidR="001B52C7" w:rsidRPr="00592C35" w:rsidRDefault="001B52C7" w:rsidP="00B67293">
      <w:pPr>
        <w:spacing w:line="360" w:lineRule="auto"/>
        <w:ind w:right="-360"/>
        <w:rPr>
          <w:color w:val="000000" w:themeColor="text1"/>
          <w:sz w:val="24"/>
          <w:szCs w:val="24"/>
        </w:rPr>
      </w:pPr>
      <w:r w:rsidRPr="00592C35">
        <w:rPr>
          <w:color w:val="000000" w:themeColor="text1"/>
          <w:sz w:val="24"/>
          <w:szCs w:val="24"/>
        </w:rPr>
        <w:t>According to the most recent available Census data (2010 US Census), 50,705 people in Massachusetts identified themselves as American Indian/Alaska Native (AI/AN alone or in combination).  American Indian communities and individuals lag behind the general population in terms of educational</w:t>
      </w:r>
      <w:r w:rsidRPr="00592C35">
        <w:rPr>
          <w:color w:val="FF0000"/>
          <w:sz w:val="24"/>
          <w:szCs w:val="24"/>
        </w:rPr>
        <w:t xml:space="preserve"> </w:t>
      </w:r>
      <w:r w:rsidRPr="00592C35">
        <w:rPr>
          <w:color w:val="000000" w:themeColor="text1"/>
          <w:sz w:val="24"/>
          <w:szCs w:val="24"/>
        </w:rPr>
        <w:t xml:space="preserve">attainment, economic status and health. For example, self-identified American Indian people in New England are less likely to have college degrees and more likely to hold lower-paying jobs, suffer from more chronic diseases such as diabetes, and live shorter lives. </w:t>
      </w:r>
      <w:r w:rsidRPr="00592C35">
        <w:rPr>
          <w:rStyle w:val="EndnoteReference"/>
          <w:color w:val="000000" w:themeColor="text1"/>
          <w:sz w:val="24"/>
          <w:szCs w:val="24"/>
        </w:rPr>
        <w:endnoteReference w:id="5"/>
      </w:r>
    </w:p>
    <w:p w14:paraId="5BE36E52" w14:textId="0BFC651A" w:rsidR="001B52C7" w:rsidRPr="00592C35" w:rsidRDefault="001B52C7" w:rsidP="00B67293">
      <w:pPr>
        <w:spacing w:line="360" w:lineRule="auto"/>
        <w:ind w:right="-360"/>
        <w:rPr>
          <w:sz w:val="24"/>
          <w:szCs w:val="24"/>
        </w:rPr>
      </w:pPr>
      <w:r w:rsidRPr="00592C35">
        <w:rPr>
          <w:sz w:val="24"/>
          <w:szCs w:val="24"/>
        </w:rPr>
        <w:t>Qualitatively, while numerous focus-group participants described diversity as a community strength, many participants also voiced concerns about gentrification, notably in Boston, Northampton, and Worcester.  One focus group participant described the community as “</w:t>
      </w:r>
      <w:r w:rsidRPr="00592C35">
        <w:rPr>
          <w:i/>
          <w:sz w:val="24"/>
          <w:szCs w:val="24"/>
        </w:rPr>
        <w:t>very diverse</w:t>
      </w:r>
      <w:r w:rsidRPr="00592C35">
        <w:rPr>
          <w:sz w:val="24"/>
          <w:szCs w:val="24"/>
        </w:rPr>
        <w:t xml:space="preserve">”, mentioning wide cultural diversity. They </w:t>
      </w:r>
      <w:r w:rsidRPr="00592C35">
        <w:rPr>
          <w:sz w:val="24"/>
          <w:szCs w:val="24"/>
        </w:rPr>
        <w:lastRenderedPageBreak/>
        <w:t>noted that diverse residents are a strength of the community</w:t>
      </w:r>
      <w:r w:rsidR="003B7C27" w:rsidRPr="00592C35">
        <w:rPr>
          <w:sz w:val="24"/>
          <w:szCs w:val="24"/>
        </w:rPr>
        <w:t>,</w:t>
      </w:r>
      <w:r w:rsidRPr="00592C35">
        <w:rPr>
          <w:sz w:val="24"/>
          <w:szCs w:val="24"/>
        </w:rPr>
        <w:t xml:space="preserve"> but also noted that some residents faced barriers receiving culturally-competent services.</w:t>
      </w:r>
    </w:p>
    <w:p w14:paraId="3F0C3A13" w14:textId="02C885CC" w:rsidR="001B52C7" w:rsidRPr="00592C35" w:rsidRDefault="001B52C7" w:rsidP="00B67293">
      <w:pPr>
        <w:spacing w:line="360" w:lineRule="auto"/>
        <w:ind w:right="-360"/>
        <w:rPr>
          <w:i/>
          <w:color w:val="000000" w:themeColor="text1"/>
          <w:sz w:val="24"/>
          <w:szCs w:val="24"/>
        </w:rPr>
      </w:pPr>
      <w:r w:rsidRPr="00592C35">
        <w:rPr>
          <w:sz w:val="24"/>
          <w:szCs w:val="24"/>
        </w:rPr>
        <w:t>Participants perceived that many providers were not taking cultural aspects of health into account when treating people, including religion, stigma, language, and culinary norms. As one participant noted</w:t>
      </w:r>
      <w:r w:rsidR="003B7C27" w:rsidRPr="00592C35">
        <w:rPr>
          <w:sz w:val="24"/>
          <w:szCs w:val="24"/>
        </w:rPr>
        <w:t>,</w:t>
      </w:r>
      <w:r w:rsidRPr="00592C35">
        <w:rPr>
          <w:i/>
          <w:color w:val="000000" w:themeColor="text1"/>
          <w:sz w:val="24"/>
          <w:szCs w:val="24"/>
        </w:rPr>
        <w:t xml:space="preserve"> “We need to educate mainstream providers and hospitals and teach them what it means to treat communities of color. It’s about cultural sensitivity.”</w:t>
      </w:r>
    </w:p>
    <w:p w14:paraId="076E13A6" w14:textId="77777777" w:rsidR="001B52C7" w:rsidRPr="00B67293" w:rsidRDefault="001B52C7" w:rsidP="00B67293">
      <w:pPr>
        <w:spacing w:before="360" w:line="360" w:lineRule="auto"/>
        <w:ind w:right="-360"/>
        <w:outlineLvl w:val="1"/>
        <w:rPr>
          <w:rFonts w:eastAsia="Calibri" w:cs="Times New Roman"/>
          <w:b/>
          <w:sz w:val="30"/>
          <w:szCs w:val="30"/>
        </w:rPr>
      </w:pPr>
      <w:r w:rsidRPr="00B67293">
        <w:rPr>
          <w:rFonts w:eastAsia="Calibri" w:cs="Times New Roman"/>
          <w:b/>
          <w:sz w:val="30"/>
          <w:szCs w:val="30"/>
        </w:rPr>
        <w:t>Immigration and Growing Diversity</w:t>
      </w:r>
    </w:p>
    <w:p w14:paraId="24F4869F"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Massachusetts ranks eighth in the nation for the percentage of the population that are immigrants or refugees. A total of 15.5% of Massachusetts residents were born outside of the US, compared to 13.2% across the nation.</w:t>
      </w:r>
      <w:r w:rsidRPr="00592C35">
        <w:rPr>
          <w:rFonts w:eastAsia="Calibri" w:cs="Times New Roman"/>
          <w:sz w:val="24"/>
          <w:szCs w:val="24"/>
          <w:vertAlign w:val="superscript"/>
        </w:rPr>
        <w:endnoteReference w:id="6"/>
      </w:r>
      <w:r w:rsidRPr="00592C35">
        <w:rPr>
          <w:rFonts w:eastAsia="Calibri" w:cs="Times New Roman"/>
          <w:sz w:val="24"/>
          <w:szCs w:val="24"/>
        </w:rPr>
        <w:t xml:space="preserve"> This represents a slight increase in the immigrant population from 2006 to 2010 (14.5%). Similar to national trends, the majority of immigrants in Massachusetts are from Latin American and Caribbean countries, followed by Asian and European countries. </w:t>
      </w:r>
    </w:p>
    <w:p w14:paraId="53DD47E5" w14:textId="345F9BAB" w:rsidR="00C1729B" w:rsidRDefault="001B52C7" w:rsidP="00B67293">
      <w:pPr>
        <w:spacing w:line="360" w:lineRule="auto"/>
        <w:ind w:right="-360"/>
        <w:rPr>
          <w:rFonts w:eastAsia="Calibri" w:cs="Times New Roman"/>
          <w:sz w:val="24"/>
          <w:szCs w:val="24"/>
        </w:rPr>
      </w:pPr>
      <w:r w:rsidRPr="00592C35">
        <w:rPr>
          <w:rFonts w:eastAsia="Calibri" w:cs="Times New Roman"/>
          <w:sz w:val="24"/>
          <w:szCs w:val="24"/>
        </w:rPr>
        <w:t>Diversity in terms of place of birth, language spoken at home, and country of origin are evident in Massachusetts</w:t>
      </w:r>
      <w:r w:rsidR="00A350C3" w:rsidRPr="00592C35">
        <w:rPr>
          <w:rFonts w:eastAsia="Calibri" w:cs="Times New Roman"/>
          <w:sz w:val="24"/>
          <w:szCs w:val="24"/>
        </w:rPr>
        <w:t xml:space="preserve"> </w:t>
      </w:r>
      <w:r w:rsidR="00A350C3" w:rsidRPr="00592C35">
        <w:rPr>
          <w:rFonts w:eastAsia="Calibri" w:cs="Times New Roman"/>
          <w:b/>
          <w:sz w:val="24"/>
          <w:szCs w:val="24"/>
        </w:rPr>
        <w:t>(see Figure 1.5)</w:t>
      </w:r>
      <w:r w:rsidRPr="00592C35">
        <w:rPr>
          <w:rFonts w:eastAsia="Calibri" w:cs="Times New Roman"/>
          <w:sz w:val="24"/>
          <w:szCs w:val="24"/>
        </w:rPr>
        <w:t>. In 2011-2015, more than one in every five residents reported speaking a language other than English at home (22.5%), slightly more than</w:t>
      </w:r>
      <w:r w:rsidR="007812CC" w:rsidRPr="00592C35">
        <w:rPr>
          <w:rFonts w:eastAsia="Calibri" w:cs="Times New Roman"/>
          <w:sz w:val="24"/>
          <w:szCs w:val="24"/>
        </w:rPr>
        <w:t xml:space="preserve"> that for the United States (21</w:t>
      </w:r>
      <w:r w:rsidRPr="00592C35">
        <w:rPr>
          <w:rFonts w:eastAsia="Calibri" w:cs="Times New Roman"/>
          <w:sz w:val="24"/>
          <w:szCs w:val="24"/>
        </w:rPr>
        <w:t xml:space="preserve">%). The majority of refugees to Massachusetts are from near East and South Asia (39%), followed by African countries (31%), and Latin American and Caribbean countries (20%). </w:t>
      </w:r>
    </w:p>
    <w:p w14:paraId="52E3ABD0" w14:textId="77777777" w:rsidR="00C1729B" w:rsidRDefault="00C1729B">
      <w:pPr>
        <w:spacing w:before="0"/>
        <w:ind w:left="0" w:right="0"/>
        <w:jc w:val="left"/>
        <w:rPr>
          <w:rFonts w:eastAsia="Calibri" w:cs="Times New Roman"/>
          <w:sz w:val="24"/>
          <w:szCs w:val="24"/>
        </w:rPr>
      </w:pPr>
      <w:r>
        <w:rPr>
          <w:rFonts w:eastAsia="Calibri" w:cs="Times New Roman"/>
          <w:sz w:val="24"/>
          <w:szCs w:val="24"/>
        </w:rPr>
        <w:br w:type="page"/>
      </w:r>
    </w:p>
    <w:p w14:paraId="6B1BF6A1"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1.5</w:t>
      </w:r>
    </w:p>
    <w:p w14:paraId="2AD1618C"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Immigrant Population Characteristics, US vs. MA, 2011-2015</w:t>
      </w:r>
    </w:p>
    <w:p w14:paraId="3D97F048" w14:textId="63DD2A05" w:rsidR="001B52C7" w:rsidRPr="00592C35" w:rsidRDefault="002D25C2" w:rsidP="00B67293">
      <w:pPr>
        <w:spacing w:line="360" w:lineRule="auto"/>
        <w:ind w:right="-360"/>
        <w:contextualSpacing/>
        <w:jc w:val="left"/>
        <w:rPr>
          <w:rFonts w:eastAsia="Calibri" w:cs="Times New Roman"/>
          <w:sz w:val="24"/>
          <w:szCs w:val="24"/>
        </w:rPr>
      </w:pPr>
      <w:r w:rsidRPr="00592C35">
        <w:rPr>
          <w:sz w:val="24"/>
          <w:szCs w:val="24"/>
        </w:rPr>
        <w:t xml:space="preserve"> </w:t>
      </w:r>
      <w:r w:rsidRPr="00592C35">
        <w:rPr>
          <w:sz w:val="24"/>
          <w:szCs w:val="24"/>
        </w:rPr>
        <mc:AlternateContent>
          <mc:Choice Requires="wpg">
            <w:drawing>
              <wp:anchor distT="0" distB="0" distL="114300" distR="114300" simplePos="0" relativeHeight="252042240" behindDoc="0" locked="0" layoutInCell="1" allowOverlap="1" wp14:anchorId="36A1DECE" wp14:editId="18BB1C0C">
                <wp:simplePos x="0" y="0"/>
                <wp:positionH relativeFrom="column">
                  <wp:posOffset>0</wp:posOffset>
                </wp:positionH>
                <wp:positionV relativeFrom="paragraph">
                  <wp:posOffset>0</wp:posOffset>
                </wp:positionV>
                <wp:extent cx="6276975" cy="2552700"/>
                <wp:effectExtent l="0" t="0" r="0" b="0"/>
                <wp:wrapNone/>
                <wp:docPr id="110" name="Group 11" descr="This figure has two sets of horizontal bar graphs that compare Massachusetts to the Unites States depicting the immigrant population from 2011 to 2015.  The graph also shows data for Refugee Arrivals, Language Spoken, and Nativity. A total of 85% of Massachusetts residents are native born versus 87% for the entire US. A total of 15.5% of Massachusetts residents were born outside of the US compared to 13.2% across US. During the time period 2011 through 2015, more than one in every five Massachusetts residents reported speaking a language other than English at home (22.5%), slightly more than that for the US (21.0%).  The majority of refugees to MA are from near East and South Asia (39%), followed by African countries (31%), Latin American and Caribbean countries (20.0%), Europe and Central Asia (8%), and East &amp; South Asia (1%). In comparison, for the US, the majority of refugees are from near East and South Asia (35%), followed by African countries (32%), Europe and Central Asia (28%), Latin America and Caribbean (3%), and East &amp; Southeast Asia (2%).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900163-06E7-4854-9E08-CDE0A8DB7DC4}"/>
                    </a:ext>
                  </a:extLst>
                </wp:docPr>
                <wp:cNvGraphicFramePr/>
                <a:graphic xmlns:a="http://schemas.openxmlformats.org/drawingml/2006/main">
                  <a:graphicData uri="http://schemas.microsoft.com/office/word/2010/wordprocessingGroup">
                    <wpg:wgp>
                      <wpg:cNvGrpSpPr/>
                      <wpg:grpSpPr>
                        <a:xfrm>
                          <a:off x="0" y="0"/>
                          <a:ext cx="6276975" cy="2552700"/>
                          <a:chOff x="0" y="0"/>
                          <a:chExt cx="4712030" cy="2805563"/>
                        </a:xfrm>
                      </wpg:grpSpPr>
                      <wpg:graphicFrame>
                        <wpg:cNvPr id="111" name="Chart 11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C85026-5DF9-49C0-901E-209903AE6C78}"/>
                            </a:ext>
                          </a:extLst>
                        </wpg:cNvPr>
                        <wpg:cNvFrPr>
                          <a:graphicFrameLocks/>
                        </wpg:cNvFrPr>
                        <wpg:xfrm>
                          <a:off x="1686511" y="29024"/>
                          <a:ext cx="3025519" cy="2776539"/>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113" name="Chart 113">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C158B3-B518-45E4-A10D-8F0CAB5621B4}"/>
                            </a:ext>
                          </a:extLst>
                        </wpg:cNvPr>
                        <wpg:cNvFrPr>
                          <a:graphicFrameLocks/>
                        </wpg:cNvFrPr>
                        <wpg:xfrm>
                          <a:off x="0" y="0"/>
                          <a:ext cx="3025519" cy="2776539"/>
                        </wpg:xfrm>
                        <a:graphic>
                          <a:graphicData uri="http://schemas.openxmlformats.org/drawingml/2006/chart">
                            <c:chart xmlns:c="http://schemas.openxmlformats.org/drawingml/2006/chart" xmlns:r="http://schemas.openxmlformats.org/officeDocument/2006/relationships" r:id="rId20"/>
                          </a:graphicData>
                        </a:graphic>
                      </wpg:graphicFrame>
                    </wpg:wgp>
                  </a:graphicData>
                </a:graphic>
              </wp:anchor>
            </w:drawing>
          </mc:Choice>
          <mc:Fallback>
            <w:pict>
              <v:group id="Group 11" o:spid="_x0000_s1026" alt="This figure has two sets of horizontal bar graphs that compare Massachusetts to the Unites States depicting the immigrant population from 2011 to 2015.  The graph also shows data for Refugee Arrivals, Language Spoken, and Nativity. A total of 85% of Massachusetts residents are native born versus 87% for the entire US. A total of 15.5% of Massachusetts residents were born outside of the US compared to 13.2% across US. During the time period 2011 through 2015, more than one in every five Massachusetts residents reported speaking a language other than English at home (22.5%), slightly more than that for the US (21.0%).  The majority of refugees to MA are from near East and South Asia (39%), followed by African countries (31%), Latin American and Caribbean countries (20.0%), Europe and Central Asia (8%), and East &amp; South Asia (1%). In comparison, for the US, the majority of refugees are from near East and South Asia (35%), followed by African countries (32%), Europe and Central Asia (28%), Latin America and Caribbean (3%), and East &amp; Southeast Asia (2%). " style="position:absolute;margin-left:0;margin-top:0;width:494.25pt;height:201pt;z-index:252042240" coordsize="47120,28055" o:gfxdata="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11" o:spid="_x0000_s1027" type="#_x0000_t75" style="position:absolute;left:16886;top:267;width:30248;height:278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">
                  <v:imagedata r:id="rId37" o:title=""/>
                  <o:lock v:ext="edit" aspectratio="f"/>
                </v:shape>
                <v:shape id="Chart 113" o:spid="_x0000_s1028" type="#_x0000_t75" style="position:absolute;width:30248;height:277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">
                  <v:imagedata r:id="rId38" o:title=""/>
                  <o:lock v:ext="edit" aspectratio="f"/>
                </v:shape>
              </v:group>
            </w:pict>
          </mc:Fallback>
        </mc:AlternateContent>
      </w:r>
    </w:p>
    <w:p w14:paraId="08E9CB62"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 xml:space="preserve">SOURCE: US CENSUS BUREAU, AMERICAN COMMUNITY SURVEY 5-YEAR ESTIMATES. </w:t>
      </w:r>
    </w:p>
    <w:p w14:paraId="0C2C1E2F"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NOTE: PERCENTAGES MAY NOT ADD UP TO 100 DUE TO ROUNDING.</w:t>
      </w:r>
    </w:p>
    <w:p w14:paraId="793F704B" w14:textId="77777777" w:rsidR="002D25C2" w:rsidRPr="00592C35" w:rsidRDefault="002D25C2" w:rsidP="00B67293">
      <w:pPr>
        <w:spacing w:line="360" w:lineRule="auto"/>
        <w:ind w:right="-360"/>
        <w:rPr>
          <w:rFonts w:eastAsia="Calibri" w:cs="Times New Roman"/>
          <w:sz w:val="24"/>
          <w:szCs w:val="24"/>
        </w:rPr>
      </w:pPr>
    </w:p>
    <w:p w14:paraId="7F61659F" w14:textId="77777777" w:rsidR="002D25C2" w:rsidRPr="00592C35" w:rsidRDefault="002D25C2" w:rsidP="00B67293">
      <w:pPr>
        <w:spacing w:line="360" w:lineRule="auto"/>
        <w:ind w:right="-360"/>
        <w:rPr>
          <w:rFonts w:eastAsia="Calibri" w:cs="Times New Roman"/>
          <w:sz w:val="24"/>
          <w:szCs w:val="24"/>
        </w:rPr>
      </w:pPr>
    </w:p>
    <w:p w14:paraId="3F53E7EB" w14:textId="77777777" w:rsidR="002D25C2" w:rsidRPr="00592C35" w:rsidRDefault="002D25C2" w:rsidP="00B67293">
      <w:pPr>
        <w:spacing w:line="360" w:lineRule="auto"/>
        <w:ind w:right="-360"/>
        <w:rPr>
          <w:rFonts w:eastAsia="Calibri" w:cs="Times New Roman"/>
          <w:sz w:val="24"/>
          <w:szCs w:val="24"/>
        </w:rPr>
      </w:pPr>
    </w:p>
    <w:p w14:paraId="0E032DF7" w14:textId="54011400" w:rsidR="003B7C27" w:rsidRPr="00592C35" w:rsidRDefault="00153901" w:rsidP="00B67293">
      <w:pPr>
        <w:spacing w:line="360" w:lineRule="auto"/>
        <w:ind w:right="-360"/>
        <w:jc w:val="center"/>
        <w:rPr>
          <w:rFonts w:eastAsia="Calibri" w:cs="Times New Roman"/>
          <w:sz w:val="24"/>
          <w:szCs w:val="24"/>
        </w:rPr>
      </w:pPr>
      <w:r w:rsidRPr="00592C35">
        <w:rPr>
          <w:rFonts w:eastAsia="Calibri" w:cs="Times New Roman"/>
          <w:sz w:val="24"/>
          <w:szCs w:val="24"/>
        </w:rPr>
        <w:t>NOTE: PERCENTAGES MAY NOT ADD UP TO 100 PERCENT DUE TO ROUNDING</w:t>
      </w:r>
    </w:p>
    <w:p w14:paraId="138EB1AA" w14:textId="6C780B19" w:rsidR="001B52C7" w:rsidRPr="00592C35" w:rsidRDefault="001B52C7" w:rsidP="00B67293">
      <w:pPr>
        <w:spacing w:line="360" w:lineRule="auto"/>
        <w:ind w:right="-360"/>
        <w:rPr>
          <w:rFonts w:eastAsia="Calibri" w:cs="Times New Roman"/>
          <w:color w:val="000000"/>
          <w:sz w:val="24"/>
          <w:szCs w:val="24"/>
        </w:rPr>
      </w:pPr>
      <w:r w:rsidRPr="00592C35">
        <w:rPr>
          <w:rFonts w:eastAsia="Calibri" w:cs="Times New Roman"/>
          <w:sz w:val="24"/>
          <w:szCs w:val="24"/>
        </w:rPr>
        <w:t xml:space="preserve">Focus group and interview participants reported that some populations face challenges to accessing health care services, especially communities of color, </w:t>
      </w:r>
      <w:r w:rsidR="00F53C91">
        <w:rPr>
          <w:rFonts w:eastAsia="Calibri" w:cs="Times New Roman"/>
          <w:sz w:val="24"/>
          <w:szCs w:val="24"/>
        </w:rPr>
        <w:t>older adult</w:t>
      </w:r>
      <w:r w:rsidRPr="00592C35">
        <w:rPr>
          <w:rFonts w:eastAsia="Calibri" w:cs="Times New Roman"/>
          <w:sz w:val="24"/>
          <w:szCs w:val="24"/>
        </w:rPr>
        <w:t>s, homeless residents, and those suffering with mental illness.</w:t>
      </w:r>
    </w:p>
    <w:p w14:paraId="64429043" w14:textId="4767A58C" w:rsidR="001B52C7" w:rsidRPr="00592C35" w:rsidRDefault="001B52C7" w:rsidP="00B67293">
      <w:pPr>
        <w:spacing w:line="360" w:lineRule="auto"/>
        <w:ind w:right="-360"/>
        <w:rPr>
          <w:rFonts w:eastAsia="Calibri" w:cs="Times New Roman"/>
          <w:sz w:val="24"/>
          <w:szCs w:val="24"/>
        </w:rPr>
      </w:pPr>
      <w:r w:rsidRPr="00592C35">
        <w:rPr>
          <w:rFonts w:eastAsia="Calibri" w:cs="Times New Roman"/>
          <w:color w:val="000000"/>
          <w:sz w:val="24"/>
          <w:szCs w:val="24"/>
        </w:rPr>
        <w:t>Numerous participants stressed that more needs to be done to address the needs of undocumented residents, who were described as an essential part of the community. However, the inability of this group to obtain services threatens their health and raises costs for the overall system. As one focus group participant shared</w:t>
      </w:r>
      <w:r w:rsidR="003B7C27" w:rsidRPr="00592C35">
        <w:rPr>
          <w:rFonts w:eastAsia="Calibri" w:cs="Times New Roman"/>
          <w:sz w:val="24"/>
          <w:szCs w:val="24"/>
        </w:rPr>
        <w:t>,</w:t>
      </w:r>
      <w:r w:rsidRPr="00592C35">
        <w:rPr>
          <w:rFonts w:eastAsia="Calibri" w:cs="Times New Roman"/>
          <w:sz w:val="24"/>
          <w:szCs w:val="24"/>
        </w:rPr>
        <w:t xml:space="preserve"> </w:t>
      </w:r>
      <w:r w:rsidRPr="00592C35">
        <w:rPr>
          <w:rFonts w:eastAsia="Calibri" w:cs="Times New Roman"/>
          <w:i/>
          <w:sz w:val="24"/>
          <w:szCs w:val="24"/>
        </w:rPr>
        <w:t>“There’s a lot of seasonal work in Massachusetts, and many workers come from other countries and are undocumented. They work very hard and often get injured but can’t seek medical care because of their status.”</w:t>
      </w:r>
      <w:r w:rsidRPr="00592C35">
        <w:rPr>
          <w:rFonts w:eastAsia="Calibri" w:cs="Times New Roman"/>
          <w:sz w:val="24"/>
          <w:szCs w:val="24"/>
        </w:rPr>
        <w:t xml:space="preserve"> </w:t>
      </w:r>
    </w:p>
    <w:p w14:paraId="68A53B72" w14:textId="77777777" w:rsidR="001B52C7" w:rsidRPr="00B67293" w:rsidRDefault="001B52C7" w:rsidP="00B67293">
      <w:pPr>
        <w:spacing w:before="360" w:line="360" w:lineRule="auto"/>
        <w:ind w:right="-360"/>
        <w:outlineLvl w:val="1"/>
        <w:rPr>
          <w:rFonts w:eastAsia="Calibri" w:cs="Times New Roman"/>
          <w:b/>
          <w:sz w:val="30"/>
          <w:szCs w:val="30"/>
        </w:rPr>
      </w:pPr>
      <w:r w:rsidRPr="00B67293">
        <w:rPr>
          <w:rFonts w:eastAsia="Calibri" w:cs="Times New Roman"/>
          <w:b/>
          <w:sz w:val="30"/>
          <w:szCs w:val="30"/>
        </w:rPr>
        <w:t>Marital Status</w:t>
      </w:r>
    </w:p>
    <w:p w14:paraId="25E66DD7" w14:textId="40F544AC" w:rsidR="001B52C7" w:rsidRPr="00592C35" w:rsidRDefault="001B52C7" w:rsidP="00B67293">
      <w:pPr>
        <w:spacing w:before="0" w:after="0" w:line="360" w:lineRule="auto"/>
        <w:ind w:right="-360"/>
        <w:rPr>
          <w:rFonts w:eastAsia="Calibri" w:cs="Times New Roman"/>
          <w:sz w:val="24"/>
          <w:szCs w:val="24"/>
        </w:rPr>
      </w:pPr>
      <w:r w:rsidRPr="00592C35">
        <w:rPr>
          <w:rFonts w:eastAsia="Calibri" w:cs="Times New Roman"/>
          <w:sz w:val="24"/>
          <w:szCs w:val="24"/>
        </w:rPr>
        <w:t>From 2000 to 2015, the number of marriages across the Commonwealth declined. In 2005</w:t>
      </w:r>
      <w:r w:rsidR="003B7C27" w:rsidRPr="00592C35">
        <w:rPr>
          <w:rFonts w:eastAsia="Calibri" w:cs="Times New Roman"/>
          <w:sz w:val="24"/>
          <w:szCs w:val="24"/>
        </w:rPr>
        <w:t>,</w:t>
      </w:r>
      <w:r w:rsidRPr="00592C35">
        <w:rPr>
          <w:rFonts w:eastAsia="Calibri" w:cs="Times New Roman"/>
          <w:sz w:val="24"/>
          <w:szCs w:val="24"/>
        </w:rPr>
        <w:t xml:space="preserve"> the number of marriages increased which was attributed to the 2004 law that enabled same-sex couples to marry in Massachusetts. In 2016, the number of marriages declined slightly to 39,297, of which 2,017 (5.1%) were to same-sex couples.  From May 2004 through the end of 2016, there have been more than 32,456 marriage licenses </w:t>
      </w:r>
      <w:r w:rsidR="00A350C3" w:rsidRPr="00592C35">
        <w:rPr>
          <w:rFonts w:eastAsia="Calibri" w:cs="Times New Roman"/>
          <w:sz w:val="24"/>
          <w:szCs w:val="24"/>
        </w:rPr>
        <w:t xml:space="preserve">to same-sex couples.  </w:t>
      </w:r>
      <w:r w:rsidR="00A350C3" w:rsidRPr="00592C35">
        <w:rPr>
          <w:rFonts w:eastAsia="Calibri" w:cs="Times New Roman"/>
          <w:b/>
          <w:sz w:val="24"/>
          <w:szCs w:val="24"/>
        </w:rPr>
        <w:t>Figure 1.6</w:t>
      </w:r>
      <w:r w:rsidRPr="00592C35">
        <w:rPr>
          <w:rFonts w:eastAsia="Calibri" w:cs="Times New Roman"/>
          <w:sz w:val="24"/>
          <w:szCs w:val="24"/>
        </w:rPr>
        <w:t xml:space="preserve"> shows the relative change in marriages by couple type during this time period.</w:t>
      </w:r>
    </w:p>
    <w:p w14:paraId="14109A63" w14:textId="77777777" w:rsidR="001B52C7" w:rsidRPr="00592C35" w:rsidRDefault="001B52C7" w:rsidP="00B67293">
      <w:pPr>
        <w:spacing w:before="0" w:after="0" w:line="360" w:lineRule="auto"/>
        <w:ind w:right="-360"/>
        <w:rPr>
          <w:rFonts w:eastAsia="Calibri" w:cs="Times New Roman"/>
          <w:sz w:val="24"/>
          <w:szCs w:val="24"/>
        </w:rPr>
      </w:pPr>
    </w:p>
    <w:p w14:paraId="32790C68" w14:textId="42960C8E" w:rsidR="00AC1715" w:rsidRPr="00C1729B" w:rsidRDefault="001B52C7" w:rsidP="00C1729B">
      <w:pPr>
        <w:spacing w:before="0" w:after="0" w:line="360" w:lineRule="auto"/>
        <w:ind w:right="-360"/>
        <w:rPr>
          <w:rFonts w:eastAsia="Calibri" w:cs="Times New Roman"/>
          <w:sz w:val="24"/>
          <w:szCs w:val="24"/>
        </w:rPr>
      </w:pPr>
      <w:r w:rsidRPr="00592C35">
        <w:rPr>
          <w:rFonts w:eastAsia="Calibri" w:cs="Times New Roman"/>
          <w:sz w:val="24"/>
          <w:szCs w:val="24"/>
        </w:rPr>
        <w:lastRenderedPageBreak/>
        <w:t>In 2011-2015, more than one-quarter (28.7%) of households had a single parent, a slight increase from 2006-2010 (27.4%), but lowe</w:t>
      </w:r>
      <w:r w:rsidR="007812CC" w:rsidRPr="00592C35">
        <w:rPr>
          <w:rFonts w:eastAsia="Calibri" w:cs="Times New Roman"/>
          <w:sz w:val="24"/>
          <w:szCs w:val="24"/>
        </w:rPr>
        <w:t>r than the national average (31</w:t>
      </w:r>
      <w:r w:rsidRPr="00592C35">
        <w:rPr>
          <w:rFonts w:eastAsia="Calibri" w:cs="Times New Roman"/>
          <w:sz w:val="24"/>
          <w:szCs w:val="24"/>
        </w:rPr>
        <w:t>%) in 2011-201</w:t>
      </w:r>
      <w:r w:rsidR="0005150A" w:rsidRPr="00592C35">
        <w:rPr>
          <w:rFonts w:eastAsia="Calibri" w:cs="Times New Roman"/>
          <w:sz w:val="24"/>
          <w:szCs w:val="24"/>
        </w:rPr>
        <w:t>5.</w:t>
      </w:r>
    </w:p>
    <w:p w14:paraId="24A26584"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1.6</w:t>
      </w:r>
    </w:p>
    <w:p w14:paraId="051D4FCD" w14:textId="77777777" w:rsidR="001B52C7" w:rsidRPr="00592C35" w:rsidRDefault="001B52C7" w:rsidP="00B67293">
      <w:pPr>
        <w:numPr>
          <w:ilvl w:val="1"/>
          <w:numId w:val="0"/>
        </w:numPr>
        <w:spacing w:before="0" w:after="0"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Marriages by Couple Type, 2004-2016</w:t>
      </w:r>
    </w:p>
    <w:p w14:paraId="508B0C97" w14:textId="2F7B3C83" w:rsidR="001B52C7" w:rsidRPr="00B67293" w:rsidRDefault="002D25C2" w:rsidP="00B67293">
      <w:pPr>
        <w:spacing w:line="360" w:lineRule="auto"/>
        <w:ind w:right="-360"/>
        <w:contextualSpacing/>
        <w:jc w:val="center"/>
        <w:rPr>
          <w:rFonts w:eastAsia="Calibri" w:cs="Times New Roman"/>
        </w:rPr>
      </w:pPr>
      <w:r w:rsidRPr="00B67293">
        <w:drawing>
          <wp:inline distT="0" distB="0" distL="0" distR="0" wp14:anchorId="25CD27D0" wp14:editId="09EB6D65">
            <wp:extent cx="5024439" cy="2743200"/>
            <wp:effectExtent l="0" t="0" r="5080" b="0"/>
            <wp:docPr id="114" name="Chart 114" descr="This stacking vertical bar graph shows the percentages of Massachusetts marriages by couple type for time period 2004 through 2016. Couples are classified as male/female, male/male, and female/female.   The proportions of marriages for female/female (9%) and male/male (5%) couples were much higher in 2004 following the passage of the law that enabled same-sex couples to marry in Massachusetts. Since 2004, the relative proportion of marriages for female/female and male/male couples went down and remained relatively flat from 2005 (3% and 2% respectively) to 2015 (3% and 2% respectively).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23B51E-0A11-4DB6-803F-B4D93C4855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16EE1A3" w14:textId="0134784C" w:rsidR="001B52C7" w:rsidRPr="00B67293" w:rsidRDefault="001B52C7" w:rsidP="00B67293">
      <w:pPr>
        <w:spacing w:before="360" w:line="360" w:lineRule="auto"/>
        <w:ind w:right="-360"/>
        <w:outlineLvl w:val="1"/>
        <w:rPr>
          <w:rFonts w:eastAsia="Calibri" w:cs="Times New Roman"/>
          <w:b/>
          <w:sz w:val="30"/>
          <w:szCs w:val="30"/>
        </w:rPr>
      </w:pPr>
      <w:r w:rsidRPr="00B67293">
        <w:rPr>
          <w:rFonts w:eastAsia="Calibri" w:cs="Times New Roman"/>
          <w:b/>
          <w:sz w:val="30"/>
          <w:szCs w:val="30"/>
        </w:rPr>
        <w:t xml:space="preserve">Persons with a Disability </w:t>
      </w:r>
    </w:p>
    <w:p w14:paraId="15D2E975" w14:textId="74F2A29E"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A disability is defined as a physical or mental condition that limits a person’s movement, senses, or activities. People with disabilities live daily with challenges that include a lack of adequate accessible transportation, limited housing, unequal physical and programmatic access to public and private facilities, barriers to education and </w:t>
      </w:r>
      <w:r w:rsidR="00A350C3" w:rsidRPr="00592C35">
        <w:rPr>
          <w:rFonts w:eastAsia="Calibri" w:cs="Times New Roman"/>
          <w:sz w:val="24"/>
          <w:szCs w:val="24"/>
        </w:rPr>
        <w:t xml:space="preserve">employment and reduced income. </w:t>
      </w:r>
      <w:r w:rsidRPr="00592C35">
        <w:rPr>
          <w:rFonts w:eastAsia="Calibri" w:cs="Times New Roman"/>
          <w:sz w:val="24"/>
          <w:szCs w:val="24"/>
        </w:rPr>
        <w:t>People with disabilities also have disparities in health outcomes. Unfortunately, many of the data sources consulted for this assessment do not include a category for disability. Where that information is available it is noted. Approximately 11.5% of Massachusetts residents have a disability, including sensory, physical, mental, self-care, and go-outside-home disabilities. This proportion is slightly below the nation (12.4%), but this may be due to underreporting.</w:t>
      </w:r>
    </w:p>
    <w:p w14:paraId="5752ECAB" w14:textId="06A9B8FF" w:rsidR="001B52C7" w:rsidRPr="00592C35" w:rsidRDefault="006B1F37" w:rsidP="00B67293">
      <w:pPr>
        <w:spacing w:line="360" w:lineRule="auto"/>
        <w:ind w:right="-360"/>
        <w:rPr>
          <w:rFonts w:eastAsia="Calibri" w:cs="Times New Roman"/>
          <w:sz w:val="24"/>
          <w:szCs w:val="24"/>
        </w:rPr>
      </w:pPr>
      <w:r w:rsidRPr="00592C35">
        <w:rPr>
          <w:rFonts w:eastAsia="Calibri" w:cs="Times New Roman"/>
          <w:b/>
          <w:sz w:val="24"/>
          <w:szCs w:val="24"/>
        </w:rPr>
        <w:lastRenderedPageBreak/>
        <mc:AlternateContent>
          <mc:Choice Requires="wps">
            <w:drawing>
              <wp:anchor distT="0" distB="0" distL="114300" distR="114300" simplePos="0" relativeHeight="251996160" behindDoc="0" locked="0" layoutInCell="1" allowOverlap="1" wp14:anchorId="6DBDE3CC" wp14:editId="0D2F72A6">
                <wp:simplePos x="0" y="0"/>
                <wp:positionH relativeFrom="margin">
                  <wp:posOffset>-250190</wp:posOffset>
                </wp:positionH>
                <wp:positionV relativeFrom="margin">
                  <wp:posOffset>882015</wp:posOffset>
                </wp:positionV>
                <wp:extent cx="6921500" cy="1216025"/>
                <wp:effectExtent l="0" t="0" r="0" b="3175"/>
                <wp:wrapSquare wrapText="bothSides"/>
                <wp:docPr id="710" name="Rectangle 710"/>
                <wp:cNvGraphicFramePr/>
                <a:graphic xmlns:a="http://schemas.openxmlformats.org/drawingml/2006/main">
                  <a:graphicData uri="http://schemas.microsoft.com/office/word/2010/wordprocessingShape">
                    <wps:wsp>
                      <wps:cNvSpPr/>
                      <wps:spPr>
                        <a:xfrm>
                          <a:off x="0" y="0"/>
                          <a:ext cx="6921500" cy="1216025"/>
                        </a:xfrm>
                        <a:prstGeom prst="rect">
                          <a:avLst/>
                        </a:prstGeom>
                        <a:solidFill>
                          <a:srgbClr val="EFF3FF"/>
                        </a:solidFill>
                        <a:ln w="12700" cap="flat" cmpd="sng" algn="ctr">
                          <a:noFill/>
                          <a:prstDash val="solid"/>
                          <a:miter lim="800000"/>
                        </a:ln>
                        <a:effectLst/>
                      </wps:spPr>
                      <wps:txbx>
                        <w:txbxContent>
                          <w:p w14:paraId="776B36A7" w14:textId="42574133" w:rsidR="00B67293" w:rsidRPr="00911393" w:rsidRDefault="00B67293" w:rsidP="00A350C3">
                            <w:pPr>
                              <w:shd w:val="clear" w:color="auto" w:fill="EFF3FF"/>
                              <w:spacing w:after="120"/>
                              <w:ind w:left="0" w:right="17"/>
                              <w:jc w:val="left"/>
                              <w:rPr>
                                <w:color w:val="203864"/>
                                <w:sz w:val="24"/>
                                <w:szCs w:val="24"/>
                              </w:rPr>
                            </w:pPr>
                            <w:r w:rsidRPr="00911393">
                              <w:rPr>
                                <w:color w:val="203864"/>
                                <w:sz w:val="24"/>
                                <w:szCs w:val="24"/>
                              </w:rPr>
                              <w:t>“We currently think about people with disabilities as an outcome, a preventable outcome. For people with disabilities – it’s not about preventing them, it’s about including them.  A shift in the framework is needed. It's about shifting people</w:t>
                            </w:r>
                            <w:r>
                              <w:rPr>
                                <w:color w:val="203864"/>
                                <w:sz w:val="24"/>
                                <w:szCs w:val="24"/>
                              </w:rPr>
                              <w:t>’s thinking</w:t>
                            </w:r>
                            <w:r w:rsidRPr="00911393">
                              <w:rPr>
                                <w:color w:val="203864"/>
                                <w:sz w:val="24"/>
                                <w:szCs w:val="24"/>
                              </w:rPr>
                              <w:t xml:space="preserve"> </w:t>
                            </w:r>
                            <w:r>
                              <w:rPr>
                                <w:color w:val="203864"/>
                                <w:sz w:val="24"/>
                                <w:szCs w:val="24"/>
                              </w:rPr>
                              <w:t xml:space="preserve">about disabilities as a health outcome to include persons </w:t>
                            </w:r>
                            <w:r w:rsidRPr="00911393">
                              <w:rPr>
                                <w:color w:val="203864"/>
                                <w:sz w:val="24"/>
                                <w:szCs w:val="24"/>
                              </w:rPr>
                              <w:t xml:space="preserve">” </w:t>
                            </w:r>
                            <w:r>
                              <w:rPr>
                                <w:color w:val="203864"/>
                                <w:sz w:val="24"/>
                                <w:szCs w:val="24"/>
                              </w:rPr>
                              <w:t>with disabilities in the conversation.</w:t>
                            </w:r>
                          </w:p>
                          <w:p w14:paraId="23B108AB" w14:textId="77777777" w:rsidR="00B67293" w:rsidRPr="00911393" w:rsidRDefault="00B67293" w:rsidP="00A350C3">
                            <w:pPr>
                              <w:shd w:val="clear" w:color="auto" w:fill="EFF3FF"/>
                              <w:spacing w:after="120"/>
                              <w:ind w:left="180" w:right="17"/>
                              <w:jc w:val="right"/>
                              <w:rPr>
                                <w:color w:val="203864"/>
                                <w:sz w:val="20"/>
                                <w:szCs w:val="20"/>
                              </w:rPr>
                            </w:pPr>
                            <w:r w:rsidRPr="00911393">
                              <w:rPr>
                                <w:color w:val="203864"/>
                                <w:sz w:val="20"/>
                                <w:szCs w:val="20"/>
                              </w:rPr>
                              <w:t>Key Informant Interviewee</w:t>
                            </w:r>
                          </w:p>
                          <w:p w14:paraId="6CBF7165" w14:textId="07F6D75F" w:rsidR="00B67293" w:rsidRPr="00607155" w:rsidRDefault="00B67293" w:rsidP="00A350C3">
                            <w:pPr>
                              <w:shd w:val="clear" w:color="auto" w:fill="EFF3FF"/>
                              <w:spacing w:after="120"/>
                              <w:ind w:left="0" w:right="17"/>
                              <w:jc w:val="right"/>
                              <w:rPr>
                                <w:smallCaps/>
                                <w:color w:val="2F5496"/>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0" o:spid="_x0000_s1029" style="position:absolute;left:0;text-align:left;margin-left:-19.7pt;margin-top:69.45pt;width:545pt;height:95.7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" fillcolor="#eff3ff" stroked="f" strokeweight="1pt">
                <v:textbox>
                  <w:txbxContent>
                    <w:p w14:paraId="776B36A7" w14:textId="42574133" w:rsidR="00B67293" w:rsidRPr="00911393" w:rsidRDefault="00B67293" w:rsidP="00A350C3">
                      <w:pPr>
                        <w:shd w:val="clear" w:color="auto" w:fill="EFF3FF"/>
                        <w:spacing w:after="120"/>
                        <w:ind w:left="0" w:right="17"/>
                        <w:jc w:val="left"/>
                        <w:rPr>
                          <w:color w:val="203864"/>
                          <w:sz w:val="24"/>
                          <w:szCs w:val="24"/>
                        </w:rPr>
                      </w:pPr>
                      <w:r w:rsidRPr="00911393">
                        <w:rPr>
                          <w:color w:val="203864"/>
                          <w:sz w:val="24"/>
                          <w:szCs w:val="24"/>
                        </w:rPr>
                        <w:t>“We currently think about people with disabilities as an outcome, a preventable outcome. For people with disabilities – it’s not about preventing them, it’s about including them.  A shift in the framework is needed. It's about shifting people</w:t>
                      </w:r>
                      <w:r>
                        <w:rPr>
                          <w:color w:val="203864"/>
                          <w:sz w:val="24"/>
                          <w:szCs w:val="24"/>
                        </w:rPr>
                        <w:t>’s thinking</w:t>
                      </w:r>
                      <w:r w:rsidRPr="00911393">
                        <w:rPr>
                          <w:color w:val="203864"/>
                          <w:sz w:val="24"/>
                          <w:szCs w:val="24"/>
                        </w:rPr>
                        <w:t xml:space="preserve"> </w:t>
                      </w:r>
                      <w:r>
                        <w:rPr>
                          <w:color w:val="203864"/>
                          <w:sz w:val="24"/>
                          <w:szCs w:val="24"/>
                        </w:rPr>
                        <w:t xml:space="preserve">about disabilities as a health outcome to include persons </w:t>
                      </w:r>
                      <w:r w:rsidRPr="00911393">
                        <w:rPr>
                          <w:color w:val="203864"/>
                          <w:sz w:val="24"/>
                          <w:szCs w:val="24"/>
                        </w:rPr>
                        <w:t xml:space="preserve">” </w:t>
                      </w:r>
                      <w:r>
                        <w:rPr>
                          <w:color w:val="203864"/>
                          <w:sz w:val="24"/>
                          <w:szCs w:val="24"/>
                        </w:rPr>
                        <w:t>with disabilities in the conversation.</w:t>
                      </w:r>
                    </w:p>
                    <w:p w14:paraId="23B108AB" w14:textId="77777777" w:rsidR="00B67293" w:rsidRPr="00911393" w:rsidRDefault="00B67293" w:rsidP="00A350C3">
                      <w:pPr>
                        <w:shd w:val="clear" w:color="auto" w:fill="EFF3FF"/>
                        <w:spacing w:after="120"/>
                        <w:ind w:left="180" w:right="17"/>
                        <w:jc w:val="right"/>
                        <w:rPr>
                          <w:color w:val="203864"/>
                          <w:sz w:val="20"/>
                          <w:szCs w:val="20"/>
                        </w:rPr>
                      </w:pPr>
                      <w:r w:rsidRPr="00911393">
                        <w:rPr>
                          <w:color w:val="203864"/>
                          <w:sz w:val="20"/>
                          <w:szCs w:val="20"/>
                        </w:rPr>
                        <w:t>Key Informant Interviewee</w:t>
                      </w:r>
                    </w:p>
                    <w:p w14:paraId="6CBF7165" w14:textId="07F6D75F" w:rsidR="00B67293" w:rsidRPr="00607155" w:rsidRDefault="00B67293" w:rsidP="00A350C3">
                      <w:pPr>
                        <w:shd w:val="clear" w:color="auto" w:fill="EFF3FF"/>
                        <w:spacing w:after="120"/>
                        <w:ind w:left="0" w:right="17"/>
                        <w:jc w:val="right"/>
                        <w:rPr>
                          <w:smallCaps/>
                          <w:color w:val="2F5496"/>
                          <w:sz w:val="24"/>
                          <w:szCs w:val="24"/>
                        </w:rPr>
                      </w:pPr>
                    </w:p>
                  </w:txbxContent>
                </v:textbox>
                <w10:wrap type="square" anchorx="margin" anchory="margin"/>
              </v:rect>
            </w:pict>
          </mc:Fallback>
        </mc:AlternateContent>
      </w:r>
      <w:r w:rsidR="001B52C7" w:rsidRPr="00592C35">
        <w:rPr>
          <w:rFonts w:eastAsia="Calibri" w:cs="Times New Roman"/>
          <w:sz w:val="24"/>
          <w:szCs w:val="24"/>
        </w:rPr>
        <w:t>Massachusetts ranks 21st in the nation for the population 5 to 17 years of age with a disability and 39th in the nation for the population over 65 years of age with a disability.</w:t>
      </w:r>
      <w:r w:rsidR="001B52C7" w:rsidRPr="00592C35">
        <w:rPr>
          <w:rFonts w:eastAsia="Calibri" w:cs="Times New Roman"/>
          <w:sz w:val="24"/>
          <w:szCs w:val="24"/>
          <w:vertAlign w:val="superscript"/>
        </w:rPr>
        <w:endnoteReference w:id="7"/>
      </w:r>
      <w:r w:rsidR="001B52C7" w:rsidRPr="00592C35">
        <w:rPr>
          <w:rFonts w:eastAsia="Calibri" w:cs="Times New Roman"/>
          <w:sz w:val="24"/>
          <w:szCs w:val="24"/>
        </w:rPr>
        <w:t xml:space="preserve"> </w:t>
      </w:r>
      <w:r w:rsidR="00A350C3" w:rsidRPr="00592C35">
        <w:rPr>
          <w:rFonts w:eastAsia="Calibri" w:cs="Times New Roman"/>
          <w:sz w:val="24"/>
          <w:szCs w:val="24"/>
        </w:rPr>
        <w:t xml:space="preserve">As shown in </w:t>
      </w:r>
      <w:r w:rsidR="00A350C3" w:rsidRPr="00592C35">
        <w:rPr>
          <w:rFonts w:eastAsia="Calibri" w:cs="Times New Roman"/>
          <w:b/>
          <w:sz w:val="24"/>
          <w:szCs w:val="24"/>
        </w:rPr>
        <w:t>Figure 1.7</w:t>
      </w:r>
      <w:r w:rsidR="00A350C3" w:rsidRPr="00592C35">
        <w:rPr>
          <w:rFonts w:eastAsia="Calibri" w:cs="Times New Roman"/>
          <w:sz w:val="24"/>
          <w:szCs w:val="24"/>
        </w:rPr>
        <w:t>, r</w:t>
      </w:r>
      <w:r w:rsidR="001B52C7" w:rsidRPr="00592C35">
        <w:rPr>
          <w:rFonts w:eastAsia="Calibri" w:cs="Times New Roman"/>
          <w:sz w:val="24"/>
          <w:szCs w:val="24"/>
        </w:rPr>
        <w:t>esidents 35 to 64 years of age account for the highest percentage of the Massachusetts population with a disability (39%). Given that the state’s population of older adults is projected to rise, the number and percentage of persons with a disability is also expected to grow.</w:t>
      </w:r>
    </w:p>
    <w:p w14:paraId="234E462F" w14:textId="32EB622E" w:rsidR="001B52C7" w:rsidRPr="00592C35" w:rsidRDefault="001B52C7" w:rsidP="00B67293">
      <w:pPr>
        <w:spacing w:before="360"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1.7</w:t>
      </w:r>
    </w:p>
    <w:p w14:paraId="0CE74415"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Percent of the Population with a Disability by Age and Gender, Massachusetts, 2011- 2015</w:t>
      </w:r>
    </w:p>
    <w:p w14:paraId="1F2B864A" w14:textId="597306F2" w:rsidR="001B52C7" w:rsidRPr="00592C35" w:rsidRDefault="002D25C2" w:rsidP="00B67293">
      <w:pPr>
        <w:spacing w:line="360" w:lineRule="auto"/>
        <w:ind w:right="-360"/>
        <w:contextualSpacing/>
        <w:jc w:val="center"/>
        <w:rPr>
          <w:rFonts w:eastAsia="Calibri" w:cs="Times New Roman"/>
          <w:sz w:val="24"/>
          <w:szCs w:val="24"/>
          <w:highlight w:val="green"/>
        </w:rPr>
      </w:pPr>
      <w:r w:rsidRPr="00592C35">
        <w:rPr>
          <w:sz w:val="24"/>
          <w:szCs w:val="24"/>
        </w:rPr>
        <w:drawing>
          <wp:inline distT="0" distB="0" distL="0" distR="0" wp14:anchorId="2CDE4C5B" wp14:editId="5DA2AF60">
            <wp:extent cx="4572000" cy="2619375"/>
            <wp:effectExtent l="0" t="0" r="0" b="0"/>
            <wp:docPr id="115" name="Chart 115" descr="This vertical bar graph shows the percentage of the Massachusetts population during the time period 2011 through 2015 with a disability. The graph is further categorized by age and gender. The dark blue bar represents males and the light blue bar represents females.    &#10;In the 0-17 age group, females with a disability make up 3% of the population versus 5% of males with a disability. &#10;In the 18-34 age group, females with a disability make up 6% of the population versus 7% of males with a disability. &#10;In the 35-64 age group, females with a disability make up 20% of the population versus 19% of males with a disability.&#10;In the 65-74 age group, females with a disability make up 8% of the population versus 7% of males with a disability.&#10;In the 75 plus age group, females with a disability make up 17% of the population versus 10% of males with a disability.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983A97-D9F5-4828-A304-C968D54B6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3CB823F" w14:textId="0B0F6F71" w:rsidR="001B52C7" w:rsidRPr="00592C35" w:rsidRDefault="006B1F37" w:rsidP="00B67293">
      <w:pPr>
        <w:spacing w:line="360" w:lineRule="auto"/>
        <w:ind w:right="-360"/>
        <w:contextualSpacing/>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5E673CF6" w14:textId="7A755CC9" w:rsidR="007E0624" w:rsidRPr="00592C35" w:rsidRDefault="007E0624" w:rsidP="00B67293">
      <w:pPr>
        <w:spacing w:line="360" w:lineRule="auto"/>
        <w:ind w:right="-360"/>
        <w:contextualSpacing/>
        <w:jc w:val="center"/>
        <w:rPr>
          <w:rFonts w:eastAsia="Calibri" w:cs="Times New Roman"/>
          <w:noProof w:val="0"/>
          <w:sz w:val="24"/>
          <w:szCs w:val="24"/>
        </w:rPr>
      </w:pPr>
      <w:r w:rsidRPr="00592C35">
        <w:rPr>
          <w:rFonts w:eastAsia="Calibri" w:cs="Times New Roman"/>
          <w:noProof w:val="0"/>
          <w:sz w:val="24"/>
          <w:szCs w:val="24"/>
        </w:rPr>
        <w:t>NOTE: DUE TO ROUNDING, MAY NOT ADD UP TO 100%</w:t>
      </w:r>
    </w:p>
    <w:p w14:paraId="1150A207" w14:textId="77777777" w:rsidR="001B52C7" w:rsidRPr="00B67293" w:rsidRDefault="001B52C7" w:rsidP="00B67293">
      <w:pPr>
        <w:spacing w:before="360" w:line="360" w:lineRule="auto"/>
        <w:ind w:right="-360"/>
        <w:outlineLvl w:val="1"/>
        <w:rPr>
          <w:rFonts w:eastAsia="Calibri" w:cs="Times New Roman"/>
          <w:b/>
          <w:sz w:val="30"/>
          <w:szCs w:val="30"/>
        </w:rPr>
      </w:pPr>
      <w:r w:rsidRPr="00B67293">
        <w:rPr>
          <w:rFonts w:eastAsia="Calibri" w:cs="Times New Roman"/>
          <w:b/>
          <w:sz w:val="30"/>
          <w:szCs w:val="30"/>
        </w:rPr>
        <w:t>Veteran Status</w:t>
      </w:r>
    </w:p>
    <w:p w14:paraId="5D6492AD" w14:textId="4620E0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According to the National Center for Veterans Analysis and Statistics, 368,000 veterans lived in Massachusetts in 2015. The same year, approximately 85,000 received health and mental health services in a VA facility </w:t>
      </w:r>
      <w:r w:rsidRPr="00592C35">
        <w:rPr>
          <w:rFonts w:eastAsia="Calibri" w:cs="Times New Roman"/>
          <w:sz w:val="24"/>
          <w:szCs w:val="24"/>
        </w:rPr>
        <w:lastRenderedPageBreak/>
        <w:t>meaning that more than 283,000 seek treatment in other parts of the health care system. While the total population of veterans is projected to decrease nationally in the next two decades, the female veteran population is expected to increase from nine perc</w:t>
      </w:r>
      <w:r w:rsidR="007812CC" w:rsidRPr="00592C35">
        <w:rPr>
          <w:rFonts w:eastAsia="Calibri" w:cs="Times New Roman"/>
          <w:sz w:val="24"/>
          <w:szCs w:val="24"/>
        </w:rPr>
        <w:t>ent in 2013 to approximately 17</w:t>
      </w:r>
      <w:r w:rsidRPr="00592C35">
        <w:rPr>
          <w:rFonts w:eastAsia="Calibri" w:cs="Times New Roman"/>
          <w:sz w:val="24"/>
          <w:szCs w:val="24"/>
        </w:rPr>
        <w:t xml:space="preserve">% in 2043. </w:t>
      </w:r>
    </w:p>
    <w:p w14:paraId="765BD029" w14:textId="1AA1CE7D"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This upward trend is also true for minority veteran populations. For e</w:t>
      </w:r>
      <w:r w:rsidR="007812CC" w:rsidRPr="00592C35">
        <w:rPr>
          <w:rFonts w:eastAsia="Calibri" w:cs="Times New Roman"/>
          <w:sz w:val="24"/>
          <w:szCs w:val="24"/>
        </w:rPr>
        <w:t>xample, in 2010 approximately 1</w:t>
      </w:r>
      <w:r w:rsidRPr="00592C35">
        <w:rPr>
          <w:rFonts w:eastAsia="Calibri" w:cs="Times New Roman"/>
          <w:sz w:val="24"/>
          <w:szCs w:val="24"/>
        </w:rPr>
        <w:t>0% of veterans identi</w:t>
      </w:r>
      <w:r w:rsidR="003B7C27" w:rsidRPr="00592C35">
        <w:rPr>
          <w:rFonts w:eastAsia="Calibri" w:cs="Times New Roman"/>
          <w:sz w:val="24"/>
          <w:szCs w:val="24"/>
        </w:rPr>
        <w:t xml:space="preserve">fied as Black non-Hispanic and </w:t>
      </w:r>
      <w:r w:rsidR="007812CC" w:rsidRPr="00592C35">
        <w:rPr>
          <w:rFonts w:eastAsia="Calibri" w:cs="Times New Roman"/>
          <w:sz w:val="24"/>
          <w:szCs w:val="24"/>
        </w:rPr>
        <w:t>6</w:t>
      </w:r>
      <w:r w:rsidRPr="00592C35">
        <w:rPr>
          <w:rFonts w:eastAsia="Calibri" w:cs="Times New Roman"/>
          <w:sz w:val="24"/>
          <w:szCs w:val="24"/>
        </w:rPr>
        <w:t>% identified as Hispanic. By 2040, Black non-Hispanic and Hispanic veterans are expected to make up almost one third of t</w:t>
      </w:r>
      <w:r w:rsidR="007812CC" w:rsidRPr="00592C35">
        <w:rPr>
          <w:rFonts w:eastAsia="Calibri" w:cs="Times New Roman"/>
          <w:sz w:val="24"/>
          <w:szCs w:val="24"/>
        </w:rPr>
        <w:t>he total veteran population (30</w:t>
      </w:r>
      <w:r w:rsidRPr="00592C35">
        <w:rPr>
          <w:rFonts w:eastAsia="Calibri" w:cs="Times New Roman"/>
          <w:sz w:val="24"/>
          <w:szCs w:val="24"/>
        </w:rPr>
        <w:t>%). In terms of percent of population by period of service, the post-9/11 veteran population is expected to show the biggest population growth,</w:t>
      </w:r>
      <w:r w:rsidR="007812CC" w:rsidRPr="00592C35">
        <w:rPr>
          <w:rFonts w:eastAsia="Calibri" w:cs="Times New Roman"/>
          <w:sz w:val="24"/>
          <w:szCs w:val="24"/>
        </w:rPr>
        <w:t xml:space="preserve"> increasing by approximately 33</w:t>
      </w:r>
      <w:r w:rsidRPr="00592C35">
        <w:rPr>
          <w:rFonts w:eastAsia="Calibri" w:cs="Times New Roman"/>
          <w:sz w:val="24"/>
          <w:szCs w:val="24"/>
        </w:rPr>
        <w:t>% between 2015 and 2020. Those 60-64 years old represent the largest veterans age cohort</w:t>
      </w:r>
      <w:r w:rsidR="00A350C3" w:rsidRPr="00592C35">
        <w:rPr>
          <w:rFonts w:eastAsia="Calibri" w:cs="Times New Roman"/>
          <w:sz w:val="24"/>
          <w:szCs w:val="24"/>
        </w:rPr>
        <w:t xml:space="preserve"> </w:t>
      </w:r>
      <w:r w:rsidR="00A350C3" w:rsidRPr="00592C35">
        <w:rPr>
          <w:rFonts w:eastAsia="Calibri" w:cs="Times New Roman"/>
          <w:b/>
          <w:sz w:val="24"/>
          <w:szCs w:val="24"/>
        </w:rPr>
        <w:t>(see Figure 1.8)</w:t>
      </w:r>
      <w:r w:rsidRPr="00592C35">
        <w:rPr>
          <w:rFonts w:eastAsia="Calibri" w:cs="Times New Roman"/>
          <w:sz w:val="24"/>
          <w:szCs w:val="24"/>
        </w:rPr>
        <w:t>. Veterans’ mental health needs present differently and require treatment appropriate to their special needs. The number of veterans with a service-connected disability is on the rise as well.</w:t>
      </w:r>
    </w:p>
    <w:p w14:paraId="2EAF12EE" w14:textId="69E9EA2F"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1.8</w:t>
      </w:r>
    </w:p>
    <w:p w14:paraId="0D75F341" w14:textId="642D888C" w:rsidR="001B52C7" w:rsidRPr="00592C35" w:rsidRDefault="001B52C7" w:rsidP="00B67293">
      <w:pPr>
        <w:keepNext/>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Living Veterans by Age Group, Massachusetts, 2015</w:t>
      </w:r>
    </w:p>
    <w:p w14:paraId="0101C056" w14:textId="08235FCB" w:rsidR="001B52C7" w:rsidRPr="00B67293" w:rsidRDefault="002D25C2" w:rsidP="00B67293">
      <w:pPr>
        <w:spacing w:line="360" w:lineRule="auto"/>
        <w:ind w:right="-360"/>
        <w:jc w:val="center"/>
        <w:rPr>
          <w:rFonts w:eastAsia="Calibri" w:cs="Times New Roman"/>
        </w:rPr>
      </w:pPr>
      <w:r w:rsidRPr="00B67293">
        <w:drawing>
          <wp:inline distT="0" distB="0" distL="0" distR="0" wp14:anchorId="02F895FA" wp14:editId="43814806">
            <wp:extent cx="4562475" cy="2609850"/>
            <wp:effectExtent l="0" t="0" r="0" b="0"/>
            <wp:docPr id="116" name="Chart 116" descr="This vertical bar graph shows the number of veterans living in Massachusetts in 2015. Each bar of the graph depicts a different age group beginning with less than 20 years of age on the left side of the graph up through 84 years of age on the right side of the graph in 5 years of age increments.  In 2015 there were 368,000 veterans living in Massachusetts.  The data shows veterans 60-64 years old represented the largest veterans age cohort with 58,995 veterans in this age group, followed by 40,200 veterans ages 65-69, followed by 36,981 veterans ages 80-84. The smallest group of veterans belongs to the less than 20-years-old age cohort (3,88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877A06-14EB-4043-8F6B-665D74607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B3C4DCD" w14:textId="18BFBAF2" w:rsidR="001B52C7" w:rsidRPr="00B67293" w:rsidRDefault="001B52C7" w:rsidP="00B67293">
      <w:pPr>
        <w:spacing w:line="360" w:lineRule="auto"/>
        <w:ind w:right="-360"/>
        <w:jc w:val="center"/>
        <w:rPr>
          <w:rFonts w:eastAsia="Calibri" w:cs="Times New Roman"/>
          <w:noProof w:val="0"/>
        </w:rPr>
      </w:pPr>
      <w:r w:rsidRPr="00B67293">
        <w:rPr>
          <w:rFonts w:eastAsia="Calibri" w:cs="Times New Roman"/>
          <w:noProof w:val="0"/>
        </w:rPr>
        <w:t>SOURCE: NATIONAL CENTER FOR VETERANS ANALYSIS AND STATISTICS</w:t>
      </w:r>
    </w:p>
    <w:p w14:paraId="138191E9" w14:textId="0E7387AB" w:rsidR="001B52C7" w:rsidRPr="00B67293" w:rsidRDefault="00B67293" w:rsidP="00B67293">
      <w:pPr>
        <w:keepNext/>
        <w:keepLines/>
        <w:spacing w:before="360" w:after="240" w:line="360" w:lineRule="auto"/>
        <w:ind w:right="-360"/>
        <w:jc w:val="left"/>
        <w:outlineLvl w:val="0"/>
        <w:rPr>
          <w:rFonts w:eastAsia="Times New Roman" w:cs="Times New Roman"/>
          <w:b/>
          <w:sz w:val="40"/>
          <w:szCs w:val="40"/>
        </w:rPr>
      </w:pPr>
      <w:r w:rsidRPr="00B67293">
        <w:rPr>
          <w:rFonts w:eastAsia="Calibri" w:cs="Times New Roman"/>
          <w:sz w:val="21"/>
          <w:szCs w:val="21"/>
        </w:rPr>
        <w:lastRenderedPageBreak/>
        <mc:AlternateContent>
          <mc:Choice Requires="wps">
            <w:drawing>
              <wp:anchor distT="0" distB="0" distL="114300" distR="114300" simplePos="0" relativeHeight="251998208" behindDoc="0" locked="0" layoutInCell="1" allowOverlap="1" wp14:anchorId="0820427F" wp14:editId="1C9A5BEE">
                <wp:simplePos x="0" y="0"/>
                <wp:positionH relativeFrom="margin">
                  <wp:posOffset>4402455</wp:posOffset>
                </wp:positionH>
                <wp:positionV relativeFrom="margin">
                  <wp:posOffset>6400800</wp:posOffset>
                </wp:positionV>
                <wp:extent cx="2286000" cy="1972310"/>
                <wp:effectExtent l="0" t="0" r="0" b="8890"/>
                <wp:wrapSquare wrapText="bothSides"/>
                <wp:docPr id="713" name="Rectangle 713"/>
                <wp:cNvGraphicFramePr/>
                <a:graphic xmlns:a="http://schemas.openxmlformats.org/drawingml/2006/main">
                  <a:graphicData uri="http://schemas.microsoft.com/office/word/2010/wordprocessingShape">
                    <wps:wsp>
                      <wps:cNvSpPr/>
                      <wps:spPr>
                        <a:xfrm>
                          <a:off x="0" y="0"/>
                          <a:ext cx="2286000" cy="1972310"/>
                        </a:xfrm>
                        <a:prstGeom prst="rect">
                          <a:avLst/>
                        </a:prstGeom>
                        <a:solidFill>
                          <a:srgbClr val="EFF3FF"/>
                        </a:solidFill>
                        <a:ln w="12700" cap="flat" cmpd="sng" algn="ctr">
                          <a:noFill/>
                          <a:prstDash val="solid"/>
                          <a:miter lim="800000"/>
                        </a:ln>
                        <a:effectLst/>
                      </wps:spPr>
                      <wps:txbx>
                        <w:txbxContent>
                          <w:p w14:paraId="15793AB6" w14:textId="77777777" w:rsidR="00B67293" w:rsidRPr="00911393" w:rsidRDefault="00B67293" w:rsidP="00753790">
                            <w:pPr>
                              <w:shd w:val="clear" w:color="auto" w:fill="EFF3FF"/>
                              <w:ind w:left="0" w:right="60"/>
                              <w:jc w:val="left"/>
                              <w:rPr>
                                <w:color w:val="203864"/>
                                <w:sz w:val="24"/>
                                <w:szCs w:val="24"/>
                              </w:rPr>
                            </w:pPr>
                            <w:r w:rsidRPr="00911393">
                              <w:rPr>
                                <w:color w:val="203864"/>
                                <w:sz w:val="24"/>
                                <w:szCs w:val="24"/>
                              </w:rPr>
                              <w:t xml:space="preserve">“Health inequities are systematic differences in the opportunities that groups have to achieve optimal health, leading to unfair and avoidable differences in health outcomes.” </w:t>
                            </w:r>
                          </w:p>
                          <w:p w14:paraId="66CE1661" w14:textId="27ADD2C5" w:rsidR="00B67293" w:rsidRPr="00911393" w:rsidRDefault="00B67293" w:rsidP="00753790">
                            <w:pPr>
                              <w:shd w:val="clear" w:color="auto" w:fill="EFF3FF"/>
                              <w:ind w:left="0" w:right="60"/>
                              <w:jc w:val="right"/>
                              <w:rPr>
                                <w:color w:val="203864"/>
                                <w:sz w:val="20"/>
                                <w:szCs w:val="20"/>
                              </w:rPr>
                            </w:pPr>
                            <w:r w:rsidRPr="00911393">
                              <w:rPr>
                                <w:color w:val="203864"/>
                                <w:sz w:val="20"/>
                                <w:szCs w:val="20"/>
                              </w:rPr>
                              <w:t>National Academies of Sciences, Engineering, and Medicine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3" o:spid="_x0000_s1030" style="position:absolute;left:0;text-align:left;margin-left:346.65pt;margin-top:7in;width:180pt;height:155.3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" fillcolor="#eff3ff" stroked="f" strokeweight="1pt">
                <v:textbox>
                  <w:txbxContent>
                    <w:p w14:paraId="15793AB6" w14:textId="77777777" w:rsidR="00B67293" w:rsidRPr="00911393" w:rsidRDefault="00B67293" w:rsidP="00753790">
                      <w:pPr>
                        <w:shd w:val="clear" w:color="auto" w:fill="EFF3FF"/>
                        <w:ind w:left="0" w:right="60"/>
                        <w:jc w:val="left"/>
                        <w:rPr>
                          <w:color w:val="203864"/>
                          <w:sz w:val="24"/>
                          <w:szCs w:val="24"/>
                        </w:rPr>
                      </w:pPr>
                      <w:r w:rsidRPr="00911393">
                        <w:rPr>
                          <w:color w:val="203864"/>
                          <w:sz w:val="24"/>
                          <w:szCs w:val="24"/>
                        </w:rPr>
                        <w:t xml:space="preserve">“Health inequities are systematic differences in the opportunities that groups have to achieve optimal health, leading to unfair and avoidable differences in health outcomes.” </w:t>
                      </w:r>
                    </w:p>
                    <w:p w14:paraId="66CE1661" w14:textId="27ADD2C5" w:rsidR="00B67293" w:rsidRPr="00911393" w:rsidRDefault="00B67293" w:rsidP="00753790">
                      <w:pPr>
                        <w:shd w:val="clear" w:color="auto" w:fill="EFF3FF"/>
                        <w:ind w:left="0" w:right="60"/>
                        <w:jc w:val="right"/>
                        <w:rPr>
                          <w:color w:val="203864"/>
                          <w:sz w:val="20"/>
                          <w:szCs w:val="20"/>
                        </w:rPr>
                      </w:pPr>
                      <w:r w:rsidRPr="00911393">
                        <w:rPr>
                          <w:color w:val="203864"/>
                          <w:sz w:val="20"/>
                          <w:szCs w:val="20"/>
                        </w:rPr>
                        <w:t>National Academies of Sciences, Engineering, and Medicine</w:t>
                      </w:r>
                    </w:p>
                  </w:txbxContent>
                </v:textbox>
                <w10:wrap type="square" anchorx="margin" anchory="margin"/>
              </v:rect>
            </w:pict>
          </mc:Fallback>
        </mc:AlternateContent>
      </w:r>
      <w:r w:rsidR="001B52C7" w:rsidRPr="00B67293">
        <w:rPr>
          <w:rFonts w:eastAsia="Times New Roman" w:cs="Times New Roman"/>
          <w:b/>
          <w:sz w:val="40"/>
          <w:szCs w:val="40"/>
        </w:rPr>
        <w:t>Social and Economic Factors</w:t>
      </w:r>
    </w:p>
    <w:p w14:paraId="6CC74DD1" w14:textId="5E519F3A"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While the US spends more per person on health care than other high-income  countries, we have the lowest life expectancy and lag behind these same countries in several health indicators.</w:t>
      </w:r>
      <w:r w:rsidRPr="00592C35">
        <w:rPr>
          <w:rFonts w:eastAsia="Calibri" w:cs="Times New Roman"/>
          <w:sz w:val="24"/>
          <w:szCs w:val="24"/>
          <w:vertAlign w:val="superscript"/>
        </w:rPr>
        <w:endnoteReference w:id="8"/>
      </w:r>
      <w:r w:rsidRPr="00592C35">
        <w:rPr>
          <w:rFonts w:eastAsia="Calibri" w:cs="Times New Roman"/>
          <w:sz w:val="24"/>
          <w:szCs w:val="24"/>
        </w:rPr>
        <w:t xml:space="preserve"> Quality health care is important for ensuring the well-being of families and communities, but the steps to take for ensuring good health take place long before an illness occurs and before medical care is needed. </w:t>
      </w:r>
    </w:p>
    <w:p w14:paraId="35013147" w14:textId="032E9FB1" w:rsidR="001B52C7" w:rsidRPr="00592C35" w:rsidRDefault="001B52C7" w:rsidP="00B67293">
      <w:pPr>
        <w:spacing w:line="360" w:lineRule="auto"/>
        <w:ind w:right="-360"/>
        <w:rPr>
          <w:rFonts w:eastAsia="Calibri" w:cs="Times New Roman"/>
          <w:color w:val="000000"/>
          <w:sz w:val="24"/>
          <w:szCs w:val="24"/>
        </w:rPr>
      </w:pPr>
      <w:r w:rsidRPr="00592C35">
        <w:rPr>
          <w:rFonts w:eastAsia="Calibri" w:cs="Times New Roman"/>
          <w:color w:val="000000"/>
          <w:sz w:val="24"/>
          <w:szCs w:val="24"/>
        </w:rPr>
        <w:t>When asked about social determinants of health (see definitions in the Introduction), focus group and key informant interviewees stressed the importance of attending to key barriers</w:t>
      </w:r>
      <w:r w:rsidR="005E7BFB" w:rsidRPr="00592C35">
        <w:rPr>
          <w:rFonts w:eastAsia="Calibri" w:cs="Times New Roman"/>
          <w:color w:val="000000"/>
          <w:sz w:val="24"/>
          <w:szCs w:val="24"/>
        </w:rPr>
        <w:t>,</w:t>
      </w:r>
      <w:r w:rsidRPr="00592C35">
        <w:rPr>
          <w:rFonts w:eastAsia="Calibri" w:cs="Times New Roman"/>
          <w:color w:val="000000"/>
          <w:sz w:val="24"/>
          <w:szCs w:val="24"/>
        </w:rPr>
        <w:t xml:space="preserve"> such as transportation, housing, and employment</w:t>
      </w:r>
      <w:r w:rsidR="005E7BFB" w:rsidRPr="00592C35">
        <w:rPr>
          <w:rFonts w:eastAsia="Calibri" w:cs="Times New Roman"/>
          <w:color w:val="000000"/>
          <w:sz w:val="24"/>
          <w:szCs w:val="24"/>
        </w:rPr>
        <w:t>,</w:t>
      </w:r>
      <w:r w:rsidRPr="00592C35">
        <w:rPr>
          <w:rFonts w:eastAsia="Calibri" w:cs="Times New Roman"/>
          <w:color w:val="000000"/>
          <w:sz w:val="24"/>
          <w:szCs w:val="24"/>
        </w:rPr>
        <w:t xml:space="preserve"> that prevent Massachusetts residents from achieving optimal health. Numerous focus group and interview participants saw the lack of these basic needs as a substantial barrier to improved health for low-income residents and reported that addressing these determinants of health was critical. Participants suggested greater investments in transportation, anti-poverty, and affordable housing initiatives. </w:t>
      </w:r>
    </w:p>
    <w:p w14:paraId="09CC4F48" w14:textId="56E15E73" w:rsidR="001B52C7" w:rsidRPr="00592C35" w:rsidRDefault="00153901" w:rsidP="00B67293">
      <w:pPr>
        <w:spacing w:line="360" w:lineRule="auto"/>
        <w:ind w:right="-360"/>
        <w:rPr>
          <w:rFonts w:eastAsia="Calibri" w:cs="Times New Roman"/>
          <w:sz w:val="24"/>
          <w:szCs w:val="24"/>
        </w:rPr>
      </w:pPr>
      <w:r w:rsidRPr="00592C35">
        <w:rPr>
          <w:rFonts w:eastAsia="Calibri" w:cs="Times New Roman"/>
          <w:sz w:val="24"/>
          <w:szCs w:val="24"/>
        </w:rPr>
        <w:t>The sections following</w:t>
      </w:r>
      <w:r w:rsidR="001B52C7" w:rsidRPr="00592C35">
        <w:rPr>
          <w:rFonts w:eastAsia="Calibri" w:cs="Times New Roman"/>
          <w:sz w:val="24"/>
          <w:szCs w:val="24"/>
        </w:rPr>
        <w:t xml:space="preserve"> provide an overview of the socio-economic characteristics of Massachusetts residents and the opportunities for health. </w:t>
      </w:r>
    </w:p>
    <w:p w14:paraId="7E0A3280" w14:textId="5B6A31E9" w:rsidR="001B52C7"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 xml:space="preserve">Income </w:t>
      </w:r>
    </w:p>
    <w:p w14:paraId="6840654A" w14:textId="14099502" w:rsidR="001B52C7" w:rsidRPr="00592C35" w:rsidRDefault="00B67293" w:rsidP="00B67293">
      <w:pPr>
        <w:spacing w:line="360" w:lineRule="auto"/>
        <w:ind w:right="-360"/>
        <w:rPr>
          <w:rFonts w:eastAsia="Calibri" w:cs="Times New Roman"/>
          <w:sz w:val="24"/>
          <w:szCs w:val="24"/>
        </w:rPr>
      </w:pPr>
      <w:r w:rsidRPr="00592C35">
        <w:rPr>
          <w:rFonts w:eastAsia="Calibri" w:cs="Times New Roman"/>
          <w:sz w:val="24"/>
          <w:szCs w:val="24"/>
        </w:rPr>
        <mc:AlternateContent>
          <mc:Choice Requires="wps">
            <w:drawing>
              <wp:anchor distT="0" distB="0" distL="114300" distR="114300" simplePos="0" relativeHeight="252091392" behindDoc="0" locked="0" layoutInCell="1" allowOverlap="1" wp14:anchorId="13BEFF79" wp14:editId="3860D61C">
                <wp:simplePos x="0" y="0"/>
                <wp:positionH relativeFrom="margin">
                  <wp:posOffset>4262120</wp:posOffset>
                </wp:positionH>
                <wp:positionV relativeFrom="margin">
                  <wp:posOffset>3371850</wp:posOffset>
                </wp:positionV>
                <wp:extent cx="2286000" cy="1335405"/>
                <wp:effectExtent l="0" t="0" r="0" b="0"/>
                <wp:wrapSquare wrapText="bothSides"/>
                <wp:docPr id="717" name="Rectangle 717"/>
                <wp:cNvGraphicFramePr/>
                <a:graphic xmlns:a="http://schemas.openxmlformats.org/drawingml/2006/main">
                  <a:graphicData uri="http://schemas.microsoft.com/office/word/2010/wordprocessingShape">
                    <wps:wsp>
                      <wps:cNvSpPr/>
                      <wps:spPr>
                        <a:xfrm>
                          <a:off x="0" y="0"/>
                          <a:ext cx="2286000" cy="1335405"/>
                        </a:xfrm>
                        <a:prstGeom prst="rect">
                          <a:avLst/>
                        </a:prstGeom>
                        <a:solidFill>
                          <a:srgbClr val="EFF3FF"/>
                        </a:solidFill>
                        <a:ln w="12700" cap="flat" cmpd="sng" algn="ctr">
                          <a:noFill/>
                          <a:prstDash val="solid"/>
                          <a:miter lim="800000"/>
                        </a:ln>
                        <a:effectLst/>
                      </wps:spPr>
                      <wps:txbx>
                        <w:txbxContent>
                          <w:p w14:paraId="1F3A4BF0" w14:textId="2FFEC8F5" w:rsidR="00B67293" w:rsidRPr="00911393" w:rsidRDefault="00B67293" w:rsidP="00157C3C">
                            <w:pPr>
                              <w:shd w:val="clear" w:color="auto" w:fill="EFF3FF"/>
                              <w:ind w:left="0" w:right="60"/>
                              <w:jc w:val="left"/>
                              <w:rPr>
                                <w:color w:val="203864"/>
                                <w:sz w:val="24"/>
                                <w:szCs w:val="24"/>
                              </w:rPr>
                            </w:pPr>
                            <w:r w:rsidRPr="00911393">
                              <w:rPr>
                                <w:color w:val="203864"/>
                                <w:sz w:val="24"/>
                                <w:szCs w:val="24"/>
                              </w:rPr>
                              <w:t>“</w:t>
                            </w:r>
                            <w:r w:rsidRPr="00157C3C">
                              <w:rPr>
                                <w:color w:val="203864"/>
                                <w:sz w:val="24"/>
                                <w:szCs w:val="24"/>
                              </w:rPr>
                              <w:t>The most important determinant of health is income. Eradicate poverty. Once we do that everything else will follow.”</w:t>
                            </w:r>
                          </w:p>
                          <w:p w14:paraId="1A7FFCC6" w14:textId="635C0A3C" w:rsidR="00B67293" w:rsidRPr="00911393" w:rsidRDefault="00B67293" w:rsidP="00157C3C">
                            <w:pPr>
                              <w:shd w:val="clear" w:color="auto" w:fill="EFF3FF"/>
                              <w:ind w:left="0" w:right="60"/>
                              <w:jc w:val="right"/>
                              <w:rPr>
                                <w:color w:val="203864"/>
                                <w:sz w:val="20"/>
                                <w:szCs w:val="20"/>
                              </w:rPr>
                            </w:pPr>
                            <w:r w:rsidRPr="00157C3C">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7" o:spid="_x0000_s1031" style="position:absolute;left:0;text-align:left;margin-left:335.6pt;margin-top:265.5pt;width:180pt;height:105.1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" fillcolor="#eff3ff" stroked="f" strokeweight="1pt">
                <v:textbox>
                  <w:txbxContent>
                    <w:p w14:paraId="1F3A4BF0" w14:textId="2FFEC8F5" w:rsidR="00B67293" w:rsidRPr="00911393" w:rsidRDefault="00B67293" w:rsidP="00157C3C">
                      <w:pPr>
                        <w:shd w:val="clear" w:color="auto" w:fill="EFF3FF"/>
                        <w:ind w:left="0" w:right="60"/>
                        <w:jc w:val="left"/>
                        <w:rPr>
                          <w:color w:val="203864"/>
                          <w:sz w:val="24"/>
                          <w:szCs w:val="24"/>
                        </w:rPr>
                      </w:pPr>
                      <w:r w:rsidRPr="00911393">
                        <w:rPr>
                          <w:color w:val="203864"/>
                          <w:sz w:val="24"/>
                          <w:szCs w:val="24"/>
                        </w:rPr>
                        <w:t>“</w:t>
                      </w:r>
                      <w:r w:rsidRPr="00157C3C">
                        <w:rPr>
                          <w:color w:val="203864"/>
                          <w:sz w:val="24"/>
                          <w:szCs w:val="24"/>
                        </w:rPr>
                        <w:t>The most important determinant of health is income. Eradicate poverty. Once we do that everything else will follow.”</w:t>
                      </w:r>
                    </w:p>
                    <w:p w14:paraId="1A7FFCC6" w14:textId="635C0A3C" w:rsidR="00B67293" w:rsidRPr="00911393" w:rsidRDefault="00B67293" w:rsidP="00157C3C">
                      <w:pPr>
                        <w:shd w:val="clear" w:color="auto" w:fill="EFF3FF"/>
                        <w:ind w:left="0" w:right="60"/>
                        <w:jc w:val="right"/>
                        <w:rPr>
                          <w:color w:val="203864"/>
                          <w:sz w:val="20"/>
                          <w:szCs w:val="20"/>
                        </w:rPr>
                      </w:pPr>
                      <w:r w:rsidRPr="00157C3C">
                        <w:rPr>
                          <w:color w:val="203864"/>
                          <w:sz w:val="20"/>
                          <w:szCs w:val="20"/>
                        </w:rPr>
                        <w:t>Key Informant Interviewee</w:t>
                      </w:r>
                    </w:p>
                  </w:txbxContent>
                </v:textbox>
                <w10:wrap type="square" anchorx="margin" anchory="margin"/>
              </v:rect>
            </w:pict>
          </mc:Fallback>
        </mc:AlternateContent>
      </w:r>
      <w:r w:rsidR="001B52C7" w:rsidRPr="00592C35">
        <w:rPr>
          <w:rFonts w:eastAsia="Calibri" w:cs="Times New Roman"/>
          <w:sz w:val="24"/>
          <w:szCs w:val="24"/>
        </w:rPr>
        <w:t>Just as an individual’s income is important to health, a community’s average household or individual income also affects its residents’ health. The Commonwealth’s per capita income in 2014 was $50,330. This puts Massachusetts fourth in the nation, behind Connecticut, North Dakota, and Wyoming.</w:t>
      </w:r>
      <w:r w:rsidR="001B52C7" w:rsidRPr="00592C35">
        <w:rPr>
          <w:rFonts w:eastAsia="Calibri" w:cs="Times New Roman"/>
          <w:sz w:val="24"/>
          <w:szCs w:val="24"/>
          <w:vertAlign w:val="superscript"/>
        </w:rPr>
        <w:endnoteReference w:id="9"/>
      </w:r>
      <w:r w:rsidR="001B52C7" w:rsidRPr="00592C35">
        <w:rPr>
          <w:rFonts w:eastAsia="Calibri" w:cs="Times New Roman"/>
          <w:sz w:val="24"/>
          <w:szCs w:val="24"/>
        </w:rPr>
        <w:t xml:space="preserve"> In 2011-2015, the median household income in Massachusetts was $68,563, a 6.3% increase over the median household income</w:t>
      </w:r>
      <w:r w:rsidR="007812CC" w:rsidRPr="00592C35">
        <w:rPr>
          <w:rFonts w:eastAsia="Calibri" w:cs="Times New Roman"/>
          <w:sz w:val="24"/>
          <w:szCs w:val="24"/>
        </w:rPr>
        <w:t xml:space="preserve"> of $64,509 in 2006-2010 and 24</w:t>
      </w:r>
      <w:r w:rsidR="001B52C7" w:rsidRPr="00592C35">
        <w:rPr>
          <w:rFonts w:eastAsia="Calibri" w:cs="Times New Roman"/>
          <w:sz w:val="24"/>
          <w:szCs w:val="24"/>
        </w:rPr>
        <w:t xml:space="preserve">% higher than that for the US ($53,889). </w:t>
      </w:r>
    </w:p>
    <w:p w14:paraId="097AAD6A"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While Massachusetts ranks third in the nation for median family income</w:t>
      </w:r>
      <w:r w:rsidRPr="00592C35">
        <w:rPr>
          <w:rFonts w:eastAsia="Calibri" w:cs="Times New Roman"/>
          <w:sz w:val="24"/>
          <w:szCs w:val="24"/>
          <w:vertAlign w:val="superscript"/>
        </w:rPr>
        <w:endnoteReference w:id="10"/>
      </w:r>
      <w:r w:rsidRPr="00592C35">
        <w:rPr>
          <w:rFonts w:eastAsia="Calibri" w:cs="Times New Roman"/>
          <w:sz w:val="24"/>
          <w:szCs w:val="24"/>
        </w:rPr>
        <w:t>, we are 5</w:t>
      </w:r>
      <w:r w:rsidRPr="00592C35">
        <w:rPr>
          <w:rFonts w:eastAsia="Calibri" w:cs="Times New Roman"/>
          <w:sz w:val="24"/>
          <w:szCs w:val="24"/>
          <w:vertAlign w:val="superscript"/>
        </w:rPr>
        <w:t>th</w:t>
      </w:r>
      <w:r w:rsidRPr="00592C35">
        <w:rPr>
          <w:rFonts w:eastAsia="Calibri" w:cs="Times New Roman"/>
          <w:sz w:val="24"/>
          <w:szCs w:val="24"/>
        </w:rPr>
        <w:t xml:space="preserve"> for being the most expensive state to live in.</w:t>
      </w:r>
      <w:r w:rsidRPr="00592C35">
        <w:rPr>
          <w:rFonts w:eastAsia="Calibri" w:cs="Times New Roman"/>
          <w:sz w:val="24"/>
          <w:szCs w:val="24"/>
          <w:vertAlign w:val="superscript"/>
        </w:rPr>
        <w:endnoteReference w:id="11"/>
      </w:r>
    </w:p>
    <w:p w14:paraId="425B73B4" w14:textId="06905FCD"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lastRenderedPageBreak/>
        <w:t>Economic successes are not shared evenly among racial/ethnic groups. In 2011-2015, the median household income for White non-Hispanics was approximately two times that for Hispanic and American Indian/Alaskan Native residents, and 1.7 times that for Black non-Hispanic residents</w:t>
      </w:r>
      <w:r w:rsidR="0095398C" w:rsidRPr="00592C35">
        <w:rPr>
          <w:rFonts w:eastAsia="Calibri" w:cs="Times New Roman"/>
          <w:sz w:val="24"/>
          <w:szCs w:val="24"/>
        </w:rPr>
        <w:t xml:space="preserve"> </w:t>
      </w:r>
      <w:r w:rsidR="0095398C" w:rsidRPr="00592C35">
        <w:rPr>
          <w:rFonts w:eastAsia="Calibri" w:cs="Times New Roman"/>
          <w:b/>
          <w:sz w:val="24"/>
          <w:szCs w:val="24"/>
        </w:rPr>
        <w:t>(see Figure 1.9)</w:t>
      </w:r>
      <w:r w:rsidRPr="00592C35">
        <w:rPr>
          <w:rFonts w:eastAsia="Calibri" w:cs="Times New Roman"/>
          <w:sz w:val="24"/>
          <w:szCs w:val="24"/>
        </w:rPr>
        <w:t>. While most racial/ethnic groups in Massachusetts have higher median household incomes than the national average, the median household income for Hispanics in Mass</w:t>
      </w:r>
      <w:r w:rsidR="007812CC" w:rsidRPr="00592C35">
        <w:rPr>
          <w:rFonts w:eastAsia="Calibri" w:cs="Times New Roman"/>
          <w:sz w:val="24"/>
          <w:szCs w:val="24"/>
        </w:rPr>
        <w:t>achusetts ($36,171) was 16</w:t>
      </w:r>
      <w:r w:rsidRPr="00592C35">
        <w:rPr>
          <w:rFonts w:eastAsia="Calibri" w:cs="Times New Roman"/>
          <w:sz w:val="24"/>
          <w:szCs w:val="24"/>
        </w:rPr>
        <w:t xml:space="preserve">% lower than that for Hispanics nationally ($42,651) in 2011-2015. </w:t>
      </w:r>
    </w:p>
    <w:p w14:paraId="4C0F1364" w14:textId="7753F871" w:rsidR="00DC78E8"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1.9</w:t>
      </w:r>
    </w:p>
    <w:p w14:paraId="4DE6CBD8" w14:textId="77777777" w:rsidR="001B52C7" w:rsidRPr="00592C35" w:rsidRDefault="001B52C7" w:rsidP="00B67293">
      <w:pPr>
        <w:keepNext/>
        <w:keepLines/>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Median Household Income, by Race/Ethnicity, US and Massachusetts, 2011-2015</w:t>
      </w:r>
    </w:p>
    <w:p w14:paraId="2A27034C" w14:textId="56A2F21B" w:rsidR="001B52C7" w:rsidRPr="00592C35" w:rsidRDefault="00DC78E8" w:rsidP="00B67293">
      <w:pPr>
        <w:keepNext/>
        <w:keepLines/>
        <w:spacing w:line="360" w:lineRule="auto"/>
        <w:ind w:right="-360"/>
        <w:contextualSpacing/>
        <w:jc w:val="center"/>
        <w:rPr>
          <w:rFonts w:eastAsia="Calibri" w:cs="Times New Roman"/>
          <w:sz w:val="24"/>
          <w:szCs w:val="24"/>
        </w:rPr>
      </w:pPr>
      <w:r w:rsidRPr="00592C35">
        <w:rPr>
          <w:sz w:val="24"/>
          <w:szCs w:val="24"/>
        </w:rPr>
        <w:drawing>
          <wp:inline distT="0" distB="0" distL="0" distR="0" wp14:anchorId="442EC90E" wp14:editId="1999D285">
            <wp:extent cx="4886325" cy="2871788"/>
            <wp:effectExtent l="0" t="0" r="0" b="5080"/>
            <wp:docPr id="118" name="Chart 118" descr="This horizontal bar graph shows the median household income for Massachusetts residents compared to United States residents for timeframe 2011 through 2015. This graph further describes the race/ethnicity of the population on the left side of the graph with two horizontal bars for each race/ethic classification.  The dark blue bars represent the US residents and the light blue bars represent MA residents. The median household income is listed to the right of each bar for every category.   &#10;&#10;In 2011-2015, the median household income for Black MA residents is $42,959 compares with $35,695 for US residents. The median household income for Latino (any race) residents in MA is $36,171, which is lower than the US at $42,651. The median household income for American Indian/Alaska Native MA residents is $38,286 compares with $37,408 for US residents. The median household income for Asian MA residents is $78,996 compares with $74,245 for US residents.  The median household income for White non-Latino MA residents is $74,905 compares with $59,542 for US residents. The median household income for Native Hawaiian/Other Pacific Islander MA residents is $80,658 compares with $52,936 for US residents. For MA residents with 2 or more races, the median household income is $50,484 compares with $48,648 for US residents.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5EA940-7575-420C-B067-9349F045E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B64EAE" w14:textId="19BE20DD"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r w:rsidR="00A350C3" w:rsidRPr="00592C35">
        <w:rPr>
          <w:rFonts w:eastAsia="Calibri" w:cs="Times New Roman"/>
          <w:noProof w:val="0"/>
          <w:sz w:val="24"/>
          <w:szCs w:val="24"/>
        </w:rPr>
        <w:t>; NOTE: US CENSUS DATA REFERS TO HISPANICS AS LATINO</w:t>
      </w:r>
    </w:p>
    <w:p w14:paraId="2DF53B69" w14:textId="77777777" w:rsidR="001B52C7"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Poverty</w:t>
      </w:r>
    </w:p>
    <w:p w14:paraId="33F4E896" w14:textId="4E38B385"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Despite relatively high income figures for the state, there is considerable poverty among some demographic and geographic groups. In 2011-2015, approximately 14.9% of individuals had incomes that are 125% of the federal poverty level, reflecting a sli</w:t>
      </w:r>
      <w:r w:rsidR="007812CC" w:rsidRPr="00592C35">
        <w:rPr>
          <w:rFonts w:eastAsia="Calibri" w:cs="Times New Roman"/>
          <w:sz w:val="24"/>
          <w:szCs w:val="24"/>
        </w:rPr>
        <w:t>ght increase over 2008-2010 (14</w:t>
      </w:r>
      <w:r w:rsidRPr="00592C35">
        <w:rPr>
          <w:rFonts w:eastAsia="Calibri" w:cs="Times New Roman"/>
          <w:sz w:val="24"/>
          <w:szCs w:val="24"/>
        </w:rPr>
        <w:t xml:space="preserve">%). </w:t>
      </w:r>
      <w:r w:rsidR="00E71300" w:rsidRPr="00592C35">
        <w:rPr>
          <w:rFonts w:eastAsia="Calibri" w:cs="Times New Roman"/>
          <w:sz w:val="24"/>
          <w:szCs w:val="24"/>
        </w:rPr>
        <w:t xml:space="preserve">According to </w:t>
      </w:r>
      <w:r w:rsidR="00E71300" w:rsidRPr="00592C35">
        <w:rPr>
          <w:rFonts w:eastAsia="Calibri" w:cs="Times New Roman"/>
          <w:b/>
          <w:sz w:val="24"/>
          <w:szCs w:val="24"/>
        </w:rPr>
        <w:t>Figure 1.10</w:t>
      </w:r>
      <w:r w:rsidR="00E71300" w:rsidRPr="00592C35">
        <w:rPr>
          <w:rFonts w:eastAsia="Calibri" w:cs="Times New Roman"/>
          <w:sz w:val="24"/>
          <w:szCs w:val="24"/>
        </w:rPr>
        <w:t>, r</w:t>
      </w:r>
      <w:r w:rsidRPr="00592C35">
        <w:rPr>
          <w:rFonts w:eastAsia="Calibri" w:cs="Times New Roman"/>
          <w:sz w:val="24"/>
          <w:szCs w:val="24"/>
        </w:rPr>
        <w:t xml:space="preserve">esidents with incomes below the federal poverty level are concentrated in several </w:t>
      </w:r>
      <w:r w:rsidR="00E71300" w:rsidRPr="00592C35">
        <w:rPr>
          <w:rFonts w:eastAsia="Calibri" w:cs="Times New Roman"/>
          <w:sz w:val="24"/>
          <w:szCs w:val="24"/>
        </w:rPr>
        <w:t xml:space="preserve">darkened </w:t>
      </w:r>
      <w:r w:rsidRPr="00592C35">
        <w:rPr>
          <w:rFonts w:eastAsia="Calibri" w:cs="Times New Roman"/>
          <w:sz w:val="24"/>
          <w:szCs w:val="24"/>
        </w:rPr>
        <w:t xml:space="preserve">areas of the state, in particular the metro Boston area. </w:t>
      </w:r>
    </w:p>
    <w:p w14:paraId="558B9A3B"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1.10</w:t>
      </w:r>
    </w:p>
    <w:p w14:paraId="67A8BE2B" w14:textId="77777777" w:rsidR="001B52C7" w:rsidRPr="00592C35" w:rsidRDefault="001B52C7" w:rsidP="00B67293">
      <w:pPr>
        <w:keepNext/>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Individuals with Incomes Below 125% of the Federal Poverty Level, Massachusetts, 2011-2015</w:t>
      </w:r>
    </w:p>
    <w:p w14:paraId="4F9477AC" w14:textId="7DD5891F" w:rsidR="001B52C7" w:rsidRPr="00592C35" w:rsidRDefault="00157C3C" w:rsidP="00B67293">
      <w:pPr>
        <w:spacing w:line="360" w:lineRule="auto"/>
        <w:ind w:right="-360"/>
        <w:contextualSpacing/>
        <w:jc w:val="center"/>
        <w:rPr>
          <w:rFonts w:eastAsia="Calibri" w:cs="Times New Roman"/>
          <w:sz w:val="24"/>
          <w:szCs w:val="24"/>
        </w:rPr>
      </w:pPr>
      <w:r w:rsidRPr="00592C35">
        <w:rPr>
          <w:sz w:val="24"/>
          <w:szCs w:val="24"/>
        </w:rPr>
        <w:drawing>
          <wp:inline distT="0" distB="0" distL="0" distR="0" wp14:anchorId="03FA6D2A" wp14:editId="0D9DBFB9">
            <wp:extent cx="6685058" cy="3927945"/>
            <wp:effectExtent l="0" t="0" r="1905" b="0"/>
            <wp:docPr id="1" name="Picture 1" descr="This map represents Massachusetts communities where individuals with incomes below 125% of the federal poverty level for the time period 2011 through 2015.  The map is shaded with colors that represent percentages of individuals across MA that are living at 125% below the federal poverty level.  The colors shown are 20-30% represented in dark blue, 11-20% is in medium/darker blue, 6-10% is medium blue, 1-5 % is light blue, and 0% is white. Residents with incomes below the federal poverty level are concentrated in several dark blue areas of the state, most notably the metro Boston area, Worcester, Amherst, Holyoke, Springfield, Lawrence, Lynn, Fall River, and New Bedf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6471" t="21152" r="26203" b="29412"/>
                    <a:stretch/>
                  </pic:blipFill>
                  <pic:spPr bwMode="auto">
                    <a:xfrm>
                      <a:off x="0" y="0"/>
                      <a:ext cx="6688462" cy="3929945"/>
                    </a:xfrm>
                    <a:prstGeom prst="rect">
                      <a:avLst/>
                    </a:prstGeom>
                    <a:ln>
                      <a:noFill/>
                    </a:ln>
                    <a:extLst>
                      <a:ext uri="{53640926-AAD7-44D8-BBD7-CCE9431645EC}">
                        <a14:shadowObscured xmlns:a14="http://schemas.microsoft.com/office/drawing/2010/main"/>
                      </a:ext>
                    </a:extLst>
                  </pic:spPr>
                </pic:pic>
              </a:graphicData>
            </a:graphic>
          </wp:inline>
        </w:drawing>
      </w:r>
    </w:p>
    <w:p w14:paraId="0DBFEB96"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16BD94C3" w14:textId="2703A6F5" w:rsidR="001B52C7" w:rsidRPr="00592C35" w:rsidRDefault="0095398C" w:rsidP="00B67293">
      <w:pPr>
        <w:spacing w:before="0" w:after="0" w:line="360" w:lineRule="auto"/>
        <w:ind w:right="-360"/>
        <w:rPr>
          <w:rFonts w:eastAsia="Calibri" w:cs="Times New Roman"/>
          <w:sz w:val="24"/>
          <w:szCs w:val="24"/>
        </w:rPr>
      </w:pPr>
      <w:r w:rsidRPr="00592C35">
        <w:rPr>
          <w:rFonts w:eastAsia="Calibri" w:cs="Times New Roman"/>
          <w:sz w:val="24"/>
          <w:szCs w:val="24"/>
        </w:rPr>
        <w:t xml:space="preserve">As shown in </w:t>
      </w:r>
      <w:r w:rsidR="00E71300" w:rsidRPr="00592C35">
        <w:rPr>
          <w:rFonts w:eastAsia="Calibri" w:cs="Times New Roman"/>
          <w:b/>
          <w:sz w:val="24"/>
          <w:szCs w:val="24"/>
        </w:rPr>
        <w:t>Figure 1.12</w:t>
      </w:r>
      <w:r w:rsidRPr="00592C35">
        <w:rPr>
          <w:rFonts w:eastAsia="Calibri" w:cs="Times New Roman"/>
          <w:sz w:val="24"/>
          <w:szCs w:val="24"/>
        </w:rPr>
        <w:t>, s</w:t>
      </w:r>
      <w:r w:rsidR="001B52C7" w:rsidRPr="00592C35">
        <w:rPr>
          <w:rFonts w:eastAsia="Calibri" w:cs="Times New Roman"/>
          <w:sz w:val="24"/>
          <w:szCs w:val="24"/>
        </w:rPr>
        <w:t>tark racial disparities exist in poverty rates across Massachusetts. In 2011-2015 approximately one in three (29.3%) Hispanic residents and one in five Black non-Hispanic (22%), American Indian or Alaska Native (22.9%), or Native Hawaiian or other Pacific Islander (22.4%) residents recorded incomes below the federal poverty level. These patterns stand in dramatic contrast to less than one in 10 (7.8%) White non-Hispanic and one in seven (14.6%) Asian non-Hispanic residents with incomes below the federal poverty level. Some people’s housing costs exceed 30% of their income, leaving less money to cover other necessities.</w:t>
      </w:r>
    </w:p>
    <w:p w14:paraId="2B40F6B6" w14:textId="77777777" w:rsidR="00911393" w:rsidRPr="00B67293" w:rsidRDefault="00911393"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Environmental Justice</w:t>
      </w:r>
    </w:p>
    <w:p w14:paraId="76455E1C" w14:textId="020D3894" w:rsidR="00911393" w:rsidRPr="00592C35" w:rsidRDefault="00911393" w:rsidP="00B67293">
      <w:pPr>
        <w:spacing w:line="360" w:lineRule="auto"/>
        <w:ind w:right="-360"/>
        <w:rPr>
          <w:rFonts w:eastAsia="Calibri" w:cs="Times New Roman"/>
          <w:sz w:val="24"/>
          <w:szCs w:val="24"/>
        </w:rPr>
      </w:pPr>
      <w:r w:rsidRPr="00592C35">
        <w:rPr>
          <w:rFonts w:eastAsia="Calibri" w:cs="Times New Roman"/>
          <w:sz w:val="24"/>
          <w:szCs w:val="24"/>
        </w:rPr>
        <w:t xml:space="preserve">Environmental justice </w:t>
      </w:r>
      <w:r w:rsidR="00C70601" w:rsidRPr="00592C35">
        <w:rPr>
          <w:rFonts w:eastAsia="Calibri" w:cs="Times New Roman"/>
          <w:sz w:val="24"/>
          <w:szCs w:val="24"/>
        </w:rPr>
        <w:t>communities</w:t>
      </w:r>
      <w:r w:rsidRPr="00592C35">
        <w:rPr>
          <w:rFonts w:eastAsia="Calibri" w:cs="Times New Roman"/>
          <w:sz w:val="24"/>
          <w:szCs w:val="24"/>
        </w:rPr>
        <w:t xml:space="preserve"> are defined as </w:t>
      </w:r>
      <w:r w:rsidR="0095398C" w:rsidRPr="00592C35">
        <w:rPr>
          <w:rFonts w:eastAsia="Calibri" w:cs="Times New Roman"/>
          <w:sz w:val="24"/>
          <w:szCs w:val="24"/>
        </w:rPr>
        <w:t>populations</w:t>
      </w:r>
      <w:r w:rsidRPr="00592C35">
        <w:rPr>
          <w:rFonts w:eastAsia="Calibri" w:cs="Times New Roman"/>
          <w:sz w:val="24"/>
          <w:szCs w:val="24"/>
        </w:rPr>
        <w:t xml:space="preserve"> where 25% of the households have an annual median income that is equal to or less than 65% of the statewide median or 25% of its population is minority </w:t>
      </w:r>
      <w:r w:rsidRPr="00592C35">
        <w:rPr>
          <w:rFonts w:eastAsia="Calibri" w:cs="Times New Roman"/>
          <w:sz w:val="24"/>
          <w:szCs w:val="24"/>
        </w:rPr>
        <w:lastRenderedPageBreak/>
        <w:t>or identifies as a household that has English Isolation.</w:t>
      </w:r>
      <w:r w:rsidRPr="00592C35">
        <w:rPr>
          <w:rFonts w:eastAsia="Calibri" w:cs="Times New Roman"/>
          <w:sz w:val="24"/>
          <w:szCs w:val="24"/>
          <w:vertAlign w:val="superscript"/>
        </w:rPr>
        <w:endnoteReference w:id="12"/>
      </w:r>
      <w:r w:rsidRPr="00592C35">
        <w:rPr>
          <w:rFonts w:eastAsia="Calibri" w:cs="Times New Roman"/>
          <w:sz w:val="24"/>
          <w:szCs w:val="24"/>
        </w:rPr>
        <w:t xml:space="preserve"> Environmental justice is based on the principle that all people have a right to be protected from environmental hazards and to live in a clean and healthful environment, regardless of race, color, national origin, income, or English language proficiency. Environmental justice is the equal protection and meaningful involvement of all people and communities with respect to the development, implementation,  enforcement of energy, climate change,  environmental laws, regulations,  policies; and  the equitable distribution of energy, environmental benefits and burdens.  </w:t>
      </w:r>
      <w:r w:rsidR="0095398C" w:rsidRPr="00592C35">
        <w:rPr>
          <w:rFonts w:eastAsia="Calibri" w:cs="Times New Roman"/>
          <w:b/>
          <w:sz w:val="24"/>
          <w:szCs w:val="24"/>
        </w:rPr>
        <w:t>Figure 1.11</w:t>
      </w:r>
      <w:r w:rsidR="0095398C" w:rsidRPr="00592C35">
        <w:rPr>
          <w:rFonts w:eastAsia="Calibri" w:cs="Times New Roman"/>
          <w:sz w:val="24"/>
          <w:szCs w:val="24"/>
        </w:rPr>
        <w:t xml:space="preserve"> shows the extent of Environmental Justice Population across the state.  </w:t>
      </w:r>
      <w:r w:rsidR="0095398C" w:rsidRPr="00592C35">
        <w:rPr>
          <w:rFonts w:eastAsia="Calibri" w:cs="Times New Roman"/>
          <w:b/>
          <w:sz w:val="24"/>
          <w:szCs w:val="24"/>
        </w:rPr>
        <w:t>Figure 1.12</w:t>
      </w:r>
      <w:r w:rsidR="0095398C" w:rsidRPr="00592C35">
        <w:rPr>
          <w:rFonts w:eastAsia="Calibri" w:cs="Times New Roman"/>
          <w:sz w:val="24"/>
          <w:szCs w:val="24"/>
        </w:rPr>
        <w:t xml:space="preserve"> illustrates the extent of individuals with incomes below the poverty level.</w:t>
      </w:r>
    </w:p>
    <w:p w14:paraId="193D0645" w14:textId="7A3AE51D" w:rsidR="0095398C" w:rsidRPr="00592C35" w:rsidRDefault="0095398C"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1.11</w:t>
      </w:r>
    </w:p>
    <w:p w14:paraId="55264F3F" w14:textId="55FA495F" w:rsidR="0095398C" w:rsidRPr="00592C35" w:rsidRDefault="0095398C"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 xml:space="preserve">Individuals Living in Environmental Justice </w:t>
      </w:r>
      <w:r w:rsidR="00C70601" w:rsidRPr="00592C35">
        <w:rPr>
          <w:rFonts w:eastAsia="Calibri" w:cs="Times New Roman"/>
          <w:b/>
          <w:noProof w:val="0"/>
          <w:sz w:val="24"/>
          <w:szCs w:val="24"/>
        </w:rPr>
        <w:t>Communities</w:t>
      </w:r>
      <w:r w:rsidRPr="00592C35">
        <w:rPr>
          <w:rFonts w:eastAsia="Calibri" w:cs="Times New Roman"/>
          <w:b/>
          <w:noProof w:val="0"/>
          <w:sz w:val="24"/>
          <w:szCs w:val="24"/>
        </w:rPr>
        <w:t>, 2010</w:t>
      </w:r>
    </w:p>
    <w:p w14:paraId="39BAF6FC" w14:textId="696F388F" w:rsidR="0095398C" w:rsidRPr="00592C35" w:rsidRDefault="00157C3C" w:rsidP="00B67293">
      <w:pPr>
        <w:spacing w:before="0" w:after="200" w:line="360" w:lineRule="auto"/>
        <w:ind w:right="-360" w:hanging="360"/>
        <w:jc w:val="center"/>
        <w:rPr>
          <w:rFonts w:eastAsia="Calibri" w:cs="Calibri"/>
          <w:iCs/>
          <w:smallCaps/>
          <w:color w:val="000000"/>
          <w:sz w:val="24"/>
          <w:szCs w:val="24"/>
        </w:rPr>
      </w:pPr>
      <w:r w:rsidRPr="00592C35">
        <w:rPr>
          <w:sz w:val="24"/>
          <w:szCs w:val="24"/>
        </w:rPr>
        <w:drawing>
          <wp:inline distT="0" distB="0" distL="0" distR="0" wp14:anchorId="6AD9A495" wp14:editId="363D5BF5">
            <wp:extent cx="5246728" cy="3101008"/>
            <wp:effectExtent l="0" t="0" r="0" b="4445"/>
            <wp:docPr id="725" name="Picture 725" descr="This map of Massachusetts represents individuals living in Environmental Justice regions in 2010.  Environmental Justice populations are defined as populations where 25% of the households have an annual median income that is equal to or less than 65% of the statewide median or 25% of its population is minority or identifies as a household that has English Isolation.  This map shows the extent of Environmental Justice Population across the state where the dark blue areas on the map denote the Environmental Justice populations regions of the state. These areas include the greater metro Boston area, central and western Massachusetts regions as well as some areas in the northeast of the st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5401" t="36601" r="26872" b="13250"/>
                    <a:stretch/>
                  </pic:blipFill>
                  <pic:spPr bwMode="auto">
                    <a:xfrm>
                      <a:off x="0" y="0"/>
                      <a:ext cx="5245348" cy="3100192"/>
                    </a:xfrm>
                    <a:prstGeom prst="rect">
                      <a:avLst/>
                    </a:prstGeom>
                    <a:ln>
                      <a:noFill/>
                    </a:ln>
                    <a:extLst>
                      <a:ext uri="{53640926-AAD7-44D8-BBD7-CCE9431645EC}">
                        <a14:shadowObscured xmlns:a14="http://schemas.microsoft.com/office/drawing/2010/main"/>
                      </a:ext>
                    </a:extLst>
                  </pic:spPr>
                </pic:pic>
              </a:graphicData>
            </a:graphic>
          </wp:inline>
        </w:drawing>
      </w:r>
    </w:p>
    <w:p w14:paraId="0662B6B0" w14:textId="140721C2" w:rsidR="00B67293" w:rsidRPr="00592C35" w:rsidRDefault="00B67293">
      <w:pPr>
        <w:spacing w:before="0"/>
        <w:ind w:left="0" w:right="0"/>
        <w:jc w:val="left"/>
        <w:rPr>
          <w:rFonts w:eastAsia="Calibri" w:cs="Calibri"/>
          <w:iCs/>
          <w:smallCaps/>
          <w:color w:val="000000"/>
          <w:sz w:val="24"/>
          <w:szCs w:val="24"/>
        </w:rPr>
      </w:pPr>
      <w:r w:rsidRPr="00592C35">
        <w:rPr>
          <w:rFonts w:eastAsia="Calibri" w:cs="Calibri"/>
          <w:iCs/>
          <w:smallCaps/>
          <w:color w:val="000000"/>
          <w:sz w:val="24"/>
          <w:szCs w:val="24"/>
        </w:rPr>
        <w:br w:type="page"/>
      </w:r>
    </w:p>
    <w:p w14:paraId="0200CA52" w14:textId="0A7BC1A4" w:rsidR="001B52C7" w:rsidRPr="00592C35" w:rsidRDefault="0095398C" w:rsidP="00B67293">
      <w:pPr>
        <w:spacing w:before="0" w:line="360" w:lineRule="auto"/>
        <w:ind w:left="0" w:right="0"/>
        <w:jc w:val="center"/>
        <w:rPr>
          <w:rFonts w:eastAsia="Calibri" w:cs="Times New Roman"/>
          <w:b/>
          <w:noProof w:val="0"/>
          <w:sz w:val="24"/>
          <w:szCs w:val="24"/>
        </w:rPr>
      </w:pPr>
      <w:r w:rsidRPr="00592C35">
        <w:rPr>
          <w:rFonts w:eastAsia="Calibri" w:cs="Times New Roman"/>
          <w:b/>
          <w:noProof w:val="0"/>
          <w:sz w:val="24"/>
          <w:szCs w:val="24"/>
        </w:rPr>
        <w:lastRenderedPageBreak/>
        <w:t>Figure 1.12</w:t>
      </w:r>
    </w:p>
    <w:p w14:paraId="735E5838" w14:textId="53FCCC7C" w:rsidR="001B52C7" w:rsidRPr="00592C35" w:rsidRDefault="001B52C7" w:rsidP="00B67293">
      <w:pPr>
        <w:spacing w:before="0" w:after="0" w:line="360" w:lineRule="auto"/>
        <w:ind w:right="-360"/>
        <w:jc w:val="center"/>
        <w:rPr>
          <w:rFonts w:eastAsia="Calibri" w:cs="Times New Roman"/>
          <w:b/>
          <w:noProof w:val="0"/>
          <w:sz w:val="24"/>
          <w:szCs w:val="24"/>
        </w:rPr>
      </w:pPr>
      <w:r w:rsidRPr="00592C35">
        <w:rPr>
          <w:rFonts w:eastAsia="Calibri" w:cs="Times New Roman"/>
          <w:b/>
          <w:noProof w:val="0"/>
          <w:sz w:val="24"/>
          <w:szCs w:val="24"/>
        </w:rPr>
        <w:t xml:space="preserve">Individuals with Incomes </w:t>
      </w:r>
      <w:proofErr w:type="gramStart"/>
      <w:r w:rsidRPr="00592C35">
        <w:rPr>
          <w:rFonts w:eastAsia="Calibri" w:cs="Times New Roman"/>
          <w:b/>
          <w:noProof w:val="0"/>
          <w:sz w:val="24"/>
          <w:szCs w:val="24"/>
        </w:rPr>
        <w:t>Below</w:t>
      </w:r>
      <w:proofErr w:type="gramEnd"/>
      <w:r w:rsidRPr="00592C35">
        <w:rPr>
          <w:rFonts w:eastAsia="Calibri" w:cs="Times New Roman"/>
          <w:b/>
          <w:noProof w:val="0"/>
          <w:sz w:val="24"/>
          <w:szCs w:val="24"/>
        </w:rPr>
        <w:t xml:space="preserve"> the Federal Poverty Level, by Race/Ethnicity</w:t>
      </w:r>
    </w:p>
    <w:p w14:paraId="056B518A" w14:textId="79D72049" w:rsidR="001B52C7" w:rsidRPr="00592C35" w:rsidRDefault="001B52C7" w:rsidP="00B67293">
      <w:pPr>
        <w:spacing w:before="0" w:after="0" w:line="360" w:lineRule="auto"/>
        <w:ind w:right="-360"/>
        <w:jc w:val="center"/>
        <w:rPr>
          <w:rFonts w:eastAsia="Calibri" w:cs="Times New Roman"/>
          <w:b/>
          <w:noProof w:val="0"/>
          <w:sz w:val="24"/>
          <w:szCs w:val="24"/>
        </w:rPr>
      </w:pPr>
      <w:r w:rsidRPr="00592C35">
        <w:rPr>
          <w:rFonts w:eastAsia="Calibri" w:cs="Times New Roman"/>
          <w:b/>
          <w:noProof w:val="0"/>
          <w:sz w:val="24"/>
          <w:szCs w:val="24"/>
        </w:rPr>
        <w:t xml:space="preserve">US and </w:t>
      </w:r>
      <w:r w:rsidR="00A07B92" w:rsidRPr="00592C35">
        <w:rPr>
          <w:rFonts w:eastAsia="Calibri" w:cs="Times New Roman"/>
          <w:b/>
          <w:noProof w:val="0"/>
          <w:sz w:val="24"/>
          <w:szCs w:val="24"/>
        </w:rPr>
        <w:t>Massachusetts</w:t>
      </w:r>
      <w:r w:rsidRPr="00592C35">
        <w:rPr>
          <w:rFonts w:eastAsia="Calibri" w:cs="Times New Roman"/>
          <w:b/>
          <w:noProof w:val="0"/>
          <w:sz w:val="24"/>
          <w:szCs w:val="24"/>
        </w:rPr>
        <w:t>, 2011-2015</w:t>
      </w:r>
    </w:p>
    <w:p w14:paraId="0123C279" w14:textId="6F8A1873" w:rsidR="001B52C7" w:rsidRPr="00592C35" w:rsidRDefault="00DC78E8" w:rsidP="00B67293">
      <w:pPr>
        <w:keepNext/>
        <w:keepLines/>
        <w:spacing w:line="360" w:lineRule="auto"/>
        <w:ind w:right="-360"/>
        <w:contextualSpacing/>
        <w:jc w:val="center"/>
        <w:rPr>
          <w:rFonts w:eastAsia="Calibri" w:cs="Times New Roman"/>
          <w:sz w:val="24"/>
          <w:szCs w:val="24"/>
        </w:rPr>
      </w:pPr>
      <w:r w:rsidRPr="00592C35">
        <w:rPr>
          <w:sz w:val="24"/>
          <w:szCs w:val="24"/>
        </w:rPr>
        <w:drawing>
          <wp:inline distT="0" distB="0" distL="0" distR="0" wp14:anchorId="1FD8DE8D" wp14:editId="2C3F82AD">
            <wp:extent cx="5248275" cy="2490470"/>
            <wp:effectExtent l="0" t="0" r="0" b="5080"/>
            <wp:docPr id="119" name="Chart 119" descr="This horizontal bar graph depicts the differences by race/ethnicity for percent of population below the Federal poverty level, US versus Massachusetts, for the years 2011-2015. Among blacks, 27% in the US vs. 22% in MA have an income below the Federal poverty level. Among Latinos, 24% in the US vs. 29% in MA have an income below the Federal poverty level. Among American Indian/Alaskan Natives, 28% in the US vs. 23% in MA have an income below the Federal poverty level. Among Asians, 13% in the US vs. 15% in MA have an income below the Federal poverty level. Among White non-Latino, 11% in the US vs. 8% in MA have an income below the Federal poverty level. Among Native Hawaiian/Other Pacific Islander, 21% in the US vs. 22% in MA have an income below the Federal poverty level. Among Other Races, 27% in the US vs. 32% in MA have an income below the Federal poverty level. Among those who identify with 2 or more races, 20% in the US vs. 20% in MA have an income below the Federal poverty level.">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3CD6B4-0C6E-42C6-9FE4-DEBC8F0A74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3E85D4B" w14:textId="77777777" w:rsidR="001B52C7" w:rsidRPr="00592C35" w:rsidRDefault="001B52C7" w:rsidP="00B67293">
      <w:pPr>
        <w:spacing w:line="360" w:lineRule="auto"/>
        <w:ind w:right="-360"/>
        <w:contextualSpacing/>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7B577C46" w14:textId="77777777" w:rsidR="007E0624" w:rsidRPr="00592C35" w:rsidRDefault="007E0624" w:rsidP="00B67293">
      <w:pPr>
        <w:spacing w:line="360" w:lineRule="auto"/>
        <w:ind w:right="-360"/>
        <w:contextualSpacing/>
        <w:jc w:val="center"/>
        <w:rPr>
          <w:rFonts w:eastAsia="Calibri" w:cs="Times New Roman"/>
          <w:noProof w:val="0"/>
          <w:sz w:val="24"/>
          <w:szCs w:val="24"/>
        </w:rPr>
      </w:pPr>
      <w:r w:rsidRPr="00592C35">
        <w:rPr>
          <w:rFonts w:eastAsia="Calibri" w:cs="Times New Roman"/>
          <w:noProof w:val="0"/>
          <w:sz w:val="24"/>
          <w:szCs w:val="24"/>
        </w:rPr>
        <w:t>NOTE: DUE TO ROUNDING, MAY NOT ADD UP TO 100%</w:t>
      </w:r>
    </w:p>
    <w:p w14:paraId="467B1813" w14:textId="77777777" w:rsidR="007E0624" w:rsidRPr="00592C35" w:rsidRDefault="007E0624" w:rsidP="00B67293">
      <w:pPr>
        <w:spacing w:line="360" w:lineRule="auto"/>
        <w:ind w:right="-360"/>
        <w:jc w:val="center"/>
        <w:rPr>
          <w:rFonts w:eastAsia="Calibri" w:cs="Times New Roman"/>
          <w:noProof w:val="0"/>
          <w:sz w:val="24"/>
          <w:szCs w:val="24"/>
        </w:rPr>
      </w:pPr>
    </w:p>
    <w:p w14:paraId="0BB2800A" w14:textId="03828309" w:rsidR="001B52C7" w:rsidRPr="00592C35" w:rsidRDefault="00B67293" w:rsidP="00B67293">
      <w:pPr>
        <w:spacing w:line="360" w:lineRule="auto"/>
        <w:ind w:right="-360"/>
        <w:rPr>
          <w:rFonts w:eastAsia="Calibri" w:cs="Times New Roman"/>
          <w:sz w:val="24"/>
          <w:szCs w:val="24"/>
        </w:rPr>
      </w:pPr>
      <w:r w:rsidRPr="00592C35">
        <w:rPr>
          <w:rFonts w:eastAsia="Calibri" w:cs="Times New Roman"/>
          <w:sz w:val="24"/>
          <w:szCs w:val="24"/>
        </w:rPr>
        <mc:AlternateContent>
          <mc:Choice Requires="wps">
            <w:drawing>
              <wp:anchor distT="0" distB="0" distL="114300" distR="114300" simplePos="0" relativeHeight="252001280" behindDoc="0" locked="0" layoutInCell="1" allowOverlap="1" wp14:anchorId="71F913F7" wp14:editId="40E9925D">
                <wp:simplePos x="0" y="0"/>
                <wp:positionH relativeFrom="margin">
                  <wp:posOffset>4397375</wp:posOffset>
                </wp:positionH>
                <wp:positionV relativeFrom="page">
                  <wp:posOffset>5233670</wp:posOffset>
                </wp:positionV>
                <wp:extent cx="2286000" cy="1383030"/>
                <wp:effectExtent l="0" t="0" r="0" b="7620"/>
                <wp:wrapSquare wrapText="bothSides"/>
                <wp:docPr id="723" name="Rectangle 723"/>
                <wp:cNvGraphicFramePr/>
                <a:graphic xmlns:a="http://schemas.openxmlformats.org/drawingml/2006/main">
                  <a:graphicData uri="http://schemas.microsoft.com/office/word/2010/wordprocessingShape">
                    <wps:wsp>
                      <wps:cNvSpPr/>
                      <wps:spPr>
                        <a:xfrm>
                          <a:off x="0" y="0"/>
                          <a:ext cx="2286000" cy="1383030"/>
                        </a:xfrm>
                        <a:prstGeom prst="rect">
                          <a:avLst/>
                        </a:prstGeom>
                        <a:solidFill>
                          <a:srgbClr val="EFF3FF"/>
                        </a:solidFill>
                        <a:ln w="12700" cap="flat" cmpd="sng" algn="ctr">
                          <a:noFill/>
                          <a:prstDash val="solid"/>
                          <a:miter lim="800000"/>
                        </a:ln>
                        <a:effectLst/>
                      </wps:spPr>
                      <wps:txbx>
                        <w:txbxContent>
                          <w:p w14:paraId="58DEE5AA" w14:textId="77777777" w:rsidR="00B67293" w:rsidRPr="00911393" w:rsidRDefault="00B67293" w:rsidP="009A2934">
                            <w:pPr>
                              <w:shd w:val="clear" w:color="auto" w:fill="EFF3FF"/>
                              <w:ind w:left="0" w:right="17"/>
                              <w:jc w:val="left"/>
                              <w:rPr>
                                <w:color w:val="203864"/>
                                <w:sz w:val="24"/>
                                <w:szCs w:val="24"/>
                              </w:rPr>
                            </w:pPr>
                            <w:r w:rsidRPr="00911393">
                              <w:rPr>
                                <w:color w:val="203864"/>
                                <w:sz w:val="24"/>
                                <w:szCs w:val="24"/>
                              </w:rPr>
                              <w:t xml:space="preserve">“We need to recognize that the </w:t>
                            </w:r>
                            <w:r w:rsidRPr="00911393">
                              <w:rPr>
                                <w:b/>
                                <w:color w:val="203864"/>
                                <w:sz w:val="24"/>
                                <w:szCs w:val="24"/>
                              </w:rPr>
                              <w:t>future workforce</w:t>
                            </w:r>
                            <w:r w:rsidRPr="00911393">
                              <w:rPr>
                                <w:color w:val="203864"/>
                                <w:sz w:val="24"/>
                                <w:szCs w:val="24"/>
                              </w:rPr>
                              <w:t xml:space="preserve"> has unique needs when it comes to training and education. </w:t>
                            </w:r>
                          </w:p>
                          <w:p w14:paraId="5105EA6B" w14:textId="77777777" w:rsidR="00B67293" w:rsidRPr="00582880" w:rsidRDefault="00B67293" w:rsidP="00911393">
                            <w:pPr>
                              <w:shd w:val="clear" w:color="auto" w:fill="EFF3FF"/>
                              <w:ind w:left="180" w:right="17"/>
                              <w:jc w:val="right"/>
                              <w:rPr>
                                <w:color w:val="203864"/>
                                <w:sz w:val="20"/>
                                <w:szCs w:val="20"/>
                              </w:rPr>
                            </w:pPr>
                            <w:r w:rsidRPr="00582880">
                              <w:rPr>
                                <w:color w:val="203864"/>
                                <w:sz w:val="20"/>
                                <w:szCs w:val="20"/>
                              </w:rPr>
                              <w:t>Key Informant Interviewee</w:t>
                            </w:r>
                          </w:p>
                          <w:p w14:paraId="7A1D8964" w14:textId="65C4FC0A" w:rsidR="00B67293" w:rsidRPr="00911393" w:rsidRDefault="00B67293" w:rsidP="00911393">
                            <w:pPr>
                              <w:shd w:val="clear" w:color="auto" w:fill="EFF3FF"/>
                              <w:ind w:left="0" w:right="17"/>
                              <w:jc w:val="lef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3" o:spid="_x0000_s1032" style="position:absolute;left:0;text-align:left;margin-left:346.25pt;margin-top:412.1pt;width:180pt;height:108.9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" fillcolor="#eff3ff" stroked="f" strokeweight="1pt">
                <v:textbox>
                  <w:txbxContent>
                    <w:p w14:paraId="58DEE5AA" w14:textId="77777777" w:rsidR="00B67293" w:rsidRPr="00911393" w:rsidRDefault="00B67293" w:rsidP="009A2934">
                      <w:pPr>
                        <w:shd w:val="clear" w:color="auto" w:fill="EFF3FF"/>
                        <w:ind w:left="0" w:right="17"/>
                        <w:jc w:val="left"/>
                        <w:rPr>
                          <w:color w:val="203864"/>
                          <w:sz w:val="24"/>
                          <w:szCs w:val="24"/>
                        </w:rPr>
                      </w:pPr>
                      <w:r w:rsidRPr="00911393">
                        <w:rPr>
                          <w:color w:val="203864"/>
                          <w:sz w:val="24"/>
                          <w:szCs w:val="24"/>
                        </w:rPr>
                        <w:t xml:space="preserve">“We need to recognize that the </w:t>
                      </w:r>
                      <w:r w:rsidRPr="00911393">
                        <w:rPr>
                          <w:b/>
                          <w:color w:val="203864"/>
                          <w:sz w:val="24"/>
                          <w:szCs w:val="24"/>
                        </w:rPr>
                        <w:t>future workforce</w:t>
                      </w:r>
                      <w:r w:rsidRPr="00911393">
                        <w:rPr>
                          <w:color w:val="203864"/>
                          <w:sz w:val="24"/>
                          <w:szCs w:val="24"/>
                        </w:rPr>
                        <w:t xml:space="preserve"> has unique needs when it comes to training and education. </w:t>
                      </w:r>
                    </w:p>
                    <w:p w14:paraId="5105EA6B" w14:textId="77777777" w:rsidR="00B67293" w:rsidRPr="00582880" w:rsidRDefault="00B67293" w:rsidP="00911393">
                      <w:pPr>
                        <w:shd w:val="clear" w:color="auto" w:fill="EFF3FF"/>
                        <w:ind w:left="180" w:right="17"/>
                        <w:jc w:val="right"/>
                        <w:rPr>
                          <w:color w:val="203864"/>
                          <w:sz w:val="20"/>
                          <w:szCs w:val="20"/>
                        </w:rPr>
                      </w:pPr>
                      <w:r w:rsidRPr="00582880">
                        <w:rPr>
                          <w:color w:val="203864"/>
                          <w:sz w:val="20"/>
                          <w:szCs w:val="20"/>
                        </w:rPr>
                        <w:t>Key Informant Interviewee</w:t>
                      </w:r>
                    </w:p>
                    <w:p w14:paraId="7A1D8964" w14:textId="65C4FC0A" w:rsidR="00B67293" w:rsidRPr="00911393" w:rsidRDefault="00B67293" w:rsidP="00911393">
                      <w:pPr>
                        <w:shd w:val="clear" w:color="auto" w:fill="EFF3FF"/>
                        <w:ind w:left="0" w:right="17"/>
                        <w:jc w:val="left"/>
                        <w:rPr>
                          <w:smallCaps/>
                          <w:color w:val="203864"/>
                          <w:sz w:val="24"/>
                          <w:szCs w:val="24"/>
                        </w:rPr>
                      </w:pPr>
                    </w:p>
                  </w:txbxContent>
                </v:textbox>
                <w10:wrap type="square" anchorx="margin" anchory="page"/>
              </v:rect>
            </w:pict>
          </mc:Fallback>
        </mc:AlternateContent>
      </w:r>
      <w:r w:rsidR="001B52C7" w:rsidRPr="00592C35">
        <w:rPr>
          <w:rFonts w:eastAsia="Calibri" w:cs="Times New Roman"/>
          <w:sz w:val="24"/>
          <w:szCs w:val="24"/>
        </w:rPr>
        <w:t>Poverty was reported as a common concern across all focus groups and interview</w:t>
      </w:r>
      <w:r w:rsidR="00153901" w:rsidRPr="00592C35">
        <w:rPr>
          <w:rFonts w:eastAsia="Calibri" w:cs="Times New Roman"/>
          <w:sz w:val="24"/>
          <w:szCs w:val="24"/>
        </w:rPr>
        <w:t>ee</w:t>
      </w:r>
      <w:r w:rsidR="001B52C7" w:rsidRPr="00592C35">
        <w:rPr>
          <w:rFonts w:eastAsia="Calibri" w:cs="Times New Roman"/>
          <w:sz w:val="24"/>
          <w:szCs w:val="24"/>
        </w:rPr>
        <w:t>s, with residents increasingly concerned about the wealth disparity in areas such as Boston and Worcester. As one</w:t>
      </w:r>
      <w:r w:rsidR="005E7BFB" w:rsidRPr="00592C35">
        <w:rPr>
          <w:rFonts w:eastAsia="Calibri" w:cs="Times New Roman"/>
          <w:sz w:val="24"/>
          <w:szCs w:val="24"/>
        </w:rPr>
        <w:t xml:space="preserve"> focus group participant shared,</w:t>
      </w:r>
      <w:r w:rsidR="001B52C7" w:rsidRPr="00592C35">
        <w:rPr>
          <w:rFonts w:eastAsia="Calibri" w:cs="Times New Roman"/>
          <w:sz w:val="24"/>
          <w:szCs w:val="24"/>
        </w:rPr>
        <w:t xml:space="preserve"> </w:t>
      </w:r>
      <w:r w:rsidR="001B52C7" w:rsidRPr="00592C35">
        <w:rPr>
          <w:rFonts w:eastAsia="Calibri" w:cs="Times New Roman"/>
          <w:i/>
          <w:sz w:val="24"/>
          <w:szCs w:val="24"/>
        </w:rPr>
        <w:t xml:space="preserve">“You have a clash of classes in many neighboring communities.” </w:t>
      </w:r>
      <w:r w:rsidR="001B52C7" w:rsidRPr="00592C35">
        <w:rPr>
          <w:rFonts w:eastAsia="Calibri" w:cs="Times New Roman"/>
          <w:sz w:val="24"/>
          <w:szCs w:val="24"/>
        </w:rPr>
        <w:t xml:space="preserve">Participants indicated that poverty was the root cause of stress in community members’ lives, reporting challenges meeting basic needs such as food and shelter and difficulty balancing multiple, low-wage jobs. </w:t>
      </w:r>
    </w:p>
    <w:p w14:paraId="59E6B3B5" w14:textId="5F60AC7C" w:rsidR="001B52C7"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Unemployment</w:t>
      </w:r>
    </w:p>
    <w:p w14:paraId="028909D0" w14:textId="3D947613"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The proportion of unemployed residents declined from 10.2% in 2010 to 5.8% in 2015, reflecting a 43% decrease over this period. From 2010 to 2015, the percentage of Massachusetts residents who were unemployed was lower than the national average</w:t>
      </w:r>
      <w:r w:rsidR="0095398C" w:rsidRPr="00592C35">
        <w:rPr>
          <w:rFonts w:eastAsia="Calibri" w:cs="Times New Roman"/>
          <w:sz w:val="24"/>
          <w:szCs w:val="24"/>
        </w:rPr>
        <w:t xml:space="preserve"> </w:t>
      </w:r>
      <w:r w:rsidR="0095398C" w:rsidRPr="00592C35">
        <w:rPr>
          <w:rFonts w:eastAsia="Calibri" w:cs="Times New Roman"/>
          <w:b/>
          <w:sz w:val="24"/>
          <w:szCs w:val="24"/>
        </w:rPr>
        <w:t>(see Figure 1.13)</w:t>
      </w:r>
      <w:r w:rsidRPr="00592C35">
        <w:rPr>
          <w:rFonts w:eastAsia="Calibri" w:cs="Times New Roman"/>
          <w:sz w:val="24"/>
          <w:szCs w:val="24"/>
        </w:rPr>
        <w:t>. In 2015, 5.8% of Massachusetts residents 16 years of age or older were unemployed, compared to 6.3% for the US.</w:t>
      </w:r>
    </w:p>
    <w:p w14:paraId="48CBC338" w14:textId="4492D907" w:rsidR="00A07B92"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lastRenderedPageBreak/>
        <w:t>Following national patterns, a greater share of younger individuals were unemployed in 2011-2015. A total of 21.1% of Massachusetts residents 16-19 years of age were unemployed and 12% of persons 20-24 years of age were unemployed.</w:t>
      </w:r>
    </w:p>
    <w:p w14:paraId="5E4A28FB" w14:textId="429D086A"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 </w:t>
      </w:r>
      <w:r w:rsidR="00A07B92" w:rsidRPr="00592C35">
        <w:rPr>
          <w:rFonts w:eastAsia="Calibri" w:cs="Times New Roman"/>
          <w:color w:val="000000"/>
          <w:sz w:val="24"/>
          <w:szCs w:val="24"/>
        </w:rPr>
        <w:t>Overall, several key informant interview and focus group participants expressed concern that even though the state enjoys relatively low unemployment and economic growth has occurred in depressed communities, employment challenges for low-wage workers still exist.</w:t>
      </w:r>
    </w:p>
    <w:p w14:paraId="1E439E84" w14:textId="259E3D29" w:rsidR="001B52C7" w:rsidRPr="00592C35" w:rsidRDefault="001B52C7" w:rsidP="00B67293">
      <w:pPr>
        <w:spacing w:before="0" w:line="360" w:lineRule="auto"/>
        <w:ind w:left="0" w:right="0"/>
        <w:jc w:val="center"/>
        <w:rPr>
          <w:rFonts w:eastAsia="Calibri" w:cs="Times New Roman"/>
          <w:smallCaps/>
          <w:sz w:val="24"/>
          <w:szCs w:val="24"/>
        </w:rPr>
      </w:pPr>
      <w:r w:rsidRPr="00592C35">
        <w:rPr>
          <w:rFonts w:eastAsia="Calibri" w:cs="Times New Roman"/>
          <w:b/>
          <w:noProof w:val="0"/>
          <w:sz w:val="24"/>
          <w:szCs w:val="24"/>
        </w:rPr>
        <w:t>Figure 1.13</w:t>
      </w:r>
    </w:p>
    <w:p w14:paraId="2324E57A" w14:textId="7EA88E21" w:rsidR="001B52C7" w:rsidRPr="00592C35" w:rsidRDefault="001B52C7" w:rsidP="00B67293">
      <w:pPr>
        <w:numPr>
          <w:ilvl w:val="1"/>
          <w:numId w:val="0"/>
        </w:numPr>
        <w:spacing w:before="0" w:after="0"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Percent of t</w:t>
      </w:r>
      <w:r w:rsidR="008656E4" w:rsidRPr="00592C35">
        <w:rPr>
          <w:rFonts w:eastAsia="Times New Roman" w:cs="Calibri"/>
          <w:b/>
          <w:color w:val="000000"/>
          <w:sz w:val="24"/>
          <w:szCs w:val="24"/>
        </w:rPr>
        <w:t>he Population Age</w:t>
      </w:r>
      <w:r w:rsidR="005225B6" w:rsidRPr="00592C35">
        <w:rPr>
          <w:rFonts w:eastAsia="Times New Roman" w:cs="Calibri"/>
          <w:b/>
          <w:color w:val="000000"/>
          <w:sz w:val="24"/>
          <w:szCs w:val="24"/>
        </w:rPr>
        <w:t>s</w:t>
      </w:r>
      <w:r w:rsidR="008656E4" w:rsidRPr="00592C35">
        <w:rPr>
          <w:rFonts w:eastAsia="Times New Roman" w:cs="Calibri"/>
          <w:b/>
          <w:color w:val="000000"/>
          <w:sz w:val="24"/>
          <w:szCs w:val="24"/>
        </w:rPr>
        <w:t xml:space="preserve"> 16 or Older w</w:t>
      </w:r>
      <w:r w:rsidRPr="00592C35">
        <w:rPr>
          <w:rFonts w:eastAsia="Times New Roman" w:cs="Calibri"/>
          <w:b/>
          <w:color w:val="000000"/>
          <w:sz w:val="24"/>
          <w:szCs w:val="24"/>
        </w:rPr>
        <w:t>ho are Unemployed, by Age Group, US and Massachusetts, 2011-2015</w:t>
      </w:r>
    </w:p>
    <w:p w14:paraId="598443A6" w14:textId="3B843993" w:rsidR="001B52C7" w:rsidRPr="00592C35" w:rsidRDefault="00DC78E8" w:rsidP="00B67293">
      <w:pPr>
        <w:spacing w:line="360" w:lineRule="auto"/>
        <w:ind w:right="-360"/>
        <w:contextualSpacing/>
        <w:jc w:val="center"/>
        <w:rPr>
          <w:rFonts w:eastAsia="Calibri" w:cs="Times New Roman"/>
          <w:sz w:val="24"/>
          <w:szCs w:val="24"/>
        </w:rPr>
      </w:pPr>
      <w:r w:rsidRPr="00592C35">
        <w:rPr>
          <w:sz w:val="24"/>
          <w:szCs w:val="24"/>
        </w:rPr>
        <w:drawing>
          <wp:inline distT="0" distB="0" distL="0" distR="0" wp14:anchorId="5AA18B00" wp14:editId="568F8798">
            <wp:extent cx="5105400" cy="2662238"/>
            <wp:effectExtent l="0" t="0" r="0" b="5080"/>
            <wp:docPr id="120" name="Chart 120" descr="This vertical bar graphs show the percent of the population aged 16 or older who were unemployed differed by age group. For those 16-19 years old, it is 25% for the US vs. 21% for MA. For those 20-24 years old, it is 14% for the US vs. 12% for MA. For those 25-29 years old, it is 10% for the US vs. 8% for MA. For those 30-34 years old, it is 8% for the US vs. 7% for MA. For those 35-44 years old, it is 7% for the US vs. 7% for MA. For those 45-54 years old, it is 7% for the US vs. 7% for MA. For those 55-59 years old, it is 7% for the US vs. 7% for MA. For those 60-64 years old, it is 7% for the US vs. 7% for MA. For those 65-74 years old, it is 7% for the US vs. 7% for MA. For those 75 and older, it is 7% for the US vs. 7% for M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BE31B5-9BE5-4F84-A9F9-2152B2823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241856"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42D1096E" w14:textId="33F4E3E1" w:rsidR="001B52C7" w:rsidRPr="00592C35" w:rsidRDefault="001B52C7" w:rsidP="00B67293">
      <w:pPr>
        <w:spacing w:line="360" w:lineRule="auto"/>
        <w:ind w:right="-360"/>
        <w:rPr>
          <w:rFonts w:eastAsia="Calibri" w:cs="Times New Roman"/>
          <w:i/>
          <w:color w:val="000000"/>
          <w:sz w:val="24"/>
          <w:szCs w:val="24"/>
        </w:rPr>
      </w:pPr>
      <w:r w:rsidRPr="00592C35">
        <w:rPr>
          <w:rFonts w:eastAsia="Calibri" w:cs="Times New Roman"/>
          <w:color w:val="000000"/>
          <w:sz w:val="24"/>
          <w:szCs w:val="24"/>
        </w:rPr>
        <w:t>As one k</w:t>
      </w:r>
      <w:r w:rsidR="005E7BFB" w:rsidRPr="00592C35">
        <w:rPr>
          <w:rFonts w:eastAsia="Calibri" w:cs="Times New Roman"/>
          <w:color w:val="000000"/>
          <w:sz w:val="24"/>
          <w:szCs w:val="24"/>
        </w:rPr>
        <w:t>ey informant interviewee stated,</w:t>
      </w:r>
      <w:r w:rsidRPr="00592C35">
        <w:rPr>
          <w:rFonts w:eastAsia="Calibri" w:cs="Times New Roman"/>
          <w:color w:val="000000"/>
          <w:sz w:val="24"/>
          <w:szCs w:val="24"/>
        </w:rPr>
        <w:t xml:space="preserve"> </w:t>
      </w:r>
      <w:r w:rsidRPr="00592C35">
        <w:rPr>
          <w:rFonts w:eastAsia="Calibri" w:cs="Times New Roman"/>
          <w:i/>
          <w:color w:val="000000"/>
          <w:sz w:val="24"/>
          <w:szCs w:val="24"/>
        </w:rPr>
        <w:t xml:space="preserve">“We have low levels of unemployment in our county - but the problem is sustainable employment for low-wage workers, who often face barriers to transportation and childcare.” </w:t>
      </w:r>
    </w:p>
    <w:p w14:paraId="68638CDC" w14:textId="77777777" w:rsidR="001B52C7" w:rsidRPr="00B67293" w:rsidRDefault="001B52C7" w:rsidP="00B67293">
      <w:pPr>
        <w:keepNext/>
        <w:keepLines/>
        <w:spacing w:before="240" w:after="0" w:line="360" w:lineRule="auto"/>
        <w:ind w:right="-360"/>
        <w:jc w:val="left"/>
        <w:outlineLvl w:val="2"/>
        <w:rPr>
          <w:rFonts w:eastAsia="Times New Roman" w:cs="Times New Roman"/>
          <w:b/>
          <w:color w:val="2F5496"/>
          <w:sz w:val="30"/>
          <w:szCs w:val="30"/>
        </w:rPr>
      </w:pPr>
      <w:r w:rsidRPr="00B67293">
        <w:rPr>
          <w:rFonts w:eastAsia="Times New Roman" w:cs="Times New Roman"/>
          <w:b/>
          <w:color w:val="000000"/>
          <w:sz w:val="30"/>
          <w:szCs w:val="30"/>
        </w:rPr>
        <w:lastRenderedPageBreak/>
        <w:t>Education</w:t>
      </w:r>
    </w:p>
    <w:p w14:paraId="4E1FD433" w14:textId="47B7B43F" w:rsidR="001B52C7" w:rsidRPr="00592C35" w:rsidRDefault="001B52C7" w:rsidP="00B67293">
      <w:pPr>
        <w:keepNext/>
        <w:keepLines/>
        <w:spacing w:line="360" w:lineRule="auto"/>
        <w:ind w:right="-360"/>
        <w:rPr>
          <w:rFonts w:eastAsia="Calibri" w:cs="Times New Roman"/>
          <w:sz w:val="24"/>
          <w:szCs w:val="24"/>
        </w:rPr>
      </w:pPr>
      <w:r w:rsidRPr="00592C35">
        <w:rPr>
          <w:rFonts w:eastAsia="Calibri" w:cs="Times New Roman"/>
          <w:sz w:val="24"/>
          <w:szCs w:val="24"/>
        </w:rPr>
        <w:t>With 40.5% of adults 25 years of age and older having a college education or higher in 2011-2015, Massachusetts ranks first in the nation in percentage of individuals who have at least a bachelor’s degree.</w:t>
      </w:r>
      <w:r w:rsidRPr="00592C35">
        <w:rPr>
          <w:rFonts w:eastAsia="Calibri" w:cs="Times New Roman"/>
          <w:sz w:val="24"/>
          <w:szCs w:val="24"/>
          <w:vertAlign w:val="superscript"/>
        </w:rPr>
        <w:endnoteReference w:id="13"/>
      </w:r>
      <w:r w:rsidRPr="00592C35">
        <w:rPr>
          <w:rFonts w:eastAsia="Calibri" w:cs="Times New Roman"/>
          <w:sz w:val="24"/>
          <w:szCs w:val="24"/>
        </w:rPr>
        <w:t xml:space="preserve"> Another quarter (25.4%) of Massachusetts residents have graduated from high school, and 23.9% have attende</w:t>
      </w:r>
      <w:r w:rsidR="00652B4B" w:rsidRPr="00592C35">
        <w:rPr>
          <w:rFonts w:eastAsia="Calibri" w:cs="Times New Roman"/>
          <w:sz w:val="24"/>
          <w:szCs w:val="24"/>
        </w:rPr>
        <w:t>d some college or completed an a</w:t>
      </w:r>
      <w:r w:rsidRPr="00592C35">
        <w:rPr>
          <w:rFonts w:eastAsia="Calibri" w:cs="Times New Roman"/>
          <w:sz w:val="24"/>
          <w:szCs w:val="24"/>
        </w:rPr>
        <w:t>ssociate’s degree</w:t>
      </w:r>
      <w:r w:rsidR="00652B4B" w:rsidRPr="00592C35">
        <w:rPr>
          <w:rFonts w:eastAsia="Calibri" w:cs="Times New Roman"/>
          <w:sz w:val="24"/>
          <w:szCs w:val="24"/>
        </w:rPr>
        <w:t xml:space="preserve"> (AD)</w:t>
      </w:r>
      <w:r w:rsidRPr="00592C35">
        <w:rPr>
          <w:rFonts w:eastAsia="Calibri" w:cs="Times New Roman"/>
          <w:sz w:val="24"/>
          <w:szCs w:val="24"/>
        </w:rPr>
        <w:t>.</w:t>
      </w:r>
    </w:p>
    <w:p w14:paraId="361C812B" w14:textId="5BAAA42D" w:rsidR="001B52C7" w:rsidRPr="00592C35" w:rsidRDefault="0095398C" w:rsidP="00B67293">
      <w:pPr>
        <w:spacing w:line="360" w:lineRule="auto"/>
        <w:ind w:right="-360"/>
        <w:rPr>
          <w:rFonts w:eastAsia="Calibri" w:cs="Times New Roman"/>
          <w:sz w:val="24"/>
          <w:szCs w:val="24"/>
        </w:rPr>
      </w:pPr>
      <w:r w:rsidRPr="00592C35">
        <w:rPr>
          <w:rFonts w:eastAsia="Calibri" w:cs="Times New Roman"/>
          <w:sz w:val="24"/>
          <w:szCs w:val="24"/>
        </w:rPr>
        <w:t xml:space="preserve">As shown in </w:t>
      </w:r>
      <w:r w:rsidRPr="00592C35">
        <w:rPr>
          <w:rFonts w:eastAsia="Calibri" w:cs="Times New Roman"/>
          <w:b/>
          <w:sz w:val="24"/>
          <w:szCs w:val="24"/>
        </w:rPr>
        <w:t>Figure 1.1</w:t>
      </w:r>
      <w:r w:rsidR="007C6D54" w:rsidRPr="00592C35">
        <w:rPr>
          <w:rFonts w:eastAsia="Calibri" w:cs="Times New Roman"/>
          <w:b/>
          <w:sz w:val="24"/>
          <w:szCs w:val="24"/>
        </w:rPr>
        <w:t>4</w:t>
      </w:r>
      <w:r w:rsidRPr="00592C35">
        <w:rPr>
          <w:rFonts w:eastAsia="Calibri" w:cs="Times New Roman"/>
          <w:sz w:val="24"/>
          <w:szCs w:val="24"/>
        </w:rPr>
        <w:t>, t</w:t>
      </w:r>
      <w:r w:rsidR="001B52C7" w:rsidRPr="00592C35">
        <w:rPr>
          <w:rFonts w:eastAsia="Calibri" w:cs="Times New Roman"/>
          <w:sz w:val="24"/>
          <w:szCs w:val="24"/>
        </w:rPr>
        <w:t xml:space="preserve">hese educational achievements are not shared equally across racial/ethnic groups. While more than half (57.5%) of Asian non-Hispanic residents and two in five (43.1%) White non-Hispanic residents have a college education or higher, only 23.4% of Black non-Hispanic and 17.5% of Hispanic residents have at least a college education.  </w:t>
      </w:r>
    </w:p>
    <w:p w14:paraId="7E9423E3" w14:textId="226096F4" w:rsidR="00AC171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Education was noted as a strength in several areas of the state. One theme that emerged frequently was the need for more community education on health and prevention, at the appropriate health literacy level, specifically for school-aged children. </w:t>
      </w:r>
    </w:p>
    <w:p w14:paraId="6E8BE15C" w14:textId="77777777" w:rsidR="00AC1715" w:rsidRDefault="00AC1715">
      <w:pPr>
        <w:spacing w:before="0"/>
        <w:ind w:left="0" w:right="0"/>
        <w:jc w:val="left"/>
        <w:rPr>
          <w:rFonts w:eastAsia="Calibri" w:cs="Times New Roman"/>
          <w:sz w:val="24"/>
          <w:szCs w:val="24"/>
        </w:rPr>
      </w:pPr>
      <w:r>
        <w:rPr>
          <w:rFonts w:eastAsia="Calibri" w:cs="Times New Roman"/>
          <w:sz w:val="24"/>
          <w:szCs w:val="24"/>
        </w:rPr>
        <w:br w:type="page"/>
      </w:r>
    </w:p>
    <w:p w14:paraId="2927E9B8" w14:textId="607EBAF1" w:rsidR="001B52C7" w:rsidRPr="00592C35" w:rsidRDefault="001B52C7" w:rsidP="00B67293">
      <w:pPr>
        <w:spacing w:before="0" w:line="360" w:lineRule="auto"/>
        <w:ind w:left="0" w:right="0"/>
        <w:jc w:val="center"/>
        <w:rPr>
          <w:rFonts w:eastAsia="Calibri" w:cs="Times New Roman"/>
          <w:b/>
          <w:noProof w:val="0"/>
          <w:sz w:val="24"/>
          <w:szCs w:val="24"/>
        </w:rPr>
      </w:pPr>
      <w:r w:rsidRPr="00592C35">
        <w:rPr>
          <w:rFonts w:eastAsia="Calibri" w:cs="Times New Roman"/>
          <w:b/>
          <w:noProof w:val="0"/>
          <w:sz w:val="24"/>
          <w:szCs w:val="24"/>
        </w:rPr>
        <w:lastRenderedPageBreak/>
        <w:t>Figure 1.14</w:t>
      </w:r>
    </w:p>
    <w:p w14:paraId="0415B6C4" w14:textId="7220382F" w:rsidR="00652B4B" w:rsidRPr="00592C35" w:rsidRDefault="00925A89" w:rsidP="00B67293">
      <w:pPr>
        <w:numPr>
          <w:ilvl w:val="1"/>
          <w:numId w:val="0"/>
        </w:numPr>
        <w:spacing w:line="360" w:lineRule="auto"/>
        <w:ind w:left="-360" w:right="-360"/>
        <w:contextualSpacing/>
        <w:jc w:val="center"/>
        <w:rPr>
          <w:rFonts w:eastAsia="Times New Roman" w:cs="Calibri"/>
          <w:b/>
          <w:color w:val="000000"/>
          <w:sz w:val="24"/>
          <w:szCs w:val="24"/>
        </w:rPr>
      </w:pPr>
      <w:r w:rsidRPr="00592C35">
        <w:rPr>
          <w:rFonts w:eastAsia="Times New Roman" w:cs="Calibri"/>
          <w:b/>
          <w:color w:val="000000"/>
          <w:sz w:val="24"/>
          <w:szCs w:val="24"/>
        </w:rPr>
        <w:t>Educational Attainment a</w:t>
      </w:r>
      <w:r w:rsidR="001B52C7" w:rsidRPr="00592C35">
        <w:rPr>
          <w:rFonts w:eastAsia="Times New Roman" w:cs="Calibri"/>
          <w:b/>
          <w:color w:val="000000"/>
          <w:sz w:val="24"/>
          <w:szCs w:val="24"/>
        </w:rPr>
        <w:t>mong Population 25 Years of Age or Older, by R</w:t>
      </w:r>
      <w:r w:rsidR="00652B4B" w:rsidRPr="00592C35">
        <w:rPr>
          <w:rFonts w:eastAsia="Times New Roman" w:cs="Calibri"/>
          <w:b/>
          <w:color w:val="000000"/>
          <w:sz w:val="24"/>
          <w:szCs w:val="24"/>
        </w:rPr>
        <w:t xml:space="preserve">ace/Ethnicity, </w:t>
      </w:r>
    </w:p>
    <w:p w14:paraId="30C13DF8" w14:textId="62AD48E2" w:rsidR="00652B4B" w:rsidRPr="00592C35" w:rsidRDefault="001B52C7" w:rsidP="00B67293">
      <w:pPr>
        <w:numPr>
          <w:ilvl w:val="1"/>
          <w:numId w:val="0"/>
        </w:numPr>
        <w:spacing w:line="360" w:lineRule="auto"/>
        <w:ind w:left="-360" w:right="-360"/>
        <w:contextualSpacing/>
        <w:jc w:val="center"/>
        <w:rPr>
          <w:rFonts w:eastAsia="Times New Roman" w:cs="Calibri"/>
          <w:b/>
          <w:color w:val="000000"/>
          <w:sz w:val="24"/>
          <w:szCs w:val="24"/>
        </w:rPr>
      </w:pPr>
      <w:r w:rsidRPr="00592C35">
        <w:rPr>
          <w:rFonts w:eastAsia="Times New Roman" w:cs="Calibri"/>
          <w:b/>
          <w:color w:val="000000"/>
          <w:sz w:val="24"/>
          <w:szCs w:val="24"/>
        </w:rPr>
        <w:t>Massachusetts, 2011-2015</w:t>
      </w:r>
    </w:p>
    <w:tbl>
      <w:tblPr>
        <w:tblW w:w="5160" w:type="pct"/>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74"/>
        <w:gridCol w:w="1530"/>
        <w:gridCol w:w="1802"/>
        <w:gridCol w:w="1530"/>
        <w:gridCol w:w="1889"/>
      </w:tblGrid>
      <w:tr w:rsidR="001B52C7" w:rsidRPr="00592C35" w14:paraId="62D36314" w14:textId="77777777" w:rsidTr="00EC76C6">
        <w:trPr>
          <w:trHeight w:val="315"/>
          <w:jc w:val="center"/>
        </w:trPr>
        <w:tc>
          <w:tcPr>
            <w:tcW w:w="1823" w:type="pct"/>
            <w:tcBorders>
              <w:top w:val="single" w:sz="8" w:space="0" w:color="auto"/>
              <w:bottom w:val="nil"/>
              <w:right w:val="nil"/>
            </w:tcBorders>
            <w:shd w:val="clear" w:color="auto" w:fill="C6DBEF"/>
            <w:noWrap/>
            <w:vAlign w:val="bottom"/>
            <w:hideMark/>
          </w:tcPr>
          <w:p w14:paraId="1353C520" w14:textId="77777777" w:rsidR="001B52C7" w:rsidRPr="00592C35" w:rsidRDefault="001B52C7" w:rsidP="00B67293">
            <w:pPr>
              <w:spacing w:after="0" w:line="360" w:lineRule="auto"/>
              <w:ind w:left="255" w:right="-360"/>
              <w:rPr>
                <w:rFonts w:eastAsia="Times New Roman" w:cs="Calibri"/>
                <w:noProof w:val="0"/>
                <w:color w:val="000000"/>
                <w:sz w:val="24"/>
                <w:szCs w:val="24"/>
              </w:rPr>
            </w:pPr>
          </w:p>
        </w:tc>
        <w:tc>
          <w:tcPr>
            <w:tcW w:w="720" w:type="pct"/>
            <w:tcBorders>
              <w:left w:val="nil"/>
            </w:tcBorders>
            <w:shd w:val="clear" w:color="auto" w:fill="C6DBEF"/>
            <w:noWrap/>
            <w:vAlign w:val="bottom"/>
            <w:hideMark/>
          </w:tcPr>
          <w:p w14:paraId="0FBE1A4B" w14:textId="77777777" w:rsidR="001B52C7" w:rsidRPr="00592C35" w:rsidRDefault="001B52C7" w:rsidP="00B67293">
            <w:pPr>
              <w:spacing w:after="0" w:line="360" w:lineRule="auto"/>
              <w:ind w:right="-360"/>
              <w:jc w:val="center"/>
              <w:rPr>
                <w:rFonts w:eastAsia="Times New Roman" w:cs="Calibri"/>
                <w:b/>
                <w:noProof w:val="0"/>
                <w:color w:val="000000"/>
                <w:sz w:val="24"/>
                <w:szCs w:val="24"/>
              </w:rPr>
            </w:pPr>
            <w:r w:rsidRPr="00592C35">
              <w:rPr>
                <w:rFonts w:eastAsia="Times New Roman" w:cs="Calibri"/>
                <w:b/>
                <w:noProof w:val="0"/>
                <w:color w:val="000000"/>
                <w:sz w:val="24"/>
                <w:szCs w:val="24"/>
              </w:rPr>
              <w:t xml:space="preserve">Less than </w:t>
            </w:r>
            <w:r w:rsidRPr="00592C35">
              <w:rPr>
                <w:rFonts w:eastAsia="Times New Roman" w:cs="Calibri"/>
                <w:b/>
                <w:noProof w:val="0"/>
                <w:color w:val="000000"/>
                <w:sz w:val="24"/>
                <w:szCs w:val="24"/>
              </w:rPr>
              <w:br/>
              <w:t>HS Diploma</w:t>
            </w:r>
          </w:p>
        </w:tc>
        <w:tc>
          <w:tcPr>
            <w:tcW w:w="848" w:type="pct"/>
            <w:shd w:val="clear" w:color="auto" w:fill="C6DBEF"/>
            <w:noWrap/>
            <w:vAlign w:val="bottom"/>
            <w:hideMark/>
          </w:tcPr>
          <w:p w14:paraId="0B037588" w14:textId="77777777" w:rsidR="001B52C7" w:rsidRPr="00592C35" w:rsidRDefault="001B52C7"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 xml:space="preserve">HS </w:t>
            </w:r>
          </w:p>
          <w:p w14:paraId="1EC0A46C" w14:textId="77777777" w:rsidR="001B52C7" w:rsidRPr="00592C35" w:rsidRDefault="001B52C7"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Diploma/GED</w:t>
            </w:r>
          </w:p>
        </w:tc>
        <w:tc>
          <w:tcPr>
            <w:tcW w:w="720" w:type="pct"/>
            <w:shd w:val="clear" w:color="auto" w:fill="C6DBEF"/>
            <w:noWrap/>
            <w:vAlign w:val="bottom"/>
            <w:hideMark/>
          </w:tcPr>
          <w:p w14:paraId="5F7077AF" w14:textId="77777777" w:rsidR="001B52C7" w:rsidRPr="00592C35" w:rsidRDefault="001B52C7"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 xml:space="preserve">Some </w:t>
            </w:r>
            <w:r w:rsidRPr="00592C35">
              <w:rPr>
                <w:rFonts w:eastAsia="Times New Roman" w:cs="Calibri"/>
                <w:b/>
                <w:noProof w:val="0"/>
                <w:color w:val="000000"/>
                <w:sz w:val="24"/>
                <w:szCs w:val="24"/>
              </w:rPr>
              <w:br/>
              <w:t>college/</w:t>
            </w:r>
          </w:p>
          <w:p w14:paraId="78AC541B" w14:textId="2435ABC5" w:rsidR="001B52C7" w:rsidRPr="00592C35" w:rsidRDefault="00652B4B"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AD</w:t>
            </w:r>
            <w:r w:rsidR="001B52C7" w:rsidRPr="00592C35">
              <w:rPr>
                <w:rFonts w:eastAsia="Times New Roman" w:cs="Calibri"/>
                <w:b/>
                <w:noProof w:val="0"/>
                <w:color w:val="000000"/>
                <w:sz w:val="24"/>
                <w:szCs w:val="24"/>
              </w:rPr>
              <w:t xml:space="preserve"> degree</w:t>
            </w:r>
          </w:p>
        </w:tc>
        <w:tc>
          <w:tcPr>
            <w:tcW w:w="889" w:type="pct"/>
            <w:shd w:val="clear" w:color="auto" w:fill="C6DBEF"/>
            <w:noWrap/>
            <w:vAlign w:val="bottom"/>
            <w:hideMark/>
          </w:tcPr>
          <w:p w14:paraId="0623805B" w14:textId="77777777" w:rsidR="001B52C7" w:rsidRPr="00592C35" w:rsidRDefault="001B52C7"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 xml:space="preserve">Bachelor's degree </w:t>
            </w:r>
          </w:p>
          <w:p w14:paraId="1AFFCFCB" w14:textId="77777777" w:rsidR="001B52C7" w:rsidRPr="00592C35" w:rsidRDefault="001B52C7" w:rsidP="00B67293">
            <w:pPr>
              <w:spacing w:after="0" w:line="360" w:lineRule="auto"/>
              <w:ind w:right="-360"/>
              <w:contextualSpacing/>
              <w:jc w:val="center"/>
              <w:rPr>
                <w:rFonts w:eastAsia="Times New Roman" w:cs="Calibri"/>
                <w:b/>
                <w:noProof w:val="0"/>
                <w:color w:val="000000"/>
                <w:sz w:val="24"/>
                <w:szCs w:val="24"/>
              </w:rPr>
            </w:pPr>
            <w:r w:rsidRPr="00592C35">
              <w:rPr>
                <w:rFonts w:eastAsia="Times New Roman" w:cs="Calibri"/>
                <w:b/>
                <w:noProof w:val="0"/>
                <w:color w:val="000000"/>
                <w:sz w:val="24"/>
                <w:szCs w:val="24"/>
              </w:rPr>
              <w:t>or higher</w:t>
            </w:r>
          </w:p>
        </w:tc>
      </w:tr>
      <w:tr w:rsidR="001B52C7" w:rsidRPr="00592C35" w14:paraId="3BD9F2DB" w14:textId="77777777" w:rsidTr="00EC76C6">
        <w:trPr>
          <w:trHeight w:val="315"/>
          <w:jc w:val="center"/>
        </w:trPr>
        <w:tc>
          <w:tcPr>
            <w:tcW w:w="1823" w:type="pct"/>
            <w:tcBorders>
              <w:top w:val="nil"/>
              <w:bottom w:val="nil"/>
              <w:right w:val="nil"/>
            </w:tcBorders>
            <w:shd w:val="clear" w:color="auto" w:fill="EFF3FF"/>
            <w:vAlign w:val="center"/>
            <w:hideMark/>
          </w:tcPr>
          <w:p w14:paraId="61EC7EC7"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Black non-Hispanic</w:t>
            </w:r>
          </w:p>
        </w:tc>
        <w:tc>
          <w:tcPr>
            <w:tcW w:w="720" w:type="pct"/>
            <w:tcBorders>
              <w:top w:val="nil"/>
              <w:left w:val="nil"/>
            </w:tcBorders>
            <w:shd w:val="clear" w:color="auto" w:fill="EFF3FF"/>
            <w:noWrap/>
            <w:vAlign w:val="center"/>
            <w:hideMark/>
          </w:tcPr>
          <w:p w14:paraId="48C88AC8"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17.2%</w:t>
            </w:r>
          </w:p>
        </w:tc>
        <w:tc>
          <w:tcPr>
            <w:tcW w:w="848" w:type="pct"/>
            <w:tcBorders>
              <w:top w:val="nil"/>
            </w:tcBorders>
            <w:shd w:val="clear" w:color="auto" w:fill="EFF3FF"/>
            <w:noWrap/>
            <w:vAlign w:val="center"/>
            <w:hideMark/>
          </w:tcPr>
          <w:p w14:paraId="50810979"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28.8%</w:t>
            </w:r>
          </w:p>
        </w:tc>
        <w:tc>
          <w:tcPr>
            <w:tcW w:w="720" w:type="pct"/>
            <w:tcBorders>
              <w:top w:val="nil"/>
            </w:tcBorders>
            <w:shd w:val="clear" w:color="auto" w:fill="EFF3FF"/>
            <w:noWrap/>
            <w:vAlign w:val="center"/>
            <w:hideMark/>
          </w:tcPr>
          <w:p w14:paraId="0155599A"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30.6%</w:t>
            </w:r>
          </w:p>
        </w:tc>
        <w:tc>
          <w:tcPr>
            <w:tcW w:w="889" w:type="pct"/>
            <w:tcBorders>
              <w:top w:val="nil"/>
            </w:tcBorders>
            <w:shd w:val="clear" w:color="auto" w:fill="EFF3FF"/>
            <w:noWrap/>
            <w:vAlign w:val="center"/>
            <w:hideMark/>
          </w:tcPr>
          <w:p w14:paraId="425B18F9"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23.4%</w:t>
            </w:r>
          </w:p>
        </w:tc>
      </w:tr>
      <w:tr w:rsidR="001B52C7" w:rsidRPr="00592C35" w14:paraId="337BC07D" w14:textId="77777777" w:rsidTr="00EC76C6">
        <w:trPr>
          <w:trHeight w:val="315"/>
          <w:jc w:val="center"/>
        </w:trPr>
        <w:tc>
          <w:tcPr>
            <w:tcW w:w="1823" w:type="pct"/>
            <w:tcBorders>
              <w:top w:val="nil"/>
              <w:bottom w:val="nil"/>
              <w:right w:val="nil"/>
            </w:tcBorders>
            <w:shd w:val="clear" w:color="auto" w:fill="auto"/>
            <w:vAlign w:val="center"/>
            <w:hideMark/>
          </w:tcPr>
          <w:p w14:paraId="33469E2A"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Latino (any race)</w:t>
            </w:r>
          </w:p>
        </w:tc>
        <w:tc>
          <w:tcPr>
            <w:tcW w:w="720" w:type="pct"/>
            <w:tcBorders>
              <w:left w:val="nil"/>
            </w:tcBorders>
            <w:shd w:val="clear" w:color="auto" w:fill="auto"/>
            <w:noWrap/>
            <w:vAlign w:val="center"/>
            <w:hideMark/>
          </w:tcPr>
          <w:p w14:paraId="372E8C99"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31.9%</w:t>
            </w:r>
          </w:p>
        </w:tc>
        <w:tc>
          <w:tcPr>
            <w:tcW w:w="848" w:type="pct"/>
            <w:shd w:val="clear" w:color="auto" w:fill="auto"/>
            <w:noWrap/>
            <w:vAlign w:val="center"/>
            <w:hideMark/>
          </w:tcPr>
          <w:p w14:paraId="0FD48D2C"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28.9%</w:t>
            </w:r>
          </w:p>
        </w:tc>
        <w:tc>
          <w:tcPr>
            <w:tcW w:w="720" w:type="pct"/>
            <w:shd w:val="clear" w:color="auto" w:fill="auto"/>
            <w:noWrap/>
            <w:vAlign w:val="center"/>
            <w:hideMark/>
          </w:tcPr>
          <w:p w14:paraId="68387E50"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21.8%</w:t>
            </w:r>
          </w:p>
        </w:tc>
        <w:tc>
          <w:tcPr>
            <w:tcW w:w="889" w:type="pct"/>
            <w:shd w:val="clear" w:color="auto" w:fill="auto"/>
            <w:noWrap/>
            <w:vAlign w:val="center"/>
            <w:hideMark/>
          </w:tcPr>
          <w:p w14:paraId="5A52BF24"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17.5%</w:t>
            </w:r>
          </w:p>
        </w:tc>
      </w:tr>
      <w:tr w:rsidR="001B52C7" w:rsidRPr="00592C35" w14:paraId="329E0737" w14:textId="77777777" w:rsidTr="00EC76C6">
        <w:trPr>
          <w:trHeight w:val="315"/>
          <w:jc w:val="center"/>
        </w:trPr>
        <w:tc>
          <w:tcPr>
            <w:tcW w:w="1823" w:type="pct"/>
            <w:tcBorders>
              <w:top w:val="nil"/>
              <w:bottom w:val="nil"/>
              <w:right w:val="nil"/>
            </w:tcBorders>
            <w:shd w:val="clear" w:color="auto" w:fill="EFF3FF"/>
            <w:vAlign w:val="center"/>
            <w:hideMark/>
          </w:tcPr>
          <w:p w14:paraId="2D945148"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American Indian/Alaska Native</w:t>
            </w:r>
          </w:p>
        </w:tc>
        <w:tc>
          <w:tcPr>
            <w:tcW w:w="720" w:type="pct"/>
            <w:tcBorders>
              <w:left w:val="nil"/>
            </w:tcBorders>
            <w:shd w:val="clear" w:color="auto" w:fill="EFF3FF"/>
            <w:noWrap/>
            <w:vAlign w:val="center"/>
            <w:hideMark/>
          </w:tcPr>
          <w:p w14:paraId="2DFEF0C7" w14:textId="6F19E0F2"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21.2%</w:t>
            </w:r>
          </w:p>
        </w:tc>
        <w:tc>
          <w:tcPr>
            <w:tcW w:w="848" w:type="pct"/>
            <w:shd w:val="clear" w:color="auto" w:fill="EFF3FF"/>
            <w:noWrap/>
            <w:vAlign w:val="center"/>
            <w:hideMark/>
          </w:tcPr>
          <w:p w14:paraId="2867CFEC"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31.0%</w:t>
            </w:r>
          </w:p>
        </w:tc>
        <w:tc>
          <w:tcPr>
            <w:tcW w:w="720" w:type="pct"/>
            <w:shd w:val="clear" w:color="auto" w:fill="EFF3FF"/>
            <w:noWrap/>
            <w:vAlign w:val="center"/>
            <w:hideMark/>
          </w:tcPr>
          <w:p w14:paraId="31A04B1B"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28.9%</w:t>
            </w:r>
          </w:p>
        </w:tc>
        <w:tc>
          <w:tcPr>
            <w:tcW w:w="889" w:type="pct"/>
            <w:shd w:val="clear" w:color="auto" w:fill="EFF3FF"/>
            <w:noWrap/>
            <w:vAlign w:val="center"/>
            <w:hideMark/>
          </w:tcPr>
          <w:p w14:paraId="6D6E1163"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18.9%</w:t>
            </w:r>
          </w:p>
        </w:tc>
      </w:tr>
      <w:tr w:rsidR="001B52C7" w:rsidRPr="00592C35" w14:paraId="27F212C5" w14:textId="77777777" w:rsidTr="00EC76C6">
        <w:trPr>
          <w:trHeight w:val="315"/>
          <w:jc w:val="center"/>
        </w:trPr>
        <w:tc>
          <w:tcPr>
            <w:tcW w:w="1823" w:type="pct"/>
            <w:tcBorders>
              <w:top w:val="nil"/>
              <w:bottom w:val="nil"/>
              <w:right w:val="nil"/>
            </w:tcBorders>
            <w:shd w:val="clear" w:color="auto" w:fill="auto"/>
            <w:vAlign w:val="center"/>
            <w:hideMark/>
          </w:tcPr>
          <w:p w14:paraId="73879362"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Asian</w:t>
            </w:r>
          </w:p>
        </w:tc>
        <w:tc>
          <w:tcPr>
            <w:tcW w:w="720" w:type="pct"/>
            <w:tcBorders>
              <w:left w:val="nil"/>
            </w:tcBorders>
            <w:shd w:val="clear" w:color="auto" w:fill="auto"/>
            <w:noWrap/>
            <w:vAlign w:val="center"/>
            <w:hideMark/>
          </w:tcPr>
          <w:p w14:paraId="332DFE9A"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15.8%</w:t>
            </w:r>
          </w:p>
        </w:tc>
        <w:tc>
          <w:tcPr>
            <w:tcW w:w="848" w:type="pct"/>
            <w:shd w:val="clear" w:color="auto" w:fill="auto"/>
            <w:noWrap/>
            <w:vAlign w:val="center"/>
            <w:hideMark/>
          </w:tcPr>
          <w:p w14:paraId="068D3849"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15.0%</w:t>
            </w:r>
          </w:p>
        </w:tc>
        <w:tc>
          <w:tcPr>
            <w:tcW w:w="720" w:type="pct"/>
            <w:shd w:val="clear" w:color="auto" w:fill="auto"/>
            <w:noWrap/>
            <w:vAlign w:val="center"/>
            <w:hideMark/>
          </w:tcPr>
          <w:p w14:paraId="72B4EFEE"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11.7%</w:t>
            </w:r>
          </w:p>
        </w:tc>
        <w:tc>
          <w:tcPr>
            <w:tcW w:w="889" w:type="pct"/>
            <w:shd w:val="clear" w:color="auto" w:fill="auto"/>
            <w:noWrap/>
            <w:vAlign w:val="center"/>
            <w:hideMark/>
          </w:tcPr>
          <w:p w14:paraId="22656C22"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57.5%</w:t>
            </w:r>
          </w:p>
        </w:tc>
      </w:tr>
      <w:tr w:rsidR="001B52C7" w:rsidRPr="00592C35" w14:paraId="6BCE825E" w14:textId="77777777" w:rsidTr="00EC76C6">
        <w:trPr>
          <w:trHeight w:val="315"/>
          <w:jc w:val="center"/>
        </w:trPr>
        <w:tc>
          <w:tcPr>
            <w:tcW w:w="1823" w:type="pct"/>
            <w:tcBorders>
              <w:top w:val="nil"/>
              <w:bottom w:val="nil"/>
              <w:right w:val="nil"/>
            </w:tcBorders>
            <w:shd w:val="clear" w:color="auto" w:fill="EFF3FF"/>
            <w:vAlign w:val="center"/>
            <w:hideMark/>
          </w:tcPr>
          <w:p w14:paraId="0CC6CECF"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White non-Hispanic</w:t>
            </w:r>
          </w:p>
        </w:tc>
        <w:tc>
          <w:tcPr>
            <w:tcW w:w="720" w:type="pct"/>
            <w:tcBorders>
              <w:left w:val="nil"/>
            </w:tcBorders>
            <w:shd w:val="clear" w:color="auto" w:fill="EFF3FF"/>
            <w:noWrap/>
            <w:vAlign w:val="center"/>
            <w:hideMark/>
          </w:tcPr>
          <w:p w14:paraId="41F89A5D"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6.9%</w:t>
            </w:r>
          </w:p>
        </w:tc>
        <w:tc>
          <w:tcPr>
            <w:tcW w:w="848" w:type="pct"/>
            <w:shd w:val="clear" w:color="auto" w:fill="EFF3FF"/>
            <w:noWrap/>
            <w:vAlign w:val="center"/>
            <w:hideMark/>
          </w:tcPr>
          <w:p w14:paraId="7946C057"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25.4%</w:t>
            </w:r>
          </w:p>
        </w:tc>
        <w:tc>
          <w:tcPr>
            <w:tcW w:w="720" w:type="pct"/>
            <w:shd w:val="clear" w:color="auto" w:fill="EFF3FF"/>
            <w:noWrap/>
            <w:vAlign w:val="center"/>
            <w:hideMark/>
          </w:tcPr>
          <w:p w14:paraId="2A4DD2A7"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24.5%</w:t>
            </w:r>
          </w:p>
        </w:tc>
        <w:tc>
          <w:tcPr>
            <w:tcW w:w="889" w:type="pct"/>
            <w:shd w:val="clear" w:color="auto" w:fill="EFF3FF"/>
            <w:noWrap/>
            <w:vAlign w:val="center"/>
            <w:hideMark/>
          </w:tcPr>
          <w:p w14:paraId="06970CB0"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43.1%</w:t>
            </w:r>
          </w:p>
        </w:tc>
      </w:tr>
      <w:tr w:rsidR="001B52C7" w:rsidRPr="00592C35" w14:paraId="7503183E" w14:textId="77777777" w:rsidTr="00EC76C6">
        <w:trPr>
          <w:trHeight w:val="450"/>
          <w:jc w:val="center"/>
        </w:trPr>
        <w:tc>
          <w:tcPr>
            <w:tcW w:w="1823" w:type="pct"/>
            <w:tcBorders>
              <w:top w:val="nil"/>
              <w:bottom w:val="nil"/>
              <w:right w:val="nil"/>
            </w:tcBorders>
            <w:shd w:val="clear" w:color="auto" w:fill="auto"/>
            <w:vAlign w:val="center"/>
            <w:hideMark/>
          </w:tcPr>
          <w:p w14:paraId="780C42B4" w14:textId="77777777" w:rsidR="00AC171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Native Hawaiian/Other</w:t>
            </w:r>
          </w:p>
          <w:p w14:paraId="6C6C4675" w14:textId="7451FBE1"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Pacific Islander</w:t>
            </w:r>
          </w:p>
        </w:tc>
        <w:tc>
          <w:tcPr>
            <w:tcW w:w="720" w:type="pct"/>
            <w:tcBorders>
              <w:left w:val="nil"/>
            </w:tcBorders>
            <w:shd w:val="clear" w:color="auto" w:fill="auto"/>
            <w:noWrap/>
            <w:vAlign w:val="center"/>
            <w:hideMark/>
          </w:tcPr>
          <w:p w14:paraId="10D7EF84"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13.3%</w:t>
            </w:r>
          </w:p>
        </w:tc>
        <w:tc>
          <w:tcPr>
            <w:tcW w:w="848" w:type="pct"/>
            <w:shd w:val="clear" w:color="auto" w:fill="auto"/>
            <w:noWrap/>
            <w:vAlign w:val="center"/>
            <w:hideMark/>
          </w:tcPr>
          <w:p w14:paraId="470C5BEA"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14.0%</w:t>
            </w:r>
          </w:p>
        </w:tc>
        <w:tc>
          <w:tcPr>
            <w:tcW w:w="720" w:type="pct"/>
            <w:shd w:val="clear" w:color="auto" w:fill="auto"/>
            <w:noWrap/>
            <w:vAlign w:val="center"/>
            <w:hideMark/>
          </w:tcPr>
          <w:p w14:paraId="402F0C5B"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44.4%</w:t>
            </w:r>
          </w:p>
        </w:tc>
        <w:tc>
          <w:tcPr>
            <w:tcW w:w="889" w:type="pct"/>
            <w:shd w:val="clear" w:color="auto" w:fill="auto"/>
            <w:noWrap/>
            <w:vAlign w:val="center"/>
            <w:hideMark/>
          </w:tcPr>
          <w:p w14:paraId="67F9CB8F"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28.3%</w:t>
            </w:r>
          </w:p>
        </w:tc>
      </w:tr>
      <w:tr w:rsidR="001B52C7" w:rsidRPr="00592C35" w14:paraId="1A188D55" w14:textId="77777777" w:rsidTr="00EC76C6">
        <w:trPr>
          <w:trHeight w:val="315"/>
          <w:jc w:val="center"/>
        </w:trPr>
        <w:tc>
          <w:tcPr>
            <w:tcW w:w="1823" w:type="pct"/>
            <w:tcBorders>
              <w:top w:val="nil"/>
              <w:bottom w:val="nil"/>
              <w:right w:val="nil"/>
            </w:tcBorders>
            <w:shd w:val="clear" w:color="auto" w:fill="EFF3FF"/>
            <w:vAlign w:val="center"/>
            <w:hideMark/>
          </w:tcPr>
          <w:p w14:paraId="12C606ED"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Other</w:t>
            </w:r>
          </w:p>
        </w:tc>
        <w:tc>
          <w:tcPr>
            <w:tcW w:w="720" w:type="pct"/>
            <w:tcBorders>
              <w:left w:val="nil"/>
            </w:tcBorders>
            <w:shd w:val="clear" w:color="auto" w:fill="EFF3FF"/>
            <w:noWrap/>
            <w:vAlign w:val="center"/>
            <w:hideMark/>
          </w:tcPr>
          <w:p w14:paraId="52046413"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34.8%</w:t>
            </w:r>
          </w:p>
        </w:tc>
        <w:tc>
          <w:tcPr>
            <w:tcW w:w="848" w:type="pct"/>
            <w:shd w:val="clear" w:color="auto" w:fill="EFF3FF"/>
            <w:noWrap/>
            <w:vAlign w:val="center"/>
            <w:hideMark/>
          </w:tcPr>
          <w:p w14:paraId="0D800CAA"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31.5%</w:t>
            </w:r>
          </w:p>
        </w:tc>
        <w:tc>
          <w:tcPr>
            <w:tcW w:w="720" w:type="pct"/>
            <w:shd w:val="clear" w:color="auto" w:fill="EFF3FF"/>
            <w:noWrap/>
            <w:vAlign w:val="center"/>
            <w:hideMark/>
          </w:tcPr>
          <w:p w14:paraId="04728E7C"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21.6%</w:t>
            </w:r>
          </w:p>
        </w:tc>
        <w:tc>
          <w:tcPr>
            <w:tcW w:w="889" w:type="pct"/>
            <w:shd w:val="clear" w:color="auto" w:fill="EFF3FF"/>
            <w:noWrap/>
            <w:vAlign w:val="center"/>
            <w:hideMark/>
          </w:tcPr>
          <w:p w14:paraId="39D0CB6B"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12.1%</w:t>
            </w:r>
          </w:p>
        </w:tc>
      </w:tr>
      <w:tr w:rsidR="001B52C7" w:rsidRPr="00592C35" w14:paraId="01208903" w14:textId="77777777" w:rsidTr="00EC76C6">
        <w:trPr>
          <w:trHeight w:val="315"/>
          <w:jc w:val="center"/>
        </w:trPr>
        <w:tc>
          <w:tcPr>
            <w:tcW w:w="1823" w:type="pct"/>
            <w:tcBorders>
              <w:top w:val="nil"/>
              <w:bottom w:val="single" w:sz="8" w:space="0" w:color="auto"/>
              <w:right w:val="nil"/>
            </w:tcBorders>
            <w:shd w:val="clear" w:color="auto" w:fill="auto"/>
            <w:vAlign w:val="center"/>
            <w:hideMark/>
          </w:tcPr>
          <w:p w14:paraId="3AF2B7F7" w14:textId="77777777" w:rsidR="001B52C7" w:rsidRPr="00592C35" w:rsidRDefault="001B52C7" w:rsidP="00B67293">
            <w:pPr>
              <w:spacing w:after="0" w:line="360" w:lineRule="auto"/>
              <w:ind w:left="255" w:right="-360"/>
              <w:rPr>
                <w:rFonts w:eastAsia="Times New Roman" w:cs="Calibri"/>
                <w:bCs/>
                <w:noProof w:val="0"/>
                <w:color w:val="000000"/>
                <w:sz w:val="24"/>
                <w:szCs w:val="24"/>
              </w:rPr>
            </w:pPr>
            <w:r w:rsidRPr="00592C35">
              <w:rPr>
                <w:rFonts w:eastAsia="Times New Roman" w:cs="Calibri"/>
                <w:bCs/>
                <w:noProof w:val="0"/>
                <w:color w:val="000000"/>
                <w:sz w:val="24"/>
                <w:szCs w:val="24"/>
              </w:rPr>
              <w:t>2 or More Races</w:t>
            </w:r>
          </w:p>
        </w:tc>
        <w:tc>
          <w:tcPr>
            <w:tcW w:w="720" w:type="pct"/>
            <w:tcBorders>
              <w:left w:val="nil"/>
            </w:tcBorders>
            <w:shd w:val="clear" w:color="auto" w:fill="auto"/>
            <w:noWrap/>
            <w:vAlign w:val="center"/>
            <w:hideMark/>
          </w:tcPr>
          <w:p w14:paraId="0C886084"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22.6%</w:t>
            </w:r>
          </w:p>
        </w:tc>
        <w:tc>
          <w:tcPr>
            <w:tcW w:w="848" w:type="pct"/>
            <w:shd w:val="clear" w:color="auto" w:fill="auto"/>
            <w:noWrap/>
            <w:vAlign w:val="center"/>
            <w:hideMark/>
          </w:tcPr>
          <w:p w14:paraId="66EB5D00"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25.1%</w:t>
            </w:r>
          </w:p>
        </w:tc>
        <w:tc>
          <w:tcPr>
            <w:tcW w:w="720" w:type="pct"/>
            <w:shd w:val="clear" w:color="auto" w:fill="auto"/>
            <w:noWrap/>
            <w:vAlign w:val="center"/>
            <w:hideMark/>
          </w:tcPr>
          <w:p w14:paraId="6E5BB9EA"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23.5%</w:t>
            </w:r>
          </w:p>
        </w:tc>
        <w:tc>
          <w:tcPr>
            <w:tcW w:w="889" w:type="pct"/>
            <w:shd w:val="clear" w:color="auto" w:fill="auto"/>
            <w:noWrap/>
            <w:vAlign w:val="center"/>
            <w:hideMark/>
          </w:tcPr>
          <w:p w14:paraId="4FF83BF2" w14:textId="77777777" w:rsidR="001B52C7" w:rsidRPr="00592C35" w:rsidRDefault="001B52C7" w:rsidP="00B67293">
            <w:pPr>
              <w:spacing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28.8%</w:t>
            </w:r>
          </w:p>
        </w:tc>
      </w:tr>
    </w:tbl>
    <w:p w14:paraId="5834E040"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7F8BDEE0" w14:textId="3EB6D8C1" w:rsidR="001B52C7"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Housing and Homelessness</w:t>
      </w:r>
    </w:p>
    <w:p w14:paraId="6B769B1A" w14:textId="5D7991AB" w:rsidR="00B01762" w:rsidRPr="00592C35" w:rsidRDefault="001B52C7" w:rsidP="00592C35">
      <w:pPr>
        <w:spacing w:line="360" w:lineRule="auto"/>
        <w:ind w:right="-360"/>
        <w:rPr>
          <w:rFonts w:eastAsia="Calibri" w:cs="Times New Roman"/>
          <w:sz w:val="24"/>
          <w:szCs w:val="24"/>
        </w:rPr>
      </w:pPr>
      <w:r w:rsidRPr="00592C35">
        <w:rPr>
          <w:rFonts w:eastAsia="Calibri" w:cs="Times New Roman"/>
          <w:sz w:val="24"/>
          <w:szCs w:val="24"/>
        </w:rPr>
        <w:t>Where individuals, families, and communities live is intimately related to their health and well-being.</w:t>
      </w:r>
      <w:r w:rsidRPr="00592C35">
        <w:rPr>
          <w:rFonts w:eastAsia="Calibri" w:cs="Times New Roman"/>
          <w:sz w:val="24"/>
          <w:szCs w:val="24"/>
          <w:vertAlign w:val="superscript"/>
        </w:rPr>
        <w:endnoteReference w:id="14"/>
      </w:r>
      <w:r w:rsidRPr="00592C35">
        <w:rPr>
          <w:rFonts w:eastAsia="Calibri" w:cs="Times New Roman"/>
          <w:sz w:val="24"/>
          <w:szCs w:val="24"/>
        </w:rPr>
        <w:t xml:space="preserve"> The age of housing is particularly important because older homes are more likely to contain substances that are harmful to health.</w:t>
      </w:r>
      <w:r w:rsidRPr="00592C35">
        <w:rPr>
          <w:rFonts w:eastAsia="Calibri" w:cs="Times New Roman"/>
          <w:sz w:val="24"/>
          <w:szCs w:val="24"/>
          <w:vertAlign w:val="superscript"/>
        </w:rPr>
        <w:endnoteReference w:id="15"/>
      </w:r>
      <w:r w:rsidRPr="00592C35">
        <w:rPr>
          <w:rFonts w:eastAsia="Calibri" w:cs="Times New Roman"/>
          <w:sz w:val="24"/>
          <w:szCs w:val="24"/>
        </w:rPr>
        <w:t xml:space="preserve"> The Commonwealth’s housing stock is older than the average across the US with half (51.1%) constructed before 1960 and only 8.5% constructed since 2000. </w:t>
      </w:r>
    </w:p>
    <w:p w14:paraId="25D1B788" w14:textId="40E38C87" w:rsidR="001B52C7" w:rsidRPr="00592C35" w:rsidRDefault="001B52C7" w:rsidP="00592C35">
      <w:pPr>
        <w:spacing w:before="0" w:line="360" w:lineRule="auto"/>
        <w:ind w:left="0" w:right="0"/>
        <w:jc w:val="left"/>
        <w:rPr>
          <w:rFonts w:eastAsia="Calibri" w:cs="Times New Roman"/>
          <w:sz w:val="24"/>
          <w:szCs w:val="24"/>
        </w:rPr>
      </w:pPr>
    </w:p>
    <w:p w14:paraId="43BA1C14" w14:textId="024417C2" w:rsidR="00B01762" w:rsidRPr="00592C35" w:rsidRDefault="00B01762" w:rsidP="00592C35">
      <w:pPr>
        <w:spacing w:before="0" w:line="360" w:lineRule="auto"/>
        <w:ind w:left="0" w:right="-288"/>
        <w:rPr>
          <w:rFonts w:eastAsia="Calibri" w:cs="Times New Roman"/>
          <w:sz w:val="24"/>
          <w:szCs w:val="24"/>
        </w:rPr>
      </w:pPr>
      <w:r w:rsidRPr="00592C35">
        <w:rPr>
          <w:rFonts w:eastAsia="Calibri" w:cs="Times New Roman"/>
          <w:b/>
          <w:color w:val="000000"/>
          <w:sz w:val="24"/>
          <w:szCs w:val="24"/>
        </w:rPr>
        <w:lastRenderedPageBreak/>
        <mc:AlternateContent>
          <mc:Choice Requires="wps">
            <w:drawing>
              <wp:anchor distT="0" distB="0" distL="114300" distR="114300" simplePos="0" relativeHeight="252004352" behindDoc="0" locked="0" layoutInCell="1" allowOverlap="1" wp14:anchorId="02EB2C7C" wp14:editId="15809E42">
                <wp:simplePos x="0" y="0"/>
                <wp:positionH relativeFrom="margin">
                  <wp:posOffset>-40005</wp:posOffset>
                </wp:positionH>
                <wp:positionV relativeFrom="margin">
                  <wp:posOffset>92075</wp:posOffset>
                </wp:positionV>
                <wp:extent cx="6715760" cy="1151255"/>
                <wp:effectExtent l="0" t="0" r="8890" b="0"/>
                <wp:wrapSquare wrapText="bothSides"/>
                <wp:docPr id="728" name="Rectangle 728"/>
                <wp:cNvGraphicFramePr/>
                <a:graphic xmlns:a="http://schemas.openxmlformats.org/drawingml/2006/main">
                  <a:graphicData uri="http://schemas.microsoft.com/office/word/2010/wordprocessingShape">
                    <wps:wsp>
                      <wps:cNvSpPr/>
                      <wps:spPr>
                        <a:xfrm>
                          <a:off x="0" y="0"/>
                          <a:ext cx="6715760" cy="1151255"/>
                        </a:xfrm>
                        <a:prstGeom prst="rect">
                          <a:avLst/>
                        </a:prstGeom>
                        <a:solidFill>
                          <a:srgbClr val="EFF3FF"/>
                        </a:solidFill>
                        <a:ln w="12700" cap="flat" cmpd="sng" algn="ctr">
                          <a:noFill/>
                          <a:prstDash val="solid"/>
                          <a:miter lim="800000"/>
                        </a:ln>
                        <a:effectLst/>
                      </wps:spPr>
                      <wps:txbx>
                        <w:txbxContent>
                          <w:p w14:paraId="61FA824A" w14:textId="55AE2405" w:rsidR="00B67293" w:rsidRPr="009A7260" w:rsidRDefault="00B67293" w:rsidP="009A2934">
                            <w:pPr>
                              <w:shd w:val="clear" w:color="auto" w:fill="EFF3FF"/>
                              <w:ind w:left="0" w:right="17"/>
                              <w:jc w:val="left"/>
                              <w:rPr>
                                <w:color w:val="203864"/>
                                <w:sz w:val="24"/>
                                <w:szCs w:val="24"/>
                              </w:rPr>
                            </w:pPr>
                            <w:r w:rsidRPr="009A7260">
                              <w:rPr>
                                <w:color w:val="203864"/>
                                <w:sz w:val="24"/>
                                <w:szCs w:val="24"/>
                              </w:rPr>
                              <w:t xml:space="preserve">“We need wrap-around training supports at community-based organizations that take into account the stressors of life: single parents, domestic violence, caring for aging parents, not enough food, </w:t>
                            </w:r>
                            <w:r>
                              <w:rPr>
                                <w:color w:val="203864"/>
                                <w:sz w:val="24"/>
                                <w:szCs w:val="24"/>
                              </w:rPr>
                              <w:t xml:space="preserve"> and </w:t>
                            </w:r>
                            <w:r w:rsidRPr="009A7260">
                              <w:rPr>
                                <w:color w:val="203864"/>
                                <w:sz w:val="24"/>
                                <w:szCs w:val="24"/>
                              </w:rPr>
                              <w:t>lackluster living conditions.”</w:t>
                            </w:r>
                          </w:p>
                          <w:p w14:paraId="5F23C56C" w14:textId="77777777" w:rsidR="00B67293" w:rsidRPr="009A7260" w:rsidRDefault="00B67293" w:rsidP="009A7260">
                            <w:pPr>
                              <w:shd w:val="clear" w:color="auto" w:fill="EFF3FF"/>
                              <w:ind w:left="180" w:right="17"/>
                              <w:jc w:val="right"/>
                              <w:rPr>
                                <w:color w:val="203864"/>
                                <w:sz w:val="20"/>
                                <w:szCs w:val="20"/>
                              </w:rPr>
                            </w:pPr>
                            <w:r w:rsidRPr="009A7260">
                              <w:rPr>
                                <w:color w:val="203864"/>
                                <w:sz w:val="20"/>
                                <w:szCs w:val="20"/>
                              </w:rPr>
                              <w:t>Key Informant Interviewee</w:t>
                            </w:r>
                          </w:p>
                          <w:p w14:paraId="476F0126" w14:textId="52FA15D1" w:rsidR="00B67293" w:rsidRPr="009A7260" w:rsidRDefault="00B67293" w:rsidP="009A7260">
                            <w:pPr>
                              <w:shd w:val="clear" w:color="auto" w:fill="EFF3FF"/>
                              <w:ind w:left="180"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8" o:spid="_x0000_s1033" style="position:absolute;left:0;text-align:left;margin-left:-3.15pt;margin-top:7.25pt;width:528.8pt;height:90.65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" fillcolor="#eff3ff" stroked="f" strokeweight="1pt">
                <v:textbox>
                  <w:txbxContent>
                    <w:p w14:paraId="61FA824A" w14:textId="55AE2405" w:rsidR="00B67293" w:rsidRPr="009A7260" w:rsidRDefault="00B67293" w:rsidP="009A2934">
                      <w:pPr>
                        <w:shd w:val="clear" w:color="auto" w:fill="EFF3FF"/>
                        <w:ind w:left="0" w:right="17"/>
                        <w:jc w:val="left"/>
                        <w:rPr>
                          <w:color w:val="203864"/>
                          <w:sz w:val="24"/>
                          <w:szCs w:val="24"/>
                        </w:rPr>
                      </w:pPr>
                      <w:r w:rsidRPr="009A7260">
                        <w:rPr>
                          <w:color w:val="203864"/>
                          <w:sz w:val="24"/>
                          <w:szCs w:val="24"/>
                        </w:rPr>
                        <w:t xml:space="preserve">“We need wrap-around training supports at community-based organizations that take into account the stressors of life: single parents, domestic violence, caring for aging parents, not enough food, </w:t>
                      </w:r>
                      <w:r>
                        <w:rPr>
                          <w:color w:val="203864"/>
                          <w:sz w:val="24"/>
                          <w:szCs w:val="24"/>
                        </w:rPr>
                        <w:t xml:space="preserve"> and </w:t>
                      </w:r>
                      <w:r w:rsidRPr="009A7260">
                        <w:rPr>
                          <w:color w:val="203864"/>
                          <w:sz w:val="24"/>
                          <w:szCs w:val="24"/>
                        </w:rPr>
                        <w:t>lackluster living conditions.”</w:t>
                      </w:r>
                    </w:p>
                    <w:p w14:paraId="5F23C56C" w14:textId="77777777" w:rsidR="00B67293" w:rsidRPr="009A7260" w:rsidRDefault="00B67293" w:rsidP="009A7260">
                      <w:pPr>
                        <w:shd w:val="clear" w:color="auto" w:fill="EFF3FF"/>
                        <w:ind w:left="180" w:right="17"/>
                        <w:jc w:val="right"/>
                        <w:rPr>
                          <w:color w:val="203864"/>
                          <w:sz w:val="20"/>
                          <w:szCs w:val="20"/>
                        </w:rPr>
                      </w:pPr>
                      <w:r w:rsidRPr="009A7260">
                        <w:rPr>
                          <w:color w:val="203864"/>
                          <w:sz w:val="20"/>
                          <w:szCs w:val="20"/>
                        </w:rPr>
                        <w:t>Key Informant Interviewee</w:t>
                      </w:r>
                    </w:p>
                    <w:p w14:paraId="476F0126" w14:textId="52FA15D1" w:rsidR="00B67293" w:rsidRPr="009A7260" w:rsidRDefault="00B67293" w:rsidP="009A7260">
                      <w:pPr>
                        <w:shd w:val="clear" w:color="auto" w:fill="EFF3FF"/>
                        <w:ind w:left="180" w:right="17"/>
                        <w:jc w:val="right"/>
                        <w:rPr>
                          <w:smallCaps/>
                          <w:color w:val="203864"/>
                          <w:sz w:val="24"/>
                          <w:szCs w:val="24"/>
                        </w:rPr>
                      </w:pPr>
                    </w:p>
                  </w:txbxContent>
                </v:textbox>
                <w10:wrap type="square" anchorx="margin" anchory="margin"/>
              </v:rect>
            </w:pict>
          </mc:Fallback>
        </mc:AlternateContent>
      </w:r>
      <w:r w:rsidRPr="00592C35">
        <w:rPr>
          <w:rFonts w:eastAsia="Calibri" w:cs="Times New Roman"/>
          <w:sz w:val="24"/>
          <w:szCs w:val="24"/>
        </w:rPr>
        <w:t>Similar to national patterns, in 2011-2015 62.1% of Massachusetts’ housing stock was owner-occupied, and 37.9% was rented. In 2011-2015, the median rent across the Commonwealth was $1,102, a 9.5% increase from 2006-2010 ($1,006) and 17.1% higher than the national average ($928) (</w:t>
      </w:r>
      <w:r w:rsidRPr="00592C35">
        <w:rPr>
          <w:rFonts w:eastAsia="Calibri" w:cs="Times New Roman"/>
          <w:b/>
          <w:sz w:val="24"/>
          <w:szCs w:val="24"/>
        </w:rPr>
        <w:t>see Figure 1.15</w:t>
      </w:r>
      <w:r w:rsidRPr="00592C35">
        <w:rPr>
          <w:rFonts w:eastAsia="Calibri" w:cs="Times New Roman"/>
          <w:sz w:val="24"/>
          <w:szCs w:val="24"/>
        </w:rPr>
        <w:t>)</w:t>
      </w:r>
    </w:p>
    <w:p w14:paraId="2F593042" w14:textId="77777777" w:rsidR="00B01762" w:rsidRPr="00592C35" w:rsidRDefault="00B01762" w:rsidP="00592C35">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1.15</w:t>
      </w:r>
    </w:p>
    <w:p w14:paraId="0B9D13D2" w14:textId="77777777" w:rsidR="00B01762" w:rsidRPr="00592C35" w:rsidRDefault="00B01762" w:rsidP="00592C35">
      <w:pPr>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Median Rent, US and Massachusetts, 2006-2010 vs 2011-2015</w:t>
      </w:r>
    </w:p>
    <w:p w14:paraId="240E097A" w14:textId="77777777" w:rsidR="00B01762" w:rsidRPr="00592C35" w:rsidRDefault="00B01762" w:rsidP="00592C35">
      <w:pPr>
        <w:spacing w:line="360" w:lineRule="auto"/>
        <w:ind w:right="-360"/>
        <w:jc w:val="center"/>
        <w:rPr>
          <w:rFonts w:eastAsia="Calibri" w:cs="Times New Roman"/>
          <w:sz w:val="24"/>
          <w:szCs w:val="24"/>
        </w:rPr>
      </w:pPr>
      <w:r w:rsidRPr="00592C35">
        <w:rPr>
          <w:sz w:val="24"/>
          <w:szCs w:val="24"/>
        </w:rPr>
        <w:drawing>
          <wp:inline distT="0" distB="0" distL="0" distR="0" wp14:anchorId="72DCB252" wp14:editId="77F37CDA">
            <wp:extent cx="4495800" cy="2565400"/>
            <wp:effectExtent l="0" t="0" r="0" b="6350"/>
            <wp:docPr id="121" name="Chart 121" descr="This vertical bar graph shows the median rent in the US versus Massachusetts, for the years 2006-2010 versus 2011-2015. In Massachusetts, the median rent for the years 2006-2010 was $1,006 per month, compared to $841 per month in the US. In Massachusetts, the median rent for the years 2011-2015 was $1,102 per month, compared to $928 per month in the U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951BF8-632A-4ADB-A860-8463CA1EA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592C35">
        <w:rPr>
          <w:rFonts w:eastAsia="Calibri" w:cs="Times New Roman"/>
          <w:sz w:val="24"/>
          <w:szCs w:val="24"/>
        </w:rPr>
        <w:t xml:space="preserve"> </w:t>
      </w:r>
    </w:p>
    <w:p w14:paraId="5C8E2FE3" w14:textId="60E5896C" w:rsidR="00A07B92" w:rsidRPr="00592C35" w:rsidRDefault="00B01762" w:rsidP="00592C35">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p>
    <w:p w14:paraId="190B8E89" w14:textId="60D5D830" w:rsidR="00A07B92" w:rsidRPr="00592C35" w:rsidRDefault="00AC1715" w:rsidP="00592C35">
      <w:pPr>
        <w:spacing w:line="360" w:lineRule="auto"/>
        <w:ind w:right="-360"/>
        <w:rPr>
          <w:rFonts w:eastAsia="Calibri" w:cs="Times New Roman"/>
          <w:smallCaps/>
          <w:sz w:val="24"/>
          <w:szCs w:val="24"/>
        </w:rPr>
      </w:pPr>
      <w:r w:rsidRPr="00592C35">
        <w:rPr>
          <w:rFonts w:eastAsia="Calibri" w:cs="Times New Roman"/>
          <w:sz w:val="24"/>
          <w:szCs w:val="24"/>
        </w:rPr>
        <mc:AlternateContent>
          <mc:Choice Requires="wps">
            <w:drawing>
              <wp:anchor distT="0" distB="0" distL="114300" distR="114300" simplePos="0" relativeHeight="252079104" behindDoc="0" locked="0" layoutInCell="1" allowOverlap="1" wp14:anchorId="6B67D3A4" wp14:editId="3E406558">
                <wp:simplePos x="0" y="0"/>
                <wp:positionH relativeFrom="margin">
                  <wp:posOffset>4390390</wp:posOffset>
                </wp:positionH>
                <wp:positionV relativeFrom="margin">
                  <wp:posOffset>6120130</wp:posOffset>
                </wp:positionV>
                <wp:extent cx="2286000" cy="1647825"/>
                <wp:effectExtent l="0" t="0" r="0" b="9525"/>
                <wp:wrapSquare wrapText="bothSides"/>
                <wp:docPr id="724" name="Rectangle 724"/>
                <wp:cNvGraphicFramePr/>
                <a:graphic xmlns:a="http://schemas.openxmlformats.org/drawingml/2006/main">
                  <a:graphicData uri="http://schemas.microsoft.com/office/word/2010/wordprocessingShape">
                    <wps:wsp>
                      <wps:cNvSpPr/>
                      <wps:spPr>
                        <a:xfrm>
                          <a:off x="0" y="0"/>
                          <a:ext cx="2286000" cy="1647825"/>
                        </a:xfrm>
                        <a:prstGeom prst="rect">
                          <a:avLst/>
                        </a:prstGeom>
                        <a:solidFill>
                          <a:srgbClr val="EFF3FF"/>
                        </a:solidFill>
                        <a:ln w="12700" cap="flat" cmpd="sng" algn="ctr">
                          <a:noFill/>
                          <a:prstDash val="solid"/>
                          <a:miter lim="800000"/>
                        </a:ln>
                        <a:effectLst/>
                      </wps:spPr>
                      <wps:txbx>
                        <w:txbxContent>
                          <w:p w14:paraId="0E4EFDC7" w14:textId="77777777" w:rsidR="00B67293" w:rsidRPr="009A7260" w:rsidRDefault="00B67293" w:rsidP="00A07B92">
                            <w:pPr>
                              <w:shd w:val="clear" w:color="auto" w:fill="EFF3FF"/>
                              <w:ind w:left="0" w:right="17"/>
                              <w:jc w:val="left"/>
                              <w:rPr>
                                <w:color w:val="203864"/>
                                <w:sz w:val="24"/>
                                <w:szCs w:val="24"/>
                              </w:rPr>
                            </w:pPr>
                            <w:r w:rsidRPr="009A7260">
                              <w:rPr>
                                <w:color w:val="203864"/>
                                <w:sz w:val="24"/>
                                <w:szCs w:val="24"/>
                              </w:rPr>
                              <w:t xml:space="preserve">“Are we addressing housing as a challenge to peoples' ability to be healthy...to the extent at which housing is a barrier to health? Because </w:t>
                            </w:r>
                            <w:r>
                              <w:rPr>
                                <w:color w:val="203864"/>
                                <w:sz w:val="24"/>
                                <w:szCs w:val="24"/>
                              </w:rPr>
                              <w:t xml:space="preserve">housing </w:t>
                            </w:r>
                            <w:r w:rsidRPr="009A7260">
                              <w:rPr>
                                <w:color w:val="203864"/>
                                <w:sz w:val="24"/>
                                <w:szCs w:val="24"/>
                              </w:rPr>
                              <w:t xml:space="preserve">affordability affects health.” </w:t>
                            </w:r>
                          </w:p>
                          <w:p w14:paraId="076A6E06" w14:textId="4DA9493E" w:rsidR="00B67293" w:rsidRPr="009A7260" w:rsidRDefault="00B67293" w:rsidP="00A07B92">
                            <w:pPr>
                              <w:shd w:val="clear" w:color="auto" w:fill="EFF3FF"/>
                              <w:ind w:left="180" w:right="17"/>
                              <w:jc w:val="right"/>
                              <w:rPr>
                                <w:smallCaps/>
                                <w:color w:val="203864"/>
                                <w:sz w:val="24"/>
                                <w:szCs w:val="24"/>
                              </w:rPr>
                            </w:pPr>
                            <w:r w:rsidRPr="009A7260">
                              <w:rPr>
                                <w:color w:val="203864"/>
                                <w:sz w:val="20"/>
                                <w:szCs w:val="20"/>
                              </w:rPr>
                              <w:t>Key Information Interv</w:t>
                            </w:r>
                            <w:r>
                              <w:rPr>
                                <w:color w:val="203864"/>
                                <w:sz w:val="20"/>
                                <w:szCs w:val="20"/>
                              </w:rPr>
                              <w:t>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4" o:spid="_x0000_s1034" style="position:absolute;left:0;text-align:left;margin-left:345.7pt;margin-top:481.9pt;width:180pt;height:129.7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" fillcolor="#eff3ff" stroked="f" strokeweight="1pt">
                <v:textbox>
                  <w:txbxContent>
                    <w:p w14:paraId="0E4EFDC7" w14:textId="77777777" w:rsidR="00B67293" w:rsidRPr="009A7260" w:rsidRDefault="00B67293" w:rsidP="00A07B92">
                      <w:pPr>
                        <w:shd w:val="clear" w:color="auto" w:fill="EFF3FF"/>
                        <w:ind w:left="0" w:right="17"/>
                        <w:jc w:val="left"/>
                        <w:rPr>
                          <w:color w:val="203864"/>
                          <w:sz w:val="24"/>
                          <w:szCs w:val="24"/>
                        </w:rPr>
                      </w:pPr>
                      <w:r w:rsidRPr="009A7260">
                        <w:rPr>
                          <w:color w:val="203864"/>
                          <w:sz w:val="24"/>
                          <w:szCs w:val="24"/>
                        </w:rPr>
                        <w:t xml:space="preserve">“Are we addressing housing as a challenge to peoples' ability to be healthy...to the extent at which housing is a barrier to health? Because </w:t>
                      </w:r>
                      <w:r>
                        <w:rPr>
                          <w:color w:val="203864"/>
                          <w:sz w:val="24"/>
                          <w:szCs w:val="24"/>
                        </w:rPr>
                        <w:t xml:space="preserve">housing </w:t>
                      </w:r>
                      <w:r w:rsidRPr="009A7260">
                        <w:rPr>
                          <w:color w:val="203864"/>
                          <w:sz w:val="24"/>
                          <w:szCs w:val="24"/>
                        </w:rPr>
                        <w:t xml:space="preserve">affordability affects health.” </w:t>
                      </w:r>
                    </w:p>
                    <w:p w14:paraId="076A6E06" w14:textId="4DA9493E" w:rsidR="00B67293" w:rsidRPr="009A7260" w:rsidRDefault="00B67293" w:rsidP="00A07B92">
                      <w:pPr>
                        <w:shd w:val="clear" w:color="auto" w:fill="EFF3FF"/>
                        <w:ind w:left="180" w:right="17"/>
                        <w:jc w:val="right"/>
                        <w:rPr>
                          <w:smallCaps/>
                          <w:color w:val="203864"/>
                          <w:sz w:val="24"/>
                          <w:szCs w:val="24"/>
                        </w:rPr>
                      </w:pPr>
                      <w:r w:rsidRPr="009A7260">
                        <w:rPr>
                          <w:color w:val="203864"/>
                          <w:sz w:val="20"/>
                          <w:szCs w:val="20"/>
                        </w:rPr>
                        <w:t>Key Information Interv</w:t>
                      </w:r>
                      <w:r>
                        <w:rPr>
                          <w:color w:val="203864"/>
                          <w:sz w:val="20"/>
                          <w:szCs w:val="20"/>
                        </w:rPr>
                        <w:t>iewee</w:t>
                      </w:r>
                    </w:p>
                  </w:txbxContent>
                </v:textbox>
                <w10:wrap type="square" anchorx="margin" anchory="margin"/>
              </v:rect>
            </w:pict>
          </mc:Fallback>
        </mc:AlternateContent>
      </w:r>
      <w:r w:rsidR="00A07B92" w:rsidRPr="00592C35">
        <w:rPr>
          <w:rFonts w:eastAsia="Calibri" w:cs="Times New Roman"/>
          <w:sz w:val="24"/>
          <w:szCs w:val="24"/>
        </w:rPr>
        <w:t>The number of people experiencing homelessness and housing instability in Massachusetts remains very high. According to the US Department of Housing and Urban Development’s 2015 Annual Homeless Assessment Report, more than 21,000 people in Massachusetts experienced homelessness. Adolescents are at higher risk for homelessness than adults.</w:t>
      </w:r>
      <w:r w:rsidR="00A07B92" w:rsidRPr="00592C35">
        <w:rPr>
          <w:rFonts w:eastAsia="Calibri" w:cs="Times New Roman"/>
          <w:sz w:val="24"/>
          <w:szCs w:val="24"/>
          <w:vertAlign w:val="superscript"/>
        </w:rPr>
        <w:endnoteReference w:id="16"/>
      </w:r>
      <w:r w:rsidR="00A07B92" w:rsidRPr="00592C35">
        <w:rPr>
          <w:rFonts w:eastAsia="Calibri" w:cs="Times New Roman"/>
          <w:sz w:val="24"/>
          <w:szCs w:val="24"/>
        </w:rPr>
        <w:t xml:space="preserve"> From 2009-2010 to 2015-2016, the total number of homeless public school students in Massachusetts </w:t>
      </w:r>
      <w:r w:rsidR="00A07B92" w:rsidRPr="00592C35">
        <w:rPr>
          <w:rFonts w:eastAsia="Calibri" w:cs="Times New Roman"/>
          <w:sz w:val="24"/>
          <w:szCs w:val="24"/>
        </w:rPr>
        <w:lastRenderedPageBreak/>
        <w:t xml:space="preserve">increased 62%. These students took shelter at night in a variety of settings, primarily doubling up, such us sleeping on a friend’s couch, and in shelters. As of June 2017, there were more than 3,500 families living in Massachusetts emergency assistance shelter program. Sexual minority populations experience homelessness at much higher rates than those who identify as heterosexual. </w:t>
      </w:r>
      <w:r w:rsidR="00A07B92" w:rsidRPr="00592C35">
        <w:rPr>
          <w:rFonts w:eastAsia="Calibri" w:cs="Times New Roman"/>
          <w:sz w:val="24"/>
          <w:szCs w:val="24"/>
          <w:vertAlign w:val="superscript"/>
        </w:rPr>
        <w:endnoteReference w:id="17"/>
      </w:r>
      <w:r w:rsidR="00A07B92" w:rsidRPr="00592C35">
        <w:rPr>
          <w:rFonts w:eastAsia="Calibri" w:cs="Times New Roman"/>
          <w:sz w:val="24"/>
          <w:szCs w:val="24"/>
        </w:rPr>
        <w:t xml:space="preserve"> </w:t>
      </w:r>
    </w:p>
    <w:p w14:paraId="5CF02379" w14:textId="0513AD37" w:rsidR="001B52C7" w:rsidRPr="00592C35" w:rsidRDefault="001B52C7" w:rsidP="00592C35">
      <w:pPr>
        <w:spacing w:line="360" w:lineRule="auto"/>
        <w:ind w:right="-360"/>
        <w:rPr>
          <w:rFonts w:eastAsia="Calibri" w:cs="Times New Roman"/>
          <w:color w:val="000000"/>
          <w:sz w:val="24"/>
          <w:szCs w:val="24"/>
        </w:rPr>
      </w:pPr>
      <w:r w:rsidRPr="00592C35">
        <w:rPr>
          <w:rFonts w:eastAsia="Calibri" w:cs="Times New Roman"/>
          <w:color w:val="000000"/>
          <w:sz w:val="24"/>
          <w:szCs w:val="24"/>
        </w:rPr>
        <w:t xml:space="preserve">Lack of affordable housing emerged as a prominent theme in key informant interviews and focus groups. As one interviewee stated, </w:t>
      </w:r>
      <w:r w:rsidRPr="00592C35">
        <w:rPr>
          <w:rFonts w:eastAsia="Calibri" w:cs="Times New Roman"/>
          <w:i/>
          <w:color w:val="000000"/>
          <w:sz w:val="24"/>
          <w:szCs w:val="24"/>
        </w:rPr>
        <w:t>“Affordable housing is a huge problem in our community; prices keep rising every year and people aren’t making ends meet.”</w:t>
      </w:r>
      <w:r w:rsidRPr="00592C35">
        <w:rPr>
          <w:rFonts w:eastAsia="Calibri" w:cs="Times New Roman"/>
          <w:color w:val="000000"/>
          <w:sz w:val="24"/>
          <w:szCs w:val="24"/>
        </w:rPr>
        <w:t xml:space="preserve"> According to participants, housing costs comprise a large part of spending for lower income households, leaving few resources for other needs such as health care, medicines, or nutritious food. </w:t>
      </w:r>
    </w:p>
    <w:p w14:paraId="3AFF4905" w14:textId="6EE85CC8" w:rsidR="00A07B92" w:rsidRPr="00592C35" w:rsidRDefault="001B52C7" w:rsidP="00592C35">
      <w:pPr>
        <w:spacing w:line="360" w:lineRule="auto"/>
        <w:ind w:right="-360"/>
        <w:rPr>
          <w:rFonts w:eastAsia="Calibri" w:cs="Times New Roman"/>
          <w:sz w:val="24"/>
          <w:szCs w:val="24"/>
        </w:rPr>
      </w:pPr>
      <w:r w:rsidRPr="00592C35">
        <w:rPr>
          <w:rFonts w:eastAsia="Calibri" w:cs="Times New Roman"/>
          <w:color w:val="000000"/>
          <w:sz w:val="24"/>
          <w:szCs w:val="24"/>
        </w:rPr>
        <w:t xml:space="preserve">Those working with seniors expressed concern about seniors on fixed incomes who are not able to remain in their homes and experience long wait lists for affordable senior housing. Other participants observed that the high cost of housing contributes to homelessness in the region. </w:t>
      </w:r>
      <w:r w:rsidRPr="00592C35">
        <w:rPr>
          <w:rFonts w:eastAsia="Calibri" w:cs="Times New Roman"/>
          <w:sz w:val="24"/>
          <w:szCs w:val="24"/>
        </w:rPr>
        <w:t>Concerns over rising homelessness were mentioned in almost all focus groups and key informan</w:t>
      </w:r>
      <w:bookmarkStart w:id="1" w:name="_GoBack"/>
      <w:bookmarkEnd w:id="1"/>
      <w:r w:rsidRPr="00592C35">
        <w:rPr>
          <w:rFonts w:eastAsia="Calibri" w:cs="Times New Roman"/>
          <w:sz w:val="24"/>
          <w:szCs w:val="24"/>
        </w:rPr>
        <w:t xml:space="preserve">t interviewees. Interviews identified </w:t>
      </w:r>
      <w:r w:rsidR="00F53C91">
        <w:rPr>
          <w:rFonts w:eastAsia="Calibri" w:cs="Times New Roman"/>
          <w:sz w:val="24"/>
          <w:szCs w:val="24"/>
        </w:rPr>
        <w:t>older adult</w:t>
      </w:r>
      <w:r w:rsidRPr="00592C35">
        <w:rPr>
          <w:rFonts w:eastAsia="Calibri" w:cs="Times New Roman"/>
          <w:sz w:val="24"/>
          <w:szCs w:val="24"/>
        </w:rPr>
        <w:t>s, residents in recovery, and those suffering from mental illness among the most vulnerable for becoming homeless. They also explained that patients with addiction issues faced significant challenges qualifying for housing because of restrictive eligibility and criminal records. Additionaly, one key interviewee acknowledged an emerging population at risk for homelessness – college students, a population not typically considered prone to homelessness.</w:t>
      </w:r>
    </w:p>
    <w:p w14:paraId="22AA0AE0" w14:textId="26FEB383" w:rsidR="00A07B92"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Social Environment Influences</w:t>
      </w:r>
    </w:p>
    <w:p w14:paraId="18FA4D53" w14:textId="05943500" w:rsidR="001B52C7" w:rsidRPr="00592C35" w:rsidRDefault="00AC1715" w:rsidP="00B67293">
      <w:pPr>
        <w:keepNext/>
        <w:keepLines/>
        <w:spacing w:before="240" w:after="0" w:line="360" w:lineRule="auto"/>
        <w:ind w:right="-360"/>
        <w:jc w:val="left"/>
        <w:outlineLvl w:val="2"/>
        <w:rPr>
          <w:rFonts w:eastAsia="Times New Roman" w:cs="Times New Roman"/>
          <w:b/>
          <w:color w:val="000000"/>
          <w:sz w:val="24"/>
          <w:szCs w:val="24"/>
        </w:rPr>
      </w:pPr>
      <w:r w:rsidRPr="00592C35">
        <w:rPr>
          <w:rFonts w:eastAsia="Times New Roman" w:cs="Times New Roman"/>
          <w:color w:val="000000"/>
          <w:sz w:val="24"/>
          <w:szCs w:val="24"/>
        </w:rPr>
        <mc:AlternateContent>
          <mc:Choice Requires="wps">
            <w:drawing>
              <wp:anchor distT="0" distB="0" distL="114300" distR="114300" simplePos="0" relativeHeight="252005376" behindDoc="0" locked="0" layoutInCell="1" allowOverlap="1" wp14:anchorId="48030CAF" wp14:editId="21C1F2D4">
                <wp:simplePos x="0" y="0"/>
                <wp:positionH relativeFrom="margin">
                  <wp:posOffset>4396740</wp:posOffset>
                </wp:positionH>
                <wp:positionV relativeFrom="margin">
                  <wp:posOffset>6851015</wp:posOffset>
                </wp:positionV>
                <wp:extent cx="2286000" cy="1125855"/>
                <wp:effectExtent l="0" t="0" r="0" b="0"/>
                <wp:wrapThrough wrapText="bothSides">
                  <wp:wrapPolygon edited="0">
                    <wp:start x="0" y="0"/>
                    <wp:lineTo x="0" y="21198"/>
                    <wp:lineTo x="21420" y="21198"/>
                    <wp:lineTo x="21420" y="0"/>
                    <wp:lineTo x="0" y="0"/>
                  </wp:wrapPolygon>
                </wp:wrapThrough>
                <wp:docPr id="727" name="Rectangle 727"/>
                <wp:cNvGraphicFramePr/>
                <a:graphic xmlns:a="http://schemas.openxmlformats.org/drawingml/2006/main">
                  <a:graphicData uri="http://schemas.microsoft.com/office/word/2010/wordprocessingShape">
                    <wps:wsp>
                      <wps:cNvSpPr/>
                      <wps:spPr>
                        <a:xfrm>
                          <a:off x="0" y="0"/>
                          <a:ext cx="2286000" cy="1125855"/>
                        </a:xfrm>
                        <a:prstGeom prst="rect">
                          <a:avLst/>
                        </a:prstGeom>
                        <a:solidFill>
                          <a:srgbClr val="EFF3FF"/>
                        </a:solidFill>
                        <a:ln w="12700" cap="flat" cmpd="sng" algn="ctr">
                          <a:noFill/>
                          <a:prstDash val="solid"/>
                          <a:miter lim="800000"/>
                        </a:ln>
                        <a:effectLst/>
                      </wps:spPr>
                      <wps:txbx>
                        <w:txbxContent>
                          <w:p w14:paraId="331935C2" w14:textId="77777777" w:rsidR="00B67293" w:rsidRPr="00C71A22" w:rsidRDefault="00B67293" w:rsidP="00C71A22">
                            <w:pPr>
                              <w:shd w:val="clear" w:color="auto" w:fill="EFF3FF"/>
                              <w:ind w:left="0" w:right="17"/>
                              <w:jc w:val="left"/>
                              <w:rPr>
                                <w:color w:val="203864"/>
                                <w:sz w:val="24"/>
                                <w:szCs w:val="24"/>
                              </w:rPr>
                            </w:pPr>
                            <w:r w:rsidRPr="00C71A22">
                              <w:rPr>
                                <w:color w:val="203864"/>
                                <w:sz w:val="24"/>
                                <w:szCs w:val="24"/>
                              </w:rPr>
                              <w:t xml:space="preserve">“Social factors play a big part in </w:t>
                            </w:r>
                            <w:r w:rsidRPr="00C71A22">
                              <w:rPr>
                                <w:b/>
                                <w:color w:val="203864"/>
                                <w:sz w:val="24"/>
                                <w:szCs w:val="24"/>
                              </w:rPr>
                              <w:t>inequity</w:t>
                            </w:r>
                            <w:r w:rsidRPr="00C71A22">
                              <w:rPr>
                                <w:color w:val="203864"/>
                                <w:sz w:val="24"/>
                                <w:szCs w:val="24"/>
                              </w:rPr>
                              <w:t xml:space="preserve"> in access to health care.”</w:t>
                            </w:r>
                          </w:p>
                          <w:p w14:paraId="69301B08" w14:textId="6E63BD30" w:rsidR="00B67293" w:rsidRPr="00C71A22" w:rsidRDefault="00B67293" w:rsidP="00C71A22">
                            <w:pPr>
                              <w:shd w:val="clear" w:color="auto" w:fill="EFF3FF"/>
                              <w:ind w:left="0" w:right="17"/>
                              <w:jc w:val="right"/>
                              <w:rPr>
                                <w:color w:val="203864"/>
                                <w:sz w:val="20"/>
                                <w:szCs w:val="20"/>
                              </w:rPr>
                            </w:pPr>
                            <w:r w:rsidRPr="00C71A22">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7" o:spid="_x0000_s1035" style="position:absolute;left:0;text-align:left;margin-left:346.2pt;margin-top:539.45pt;width:180pt;height:88.6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" fillcolor="#eff3ff" stroked="f" strokeweight="1pt">
                <v:textbox>
                  <w:txbxContent>
                    <w:p w14:paraId="331935C2" w14:textId="77777777" w:rsidR="00B67293" w:rsidRPr="00C71A22" w:rsidRDefault="00B67293" w:rsidP="00C71A22">
                      <w:pPr>
                        <w:shd w:val="clear" w:color="auto" w:fill="EFF3FF"/>
                        <w:ind w:left="0" w:right="17"/>
                        <w:jc w:val="left"/>
                        <w:rPr>
                          <w:color w:val="203864"/>
                          <w:sz w:val="24"/>
                          <w:szCs w:val="24"/>
                        </w:rPr>
                      </w:pPr>
                      <w:r w:rsidRPr="00C71A22">
                        <w:rPr>
                          <w:color w:val="203864"/>
                          <w:sz w:val="24"/>
                          <w:szCs w:val="24"/>
                        </w:rPr>
                        <w:t xml:space="preserve">“Social factors play a big part in </w:t>
                      </w:r>
                      <w:r w:rsidRPr="00C71A22">
                        <w:rPr>
                          <w:b/>
                          <w:color w:val="203864"/>
                          <w:sz w:val="24"/>
                          <w:szCs w:val="24"/>
                        </w:rPr>
                        <w:t>inequity</w:t>
                      </w:r>
                      <w:r w:rsidRPr="00C71A22">
                        <w:rPr>
                          <w:color w:val="203864"/>
                          <w:sz w:val="24"/>
                          <w:szCs w:val="24"/>
                        </w:rPr>
                        <w:t xml:space="preserve"> in access to health care.”</w:t>
                      </w:r>
                    </w:p>
                    <w:p w14:paraId="69301B08" w14:textId="6E63BD30" w:rsidR="00B67293" w:rsidRPr="00C71A22" w:rsidRDefault="00B67293" w:rsidP="00C71A22">
                      <w:pPr>
                        <w:shd w:val="clear" w:color="auto" w:fill="EFF3FF"/>
                        <w:ind w:left="0" w:right="17"/>
                        <w:jc w:val="right"/>
                        <w:rPr>
                          <w:color w:val="203864"/>
                          <w:sz w:val="20"/>
                          <w:szCs w:val="20"/>
                        </w:rPr>
                      </w:pPr>
                      <w:r w:rsidRPr="00C71A22">
                        <w:rPr>
                          <w:color w:val="203864"/>
                          <w:sz w:val="20"/>
                          <w:szCs w:val="20"/>
                        </w:rPr>
                        <w:t>Key Informant Interviewee</w:t>
                      </w:r>
                    </w:p>
                  </w:txbxContent>
                </v:textbox>
                <w10:wrap type="through" anchorx="margin" anchory="margin"/>
              </v:rect>
            </w:pict>
          </mc:Fallback>
        </mc:AlternateContent>
      </w:r>
      <w:r w:rsidR="001B52C7" w:rsidRPr="00592C35">
        <w:rPr>
          <w:rFonts w:eastAsia="Calibri" w:cs="Arial"/>
          <w:sz w:val="24"/>
          <w:szCs w:val="24"/>
        </w:rPr>
        <w:t xml:space="preserve">How an individual operates and the experiences they have in their social environment influence healthy behaviors and outcomes. The personal history of the individual – such as experiencing discrimination or trauma – impacts health. </w:t>
      </w:r>
      <w:r w:rsidR="001B52C7" w:rsidRPr="00592C35">
        <w:rPr>
          <w:rFonts w:eastAsia="Calibri" w:cs="Times New Roman"/>
          <w:color w:val="000000"/>
          <w:sz w:val="24"/>
          <w:szCs w:val="24"/>
        </w:rPr>
        <w:t>Social isolation and lack of social support also shape health.</w:t>
      </w:r>
      <w:r w:rsidR="001B52C7" w:rsidRPr="00592C35">
        <w:rPr>
          <w:rFonts w:eastAsia="Calibri" w:cs="Times New Roman"/>
          <w:color w:val="000000"/>
          <w:sz w:val="24"/>
          <w:szCs w:val="24"/>
          <w:vertAlign w:val="superscript"/>
        </w:rPr>
        <w:endnoteReference w:id="18"/>
      </w:r>
      <w:r w:rsidR="001B52C7" w:rsidRPr="00592C35">
        <w:rPr>
          <w:rFonts w:eastAsia="Calibri" w:cs="Times New Roman"/>
          <w:color w:val="000000"/>
          <w:sz w:val="24"/>
          <w:szCs w:val="24"/>
          <w:vertAlign w:val="superscript"/>
        </w:rPr>
        <w:t>,</w:t>
      </w:r>
      <w:r w:rsidR="001B52C7" w:rsidRPr="00592C35">
        <w:rPr>
          <w:rFonts w:eastAsia="Calibri" w:cs="Times New Roman"/>
          <w:color w:val="000000"/>
          <w:sz w:val="24"/>
          <w:szCs w:val="24"/>
          <w:vertAlign w:val="superscript"/>
        </w:rPr>
        <w:endnoteReference w:id="19"/>
      </w:r>
    </w:p>
    <w:p w14:paraId="55751595" w14:textId="56A4A67F" w:rsidR="001B52C7" w:rsidRPr="00592C35" w:rsidRDefault="001B52C7" w:rsidP="00B67293">
      <w:pPr>
        <w:spacing w:line="360" w:lineRule="auto"/>
        <w:ind w:right="-360"/>
        <w:rPr>
          <w:rFonts w:eastAsia="Calibri" w:cs="Arial"/>
          <w:sz w:val="24"/>
          <w:szCs w:val="24"/>
        </w:rPr>
      </w:pPr>
      <w:r w:rsidRPr="00592C35">
        <w:rPr>
          <w:rFonts w:eastAsia="Calibri" w:cs="Arial"/>
          <w:sz w:val="24"/>
          <w:szCs w:val="24"/>
        </w:rPr>
        <w:t xml:space="preserve">Community consists of neighborhoods and institutions; while community can be defined in many different ways, it is focused on those elements for the purposes of this </w:t>
      </w:r>
      <w:r w:rsidR="007E0624" w:rsidRPr="00592C35">
        <w:rPr>
          <w:rFonts w:eastAsia="Calibri" w:cs="Arial"/>
          <w:sz w:val="24"/>
          <w:szCs w:val="24"/>
        </w:rPr>
        <w:t>health assessment</w:t>
      </w:r>
      <w:r w:rsidRPr="00592C35">
        <w:rPr>
          <w:rFonts w:eastAsia="Calibri" w:cs="Arial"/>
          <w:sz w:val="24"/>
          <w:szCs w:val="24"/>
        </w:rPr>
        <w:t>. Communities have different institutions and varying neighborhood characteristics that can help or harm health.</w:t>
      </w:r>
      <w:r w:rsidRPr="00592C35">
        <w:rPr>
          <w:rFonts w:eastAsia="Calibri" w:cs="Times New Roman"/>
          <w:sz w:val="24"/>
          <w:szCs w:val="24"/>
        </w:rPr>
        <w:t xml:space="preserve"> As the population of Massachusetts increases, so </w:t>
      </w:r>
      <w:r w:rsidRPr="00592C35">
        <w:rPr>
          <w:rFonts w:eastAsia="Calibri" w:cs="Times New Roman"/>
          <w:sz w:val="24"/>
          <w:szCs w:val="24"/>
        </w:rPr>
        <w:lastRenderedPageBreak/>
        <w:t>has the number of registered voters. Between 2012 – 2017 there was an 8.4% increase in the number of registered voter.</w:t>
      </w:r>
    </w:p>
    <w:p w14:paraId="07C9EA52" w14:textId="540A1A22" w:rsidR="001B52C7" w:rsidRPr="00592C35" w:rsidRDefault="001B52C7" w:rsidP="00B67293">
      <w:pPr>
        <w:spacing w:line="360" w:lineRule="auto"/>
        <w:ind w:right="-360"/>
        <w:rPr>
          <w:rFonts w:eastAsia="Times New Roman" w:cs="Times New Roman"/>
          <w:sz w:val="24"/>
          <w:szCs w:val="24"/>
        </w:rPr>
      </w:pPr>
      <w:r w:rsidRPr="00592C35">
        <w:rPr>
          <w:rFonts w:eastAsia="Calibri" w:cs="Times New Roman"/>
          <w:color w:val="000000"/>
          <w:sz w:val="24"/>
          <w:szCs w:val="24"/>
        </w:rPr>
        <w:t>Many interview participants described trauma as an unintended consequence of comm</w:t>
      </w:r>
      <w:r w:rsidR="005E7BFB" w:rsidRPr="00592C35">
        <w:rPr>
          <w:rFonts w:eastAsia="Calibri" w:cs="Times New Roman"/>
          <w:color w:val="000000"/>
          <w:sz w:val="24"/>
          <w:szCs w:val="24"/>
        </w:rPr>
        <w:t>unity violence. One said that,</w:t>
      </w:r>
      <w:r w:rsidRPr="00592C35">
        <w:rPr>
          <w:rFonts w:eastAsia="Calibri" w:cs="Times New Roman"/>
          <w:color w:val="000000"/>
          <w:sz w:val="24"/>
          <w:szCs w:val="24"/>
        </w:rPr>
        <w:t xml:space="preserve"> “</w:t>
      </w:r>
      <w:r w:rsidRPr="00592C35">
        <w:rPr>
          <w:rFonts w:eastAsia="Calibri" w:cs="Times New Roman"/>
          <w:i/>
          <w:color w:val="000000"/>
          <w:sz w:val="24"/>
          <w:szCs w:val="24"/>
        </w:rPr>
        <w:t>Kids are seeing things in their communities and at school and they carry that trauma with them.”</w:t>
      </w:r>
      <w:r w:rsidRPr="00592C35">
        <w:rPr>
          <w:rFonts w:eastAsia="Calibri" w:cs="Times New Roman"/>
          <w:color w:val="000000"/>
          <w:sz w:val="24"/>
          <w:szCs w:val="24"/>
        </w:rPr>
        <w:t xml:space="preserve"> A </w:t>
      </w:r>
      <w:r w:rsidRPr="00592C35">
        <w:rPr>
          <w:rFonts w:eastAsia="Times New Roman" w:cs="Times New Roman"/>
          <w:sz w:val="24"/>
          <w:szCs w:val="24"/>
        </w:rPr>
        <w:t xml:space="preserve">prominent theme across participants was the need to better understand how trauma affects all aspects of community health including prevention, violence, and behavioral health. Interviewees described youth and the immigrant community as the most vulnerable groups impacted by trauma. Chronic trauma such as community violence and abuse were described as especially concerning. </w:t>
      </w:r>
    </w:p>
    <w:p w14:paraId="682F028F" w14:textId="72353701" w:rsidR="001B52C7" w:rsidRPr="00592C35" w:rsidRDefault="001B52C7" w:rsidP="00B67293">
      <w:pPr>
        <w:spacing w:line="360" w:lineRule="auto"/>
        <w:ind w:right="-360"/>
        <w:rPr>
          <w:rFonts w:eastAsia="Calibri" w:cs="Times New Roman"/>
          <w:i/>
          <w:color w:val="000000"/>
          <w:sz w:val="24"/>
          <w:szCs w:val="24"/>
        </w:rPr>
      </w:pPr>
      <w:r w:rsidRPr="00592C35">
        <w:rPr>
          <w:rFonts w:eastAsia="Times New Roman" w:cs="Times New Roman"/>
          <w:sz w:val="24"/>
          <w:szCs w:val="24"/>
        </w:rPr>
        <w:t xml:space="preserve">Historical trauma faced by the Native American community was also reported as a barrier to a healthy </w:t>
      </w:r>
      <w:r w:rsidR="005E7BFB" w:rsidRPr="00592C35">
        <w:rPr>
          <w:rFonts w:eastAsia="Times New Roman" w:cs="Times New Roman"/>
          <w:sz w:val="24"/>
          <w:szCs w:val="24"/>
        </w:rPr>
        <w:t>life. As one participant shared,</w:t>
      </w:r>
      <w:r w:rsidRPr="00592C35">
        <w:rPr>
          <w:rFonts w:eastAsia="Times New Roman" w:cs="Times New Roman"/>
          <w:sz w:val="24"/>
          <w:szCs w:val="24"/>
        </w:rPr>
        <w:t xml:space="preserve"> </w:t>
      </w:r>
      <w:r w:rsidRPr="00592C35">
        <w:rPr>
          <w:rFonts w:eastAsia="Calibri" w:cs="Times New Roman"/>
          <w:i/>
          <w:color w:val="000000"/>
          <w:sz w:val="24"/>
          <w:szCs w:val="24"/>
        </w:rPr>
        <w:t>“Nipmuc people have a story of indigenous people under occupation. For us, it’s been centuries since we’ve been the first contact people. Mental health issues, self-esteem issues, and alcohol issues all stem from this trauma and legacy.”</w:t>
      </w:r>
    </w:p>
    <w:p w14:paraId="6E821FAF" w14:textId="77777777" w:rsidR="001B52C7" w:rsidRPr="00592C35" w:rsidRDefault="001B52C7" w:rsidP="00B67293">
      <w:pPr>
        <w:spacing w:line="360" w:lineRule="auto"/>
        <w:ind w:right="-360"/>
        <w:rPr>
          <w:rFonts w:eastAsia="Calibri" w:cs="Times New Roman"/>
          <w:color w:val="000000"/>
          <w:sz w:val="24"/>
          <w:szCs w:val="24"/>
        </w:rPr>
      </w:pPr>
      <w:r w:rsidRPr="00592C35">
        <w:rPr>
          <w:rFonts w:eastAsia="Times New Roman" w:cs="Times New Roman"/>
          <w:sz w:val="24"/>
          <w:szCs w:val="24"/>
        </w:rPr>
        <w:t xml:space="preserve">Lastly, key informant interview participants expressed the need to better understand how systemic issues such as racism and other forms of oppression impact trauma in communities of color. </w:t>
      </w:r>
    </w:p>
    <w:p w14:paraId="11066075" w14:textId="77777777" w:rsidR="001B52C7" w:rsidRPr="00592C35" w:rsidRDefault="001B52C7" w:rsidP="00B67293">
      <w:pPr>
        <w:spacing w:before="200" w:after="200" w:line="360" w:lineRule="auto"/>
        <w:ind w:right="-360"/>
        <w:rPr>
          <w:rFonts w:eastAsia="Calibri" w:cs="Times New Roman"/>
          <w:sz w:val="24"/>
          <w:szCs w:val="24"/>
        </w:rPr>
      </w:pPr>
      <w:r w:rsidRPr="00592C35">
        <w:rPr>
          <w:rFonts w:eastAsia="Calibri" w:cs="Times New Roman"/>
          <w:sz w:val="24"/>
          <w:szCs w:val="24"/>
        </w:rPr>
        <w:t xml:space="preserve">Further, a common theme that emerged was the need to integrate more trauma-informed care in health services. The impacts of trauma, according to several interviewees, greatly affect health outcomes for youth and adults. </w:t>
      </w:r>
    </w:p>
    <w:p w14:paraId="3CAF20ED" w14:textId="77777777" w:rsidR="001B52C7" w:rsidRPr="00592C35" w:rsidRDefault="001B52C7" w:rsidP="00B67293">
      <w:pPr>
        <w:spacing w:before="200" w:after="200" w:line="360" w:lineRule="auto"/>
        <w:ind w:right="-360"/>
        <w:rPr>
          <w:rFonts w:eastAsia="Calibri" w:cs="Times New Roman"/>
          <w:i/>
          <w:sz w:val="24"/>
          <w:szCs w:val="24"/>
        </w:rPr>
      </w:pPr>
      <w:r w:rsidRPr="00592C35">
        <w:rPr>
          <w:rFonts w:eastAsia="Calibri" w:cs="Times New Roman"/>
          <w:sz w:val="24"/>
          <w:szCs w:val="24"/>
        </w:rPr>
        <w:t>Key informant interview participants cited the need for more provider training around trauma: One participant said, “</w:t>
      </w:r>
      <w:r w:rsidRPr="00592C35">
        <w:rPr>
          <w:rFonts w:eastAsia="Calibri" w:cs="Times New Roman"/>
          <w:i/>
          <w:sz w:val="24"/>
          <w:szCs w:val="24"/>
        </w:rPr>
        <w:t xml:space="preserve">We can’t treat substance use if we aren’t targeting the trauma that triggered it. Providers need to be equipped to deal with these traumas and take into account how they’re affecting a patient’s health.” </w:t>
      </w:r>
    </w:p>
    <w:p w14:paraId="258EF552" w14:textId="77777777" w:rsidR="001B52C7" w:rsidRPr="00B67293" w:rsidRDefault="001B52C7" w:rsidP="00B67293">
      <w:pPr>
        <w:keepNext/>
        <w:keepLines/>
        <w:spacing w:before="240" w:after="0" w:line="360" w:lineRule="auto"/>
        <w:ind w:right="-360"/>
        <w:jc w:val="left"/>
        <w:outlineLvl w:val="2"/>
        <w:rPr>
          <w:rFonts w:eastAsia="Times New Roman" w:cs="Times New Roman"/>
          <w:b/>
          <w:color w:val="000000"/>
          <w:sz w:val="30"/>
          <w:szCs w:val="30"/>
        </w:rPr>
      </w:pPr>
      <w:r w:rsidRPr="00B67293">
        <w:rPr>
          <w:rFonts w:eastAsia="Times New Roman" w:cs="Times New Roman"/>
          <w:b/>
          <w:color w:val="000000"/>
          <w:sz w:val="30"/>
          <w:szCs w:val="30"/>
        </w:rPr>
        <w:t>Built Environment Influences</w:t>
      </w:r>
    </w:p>
    <w:p w14:paraId="786620BB" w14:textId="77777777" w:rsidR="001B52C7" w:rsidRPr="00592C35" w:rsidRDefault="001B52C7" w:rsidP="00B67293">
      <w:pPr>
        <w:spacing w:line="360" w:lineRule="auto"/>
        <w:ind w:right="-360"/>
        <w:rPr>
          <w:rFonts w:eastAsia="Times New Roman" w:cs="Arial"/>
          <w:color w:val="000000"/>
          <w:sz w:val="24"/>
          <w:szCs w:val="24"/>
        </w:rPr>
      </w:pPr>
      <w:r w:rsidRPr="00592C35">
        <w:rPr>
          <w:rFonts w:eastAsia="Calibri" w:cs="Times New Roman"/>
          <w:sz w:val="24"/>
          <w:szCs w:val="24"/>
        </w:rPr>
        <w:t xml:space="preserve">The built environment is the human-made elements of where we live, work, worship, travel, and play. It includes open spaces, transportation systems, infrastructure, and the systems that </w:t>
      </w:r>
      <w:r w:rsidRPr="00592C35">
        <w:rPr>
          <w:rFonts w:eastAsia="Calibri" w:cs="Times New Roman"/>
          <w:color w:val="000000"/>
          <w:sz w:val="24"/>
          <w:szCs w:val="24"/>
        </w:rPr>
        <w:t>connect them. Built environment characteristics have an impact on available resources and services across communities. A</w:t>
      </w:r>
      <w:r w:rsidRPr="00592C35">
        <w:rPr>
          <w:rFonts w:eastAsia="Times New Roman" w:cs="Arial"/>
          <w:color w:val="000000"/>
          <w:sz w:val="24"/>
          <w:szCs w:val="24"/>
        </w:rPr>
        <w:t>ccess to healthy food and safe places to exercise and play influence a person’s ability to be healthy.</w:t>
      </w:r>
    </w:p>
    <w:p w14:paraId="01028CE4" w14:textId="77777777" w:rsidR="001B52C7" w:rsidRPr="00B67293" w:rsidRDefault="001B52C7" w:rsidP="00B67293">
      <w:pPr>
        <w:keepNext/>
        <w:keepLines/>
        <w:spacing w:before="240" w:after="0" w:line="360" w:lineRule="auto"/>
        <w:ind w:right="-360"/>
        <w:jc w:val="left"/>
        <w:outlineLvl w:val="2"/>
        <w:rPr>
          <w:rFonts w:eastAsia="Times New Roman" w:cs="Times New Roman"/>
          <w:color w:val="2F5496"/>
          <w:sz w:val="26"/>
          <w:szCs w:val="26"/>
        </w:rPr>
      </w:pPr>
      <w:r w:rsidRPr="00B67293">
        <w:rPr>
          <w:rFonts w:eastAsia="Times New Roman" w:cs="Times New Roman"/>
          <w:color w:val="2F5496"/>
          <w:sz w:val="26"/>
          <w:szCs w:val="26"/>
        </w:rPr>
        <w:lastRenderedPageBreak/>
        <w:t xml:space="preserve">Open Spaces </w:t>
      </w:r>
    </w:p>
    <w:p w14:paraId="59E3A9F8" w14:textId="27820D74"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Open space</w:t>
      </w:r>
      <w:r w:rsidRPr="00592C35">
        <w:rPr>
          <w:rFonts w:eastAsia="Times New Roman" w:cs="Arial"/>
          <w:color w:val="000000"/>
          <w:sz w:val="24"/>
          <w:szCs w:val="24"/>
        </w:rPr>
        <w:t xml:space="preserve"> </w:t>
      </w:r>
      <w:r w:rsidRPr="00592C35">
        <w:rPr>
          <w:rFonts w:eastAsia="Calibri" w:cs="Times New Roman"/>
          <w:sz w:val="24"/>
          <w:szCs w:val="24"/>
        </w:rPr>
        <w:t>resources include 29 State Parks, 78 State Forests, one State Fish Hatchery, four State Wildlife Management Areas, one National Park, four National Historic Sites</w:t>
      </w:r>
      <w:r w:rsidR="005E7BFB" w:rsidRPr="00592C35">
        <w:rPr>
          <w:rFonts w:eastAsia="Calibri" w:cs="Times New Roman"/>
          <w:sz w:val="24"/>
          <w:szCs w:val="24"/>
        </w:rPr>
        <w:t xml:space="preserve">, two National Historic Parks, </w:t>
      </w:r>
      <w:r w:rsidRPr="00592C35">
        <w:rPr>
          <w:rFonts w:eastAsia="Calibri" w:cs="Times New Roman"/>
          <w:sz w:val="24"/>
          <w:szCs w:val="24"/>
        </w:rPr>
        <w:t>four National Wildlife Refuges, and</w:t>
      </w:r>
      <w:r w:rsidR="005E7BFB" w:rsidRPr="00592C35">
        <w:rPr>
          <w:rFonts w:eastAsia="Calibri" w:cs="Times New Roman"/>
          <w:sz w:val="24"/>
          <w:szCs w:val="24"/>
        </w:rPr>
        <w:t xml:space="preserve"> one </w:t>
      </w:r>
      <w:r w:rsidRPr="00592C35">
        <w:rPr>
          <w:rFonts w:eastAsia="Calibri" w:cs="Times New Roman"/>
          <w:sz w:val="24"/>
          <w:szCs w:val="24"/>
        </w:rPr>
        <w:t>National Seashore.</w:t>
      </w:r>
      <w:r w:rsidRPr="00592C35">
        <w:rPr>
          <w:rFonts w:eastAsia="Calibri" w:cs="Times New Roman"/>
          <w:sz w:val="24"/>
          <w:szCs w:val="24"/>
          <w:vertAlign w:val="superscript"/>
        </w:rPr>
        <w:endnoteReference w:id="20"/>
      </w:r>
      <w:r w:rsidRPr="00592C35">
        <w:rPr>
          <w:rFonts w:eastAsia="Calibri" w:cs="Times New Roman"/>
          <w:sz w:val="24"/>
          <w:szCs w:val="24"/>
        </w:rPr>
        <w:t xml:space="preserve"> </w:t>
      </w:r>
    </w:p>
    <w:p w14:paraId="0DFC7035" w14:textId="77777777" w:rsidR="001B52C7" w:rsidRPr="00B67293" w:rsidRDefault="001B52C7" w:rsidP="00B67293">
      <w:pPr>
        <w:keepNext/>
        <w:keepLines/>
        <w:spacing w:before="240" w:after="0" w:line="360" w:lineRule="auto"/>
        <w:ind w:right="-360"/>
        <w:jc w:val="left"/>
        <w:outlineLvl w:val="2"/>
        <w:rPr>
          <w:rFonts w:eastAsia="Times New Roman" w:cs="Times New Roman"/>
          <w:color w:val="2F5496"/>
          <w:sz w:val="26"/>
          <w:szCs w:val="26"/>
        </w:rPr>
      </w:pPr>
      <w:r w:rsidRPr="00B67293">
        <w:rPr>
          <w:rFonts w:eastAsia="Times New Roman" w:cs="Times New Roman"/>
          <w:color w:val="2F5496"/>
          <w:sz w:val="26"/>
          <w:szCs w:val="26"/>
        </w:rPr>
        <w:t xml:space="preserve">Transportation </w:t>
      </w:r>
    </w:p>
    <w:p w14:paraId="2869496B" w14:textId="1D44D4CE"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Features of the built environment, such as transportation, are important for fulfilling caregiving and employment responsibilities and for accessing health-promoting resources and health care.</w:t>
      </w:r>
      <w:r w:rsidRPr="00592C35">
        <w:rPr>
          <w:rFonts w:eastAsia="Calibri" w:cs="Times New Roman"/>
          <w:sz w:val="24"/>
          <w:szCs w:val="24"/>
          <w:vertAlign w:val="superscript"/>
        </w:rPr>
        <w:endnoteReference w:id="21"/>
      </w:r>
      <w:r w:rsidRPr="00592C35">
        <w:rPr>
          <w:rFonts w:eastAsia="Calibri" w:cs="Times New Roman"/>
          <w:sz w:val="24"/>
          <w:szCs w:val="24"/>
        </w:rPr>
        <w:t xml:space="preserve"> Transportation choices are impacted by community design. Yet, community transportation planning does not typically include health impacts in a cost-benefit analysis. Health impacts can be measured as a cost from lost productivty from premature death, health care costs, lost wages, and decreased quality of life.  Research nationally is beginning to place an economic value on those transportation-related health outcomes. Transportation systems designed to primarily consider vehicle traffic movement can contribute to physical inactivity. The li</w:t>
      </w:r>
      <w:r w:rsidR="007812CC" w:rsidRPr="00592C35">
        <w:rPr>
          <w:rFonts w:eastAsia="Calibri" w:cs="Times New Roman"/>
          <w:sz w:val="24"/>
          <w:szCs w:val="24"/>
        </w:rPr>
        <w:t>kelihood of obesity increases 6</w:t>
      </w:r>
      <w:r w:rsidRPr="00592C35">
        <w:rPr>
          <w:rFonts w:eastAsia="Calibri" w:cs="Times New Roman"/>
          <w:sz w:val="24"/>
          <w:szCs w:val="24"/>
        </w:rPr>
        <w:t>% for every additional hour per day spent in a car.</w:t>
      </w:r>
      <w:r w:rsidRPr="00592C35">
        <w:rPr>
          <w:rFonts w:eastAsia="Calibri" w:cs="Times New Roman"/>
          <w:sz w:val="24"/>
          <w:szCs w:val="24"/>
          <w:vertAlign w:val="superscript"/>
        </w:rPr>
        <w:endnoteReference w:id="22"/>
      </w:r>
    </w:p>
    <w:p w14:paraId="29D7A016" w14:textId="760107E7" w:rsidR="00C71A22" w:rsidRPr="00592C35" w:rsidRDefault="0095398C" w:rsidP="00B67293">
      <w:pPr>
        <w:spacing w:line="360" w:lineRule="auto"/>
        <w:ind w:right="-360"/>
        <w:rPr>
          <w:rFonts w:eastAsia="Calibri" w:cs="Times New Roman"/>
          <w:sz w:val="24"/>
          <w:szCs w:val="24"/>
        </w:rPr>
      </w:pPr>
      <w:r w:rsidRPr="00592C35">
        <w:rPr>
          <w:rFonts w:eastAsia="Calibri" w:cs="Times New Roman"/>
          <w:sz w:val="24"/>
          <w:szCs w:val="24"/>
        </w:rPr>
        <w:t xml:space="preserve">As shown in </w:t>
      </w:r>
      <w:r w:rsidRPr="00592C35">
        <w:rPr>
          <w:rFonts w:eastAsia="Calibri" w:cs="Times New Roman"/>
          <w:b/>
          <w:sz w:val="24"/>
          <w:szCs w:val="24"/>
        </w:rPr>
        <w:t>Figure 1.16</w:t>
      </w:r>
      <w:r w:rsidRPr="00592C35">
        <w:rPr>
          <w:rFonts w:eastAsia="Calibri" w:cs="Times New Roman"/>
          <w:sz w:val="24"/>
          <w:szCs w:val="24"/>
        </w:rPr>
        <w:t>, i</w:t>
      </w:r>
      <w:r w:rsidR="001B52C7" w:rsidRPr="00592C35">
        <w:rPr>
          <w:rFonts w:eastAsia="Calibri" w:cs="Times New Roman"/>
          <w:sz w:val="24"/>
          <w:szCs w:val="24"/>
        </w:rPr>
        <w:t>n 2011-2015, 9.8% of Massachusetts residents relied on public transportation to get to work, a proportion that was nearly double the national average (5.1%). Nearly eight in ten (79.1%) Massachusetts residents drove to work, a percentage that is lower than that for the nation (85.9%). Another 5.6% of Massachusetts residents used active transportation</w:t>
      </w:r>
      <w:r w:rsidR="005E7BFB" w:rsidRPr="00592C35">
        <w:rPr>
          <w:rFonts w:eastAsia="Calibri" w:cs="Times New Roman"/>
          <w:sz w:val="24"/>
          <w:szCs w:val="24"/>
        </w:rPr>
        <w:t>,</w:t>
      </w:r>
      <w:r w:rsidR="001B52C7" w:rsidRPr="00592C35">
        <w:rPr>
          <w:rFonts w:eastAsia="Calibri" w:cs="Times New Roman"/>
          <w:sz w:val="24"/>
          <w:szCs w:val="24"/>
        </w:rPr>
        <w:t xml:space="preserve"> such as cycling or walking</w:t>
      </w:r>
      <w:r w:rsidR="005E7BFB" w:rsidRPr="00592C35">
        <w:rPr>
          <w:rFonts w:eastAsia="Calibri" w:cs="Times New Roman"/>
          <w:sz w:val="24"/>
          <w:szCs w:val="24"/>
        </w:rPr>
        <w:t>,</w:t>
      </w:r>
      <w:r w:rsidR="001B52C7" w:rsidRPr="00592C35">
        <w:rPr>
          <w:rFonts w:eastAsia="Calibri" w:cs="Times New Roman"/>
          <w:sz w:val="24"/>
          <w:szCs w:val="24"/>
        </w:rPr>
        <w:t xml:space="preserve"> to get to work.</w:t>
      </w:r>
      <w:r w:rsidR="00C71A22" w:rsidRPr="00592C35">
        <w:rPr>
          <w:rFonts w:eastAsia="Calibri" w:cs="Times New Roman"/>
          <w:sz w:val="24"/>
          <w:szCs w:val="24"/>
        </w:rPr>
        <w:t xml:space="preserve"> </w:t>
      </w:r>
    </w:p>
    <w:p w14:paraId="1677D80E" w14:textId="63D2D238" w:rsidR="00C71A22" w:rsidRPr="00592C35" w:rsidRDefault="00C71A22" w:rsidP="00B67293">
      <w:pPr>
        <w:spacing w:line="360" w:lineRule="auto"/>
        <w:ind w:right="-360"/>
        <w:rPr>
          <w:rFonts w:eastAsia="Calibri" w:cs="Times New Roman"/>
          <w:sz w:val="24"/>
          <w:szCs w:val="24"/>
        </w:rPr>
      </w:pPr>
      <w:r w:rsidRPr="00592C35">
        <w:rPr>
          <w:rFonts w:eastAsia="Calibri" w:cs="Times New Roman"/>
          <w:sz w:val="24"/>
          <w:szCs w:val="24"/>
        </w:rPr>
        <w:t xml:space="preserve">In 2011-2015, 94.2% of households across the Commonwealth had at least one vehicle. This rate is similar to the prevalence in 2006-2010 (94.3%) and slightly below that for the US in 2011-2015 (95.6%). A total of 43.2% of Massachusetts households had two vehicles, while 23.9% of households had one vehicle and 27.1% of households had three or more vehicles in 2011-2015. </w:t>
      </w:r>
    </w:p>
    <w:p w14:paraId="3591D166" w14:textId="208067AB" w:rsidR="00B67293" w:rsidRPr="00592C35" w:rsidRDefault="00C71A22" w:rsidP="00B67293">
      <w:pPr>
        <w:spacing w:line="360" w:lineRule="auto"/>
        <w:ind w:right="-360"/>
        <w:rPr>
          <w:rFonts w:eastAsia="Calibri" w:cs="Times New Roman"/>
          <w:sz w:val="24"/>
          <w:szCs w:val="24"/>
        </w:rPr>
      </w:pPr>
      <w:r w:rsidRPr="00592C35">
        <w:rPr>
          <w:rFonts w:eastAsia="Calibri" w:cs="Times New Roman"/>
          <w:sz w:val="24"/>
          <w:szCs w:val="24"/>
        </w:rPr>
        <w:t>Transportation allows for access to critical goods and services including supermarkets. However, in many neighborhoods, nutritious, affordable, and high-quality food is not accessible, particularly in low-income communities.</w:t>
      </w:r>
      <w:r w:rsidRPr="00592C35">
        <w:rPr>
          <w:rFonts w:eastAsia="Calibri" w:cs="Times New Roman"/>
          <w:sz w:val="24"/>
          <w:szCs w:val="24"/>
          <w:vertAlign w:val="superscript"/>
        </w:rPr>
        <w:endnoteReference w:id="23"/>
      </w:r>
      <w:r w:rsidRPr="00592C35">
        <w:rPr>
          <w:rFonts w:eastAsia="Calibri" w:cs="Times New Roman"/>
          <w:sz w:val="24"/>
          <w:szCs w:val="24"/>
        </w:rPr>
        <w:t xml:space="preserve"> In Massachusetts, low-income communities in the central and western regions as well as Cape Cod are more likely to have less access to supermarkets</w:t>
      </w:r>
      <w:r w:rsidR="0095398C" w:rsidRPr="00592C35">
        <w:rPr>
          <w:rFonts w:eastAsia="Calibri" w:cs="Times New Roman"/>
          <w:sz w:val="24"/>
          <w:szCs w:val="24"/>
        </w:rPr>
        <w:t xml:space="preserve"> </w:t>
      </w:r>
      <w:r w:rsidR="0095398C" w:rsidRPr="00592C35">
        <w:rPr>
          <w:rFonts w:eastAsia="Calibri" w:cs="Times New Roman"/>
          <w:b/>
          <w:sz w:val="24"/>
          <w:szCs w:val="24"/>
        </w:rPr>
        <w:t>(see Figure 1.17)</w:t>
      </w:r>
      <w:r w:rsidRPr="00592C35">
        <w:rPr>
          <w:rFonts w:eastAsia="Calibri" w:cs="Times New Roman"/>
          <w:sz w:val="24"/>
          <w:szCs w:val="24"/>
        </w:rPr>
        <w:t xml:space="preserve">. </w:t>
      </w:r>
    </w:p>
    <w:p w14:paraId="7915D7FF" w14:textId="77777777" w:rsidR="00B67293" w:rsidRPr="00592C35" w:rsidRDefault="00B67293">
      <w:pPr>
        <w:spacing w:before="0"/>
        <w:ind w:left="0" w:right="0"/>
        <w:jc w:val="left"/>
        <w:rPr>
          <w:rFonts w:eastAsia="Calibri" w:cs="Times New Roman"/>
          <w:sz w:val="24"/>
          <w:szCs w:val="24"/>
        </w:rPr>
      </w:pPr>
      <w:r w:rsidRPr="00592C35">
        <w:rPr>
          <w:rFonts w:eastAsia="Calibri" w:cs="Times New Roman"/>
          <w:sz w:val="24"/>
          <w:szCs w:val="24"/>
        </w:rPr>
        <w:br w:type="page"/>
      </w:r>
    </w:p>
    <w:p w14:paraId="60B7FAA8" w14:textId="77777777" w:rsidR="00A07B92" w:rsidRPr="00592C35" w:rsidRDefault="00A07B92"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1.16</w:t>
      </w:r>
    </w:p>
    <w:p w14:paraId="0D17DD25" w14:textId="77777777" w:rsidR="00A07B92" w:rsidRPr="00592C35" w:rsidRDefault="00A07B92" w:rsidP="00B67293">
      <w:pPr>
        <w:keepNext/>
        <w:keepLines/>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Means of Transportation to Work, US and Massachusetts, 2011-2015</w:t>
      </w:r>
    </w:p>
    <w:p w14:paraId="678B8D4F" w14:textId="08BF5A00" w:rsidR="00A07B92" w:rsidRPr="00592C35" w:rsidRDefault="00FD1476" w:rsidP="00B67293">
      <w:pPr>
        <w:keepNext/>
        <w:keepLines/>
        <w:spacing w:line="360" w:lineRule="auto"/>
        <w:ind w:right="-360"/>
        <w:jc w:val="center"/>
        <w:rPr>
          <w:rFonts w:eastAsia="Calibri" w:cs="Times New Roman"/>
          <w:sz w:val="24"/>
          <w:szCs w:val="24"/>
        </w:rPr>
      </w:pPr>
      <w:r w:rsidRPr="00592C35">
        <w:rPr>
          <w:sz w:val="24"/>
          <w:szCs w:val="24"/>
        </w:rPr>
        <w:drawing>
          <wp:inline distT="0" distB="0" distL="0" distR="0" wp14:anchorId="2FEC5824" wp14:editId="362AAE23">
            <wp:extent cx="5495027" cy="2461152"/>
            <wp:effectExtent l="0" t="0" r="0" b="0"/>
            <wp:docPr id="731" name="Picture 731" descr="This horizontal bar graph shows the different means of transportation to work and compares the US to Massachusetts for the years 2011-2015. In Massachusetts during the years 2011-2015, 79% of the population drove to work, 10% used public transportation, 5% walked, 1% rode a bicycle, 1% used a taxicab, motorcycle or other vehicle, and 5% worked at home. In the US, 86% of the population drove to work, 5% used public transportation, 3% walked, 1% rode a bicycle, 1% used a taxicab, motorcycle or other vehicle, and 4% worked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4866" t="27094" r="27674" b="35116"/>
                    <a:stretch/>
                  </pic:blipFill>
                  <pic:spPr bwMode="auto">
                    <a:xfrm>
                      <a:off x="0" y="0"/>
                      <a:ext cx="5492360" cy="2459957"/>
                    </a:xfrm>
                    <a:prstGeom prst="rect">
                      <a:avLst/>
                    </a:prstGeom>
                    <a:ln>
                      <a:noFill/>
                    </a:ln>
                    <a:extLst>
                      <a:ext uri="{53640926-AAD7-44D8-BBD7-CCE9431645EC}">
                        <a14:shadowObscured xmlns:a14="http://schemas.microsoft.com/office/drawing/2010/main"/>
                      </a:ext>
                    </a:extLst>
                  </pic:spPr>
                </pic:pic>
              </a:graphicData>
            </a:graphic>
          </wp:inline>
        </w:drawing>
      </w:r>
    </w:p>
    <w:p w14:paraId="6FB90ABB" w14:textId="3948C66F" w:rsidR="00A07B92" w:rsidRPr="00592C35" w:rsidRDefault="00A07B92"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SOURCE: US CENSUS BUREAU, AMERICAN COMMUNITY SURVEY 5-YEAR ESTIMATES</w:t>
      </w:r>
      <w:r w:rsidR="007E0624" w:rsidRPr="00592C35">
        <w:rPr>
          <w:rFonts w:eastAsia="Calibri" w:cs="Times New Roman"/>
          <w:noProof w:val="0"/>
          <w:sz w:val="24"/>
          <w:szCs w:val="24"/>
        </w:rPr>
        <w:t>;</w:t>
      </w:r>
      <w:r w:rsidR="007E0624" w:rsidRPr="00592C35">
        <w:rPr>
          <w:sz w:val="24"/>
          <w:szCs w:val="24"/>
        </w:rPr>
        <w:t xml:space="preserve"> </w:t>
      </w:r>
      <w:r w:rsidR="007E0624" w:rsidRPr="00592C35">
        <w:rPr>
          <w:rFonts w:eastAsia="Calibri" w:cs="Times New Roman"/>
          <w:noProof w:val="0"/>
          <w:sz w:val="24"/>
          <w:szCs w:val="24"/>
        </w:rPr>
        <w:t>NOTE: DUE TO ROUNDING, MAY NOT ADD UP TO 100%</w:t>
      </w:r>
    </w:p>
    <w:p w14:paraId="355EC819" w14:textId="361B0A93" w:rsidR="001B52C7" w:rsidRPr="00592C35" w:rsidRDefault="001B52C7" w:rsidP="00B67293">
      <w:pPr>
        <w:spacing w:before="0" w:line="360" w:lineRule="auto"/>
        <w:ind w:left="0" w:right="0"/>
        <w:jc w:val="center"/>
        <w:rPr>
          <w:rFonts w:eastAsia="Calibri" w:cs="Times New Roman"/>
          <w:b/>
          <w:noProof w:val="0"/>
          <w:sz w:val="24"/>
          <w:szCs w:val="24"/>
        </w:rPr>
      </w:pPr>
      <w:r w:rsidRPr="00592C35">
        <w:rPr>
          <w:rFonts w:eastAsia="Calibri" w:cs="Times New Roman"/>
          <w:b/>
          <w:noProof w:val="0"/>
          <w:sz w:val="24"/>
          <w:szCs w:val="24"/>
        </w:rPr>
        <w:t>Figure 1.17</w:t>
      </w:r>
    </w:p>
    <w:p w14:paraId="102F474B" w14:textId="77777777" w:rsidR="001B52C7" w:rsidRPr="00592C35" w:rsidRDefault="001B52C7" w:rsidP="00B67293">
      <w:pPr>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Low-income Access to Supermarkets By Community, 2015</w:t>
      </w:r>
    </w:p>
    <w:p w14:paraId="00CEC46B" w14:textId="5122470C" w:rsidR="001B52C7" w:rsidRPr="00592C35" w:rsidRDefault="00FD1476" w:rsidP="00B67293">
      <w:pPr>
        <w:spacing w:line="360" w:lineRule="auto"/>
        <w:ind w:right="-360"/>
        <w:jc w:val="center"/>
        <w:rPr>
          <w:rFonts w:eastAsia="Calibri" w:cs="Times New Roman"/>
          <w:color w:val="737173"/>
          <w:sz w:val="24"/>
          <w:szCs w:val="24"/>
        </w:rPr>
      </w:pPr>
      <w:r w:rsidRPr="00592C35">
        <w:rPr>
          <w:sz w:val="24"/>
          <w:szCs w:val="24"/>
        </w:rPr>
        <w:drawing>
          <wp:inline distT="0" distB="0" distL="0" distR="0" wp14:anchorId="2B0C7924" wp14:editId="63FD0FF9">
            <wp:extent cx="5267910" cy="3188473"/>
            <wp:effectExtent l="0" t="0" r="9525" b="0"/>
            <wp:docPr id="735" name="Picture 735" descr="This map of Massachusetts cities and towns shows access to supermarkets in each city/town of Massachusetts. The map is shaded with colors that represent percentages of the population with no access to supermarkets. The colors shown are 76-100% represented in dark blue, 51-75% is in medium/darker blue, 26-50% is medium blue, 1-25 % is light blue, and 0% is white. Many low-income communities in the central and western regions as well as Cape Cod lack access to supermarkets in the ranges between 25 to 7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6738" t="11171" r="27540" b="39631"/>
                    <a:stretch/>
                  </pic:blipFill>
                  <pic:spPr bwMode="auto">
                    <a:xfrm>
                      <a:off x="0" y="0"/>
                      <a:ext cx="5266051" cy="3187348"/>
                    </a:xfrm>
                    <a:prstGeom prst="rect">
                      <a:avLst/>
                    </a:prstGeom>
                    <a:ln>
                      <a:noFill/>
                    </a:ln>
                    <a:extLst>
                      <a:ext uri="{53640926-AAD7-44D8-BBD7-CCE9431645EC}">
                        <a14:shadowObscured xmlns:a14="http://schemas.microsoft.com/office/drawing/2010/main"/>
                      </a:ext>
                    </a:extLst>
                  </pic:spPr>
                </pic:pic>
              </a:graphicData>
            </a:graphic>
          </wp:inline>
        </w:drawing>
      </w:r>
    </w:p>
    <w:p w14:paraId="1751EAE1"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lastRenderedPageBreak/>
        <w:t>SOURCE: US DEPARTMENT OF AGRICULTURE ECONOMIC RESEARCH SERVICE FOOD ACCESS RESEARCH ATLAS</w:t>
      </w:r>
    </w:p>
    <w:p w14:paraId="3CAC8172" w14:textId="63CCECC9" w:rsidR="001B52C7" w:rsidRPr="00592C35" w:rsidRDefault="001B52C7" w:rsidP="00B67293">
      <w:pPr>
        <w:spacing w:line="360" w:lineRule="auto"/>
        <w:ind w:right="-360"/>
        <w:rPr>
          <w:rFonts w:eastAsia="Calibri" w:cs="Times New Roman"/>
          <w:color w:val="000000"/>
          <w:sz w:val="24"/>
          <w:szCs w:val="24"/>
        </w:rPr>
      </w:pPr>
      <w:r w:rsidRPr="00592C35">
        <w:rPr>
          <w:rFonts w:eastAsia="Calibri" w:cs="Times New Roman"/>
          <w:color w:val="000000"/>
          <w:sz w:val="24"/>
          <w:szCs w:val="24"/>
        </w:rPr>
        <w:t>Concerns about transportation were discussed in nearly every focus group and key informant interview</w:t>
      </w:r>
      <w:r w:rsidR="00026617" w:rsidRPr="00592C35">
        <w:rPr>
          <w:rFonts w:eastAsia="Calibri" w:cs="Times New Roman"/>
          <w:color w:val="000000"/>
          <w:sz w:val="24"/>
          <w:szCs w:val="24"/>
        </w:rPr>
        <w:t>. As one interviewee summarized,</w:t>
      </w:r>
      <w:r w:rsidRPr="00592C35">
        <w:rPr>
          <w:rFonts w:eastAsia="Calibri" w:cs="Times New Roman"/>
          <w:color w:val="000000"/>
          <w:sz w:val="24"/>
          <w:szCs w:val="24"/>
        </w:rPr>
        <w:t xml:space="preserve"> “</w:t>
      </w:r>
      <w:r w:rsidRPr="00592C35">
        <w:rPr>
          <w:rFonts w:eastAsia="Calibri" w:cs="Times New Roman"/>
          <w:i/>
          <w:color w:val="000000"/>
          <w:sz w:val="24"/>
          <w:szCs w:val="24"/>
        </w:rPr>
        <w:t xml:space="preserve">Transportation is an issue that looks different depending on the area. In rural areas there are no public options, in urban areas like Springfield there’s public transit but there are challenges that limit the access to it.” </w:t>
      </w:r>
      <w:r w:rsidRPr="00592C35">
        <w:rPr>
          <w:rFonts w:eastAsia="Calibri" w:cs="Times New Roman"/>
          <w:sz w:val="24"/>
          <w:szCs w:val="24"/>
        </w:rPr>
        <w:t>Walking and bicycling may be viewed as unsafe because of traffic and lack of sidewalks, crosswalks, and bicycle facilities.</w:t>
      </w:r>
    </w:p>
    <w:p w14:paraId="40EED13C" w14:textId="77777777" w:rsidR="001B52C7" w:rsidRPr="00B67293" w:rsidRDefault="001B52C7" w:rsidP="00B67293">
      <w:pPr>
        <w:keepNext/>
        <w:keepLines/>
        <w:spacing w:before="240" w:after="0" w:line="360" w:lineRule="auto"/>
        <w:ind w:right="-360"/>
        <w:jc w:val="left"/>
        <w:outlineLvl w:val="2"/>
        <w:rPr>
          <w:rFonts w:eastAsia="Times New Roman" w:cs="Times New Roman"/>
          <w:b/>
          <w:color w:val="000000"/>
          <w:sz w:val="40"/>
          <w:szCs w:val="40"/>
        </w:rPr>
      </w:pPr>
      <w:r w:rsidRPr="00B67293">
        <w:rPr>
          <w:rFonts w:eastAsia="Times New Roman" w:cs="Times New Roman"/>
          <w:b/>
          <w:color w:val="000000"/>
          <w:sz w:val="40"/>
          <w:szCs w:val="40"/>
        </w:rPr>
        <w:t>Mortality</w:t>
      </w:r>
    </w:p>
    <w:p w14:paraId="24DDD2B9" w14:textId="363F3EF2"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The overall mortality rate in Massachusetts continues to decline, reaching a low of 662.5 per 100,000 population in 2014, a 10.4% decrease from the overall mortality rate a decade prior</w:t>
      </w:r>
      <w:r w:rsidR="0095398C" w:rsidRPr="00592C35">
        <w:rPr>
          <w:rFonts w:eastAsia="Calibri" w:cs="Times New Roman"/>
          <w:sz w:val="24"/>
          <w:szCs w:val="24"/>
        </w:rPr>
        <w:t xml:space="preserve"> </w:t>
      </w:r>
      <w:r w:rsidR="0095398C" w:rsidRPr="00592C35">
        <w:rPr>
          <w:rFonts w:eastAsia="Calibri" w:cs="Times New Roman"/>
          <w:b/>
          <w:sz w:val="24"/>
          <w:szCs w:val="24"/>
        </w:rPr>
        <w:t>(see Figure 1.18)</w:t>
      </w:r>
      <w:r w:rsidRPr="00592C35">
        <w:rPr>
          <w:rFonts w:eastAsia="Calibri" w:cs="Times New Roman"/>
          <w:sz w:val="24"/>
          <w:szCs w:val="24"/>
        </w:rPr>
        <w:t xml:space="preserve">. </w:t>
      </w:r>
    </w:p>
    <w:p w14:paraId="6CE9DA92"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Massachusetts death certificates show causes of death, age, race/ethnicity, sex, educational attainment, marital status, and occupation among other characteristics. MDPH uses this information to monitor mortality trends in the Commonwealth, identify population groups at greatest risk of death from diseases and injuries, and to design and implement programs to promote health. </w:t>
      </w:r>
    </w:p>
    <w:p w14:paraId="62730B4C"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In order to understand the impact of mortality, both the number of deaths and death rates are important. The number of deaths provides insight into the overall public health burden of specific diseases. Mortality rates presented in this section adjust for the age of each individual.</w:t>
      </w:r>
      <w:r w:rsidRPr="00592C35">
        <w:rPr>
          <w:rFonts w:eastAsia="Calibri" w:cs="Times New Roman"/>
          <w:sz w:val="24"/>
          <w:szCs w:val="24"/>
          <w:vertAlign w:val="superscript"/>
        </w:rPr>
        <w:endnoteReference w:id="24"/>
      </w:r>
      <w:r w:rsidRPr="00592C35">
        <w:rPr>
          <w:rFonts w:eastAsia="Calibri" w:cs="Times New Roman"/>
          <w:sz w:val="24"/>
          <w:szCs w:val="24"/>
        </w:rPr>
        <w:t xml:space="preserve"> Mortality rates are presented per 100,000 population.  </w:t>
      </w:r>
    </w:p>
    <w:p w14:paraId="728550FA"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In addition to assessing risk factors, variations in death rates may also reflect differences in socioeconomic status, access to health care resources, geography, and other factors. </w:t>
      </w:r>
    </w:p>
    <w:p w14:paraId="1E6740EB" w14:textId="7A3246CB" w:rsidR="00B67293" w:rsidRPr="00592C35" w:rsidRDefault="00B67293">
      <w:pPr>
        <w:spacing w:before="0"/>
        <w:ind w:left="0" w:right="0"/>
        <w:jc w:val="left"/>
        <w:rPr>
          <w:rFonts w:eastAsia="Calibri" w:cs="Times New Roman"/>
          <w:sz w:val="24"/>
          <w:szCs w:val="24"/>
        </w:rPr>
      </w:pPr>
      <w:r w:rsidRPr="00592C35">
        <w:rPr>
          <w:rFonts w:eastAsia="Calibri" w:cs="Times New Roman"/>
          <w:sz w:val="24"/>
          <w:szCs w:val="24"/>
        </w:rPr>
        <w:br w:type="page"/>
      </w:r>
    </w:p>
    <w:p w14:paraId="7F807603"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1.18</w:t>
      </w:r>
    </w:p>
    <w:p w14:paraId="7E3C4034"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Overall Age-Adjusted Mortality Rate, Massachusetts, 2004-2014</w:t>
      </w:r>
    </w:p>
    <w:p w14:paraId="6878197A" w14:textId="023259EF" w:rsidR="001B52C7" w:rsidRPr="00592C35" w:rsidRDefault="00DC78E8" w:rsidP="00B67293">
      <w:pPr>
        <w:keepNext/>
        <w:keepLines/>
        <w:spacing w:line="360" w:lineRule="auto"/>
        <w:ind w:right="-360"/>
        <w:jc w:val="center"/>
        <w:rPr>
          <w:rFonts w:eastAsia="Calibri" w:cs="Times New Roman"/>
          <w:sz w:val="24"/>
          <w:szCs w:val="24"/>
        </w:rPr>
      </w:pPr>
      <w:r w:rsidRPr="00592C35">
        <w:rPr>
          <w:sz w:val="24"/>
          <w:szCs w:val="24"/>
        </w:rPr>
        <w:drawing>
          <wp:inline distT="0" distB="0" distL="0" distR="0" wp14:anchorId="60B0DB06" wp14:editId="3D37C39F">
            <wp:extent cx="4527454" cy="2875782"/>
            <wp:effectExtent l="0" t="0" r="6985" b="1270"/>
            <wp:docPr id="123" name="Chart 123" descr="This line chart shows the age-adjusted mortality rate has decreased in Massachusetts from 2004 to 2014. In 2004, the age-adjusted mortality rate was 739.3 per 100,000 population. In 2014, the age-adjusted mortality rate was 662.5 per 100,000 population.">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A2AAA6-00CC-4E83-99A2-D9B981E02B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27650A2" w14:textId="77777777" w:rsidR="001B52C7" w:rsidRPr="00592C35" w:rsidRDefault="001B52C7" w:rsidP="00B67293">
      <w:pPr>
        <w:spacing w:line="360" w:lineRule="auto"/>
        <w:ind w:right="-360"/>
        <w:jc w:val="center"/>
        <w:rPr>
          <w:rFonts w:eastAsia="Calibri" w:cs="Times New Roman"/>
          <w:noProof w:val="0"/>
          <w:sz w:val="24"/>
          <w:szCs w:val="24"/>
        </w:rPr>
      </w:pPr>
      <w:r w:rsidRPr="00592C35">
        <w:rPr>
          <w:rFonts w:eastAsia="Calibri" w:cs="Times New Roman"/>
          <w:noProof w:val="0"/>
          <w:sz w:val="24"/>
          <w:szCs w:val="24"/>
        </w:rPr>
        <w:t>NOTE: USING THE 2000 US STANDARD POPULATION</w:t>
      </w:r>
    </w:p>
    <w:p w14:paraId="70004598" w14:textId="1AC85C33" w:rsidR="001B52C7" w:rsidRPr="00592C35" w:rsidRDefault="0095398C" w:rsidP="00B67293">
      <w:pPr>
        <w:spacing w:line="360" w:lineRule="auto"/>
        <w:ind w:right="-360"/>
        <w:rPr>
          <w:rFonts w:eastAsia="Calibri" w:cs="Times New Roman"/>
          <w:sz w:val="24"/>
          <w:szCs w:val="24"/>
        </w:rPr>
      </w:pPr>
      <w:r w:rsidRPr="00592C35">
        <w:rPr>
          <w:rFonts w:eastAsia="Calibri" w:cs="Times New Roman"/>
          <w:sz w:val="24"/>
          <w:szCs w:val="24"/>
        </w:rPr>
        <w:t xml:space="preserve">As shown in </w:t>
      </w:r>
      <w:r w:rsidRPr="00592C35">
        <w:rPr>
          <w:rFonts w:eastAsia="Calibri" w:cs="Times New Roman"/>
          <w:b/>
          <w:sz w:val="24"/>
          <w:szCs w:val="24"/>
        </w:rPr>
        <w:t>Figure 1.19</w:t>
      </w:r>
      <w:r w:rsidRPr="00592C35">
        <w:rPr>
          <w:rFonts w:eastAsia="Calibri" w:cs="Times New Roman"/>
          <w:sz w:val="24"/>
          <w:szCs w:val="24"/>
        </w:rPr>
        <w:t>, m</w:t>
      </w:r>
      <w:r w:rsidR="001B52C7" w:rsidRPr="00592C35">
        <w:rPr>
          <w:rFonts w:eastAsia="Calibri" w:cs="Times New Roman"/>
          <w:sz w:val="24"/>
          <w:szCs w:val="24"/>
        </w:rPr>
        <w:t xml:space="preserve">ortality rates vary by race/ethnicity. Contrary to patterns from previous years, in 2014 the mortality rate for White non-Hispanic residents exceeded that for Black non-Hispanic, Hispanic, and Asian non-Hispanic residents. From 2013 to 2014, the mortality rate for Black non-Hispanics declined 7.2%. The mortality rate for Asian non-Hispanic residents continues to be the lowest for each of the largest racial/ethnic groups across the Commonwealth. </w:t>
      </w:r>
    </w:p>
    <w:p w14:paraId="35B0556B" w14:textId="77777777" w:rsidR="00B67293" w:rsidRPr="00592C35" w:rsidRDefault="00B67293">
      <w:pPr>
        <w:spacing w:before="0"/>
        <w:ind w:left="0" w:right="0"/>
        <w:jc w:val="left"/>
        <w:rPr>
          <w:rFonts w:eastAsia="Calibri" w:cs="Times New Roman"/>
          <w:b/>
          <w:noProof w:val="0"/>
          <w:sz w:val="24"/>
          <w:szCs w:val="24"/>
        </w:rPr>
      </w:pPr>
      <w:r w:rsidRPr="00592C35">
        <w:rPr>
          <w:rFonts w:eastAsia="Calibri" w:cs="Times New Roman"/>
          <w:b/>
          <w:noProof w:val="0"/>
          <w:sz w:val="24"/>
          <w:szCs w:val="24"/>
        </w:rPr>
        <w:br w:type="page"/>
      </w:r>
    </w:p>
    <w:p w14:paraId="557AC3E4" w14:textId="3259AF8C"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1.19</w:t>
      </w:r>
    </w:p>
    <w:p w14:paraId="61B9DC6A" w14:textId="77777777" w:rsidR="001B52C7" w:rsidRPr="00592C35" w:rsidRDefault="001B52C7" w:rsidP="00B67293">
      <w:pPr>
        <w:keepNext/>
        <w:keepLines/>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Age-Adjusted Mortality Rate, by Race/Ethnicity, Massachusetts, 2014</w:t>
      </w:r>
    </w:p>
    <w:p w14:paraId="5244680B" w14:textId="77AC18B5" w:rsidR="001B52C7" w:rsidRPr="00592C35" w:rsidRDefault="00DC78E8" w:rsidP="00B67293">
      <w:pPr>
        <w:keepNext/>
        <w:keepLines/>
        <w:spacing w:after="0" w:line="360" w:lineRule="auto"/>
        <w:ind w:right="-360"/>
        <w:jc w:val="center"/>
        <w:rPr>
          <w:rFonts w:eastAsia="Calibri" w:cs="Times New Roman"/>
          <w:sz w:val="24"/>
          <w:szCs w:val="24"/>
        </w:rPr>
      </w:pPr>
      <w:r w:rsidRPr="00592C35">
        <w:rPr>
          <w:sz w:val="24"/>
          <w:szCs w:val="24"/>
        </w:rPr>
        <w:drawing>
          <wp:inline distT="0" distB="0" distL="0" distR="0" wp14:anchorId="0EF2F9F8" wp14:editId="222316C6">
            <wp:extent cx="5753100" cy="2430780"/>
            <wp:effectExtent l="0" t="0" r="0" b="7620"/>
            <wp:docPr id="124" name="Chart 124" descr="This horizontal bar graph shows the age-adjusted mortality rate differed by race/ethnicity. For white non-Hispanics the age-adjusted mortality rate is 679.5 per 100,000 population. For black non-Hispanics, the age-adjusted mortality rate is 630.4 per 100,000 population. For Asian non-Hispanics, the age-adjusted mortality rate is 344.7 per 100,000 population. And for Hispanics, the age-adjusted mortality rate is 447.9 per 100,000 population.">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92B9BD-C841-4146-AF6C-7085C08AD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03CD051" w14:textId="7A4843FC" w:rsidR="007365D8" w:rsidRPr="00592C35" w:rsidRDefault="007365D8" w:rsidP="00B67293">
      <w:pPr>
        <w:keepNext/>
        <w:keepLines/>
        <w:spacing w:after="0" w:line="360" w:lineRule="auto"/>
        <w:ind w:right="-360"/>
        <w:jc w:val="center"/>
        <w:rPr>
          <w:rFonts w:eastAsia="Calibri" w:cs="Times New Roman"/>
          <w:sz w:val="24"/>
          <w:szCs w:val="24"/>
        </w:rPr>
      </w:pPr>
      <w:r w:rsidRPr="00592C35">
        <w:rPr>
          <w:rFonts w:eastAsia="Calibri" w:cs="Times New Roman"/>
          <w:sz w:val="24"/>
          <w:szCs w:val="24"/>
        </w:rPr>
        <w:t>NOTE: USING THE 2000 US STANDARD POPULATION</w:t>
      </w:r>
    </w:p>
    <w:p w14:paraId="25583FF8" w14:textId="77777777" w:rsidR="001B52C7" w:rsidRPr="00B67293" w:rsidRDefault="001B52C7" w:rsidP="00B67293">
      <w:pPr>
        <w:spacing w:before="240" w:line="360" w:lineRule="auto"/>
        <w:ind w:right="-360"/>
        <w:outlineLvl w:val="3"/>
        <w:rPr>
          <w:rFonts w:eastAsia="Calibri" w:cs="Times New Roman"/>
          <w:b/>
          <w:sz w:val="30"/>
          <w:szCs w:val="30"/>
        </w:rPr>
      </w:pPr>
      <w:r w:rsidRPr="00B67293">
        <w:rPr>
          <w:rFonts w:eastAsia="Calibri" w:cs="Times New Roman"/>
          <w:b/>
          <w:sz w:val="30"/>
          <w:szCs w:val="30"/>
        </w:rPr>
        <w:t>Leading Causes of Death</w:t>
      </w:r>
    </w:p>
    <w:p w14:paraId="459ADBFE" w14:textId="75F56D85" w:rsidR="00AC1715" w:rsidRDefault="001B52C7" w:rsidP="00B67293">
      <w:pPr>
        <w:spacing w:line="360" w:lineRule="auto"/>
        <w:ind w:right="-360"/>
        <w:rPr>
          <w:rFonts w:eastAsia="Calibri" w:cs="Times New Roman"/>
          <w:sz w:val="24"/>
          <w:szCs w:val="24"/>
        </w:rPr>
      </w:pPr>
      <w:r w:rsidRPr="00592C35">
        <w:rPr>
          <w:rFonts w:eastAsia="Calibri" w:cs="Times New Roman"/>
          <w:sz w:val="24"/>
          <w:szCs w:val="24"/>
        </w:rPr>
        <w:t>Leading causes of death are ranked according to the number of deaths rather than the mortality rate.</w:t>
      </w:r>
      <w:r w:rsidRPr="00592C35">
        <w:rPr>
          <w:rFonts w:eastAsia="Calibri" w:cs="Times New Roman"/>
          <w:sz w:val="24"/>
          <w:szCs w:val="24"/>
          <w:vertAlign w:val="superscript"/>
        </w:rPr>
        <w:endnoteReference w:id="25"/>
      </w:r>
      <w:r w:rsidRPr="00592C35">
        <w:rPr>
          <w:rFonts w:eastAsia="Calibri" w:cs="Times New Roman"/>
          <w:sz w:val="24"/>
          <w:szCs w:val="24"/>
        </w:rPr>
        <w:t xml:space="preserve"> Consistent with previous years, in 2014 cancer and heart disease were the leading causes of death in Massachusetts</w:t>
      </w:r>
      <w:r w:rsidR="00CE72DD" w:rsidRPr="00592C35">
        <w:rPr>
          <w:rFonts w:eastAsia="Calibri" w:cs="Times New Roman"/>
          <w:sz w:val="24"/>
          <w:szCs w:val="24"/>
        </w:rPr>
        <w:t xml:space="preserve"> </w:t>
      </w:r>
      <w:r w:rsidR="00CE72DD" w:rsidRPr="00592C35">
        <w:rPr>
          <w:rFonts w:eastAsia="Calibri" w:cs="Times New Roman"/>
          <w:b/>
          <w:sz w:val="24"/>
          <w:szCs w:val="24"/>
        </w:rPr>
        <w:t>(see Figure 1.20)</w:t>
      </w:r>
      <w:r w:rsidRPr="00592C35">
        <w:rPr>
          <w:rFonts w:eastAsia="Calibri" w:cs="Times New Roman"/>
          <w:sz w:val="24"/>
          <w:szCs w:val="24"/>
        </w:rPr>
        <w:t xml:space="preserve">.  </w:t>
      </w:r>
    </w:p>
    <w:p w14:paraId="63777A2E" w14:textId="77777777" w:rsidR="00AC1715" w:rsidRDefault="00AC1715">
      <w:pPr>
        <w:spacing w:before="0"/>
        <w:ind w:left="0" w:right="0"/>
        <w:jc w:val="left"/>
        <w:rPr>
          <w:rFonts w:eastAsia="Calibri" w:cs="Times New Roman"/>
          <w:sz w:val="24"/>
          <w:szCs w:val="24"/>
        </w:rPr>
      </w:pPr>
      <w:r>
        <w:rPr>
          <w:rFonts w:eastAsia="Calibri" w:cs="Times New Roman"/>
          <w:sz w:val="24"/>
          <w:szCs w:val="24"/>
        </w:rPr>
        <w:br w:type="page"/>
      </w:r>
    </w:p>
    <w:p w14:paraId="60F68360" w14:textId="77777777" w:rsidR="001B52C7" w:rsidRPr="00592C35" w:rsidRDefault="001B52C7" w:rsidP="00B67293">
      <w:pPr>
        <w:spacing w:before="0" w:after="0"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1.20</w:t>
      </w:r>
    </w:p>
    <w:p w14:paraId="6C1AED7D" w14:textId="77777777" w:rsidR="001B52C7" w:rsidRPr="00592C35" w:rsidRDefault="001B52C7" w:rsidP="00B67293">
      <w:pPr>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Leading Causes of Death, Massachusetts, 2014</w:t>
      </w:r>
    </w:p>
    <w:tbl>
      <w:tblPr>
        <w:tblStyle w:val="PlainTable3111"/>
        <w:tblW w:w="8820" w:type="dxa"/>
        <w:jc w:val="center"/>
        <w:tblLayout w:type="fixed"/>
        <w:tblLook w:val="04A0" w:firstRow="1" w:lastRow="0" w:firstColumn="1" w:lastColumn="0" w:noHBand="0" w:noVBand="1"/>
        <w:tblDescription w:val="This table shows the age-adjusted mortality rate in Massachusetts. In 2014, the leading causes of death in Massachusetts included: cancer, heart disease, unintentional injuries, chronic lower respiratory disease, stroke, Alzheimer’s Disease, influenza and pneumonia, nephritis, diabetes, and ill-defined conditions, signs, and symptoms. Cancer, ranked #1, caused 12,797 deaths, which was 23.2% of all mortalities. Heart disease, ranked #2, caused 11,845 deaths, which was 21.5% of all mortalities. Unintentional injuries, ranked #3, caused 2,859 deaths, which was 5.2% of all mortalities. Chronic lower respiratory disease, ranked #4, caused 2,596 deaths, which was 4.7% of all mortalities. Stroke, ranked #5, caused 2,459 deaths, which was 4.5% of all mortalities. Alzheimer’s Disease, ranked #6, caused 1,685 deaths, which was 3.1% of all mortalities. Influenza and pneumonia, ranked #7, caused 1,363 deaths, which was 2.5% of all mortalities. Nephritis, ranked #8, caused 1,229 deaths, which was 2.2% of all mortalities. Diabetes, ranked #9, caused 1,214 deaths, which was 2.2% of all mortalities. Ill-defined conditions, signs and symptoms, ranked #10, caused 996 deaths, which was 1.8% of all mortalities."/>
      </w:tblPr>
      <w:tblGrid>
        <w:gridCol w:w="895"/>
        <w:gridCol w:w="3695"/>
        <w:gridCol w:w="1895"/>
        <w:gridCol w:w="2335"/>
      </w:tblGrid>
      <w:tr w:rsidR="001B52C7" w:rsidRPr="00592C35" w14:paraId="4C78413D" w14:textId="77777777" w:rsidTr="00CE72DD">
        <w:trPr>
          <w:cnfStyle w:val="100000000000" w:firstRow="1" w:lastRow="0" w:firstColumn="0" w:lastColumn="0" w:oddVBand="0" w:evenVBand="0" w:oddHBand="0" w:evenHBand="0" w:firstRowFirstColumn="0" w:firstRowLastColumn="0" w:lastRowFirstColumn="0" w:lastRowLastColumn="0"/>
          <w:trHeight w:val="318"/>
          <w:jc w:val="center"/>
        </w:trPr>
        <w:tc>
          <w:tcPr>
            <w:cnfStyle w:val="001000000100" w:firstRow="0" w:lastRow="0" w:firstColumn="1" w:lastColumn="0" w:oddVBand="0" w:evenVBand="0" w:oddHBand="0" w:evenHBand="0" w:firstRowFirstColumn="1"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C6DBEF"/>
            <w:noWrap/>
            <w:vAlign w:val="bottom"/>
            <w:hideMark/>
          </w:tcPr>
          <w:p w14:paraId="6015B8AA"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Rank</w:t>
            </w:r>
          </w:p>
        </w:tc>
        <w:tc>
          <w:tcPr>
            <w:tcW w:w="3695" w:type="dxa"/>
            <w:tcBorders>
              <w:top w:val="single" w:sz="4" w:space="0" w:color="auto"/>
              <w:left w:val="single" w:sz="4" w:space="0" w:color="auto"/>
              <w:bottom w:val="single" w:sz="4" w:space="0" w:color="auto"/>
              <w:right w:val="single" w:sz="4" w:space="0" w:color="auto"/>
            </w:tcBorders>
            <w:shd w:val="clear" w:color="auto" w:fill="C6DBEF"/>
            <w:vAlign w:val="bottom"/>
            <w:hideMark/>
          </w:tcPr>
          <w:p w14:paraId="3C5A2CF2" w14:textId="77777777" w:rsidR="001B52C7" w:rsidRPr="00592C35" w:rsidRDefault="001B52C7" w:rsidP="00B67293">
            <w:pPr>
              <w:spacing w:before="0" w:line="360" w:lineRule="auto"/>
              <w:ind w:right="-360"/>
              <w:jc w:val="center"/>
              <w:cnfStyle w:val="100000000000" w:firstRow="1"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Cause of death</w:t>
            </w:r>
          </w:p>
        </w:tc>
        <w:tc>
          <w:tcPr>
            <w:tcW w:w="1895" w:type="dxa"/>
            <w:tcBorders>
              <w:top w:val="single" w:sz="4" w:space="0" w:color="auto"/>
              <w:left w:val="single" w:sz="4" w:space="0" w:color="auto"/>
              <w:bottom w:val="single" w:sz="4" w:space="0" w:color="auto"/>
              <w:right w:val="single" w:sz="4" w:space="0" w:color="auto"/>
            </w:tcBorders>
            <w:shd w:val="clear" w:color="auto" w:fill="C6DBEF"/>
          </w:tcPr>
          <w:p w14:paraId="6A7B1BEC" w14:textId="6296C083" w:rsidR="001B52C7" w:rsidRPr="00592C35" w:rsidRDefault="001B52C7" w:rsidP="00B67293">
            <w:pPr>
              <w:spacing w:before="0" w:line="360" w:lineRule="auto"/>
              <w:ind w:right="-360"/>
              <w:jc w:val="center"/>
              <w:cnfStyle w:val="100000000000" w:firstRow="1"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Number of deaths</w:t>
            </w:r>
          </w:p>
        </w:tc>
        <w:tc>
          <w:tcPr>
            <w:tcW w:w="2335" w:type="dxa"/>
            <w:tcBorders>
              <w:top w:val="single" w:sz="4" w:space="0" w:color="auto"/>
              <w:left w:val="single" w:sz="4" w:space="0" w:color="auto"/>
              <w:bottom w:val="single" w:sz="4" w:space="0" w:color="auto"/>
              <w:right w:val="single" w:sz="4" w:space="0" w:color="auto"/>
            </w:tcBorders>
            <w:shd w:val="clear" w:color="auto" w:fill="C6DBEF"/>
          </w:tcPr>
          <w:p w14:paraId="0FEB2F0A" w14:textId="77777777" w:rsidR="001B52C7" w:rsidRPr="00592C35" w:rsidRDefault="001B52C7" w:rsidP="00B67293">
            <w:pPr>
              <w:spacing w:before="0" w:line="360" w:lineRule="auto"/>
              <w:ind w:right="-360"/>
              <w:jc w:val="center"/>
              <w:cnfStyle w:val="100000000000" w:firstRow="1"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 of total mortalities</w:t>
            </w:r>
          </w:p>
        </w:tc>
      </w:tr>
      <w:tr w:rsidR="001B52C7" w:rsidRPr="00592C35" w14:paraId="5D427002" w14:textId="77777777" w:rsidTr="00CE72D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EFF3FF"/>
            <w:vAlign w:val="center"/>
            <w:hideMark/>
          </w:tcPr>
          <w:p w14:paraId="3C6B9A40"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w:t>
            </w:r>
          </w:p>
        </w:tc>
        <w:tc>
          <w:tcPr>
            <w:tcW w:w="3695" w:type="dxa"/>
            <w:tcBorders>
              <w:top w:val="single" w:sz="4" w:space="0" w:color="auto"/>
              <w:left w:val="single" w:sz="4" w:space="0" w:color="auto"/>
              <w:bottom w:val="single" w:sz="4" w:space="0" w:color="auto"/>
              <w:right w:val="single" w:sz="4" w:space="0" w:color="auto"/>
            </w:tcBorders>
            <w:shd w:val="clear" w:color="auto" w:fill="EFF3FF"/>
            <w:noWrap/>
            <w:vAlign w:val="center"/>
            <w:hideMark/>
          </w:tcPr>
          <w:p w14:paraId="070961F8"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Cancer</w:t>
            </w:r>
          </w:p>
        </w:tc>
        <w:tc>
          <w:tcPr>
            <w:tcW w:w="1895" w:type="dxa"/>
            <w:tcBorders>
              <w:top w:val="single" w:sz="4" w:space="0" w:color="auto"/>
              <w:left w:val="single" w:sz="4" w:space="0" w:color="auto"/>
              <w:bottom w:val="single" w:sz="4" w:space="0" w:color="auto"/>
              <w:right w:val="single" w:sz="4" w:space="0" w:color="auto"/>
            </w:tcBorders>
            <w:shd w:val="clear" w:color="auto" w:fill="EFF3FF"/>
          </w:tcPr>
          <w:p w14:paraId="0E001CF8"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12,797</w:t>
            </w:r>
          </w:p>
        </w:tc>
        <w:tc>
          <w:tcPr>
            <w:tcW w:w="2335" w:type="dxa"/>
            <w:tcBorders>
              <w:top w:val="single" w:sz="4" w:space="0" w:color="auto"/>
              <w:left w:val="single" w:sz="4" w:space="0" w:color="auto"/>
              <w:bottom w:val="single" w:sz="4" w:space="0" w:color="auto"/>
              <w:right w:val="single" w:sz="4" w:space="0" w:color="auto"/>
            </w:tcBorders>
            <w:shd w:val="clear" w:color="auto" w:fill="EFF3FF"/>
          </w:tcPr>
          <w:p w14:paraId="35642093"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23.2%</w:t>
            </w:r>
          </w:p>
        </w:tc>
      </w:tr>
      <w:tr w:rsidR="001B52C7" w:rsidRPr="00592C35" w14:paraId="151B06ED" w14:textId="77777777" w:rsidTr="00CE72DD">
        <w:trPr>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vAlign w:val="center"/>
            <w:hideMark/>
          </w:tcPr>
          <w:p w14:paraId="58CFD6F0"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2</w:t>
            </w:r>
          </w:p>
        </w:tc>
        <w:tc>
          <w:tcPr>
            <w:tcW w:w="3695" w:type="dxa"/>
            <w:tcBorders>
              <w:top w:val="single" w:sz="4" w:space="0" w:color="auto"/>
              <w:left w:val="single" w:sz="4" w:space="0" w:color="auto"/>
              <w:bottom w:val="single" w:sz="4" w:space="0" w:color="auto"/>
              <w:right w:val="single" w:sz="4" w:space="0" w:color="auto"/>
            </w:tcBorders>
            <w:noWrap/>
            <w:vAlign w:val="center"/>
            <w:hideMark/>
          </w:tcPr>
          <w:p w14:paraId="3875A9B4"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Heart Disease</w:t>
            </w:r>
          </w:p>
        </w:tc>
        <w:tc>
          <w:tcPr>
            <w:tcW w:w="1895" w:type="dxa"/>
            <w:tcBorders>
              <w:top w:val="single" w:sz="4" w:space="0" w:color="auto"/>
              <w:left w:val="single" w:sz="4" w:space="0" w:color="auto"/>
              <w:bottom w:val="single" w:sz="4" w:space="0" w:color="auto"/>
              <w:right w:val="single" w:sz="4" w:space="0" w:color="auto"/>
            </w:tcBorders>
          </w:tcPr>
          <w:p w14:paraId="14FC232E"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11,845</w:t>
            </w:r>
          </w:p>
        </w:tc>
        <w:tc>
          <w:tcPr>
            <w:tcW w:w="2335" w:type="dxa"/>
            <w:tcBorders>
              <w:top w:val="single" w:sz="4" w:space="0" w:color="auto"/>
              <w:left w:val="single" w:sz="4" w:space="0" w:color="auto"/>
              <w:bottom w:val="single" w:sz="4" w:space="0" w:color="auto"/>
              <w:right w:val="single" w:sz="4" w:space="0" w:color="auto"/>
            </w:tcBorders>
          </w:tcPr>
          <w:p w14:paraId="27DE4573"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21.5%</w:t>
            </w:r>
          </w:p>
        </w:tc>
      </w:tr>
      <w:tr w:rsidR="001B52C7" w:rsidRPr="00592C35" w14:paraId="14462FDB" w14:textId="77777777" w:rsidTr="00CE72D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EFF3FF"/>
            <w:vAlign w:val="center"/>
            <w:hideMark/>
          </w:tcPr>
          <w:p w14:paraId="48E563C6"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3</w:t>
            </w:r>
          </w:p>
        </w:tc>
        <w:tc>
          <w:tcPr>
            <w:tcW w:w="3695" w:type="dxa"/>
            <w:tcBorders>
              <w:top w:val="single" w:sz="4" w:space="0" w:color="auto"/>
              <w:left w:val="single" w:sz="4" w:space="0" w:color="auto"/>
              <w:bottom w:val="single" w:sz="4" w:space="0" w:color="auto"/>
              <w:right w:val="single" w:sz="4" w:space="0" w:color="auto"/>
            </w:tcBorders>
            <w:shd w:val="clear" w:color="auto" w:fill="EFF3FF"/>
            <w:noWrap/>
            <w:vAlign w:val="center"/>
            <w:hideMark/>
          </w:tcPr>
          <w:p w14:paraId="23318D2E"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Unintentional Injuries</w:t>
            </w:r>
          </w:p>
        </w:tc>
        <w:tc>
          <w:tcPr>
            <w:tcW w:w="1895" w:type="dxa"/>
            <w:tcBorders>
              <w:top w:val="single" w:sz="4" w:space="0" w:color="auto"/>
              <w:left w:val="single" w:sz="4" w:space="0" w:color="auto"/>
              <w:bottom w:val="single" w:sz="4" w:space="0" w:color="auto"/>
              <w:right w:val="single" w:sz="4" w:space="0" w:color="auto"/>
            </w:tcBorders>
            <w:shd w:val="clear" w:color="auto" w:fill="EFF3FF"/>
          </w:tcPr>
          <w:p w14:paraId="3F01E6EB"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2,859</w:t>
            </w:r>
          </w:p>
        </w:tc>
        <w:tc>
          <w:tcPr>
            <w:tcW w:w="2335" w:type="dxa"/>
            <w:tcBorders>
              <w:top w:val="single" w:sz="4" w:space="0" w:color="auto"/>
              <w:left w:val="single" w:sz="4" w:space="0" w:color="auto"/>
              <w:bottom w:val="single" w:sz="4" w:space="0" w:color="auto"/>
              <w:right w:val="single" w:sz="4" w:space="0" w:color="auto"/>
            </w:tcBorders>
            <w:shd w:val="clear" w:color="auto" w:fill="EFF3FF"/>
          </w:tcPr>
          <w:p w14:paraId="47048A9B"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5.2%</w:t>
            </w:r>
          </w:p>
        </w:tc>
      </w:tr>
      <w:tr w:rsidR="001B52C7" w:rsidRPr="00592C35" w14:paraId="64660A0B" w14:textId="77777777" w:rsidTr="00CE72DD">
        <w:trPr>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vAlign w:val="center"/>
            <w:hideMark/>
          </w:tcPr>
          <w:p w14:paraId="63A6AC57"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4</w:t>
            </w:r>
          </w:p>
        </w:tc>
        <w:tc>
          <w:tcPr>
            <w:tcW w:w="3695" w:type="dxa"/>
            <w:tcBorders>
              <w:top w:val="single" w:sz="4" w:space="0" w:color="auto"/>
              <w:left w:val="single" w:sz="4" w:space="0" w:color="auto"/>
              <w:bottom w:val="single" w:sz="4" w:space="0" w:color="auto"/>
              <w:right w:val="single" w:sz="4" w:space="0" w:color="auto"/>
            </w:tcBorders>
            <w:noWrap/>
            <w:vAlign w:val="center"/>
            <w:hideMark/>
          </w:tcPr>
          <w:p w14:paraId="0C2E5FE6"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Chronic Lower Respiratory Disease</w:t>
            </w:r>
          </w:p>
        </w:tc>
        <w:tc>
          <w:tcPr>
            <w:tcW w:w="1895" w:type="dxa"/>
            <w:tcBorders>
              <w:top w:val="single" w:sz="4" w:space="0" w:color="auto"/>
              <w:left w:val="single" w:sz="4" w:space="0" w:color="auto"/>
              <w:bottom w:val="single" w:sz="4" w:space="0" w:color="auto"/>
              <w:right w:val="single" w:sz="4" w:space="0" w:color="auto"/>
            </w:tcBorders>
          </w:tcPr>
          <w:p w14:paraId="6A21A94F"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2,596</w:t>
            </w:r>
          </w:p>
        </w:tc>
        <w:tc>
          <w:tcPr>
            <w:tcW w:w="2335" w:type="dxa"/>
            <w:tcBorders>
              <w:top w:val="single" w:sz="4" w:space="0" w:color="auto"/>
              <w:left w:val="single" w:sz="4" w:space="0" w:color="auto"/>
              <w:bottom w:val="single" w:sz="4" w:space="0" w:color="auto"/>
              <w:right w:val="single" w:sz="4" w:space="0" w:color="auto"/>
            </w:tcBorders>
          </w:tcPr>
          <w:p w14:paraId="286922BA"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4.7%</w:t>
            </w:r>
          </w:p>
        </w:tc>
      </w:tr>
      <w:tr w:rsidR="001B52C7" w:rsidRPr="00592C35" w14:paraId="468C5DE8" w14:textId="77777777" w:rsidTr="00CE72D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EFF3FF"/>
            <w:vAlign w:val="center"/>
            <w:hideMark/>
          </w:tcPr>
          <w:p w14:paraId="399C24FC"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5</w:t>
            </w:r>
          </w:p>
        </w:tc>
        <w:tc>
          <w:tcPr>
            <w:tcW w:w="3695" w:type="dxa"/>
            <w:tcBorders>
              <w:top w:val="single" w:sz="4" w:space="0" w:color="auto"/>
              <w:left w:val="single" w:sz="4" w:space="0" w:color="auto"/>
              <w:bottom w:val="single" w:sz="4" w:space="0" w:color="auto"/>
              <w:right w:val="single" w:sz="4" w:space="0" w:color="auto"/>
            </w:tcBorders>
            <w:shd w:val="clear" w:color="auto" w:fill="EFF3FF"/>
            <w:noWrap/>
            <w:vAlign w:val="center"/>
            <w:hideMark/>
          </w:tcPr>
          <w:p w14:paraId="36439AFC"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Stroke</w:t>
            </w:r>
          </w:p>
        </w:tc>
        <w:tc>
          <w:tcPr>
            <w:tcW w:w="1895" w:type="dxa"/>
            <w:tcBorders>
              <w:top w:val="single" w:sz="4" w:space="0" w:color="auto"/>
              <w:left w:val="single" w:sz="4" w:space="0" w:color="auto"/>
              <w:bottom w:val="single" w:sz="4" w:space="0" w:color="auto"/>
              <w:right w:val="single" w:sz="4" w:space="0" w:color="auto"/>
            </w:tcBorders>
            <w:shd w:val="clear" w:color="auto" w:fill="EFF3FF"/>
          </w:tcPr>
          <w:p w14:paraId="5A9D7B4E"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2,459</w:t>
            </w:r>
          </w:p>
        </w:tc>
        <w:tc>
          <w:tcPr>
            <w:tcW w:w="2335" w:type="dxa"/>
            <w:tcBorders>
              <w:top w:val="single" w:sz="4" w:space="0" w:color="auto"/>
              <w:left w:val="single" w:sz="4" w:space="0" w:color="auto"/>
              <w:bottom w:val="single" w:sz="4" w:space="0" w:color="auto"/>
              <w:right w:val="single" w:sz="4" w:space="0" w:color="auto"/>
            </w:tcBorders>
            <w:shd w:val="clear" w:color="auto" w:fill="EFF3FF"/>
          </w:tcPr>
          <w:p w14:paraId="66903D4B"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4.5%</w:t>
            </w:r>
          </w:p>
        </w:tc>
      </w:tr>
      <w:tr w:rsidR="001B52C7" w:rsidRPr="00592C35" w14:paraId="60337622" w14:textId="77777777" w:rsidTr="00CE72DD">
        <w:trPr>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vAlign w:val="center"/>
            <w:hideMark/>
          </w:tcPr>
          <w:p w14:paraId="11FB6A32"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6</w:t>
            </w:r>
          </w:p>
        </w:tc>
        <w:tc>
          <w:tcPr>
            <w:tcW w:w="3695" w:type="dxa"/>
            <w:tcBorders>
              <w:top w:val="single" w:sz="4" w:space="0" w:color="auto"/>
              <w:left w:val="single" w:sz="4" w:space="0" w:color="auto"/>
              <w:bottom w:val="single" w:sz="4" w:space="0" w:color="auto"/>
              <w:right w:val="single" w:sz="4" w:space="0" w:color="auto"/>
            </w:tcBorders>
            <w:noWrap/>
            <w:vAlign w:val="center"/>
            <w:hideMark/>
          </w:tcPr>
          <w:p w14:paraId="7525BCA1"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Alzheimer’s Disease</w:t>
            </w:r>
          </w:p>
        </w:tc>
        <w:tc>
          <w:tcPr>
            <w:tcW w:w="1895" w:type="dxa"/>
            <w:tcBorders>
              <w:top w:val="single" w:sz="4" w:space="0" w:color="auto"/>
              <w:left w:val="single" w:sz="4" w:space="0" w:color="auto"/>
              <w:bottom w:val="single" w:sz="4" w:space="0" w:color="auto"/>
              <w:right w:val="single" w:sz="4" w:space="0" w:color="auto"/>
            </w:tcBorders>
          </w:tcPr>
          <w:p w14:paraId="43C25CBB"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1,685</w:t>
            </w:r>
          </w:p>
        </w:tc>
        <w:tc>
          <w:tcPr>
            <w:tcW w:w="2335" w:type="dxa"/>
            <w:tcBorders>
              <w:top w:val="single" w:sz="4" w:space="0" w:color="auto"/>
              <w:left w:val="single" w:sz="4" w:space="0" w:color="auto"/>
              <w:bottom w:val="single" w:sz="4" w:space="0" w:color="auto"/>
              <w:right w:val="single" w:sz="4" w:space="0" w:color="auto"/>
            </w:tcBorders>
          </w:tcPr>
          <w:p w14:paraId="126C4F86"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3.1%</w:t>
            </w:r>
          </w:p>
        </w:tc>
      </w:tr>
      <w:tr w:rsidR="001B52C7" w:rsidRPr="00592C35" w14:paraId="25E2D64E" w14:textId="77777777" w:rsidTr="00CE72D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EFF3FF"/>
            <w:vAlign w:val="center"/>
            <w:hideMark/>
          </w:tcPr>
          <w:p w14:paraId="3147E7DF"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7</w:t>
            </w:r>
          </w:p>
        </w:tc>
        <w:tc>
          <w:tcPr>
            <w:tcW w:w="3695" w:type="dxa"/>
            <w:tcBorders>
              <w:top w:val="single" w:sz="4" w:space="0" w:color="auto"/>
              <w:left w:val="single" w:sz="4" w:space="0" w:color="auto"/>
              <w:bottom w:val="single" w:sz="4" w:space="0" w:color="auto"/>
              <w:right w:val="single" w:sz="4" w:space="0" w:color="auto"/>
            </w:tcBorders>
            <w:shd w:val="clear" w:color="auto" w:fill="EFF3FF"/>
            <w:noWrap/>
            <w:vAlign w:val="center"/>
            <w:hideMark/>
          </w:tcPr>
          <w:p w14:paraId="2E97109B"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Influenza and Pneumonia</w:t>
            </w:r>
          </w:p>
        </w:tc>
        <w:tc>
          <w:tcPr>
            <w:tcW w:w="1895" w:type="dxa"/>
            <w:tcBorders>
              <w:top w:val="single" w:sz="4" w:space="0" w:color="auto"/>
              <w:left w:val="single" w:sz="4" w:space="0" w:color="auto"/>
              <w:bottom w:val="single" w:sz="4" w:space="0" w:color="auto"/>
              <w:right w:val="single" w:sz="4" w:space="0" w:color="auto"/>
            </w:tcBorders>
            <w:shd w:val="clear" w:color="auto" w:fill="EFF3FF"/>
          </w:tcPr>
          <w:p w14:paraId="7464E5CB"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1,363</w:t>
            </w:r>
          </w:p>
        </w:tc>
        <w:tc>
          <w:tcPr>
            <w:tcW w:w="2335" w:type="dxa"/>
            <w:tcBorders>
              <w:top w:val="single" w:sz="4" w:space="0" w:color="auto"/>
              <w:left w:val="single" w:sz="4" w:space="0" w:color="auto"/>
              <w:bottom w:val="single" w:sz="4" w:space="0" w:color="auto"/>
              <w:right w:val="single" w:sz="4" w:space="0" w:color="auto"/>
            </w:tcBorders>
            <w:shd w:val="clear" w:color="auto" w:fill="EFF3FF"/>
          </w:tcPr>
          <w:p w14:paraId="5DD094A1"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2.5%</w:t>
            </w:r>
          </w:p>
        </w:tc>
      </w:tr>
      <w:tr w:rsidR="001B52C7" w:rsidRPr="00592C35" w14:paraId="24F77AD5" w14:textId="77777777" w:rsidTr="00CE72DD">
        <w:trPr>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vAlign w:val="center"/>
            <w:hideMark/>
          </w:tcPr>
          <w:p w14:paraId="0A4444CF"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8</w:t>
            </w:r>
          </w:p>
        </w:tc>
        <w:tc>
          <w:tcPr>
            <w:tcW w:w="3695" w:type="dxa"/>
            <w:tcBorders>
              <w:top w:val="single" w:sz="4" w:space="0" w:color="auto"/>
              <w:left w:val="single" w:sz="4" w:space="0" w:color="auto"/>
              <w:bottom w:val="single" w:sz="4" w:space="0" w:color="auto"/>
              <w:right w:val="single" w:sz="4" w:space="0" w:color="auto"/>
            </w:tcBorders>
            <w:noWrap/>
            <w:vAlign w:val="center"/>
            <w:hideMark/>
          </w:tcPr>
          <w:p w14:paraId="78105DD6"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Nephritis</w:t>
            </w:r>
          </w:p>
        </w:tc>
        <w:tc>
          <w:tcPr>
            <w:tcW w:w="1895" w:type="dxa"/>
            <w:tcBorders>
              <w:top w:val="single" w:sz="4" w:space="0" w:color="auto"/>
              <w:left w:val="single" w:sz="4" w:space="0" w:color="auto"/>
              <w:bottom w:val="single" w:sz="4" w:space="0" w:color="auto"/>
              <w:right w:val="single" w:sz="4" w:space="0" w:color="auto"/>
            </w:tcBorders>
          </w:tcPr>
          <w:p w14:paraId="26ECD421"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1,229</w:t>
            </w:r>
          </w:p>
        </w:tc>
        <w:tc>
          <w:tcPr>
            <w:tcW w:w="2335" w:type="dxa"/>
            <w:tcBorders>
              <w:top w:val="single" w:sz="4" w:space="0" w:color="auto"/>
              <w:left w:val="single" w:sz="4" w:space="0" w:color="auto"/>
              <w:bottom w:val="single" w:sz="4" w:space="0" w:color="auto"/>
              <w:right w:val="single" w:sz="4" w:space="0" w:color="auto"/>
            </w:tcBorders>
          </w:tcPr>
          <w:p w14:paraId="6692B35A"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2.2%</w:t>
            </w:r>
          </w:p>
        </w:tc>
      </w:tr>
      <w:tr w:rsidR="001B52C7" w:rsidRPr="00592C35" w14:paraId="2F5C5942" w14:textId="77777777" w:rsidTr="00CE72D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shd w:val="clear" w:color="auto" w:fill="EFF3FF"/>
            <w:vAlign w:val="center"/>
            <w:hideMark/>
          </w:tcPr>
          <w:p w14:paraId="45300FE0"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9</w:t>
            </w:r>
          </w:p>
        </w:tc>
        <w:tc>
          <w:tcPr>
            <w:tcW w:w="3695" w:type="dxa"/>
            <w:tcBorders>
              <w:top w:val="single" w:sz="4" w:space="0" w:color="auto"/>
              <w:left w:val="single" w:sz="4" w:space="0" w:color="auto"/>
              <w:bottom w:val="single" w:sz="4" w:space="0" w:color="auto"/>
              <w:right w:val="single" w:sz="4" w:space="0" w:color="auto"/>
            </w:tcBorders>
            <w:shd w:val="clear" w:color="auto" w:fill="EFF3FF"/>
            <w:noWrap/>
            <w:vAlign w:val="center"/>
            <w:hideMark/>
          </w:tcPr>
          <w:p w14:paraId="5FDDDDB0"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Diabetes</w:t>
            </w:r>
          </w:p>
        </w:tc>
        <w:tc>
          <w:tcPr>
            <w:tcW w:w="1895" w:type="dxa"/>
            <w:tcBorders>
              <w:top w:val="single" w:sz="4" w:space="0" w:color="auto"/>
              <w:left w:val="single" w:sz="4" w:space="0" w:color="auto"/>
              <w:bottom w:val="single" w:sz="4" w:space="0" w:color="auto"/>
              <w:right w:val="single" w:sz="4" w:space="0" w:color="auto"/>
            </w:tcBorders>
            <w:shd w:val="clear" w:color="auto" w:fill="EFF3FF"/>
          </w:tcPr>
          <w:p w14:paraId="5D8E968E"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1,214</w:t>
            </w:r>
          </w:p>
        </w:tc>
        <w:tc>
          <w:tcPr>
            <w:tcW w:w="2335" w:type="dxa"/>
            <w:tcBorders>
              <w:top w:val="single" w:sz="4" w:space="0" w:color="auto"/>
              <w:left w:val="single" w:sz="4" w:space="0" w:color="auto"/>
              <w:bottom w:val="single" w:sz="4" w:space="0" w:color="auto"/>
              <w:right w:val="single" w:sz="4" w:space="0" w:color="auto"/>
            </w:tcBorders>
            <w:shd w:val="clear" w:color="auto" w:fill="EFF3FF"/>
          </w:tcPr>
          <w:p w14:paraId="4232BBD3" w14:textId="77777777" w:rsidR="001B52C7" w:rsidRPr="00592C35" w:rsidRDefault="001B52C7" w:rsidP="00B67293">
            <w:pPr>
              <w:spacing w:before="0" w:line="360" w:lineRule="auto"/>
              <w:ind w:right="-360"/>
              <w:jc w:val="center"/>
              <w:cnfStyle w:val="000000100000" w:firstRow="0" w:lastRow="0" w:firstColumn="0" w:lastColumn="0" w:oddVBand="0" w:evenVBand="0" w:oddHBand="1"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2.2%</w:t>
            </w:r>
          </w:p>
        </w:tc>
      </w:tr>
      <w:tr w:rsidR="001B52C7" w:rsidRPr="00592C35" w14:paraId="2BA6A46E" w14:textId="77777777" w:rsidTr="00CE72DD">
        <w:trPr>
          <w:trHeight w:val="318"/>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auto"/>
              <w:left w:val="single" w:sz="4" w:space="0" w:color="auto"/>
              <w:bottom w:val="single" w:sz="4" w:space="0" w:color="auto"/>
              <w:right w:val="single" w:sz="4" w:space="0" w:color="auto"/>
            </w:tcBorders>
            <w:vAlign w:val="center"/>
            <w:hideMark/>
          </w:tcPr>
          <w:p w14:paraId="04D8F705" w14:textId="77777777" w:rsidR="001B52C7" w:rsidRPr="00592C35" w:rsidRDefault="001B52C7" w:rsidP="00B67293">
            <w:pPr>
              <w:spacing w:before="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10</w:t>
            </w:r>
          </w:p>
        </w:tc>
        <w:tc>
          <w:tcPr>
            <w:tcW w:w="3695" w:type="dxa"/>
            <w:tcBorders>
              <w:top w:val="single" w:sz="4" w:space="0" w:color="auto"/>
              <w:left w:val="single" w:sz="4" w:space="0" w:color="auto"/>
              <w:bottom w:val="single" w:sz="4" w:space="0" w:color="auto"/>
              <w:right w:val="single" w:sz="4" w:space="0" w:color="auto"/>
            </w:tcBorders>
            <w:noWrap/>
            <w:vAlign w:val="center"/>
            <w:hideMark/>
          </w:tcPr>
          <w:p w14:paraId="12893D95"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Ill-defined conditions, signs, and symptoms</w:t>
            </w:r>
          </w:p>
        </w:tc>
        <w:tc>
          <w:tcPr>
            <w:tcW w:w="1895" w:type="dxa"/>
            <w:tcBorders>
              <w:top w:val="single" w:sz="4" w:space="0" w:color="auto"/>
              <w:left w:val="single" w:sz="4" w:space="0" w:color="auto"/>
              <w:bottom w:val="single" w:sz="4" w:space="0" w:color="auto"/>
              <w:right w:val="single" w:sz="4" w:space="0" w:color="auto"/>
            </w:tcBorders>
          </w:tcPr>
          <w:p w14:paraId="360C2A89"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996</w:t>
            </w:r>
          </w:p>
        </w:tc>
        <w:tc>
          <w:tcPr>
            <w:tcW w:w="2335" w:type="dxa"/>
            <w:tcBorders>
              <w:top w:val="single" w:sz="4" w:space="0" w:color="auto"/>
              <w:left w:val="single" w:sz="4" w:space="0" w:color="auto"/>
              <w:bottom w:val="single" w:sz="4" w:space="0" w:color="auto"/>
              <w:right w:val="single" w:sz="4" w:space="0" w:color="auto"/>
            </w:tcBorders>
          </w:tcPr>
          <w:p w14:paraId="0BC8A676" w14:textId="77777777" w:rsidR="001B52C7" w:rsidRPr="00592C35" w:rsidRDefault="001B52C7" w:rsidP="00B67293">
            <w:pPr>
              <w:spacing w:before="0" w:line="360" w:lineRule="auto"/>
              <w:ind w:right="-360"/>
              <w:jc w:val="center"/>
              <w:cnfStyle w:val="000000000000" w:firstRow="0" w:lastRow="0" w:firstColumn="0" w:lastColumn="0" w:oddVBand="0" w:evenVBand="0" w:oddHBand="0" w:evenHBand="0" w:firstRowFirstColumn="0" w:firstRowLastColumn="0" w:lastRowFirstColumn="0" w:lastRowLastColumn="0"/>
              <w:rPr>
                <w:rFonts w:eastAsia="Times New Roman" w:cs="Calibri"/>
                <w:noProof w:val="0"/>
                <w:color w:val="000000"/>
                <w:sz w:val="24"/>
                <w:szCs w:val="24"/>
              </w:rPr>
            </w:pPr>
            <w:r w:rsidRPr="00592C35">
              <w:rPr>
                <w:rFonts w:eastAsia="Times New Roman" w:cs="Calibri"/>
                <w:noProof w:val="0"/>
                <w:color w:val="000000"/>
                <w:sz w:val="24"/>
                <w:szCs w:val="24"/>
              </w:rPr>
              <w:t>1.8%</w:t>
            </w:r>
          </w:p>
        </w:tc>
      </w:tr>
    </w:tbl>
    <w:p w14:paraId="77D23559"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Leading causes of death also differ by age. In 2014, as with previous years, injuries were the leading cause of death for persons ages one to 44.  Among older age groups, chronic diseases such as cancer and heart disease were the leading causes of death. </w:t>
      </w:r>
    </w:p>
    <w:p w14:paraId="56559D14" w14:textId="3B386EFF" w:rsidR="00AC1715" w:rsidRDefault="001B52C7" w:rsidP="00B67293">
      <w:pPr>
        <w:spacing w:line="360" w:lineRule="auto"/>
        <w:ind w:right="-360"/>
        <w:rPr>
          <w:rFonts w:eastAsia="Calibri" w:cs="Times New Roman"/>
          <w:sz w:val="24"/>
          <w:szCs w:val="24"/>
        </w:rPr>
      </w:pPr>
      <w:r w:rsidRPr="00592C35">
        <w:rPr>
          <w:rFonts w:eastAsia="Calibri" w:cs="Times New Roman"/>
          <w:sz w:val="24"/>
          <w:szCs w:val="24"/>
        </w:rPr>
        <w:t>In 2014, the three leading causes of death were cancer, heart disease, and unintentional injuries including opioid related overdose for all racial/ethnic groups, but some variations occur in other leading causes of death across racial/ethnic groups</w:t>
      </w:r>
      <w:r w:rsidR="00CE72DD" w:rsidRPr="00592C35">
        <w:rPr>
          <w:rFonts w:eastAsia="Calibri" w:cs="Times New Roman"/>
          <w:sz w:val="24"/>
          <w:szCs w:val="24"/>
        </w:rPr>
        <w:t xml:space="preserve"> </w:t>
      </w:r>
      <w:r w:rsidR="00CE72DD" w:rsidRPr="00592C35">
        <w:rPr>
          <w:rFonts w:eastAsia="Calibri" w:cs="Times New Roman"/>
          <w:b/>
          <w:sz w:val="24"/>
          <w:szCs w:val="24"/>
        </w:rPr>
        <w:t>(see Figure 1.21)</w:t>
      </w:r>
      <w:r w:rsidRPr="00592C35">
        <w:rPr>
          <w:rFonts w:eastAsia="Calibri" w:cs="Times New Roman"/>
          <w:sz w:val="24"/>
          <w:szCs w:val="24"/>
        </w:rPr>
        <w:t>. For example, while stroke was the fourth leading cause of death for racial/ethnic minorities, chronic lower respiratory disease was the fourth leading cause of death for White non-Hispanics. Diabetes was among the leading causes of death for Black non-Hispanics and Hispanics.</w:t>
      </w:r>
    </w:p>
    <w:p w14:paraId="7F0705CC" w14:textId="77777777" w:rsidR="00AC1715" w:rsidRDefault="00AC1715">
      <w:pPr>
        <w:spacing w:before="0"/>
        <w:ind w:left="0" w:right="0"/>
        <w:jc w:val="left"/>
        <w:rPr>
          <w:rFonts w:eastAsia="Calibri" w:cs="Times New Roman"/>
          <w:sz w:val="24"/>
          <w:szCs w:val="24"/>
        </w:rPr>
      </w:pPr>
      <w:r>
        <w:rPr>
          <w:rFonts w:eastAsia="Calibri" w:cs="Times New Roman"/>
          <w:sz w:val="24"/>
          <w:szCs w:val="24"/>
        </w:rPr>
        <w:br w:type="page"/>
      </w:r>
    </w:p>
    <w:p w14:paraId="2D77EAF3"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1.21</w:t>
      </w:r>
    </w:p>
    <w:p w14:paraId="6C7D2838" w14:textId="77777777" w:rsidR="001B52C7" w:rsidRPr="00592C35" w:rsidRDefault="001B52C7" w:rsidP="00B67293">
      <w:pPr>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Leading Causes of Death, by Race/Ethnicity, Massachusetts, 2014</w:t>
      </w:r>
    </w:p>
    <w:tbl>
      <w:tblPr>
        <w:tblW w:w="48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his table shows the leading causes of death in Massachusetts differed by race/ethnicity in 2014. For White non-Hispanics cancer was ranked #1, heart disease was ranked #2, unintentional injuries were ranked #3, chronic lower respiratory disease was ranked #4, and stroke was ranked #5. For black non-Hispanics cancer was ranked #1, heart disease was ranked #2, unintentional injuries were ranked #3, stroke was ranked #4, and diabetes was ranked #5. For Asian non-Hispanics, cancer was ranked #1, heart disease was ranked #2, unintentional injuries were ranked #3, stroke was ranked #4, and nephritis was ranked #5. For Hispanics, cancer was ranked #1, heart disease was ranked #2, unintentional injuries were ranked #3, stroke was ranked #4, and diabetes was ranked #5."/>
      </w:tblPr>
      <w:tblGrid>
        <w:gridCol w:w="678"/>
        <w:gridCol w:w="2418"/>
        <w:gridCol w:w="2131"/>
        <w:gridCol w:w="2420"/>
        <w:gridCol w:w="2320"/>
      </w:tblGrid>
      <w:tr w:rsidR="001B52C7" w:rsidRPr="00592C35" w14:paraId="13E69AEB" w14:textId="77777777" w:rsidTr="009A2934">
        <w:trPr>
          <w:trHeight w:val="330"/>
        </w:trPr>
        <w:tc>
          <w:tcPr>
            <w:tcW w:w="340" w:type="pct"/>
            <w:shd w:val="clear" w:color="auto" w:fill="C6DBEF"/>
            <w:noWrap/>
            <w:vAlign w:val="bottom"/>
            <w:hideMark/>
          </w:tcPr>
          <w:p w14:paraId="187CD22D" w14:textId="77777777" w:rsidR="001B52C7" w:rsidRPr="00592C35" w:rsidRDefault="001B52C7" w:rsidP="00B67293">
            <w:pPr>
              <w:spacing w:before="0" w:after="0" w:line="360" w:lineRule="auto"/>
              <w:ind w:left="-15" w:right="-360"/>
              <w:jc w:val="left"/>
              <w:rPr>
                <w:rFonts w:eastAsia="Times New Roman" w:cs="Calibri"/>
                <w:b/>
                <w:bCs/>
                <w:noProof w:val="0"/>
                <w:color w:val="000000"/>
                <w:sz w:val="24"/>
                <w:szCs w:val="24"/>
              </w:rPr>
            </w:pPr>
            <w:r w:rsidRPr="00592C35">
              <w:rPr>
                <w:rFonts w:eastAsia="Times New Roman" w:cs="Calibri"/>
                <w:b/>
                <w:bCs/>
                <w:noProof w:val="0"/>
                <w:color w:val="000000"/>
                <w:sz w:val="24"/>
                <w:szCs w:val="24"/>
              </w:rPr>
              <w:t>Rank</w:t>
            </w:r>
          </w:p>
        </w:tc>
        <w:tc>
          <w:tcPr>
            <w:tcW w:w="1213" w:type="pct"/>
            <w:shd w:val="clear" w:color="auto" w:fill="C6DBEF"/>
            <w:vAlign w:val="bottom"/>
            <w:hideMark/>
          </w:tcPr>
          <w:p w14:paraId="0797B622" w14:textId="77777777" w:rsidR="001B52C7" w:rsidRPr="00592C35" w:rsidRDefault="001B52C7" w:rsidP="00B67293">
            <w:pPr>
              <w:spacing w:before="0" w:after="0" w:line="360" w:lineRule="auto"/>
              <w:ind w:right="-360"/>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White non-Hispanic</w:t>
            </w:r>
          </w:p>
        </w:tc>
        <w:tc>
          <w:tcPr>
            <w:tcW w:w="1069" w:type="pct"/>
            <w:shd w:val="clear" w:color="auto" w:fill="C6DBEF"/>
            <w:vAlign w:val="bottom"/>
            <w:hideMark/>
          </w:tcPr>
          <w:p w14:paraId="6232E927" w14:textId="77777777" w:rsidR="001B52C7" w:rsidRPr="00592C35" w:rsidRDefault="001B52C7" w:rsidP="00B67293">
            <w:pPr>
              <w:spacing w:before="0" w:after="0" w:line="360" w:lineRule="auto"/>
              <w:ind w:right="-360"/>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Black non-Hispanic</w:t>
            </w:r>
          </w:p>
        </w:tc>
        <w:tc>
          <w:tcPr>
            <w:tcW w:w="1214" w:type="pct"/>
            <w:shd w:val="clear" w:color="auto" w:fill="C6DBEF"/>
            <w:vAlign w:val="bottom"/>
            <w:hideMark/>
          </w:tcPr>
          <w:p w14:paraId="56275CDA" w14:textId="77777777" w:rsidR="001B52C7" w:rsidRPr="00592C35" w:rsidRDefault="001B52C7" w:rsidP="00B67293">
            <w:pPr>
              <w:spacing w:before="0" w:after="0" w:line="360" w:lineRule="auto"/>
              <w:ind w:right="-360"/>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Asian non-Hispanic</w:t>
            </w:r>
          </w:p>
        </w:tc>
        <w:tc>
          <w:tcPr>
            <w:tcW w:w="1164" w:type="pct"/>
            <w:shd w:val="clear" w:color="auto" w:fill="C6DBEF"/>
            <w:vAlign w:val="bottom"/>
            <w:hideMark/>
          </w:tcPr>
          <w:p w14:paraId="3F21EF50" w14:textId="77777777" w:rsidR="001B52C7" w:rsidRPr="00592C35" w:rsidRDefault="001B52C7" w:rsidP="00B67293">
            <w:pPr>
              <w:spacing w:before="0" w:after="0" w:line="360" w:lineRule="auto"/>
              <w:ind w:right="-360"/>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Hispanic</w:t>
            </w:r>
          </w:p>
        </w:tc>
      </w:tr>
      <w:tr w:rsidR="001B52C7" w:rsidRPr="00592C35" w14:paraId="383230EA" w14:textId="77777777" w:rsidTr="009A2934">
        <w:trPr>
          <w:trHeight w:val="315"/>
        </w:trPr>
        <w:tc>
          <w:tcPr>
            <w:tcW w:w="340" w:type="pct"/>
            <w:shd w:val="clear" w:color="auto" w:fill="EFF3FF"/>
            <w:vAlign w:val="center"/>
            <w:hideMark/>
          </w:tcPr>
          <w:p w14:paraId="10D1EE75" w14:textId="77777777" w:rsidR="001B52C7" w:rsidRPr="00592C35" w:rsidRDefault="001B52C7" w:rsidP="00B67293">
            <w:pPr>
              <w:spacing w:before="0" w:after="0" w:line="360" w:lineRule="auto"/>
              <w:ind w:left="75" w:right="5"/>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1</w:t>
            </w:r>
          </w:p>
        </w:tc>
        <w:tc>
          <w:tcPr>
            <w:tcW w:w="1213" w:type="pct"/>
            <w:shd w:val="clear" w:color="auto" w:fill="EFF3FF"/>
            <w:noWrap/>
            <w:vAlign w:val="center"/>
            <w:hideMark/>
          </w:tcPr>
          <w:p w14:paraId="60B5C41C"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Cancer</w:t>
            </w:r>
          </w:p>
        </w:tc>
        <w:tc>
          <w:tcPr>
            <w:tcW w:w="1069" w:type="pct"/>
            <w:shd w:val="clear" w:color="auto" w:fill="EFF3FF"/>
            <w:noWrap/>
            <w:vAlign w:val="center"/>
            <w:hideMark/>
          </w:tcPr>
          <w:p w14:paraId="38315C8F"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Cancer</w:t>
            </w:r>
          </w:p>
        </w:tc>
        <w:tc>
          <w:tcPr>
            <w:tcW w:w="1214" w:type="pct"/>
            <w:shd w:val="clear" w:color="auto" w:fill="EFF3FF"/>
            <w:noWrap/>
            <w:vAlign w:val="center"/>
            <w:hideMark/>
          </w:tcPr>
          <w:p w14:paraId="58B8B37D"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Cancer</w:t>
            </w:r>
          </w:p>
        </w:tc>
        <w:tc>
          <w:tcPr>
            <w:tcW w:w="1164" w:type="pct"/>
            <w:shd w:val="clear" w:color="auto" w:fill="EFF3FF"/>
            <w:noWrap/>
            <w:vAlign w:val="center"/>
            <w:hideMark/>
          </w:tcPr>
          <w:p w14:paraId="40CA9E92"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Cancer</w:t>
            </w:r>
          </w:p>
        </w:tc>
      </w:tr>
      <w:tr w:rsidR="001B52C7" w:rsidRPr="00592C35" w14:paraId="2AF90D1D" w14:textId="77777777" w:rsidTr="00B95971">
        <w:trPr>
          <w:trHeight w:val="315"/>
        </w:trPr>
        <w:tc>
          <w:tcPr>
            <w:tcW w:w="340" w:type="pct"/>
            <w:shd w:val="clear" w:color="auto" w:fill="auto"/>
            <w:vAlign w:val="center"/>
            <w:hideMark/>
          </w:tcPr>
          <w:p w14:paraId="788B4DBB" w14:textId="77777777" w:rsidR="001B52C7" w:rsidRPr="00592C35" w:rsidRDefault="001B52C7" w:rsidP="00B67293">
            <w:pPr>
              <w:spacing w:before="0" w:after="0" w:line="360" w:lineRule="auto"/>
              <w:ind w:left="75" w:right="5"/>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2</w:t>
            </w:r>
          </w:p>
        </w:tc>
        <w:tc>
          <w:tcPr>
            <w:tcW w:w="1213" w:type="pct"/>
            <w:shd w:val="clear" w:color="auto" w:fill="auto"/>
            <w:noWrap/>
            <w:vAlign w:val="center"/>
            <w:hideMark/>
          </w:tcPr>
          <w:p w14:paraId="1331FF24"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Heart disease</w:t>
            </w:r>
          </w:p>
        </w:tc>
        <w:tc>
          <w:tcPr>
            <w:tcW w:w="1069" w:type="pct"/>
            <w:shd w:val="clear" w:color="auto" w:fill="auto"/>
            <w:noWrap/>
            <w:vAlign w:val="center"/>
            <w:hideMark/>
          </w:tcPr>
          <w:p w14:paraId="0015B377"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Heart disease</w:t>
            </w:r>
          </w:p>
        </w:tc>
        <w:tc>
          <w:tcPr>
            <w:tcW w:w="1214" w:type="pct"/>
            <w:shd w:val="clear" w:color="auto" w:fill="auto"/>
            <w:noWrap/>
            <w:vAlign w:val="center"/>
            <w:hideMark/>
          </w:tcPr>
          <w:p w14:paraId="5B929639"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Heart disease</w:t>
            </w:r>
          </w:p>
        </w:tc>
        <w:tc>
          <w:tcPr>
            <w:tcW w:w="1164" w:type="pct"/>
            <w:shd w:val="clear" w:color="auto" w:fill="auto"/>
            <w:noWrap/>
            <w:vAlign w:val="center"/>
            <w:hideMark/>
          </w:tcPr>
          <w:p w14:paraId="2199F92E"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Heart disease</w:t>
            </w:r>
          </w:p>
        </w:tc>
      </w:tr>
      <w:tr w:rsidR="001B52C7" w:rsidRPr="00592C35" w14:paraId="57B791C7" w14:textId="77777777" w:rsidTr="009A2934">
        <w:trPr>
          <w:trHeight w:val="315"/>
        </w:trPr>
        <w:tc>
          <w:tcPr>
            <w:tcW w:w="340" w:type="pct"/>
            <w:shd w:val="clear" w:color="auto" w:fill="EFF3FF"/>
            <w:vAlign w:val="center"/>
            <w:hideMark/>
          </w:tcPr>
          <w:p w14:paraId="2F78DC3D" w14:textId="77777777" w:rsidR="001B52C7" w:rsidRPr="00592C35" w:rsidRDefault="001B52C7" w:rsidP="00B67293">
            <w:pPr>
              <w:spacing w:before="0" w:after="0" w:line="360" w:lineRule="auto"/>
              <w:ind w:left="75" w:right="5"/>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3</w:t>
            </w:r>
          </w:p>
        </w:tc>
        <w:tc>
          <w:tcPr>
            <w:tcW w:w="1213" w:type="pct"/>
            <w:shd w:val="clear" w:color="auto" w:fill="EFF3FF"/>
            <w:noWrap/>
            <w:vAlign w:val="center"/>
            <w:hideMark/>
          </w:tcPr>
          <w:p w14:paraId="4AA5EDAC"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Unintentional injuries</w:t>
            </w:r>
          </w:p>
        </w:tc>
        <w:tc>
          <w:tcPr>
            <w:tcW w:w="1069" w:type="pct"/>
            <w:shd w:val="clear" w:color="auto" w:fill="EFF3FF"/>
            <w:noWrap/>
            <w:vAlign w:val="center"/>
            <w:hideMark/>
          </w:tcPr>
          <w:p w14:paraId="5A9BAD55"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Unintentional injuries</w:t>
            </w:r>
          </w:p>
        </w:tc>
        <w:tc>
          <w:tcPr>
            <w:tcW w:w="1214" w:type="pct"/>
            <w:shd w:val="clear" w:color="auto" w:fill="EFF3FF"/>
            <w:noWrap/>
            <w:vAlign w:val="center"/>
            <w:hideMark/>
          </w:tcPr>
          <w:p w14:paraId="21558B85"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Unintentional injuries</w:t>
            </w:r>
          </w:p>
        </w:tc>
        <w:tc>
          <w:tcPr>
            <w:tcW w:w="1164" w:type="pct"/>
            <w:shd w:val="clear" w:color="auto" w:fill="EFF3FF"/>
            <w:noWrap/>
            <w:vAlign w:val="center"/>
            <w:hideMark/>
          </w:tcPr>
          <w:p w14:paraId="69D62789"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Unintentional injuries</w:t>
            </w:r>
          </w:p>
        </w:tc>
      </w:tr>
      <w:tr w:rsidR="001B52C7" w:rsidRPr="00592C35" w14:paraId="68A24E23" w14:textId="77777777" w:rsidTr="00B95971">
        <w:trPr>
          <w:trHeight w:val="315"/>
        </w:trPr>
        <w:tc>
          <w:tcPr>
            <w:tcW w:w="340" w:type="pct"/>
            <w:shd w:val="clear" w:color="auto" w:fill="auto"/>
            <w:vAlign w:val="center"/>
            <w:hideMark/>
          </w:tcPr>
          <w:p w14:paraId="3860656C" w14:textId="77777777" w:rsidR="001B52C7" w:rsidRPr="00592C35" w:rsidRDefault="001B52C7" w:rsidP="00B67293">
            <w:pPr>
              <w:spacing w:before="0" w:after="0" w:line="360" w:lineRule="auto"/>
              <w:ind w:left="75" w:right="5"/>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4</w:t>
            </w:r>
          </w:p>
        </w:tc>
        <w:tc>
          <w:tcPr>
            <w:tcW w:w="1213" w:type="pct"/>
            <w:shd w:val="clear" w:color="auto" w:fill="auto"/>
            <w:noWrap/>
            <w:vAlign w:val="center"/>
            <w:hideMark/>
          </w:tcPr>
          <w:p w14:paraId="30CC2B82" w14:textId="77777777" w:rsidR="00E46E2E"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 xml:space="preserve">Chronic lower </w:t>
            </w:r>
          </w:p>
          <w:p w14:paraId="651FA9D0" w14:textId="23ADFA36"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respiratory disease</w:t>
            </w:r>
          </w:p>
        </w:tc>
        <w:tc>
          <w:tcPr>
            <w:tcW w:w="1069" w:type="pct"/>
            <w:shd w:val="clear" w:color="auto" w:fill="auto"/>
            <w:noWrap/>
            <w:vAlign w:val="center"/>
            <w:hideMark/>
          </w:tcPr>
          <w:p w14:paraId="0AC278A4"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Stroke</w:t>
            </w:r>
          </w:p>
        </w:tc>
        <w:tc>
          <w:tcPr>
            <w:tcW w:w="1214" w:type="pct"/>
            <w:shd w:val="clear" w:color="auto" w:fill="auto"/>
            <w:noWrap/>
            <w:vAlign w:val="center"/>
            <w:hideMark/>
          </w:tcPr>
          <w:p w14:paraId="619AEA84"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Stroke</w:t>
            </w:r>
          </w:p>
        </w:tc>
        <w:tc>
          <w:tcPr>
            <w:tcW w:w="1164" w:type="pct"/>
            <w:shd w:val="clear" w:color="auto" w:fill="auto"/>
            <w:noWrap/>
            <w:vAlign w:val="center"/>
            <w:hideMark/>
          </w:tcPr>
          <w:p w14:paraId="0F23B9F9"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Stroke</w:t>
            </w:r>
          </w:p>
        </w:tc>
      </w:tr>
      <w:tr w:rsidR="001B52C7" w:rsidRPr="00592C35" w14:paraId="4A08334C" w14:textId="77777777" w:rsidTr="009A2934">
        <w:trPr>
          <w:trHeight w:val="330"/>
        </w:trPr>
        <w:tc>
          <w:tcPr>
            <w:tcW w:w="340" w:type="pct"/>
            <w:shd w:val="clear" w:color="auto" w:fill="EFF3FF"/>
            <w:vAlign w:val="center"/>
            <w:hideMark/>
          </w:tcPr>
          <w:p w14:paraId="359C75E6" w14:textId="77777777" w:rsidR="001B52C7" w:rsidRPr="00592C35" w:rsidRDefault="001B52C7" w:rsidP="00B67293">
            <w:pPr>
              <w:spacing w:before="0" w:after="0" w:line="360" w:lineRule="auto"/>
              <w:ind w:left="75" w:right="5"/>
              <w:jc w:val="center"/>
              <w:rPr>
                <w:rFonts w:eastAsia="Times New Roman" w:cs="Calibri"/>
                <w:b/>
                <w:bCs/>
                <w:noProof w:val="0"/>
                <w:color w:val="000000"/>
                <w:sz w:val="24"/>
                <w:szCs w:val="24"/>
              </w:rPr>
            </w:pPr>
            <w:r w:rsidRPr="00592C35">
              <w:rPr>
                <w:rFonts w:eastAsia="Times New Roman" w:cs="Calibri"/>
                <w:b/>
                <w:bCs/>
                <w:noProof w:val="0"/>
                <w:color w:val="000000"/>
                <w:sz w:val="24"/>
                <w:szCs w:val="24"/>
              </w:rPr>
              <w:t>5</w:t>
            </w:r>
          </w:p>
        </w:tc>
        <w:tc>
          <w:tcPr>
            <w:tcW w:w="1213" w:type="pct"/>
            <w:shd w:val="clear" w:color="auto" w:fill="EFF3FF"/>
            <w:noWrap/>
            <w:vAlign w:val="center"/>
            <w:hideMark/>
          </w:tcPr>
          <w:p w14:paraId="4E63C295"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Stroke</w:t>
            </w:r>
          </w:p>
        </w:tc>
        <w:tc>
          <w:tcPr>
            <w:tcW w:w="1069" w:type="pct"/>
            <w:shd w:val="clear" w:color="auto" w:fill="EFF3FF"/>
            <w:noWrap/>
            <w:vAlign w:val="center"/>
            <w:hideMark/>
          </w:tcPr>
          <w:p w14:paraId="642CB9A6"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Diabetes</w:t>
            </w:r>
          </w:p>
        </w:tc>
        <w:tc>
          <w:tcPr>
            <w:tcW w:w="1214" w:type="pct"/>
            <w:shd w:val="clear" w:color="auto" w:fill="EFF3FF"/>
            <w:noWrap/>
            <w:vAlign w:val="center"/>
            <w:hideMark/>
          </w:tcPr>
          <w:p w14:paraId="22DB083F"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Nephritis</w:t>
            </w:r>
          </w:p>
        </w:tc>
        <w:tc>
          <w:tcPr>
            <w:tcW w:w="1164" w:type="pct"/>
            <w:shd w:val="clear" w:color="auto" w:fill="EFF3FF"/>
            <w:noWrap/>
            <w:vAlign w:val="center"/>
            <w:hideMark/>
          </w:tcPr>
          <w:p w14:paraId="47D824CA" w14:textId="77777777" w:rsidR="001B52C7" w:rsidRPr="00592C35" w:rsidRDefault="001B52C7" w:rsidP="00B67293">
            <w:pPr>
              <w:spacing w:before="0" w:after="0" w:line="360" w:lineRule="auto"/>
              <w:ind w:right="-360"/>
              <w:jc w:val="center"/>
              <w:rPr>
                <w:rFonts w:eastAsia="Times New Roman" w:cs="Calibri"/>
                <w:noProof w:val="0"/>
                <w:color w:val="000000"/>
                <w:sz w:val="24"/>
                <w:szCs w:val="24"/>
              </w:rPr>
            </w:pPr>
            <w:r w:rsidRPr="00592C35">
              <w:rPr>
                <w:rFonts w:eastAsia="Times New Roman" w:cs="Calibri"/>
                <w:noProof w:val="0"/>
                <w:color w:val="000000"/>
                <w:sz w:val="24"/>
                <w:szCs w:val="24"/>
              </w:rPr>
              <w:t>Diabetes</w:t>
            </w:r>
          </w:p>
        </w:tc>
      </w:tr>
    </w:tbl>
    <w:p w14:paraId="46E34385" w14:textId="77777777" w:rsidR="001B52C7" w:rsidRPr="00B67293" w:rsidRDefault="001B52C7" w:rsidP="00B67293">
      <w:pPr>
        <w:spacing w:before="240" w:line="360" w:lineRule="auto"/>
        <w:ind w:right="-360"/>
        <w:outlineLvl w:val="3"/>
        <w:rPr>
          <w:rFonts w:eastAsia="Calibri" w:cs="Times New Roman"/>
          <w:b/>
          <w:sz w:val="30"/>
          <w:szCs w:val="30"/>
        </w:rPr>
      </w:pPr>
      <w:r w:rsidRPr="00B67293">
        <w:rPr>
          <w:rFonts w:eastAsia="Calibri" w:cs="Times New Roman"/>
          <w:b/>
          <w:sz w:val="30"/>
          <w:szCs w:val="30"/>
        </w:rPr>
        <w:t>Life Expectancy</w:t>
      </w:r>
    </w:p>
    <w:p w14:paraId="17A213EB" w14:textId="77777777" w:rsidR="001B52C7" w:rsidRPr="00B67293" w:rsidRDefault="001B52C7" w:rsidP="00B67293">
      <w:pPr>
        <w:spacing w:line="360" w:lineRule="auto"/>
        <w:ind w:right="-360"/>
        <w:rPr>
          <w:rFonts w:eastAsia="Calibri" w:cs="Times New Roman"/>
        </w:rPr>
      </w:pPr>
      <w:r w:rsidRPr="00B67293">
        <w:rPr>
          <w:rFonts w:eastAsia="Calibri" w:cs="Times New Roman"/>
        </w:rPr>
        <w:t>Life expectancy is a commonly used measure of the health status of a population. This is expressed as the expected number of years of life at a given age.</w:t>
      </w:r>
      <w:r w:rsidRPr="00B67293">
        <w:rPr>
          <w:rFonts w:eastAsia="Calibri" w:cs="Times New Roman"/>
          <w:vertAlign w:val="superscript"/>
        </w:rPr>
        <w:endnoteReference w:id="26"/>
      </w:r>
      <w:r w:rsidRPr="00B67293">
        <w:rPr>
          <w:rFonts w:eastAsia="Calibri" w:cs="Times New Roman"/>
        </w:rPr>
        <w:t xml:space="preserve"> A person born in Massachusetts in 2014 should expect to live 80.8 years, indicating a 1.5% improvement in life expectancy over the past decade.</w:t>
      </w:r>
    </w:p>
    <w:p w14:paraId="6BFC98CF" w14:textId="5AAE69C3" w:rsidR="009A2934" w:rsidRDefault="001B52C7" w:rsidP="00B67293">
      <w:pPr>
        <w:spacing w:before="240" w:line="360" w:lineRule="auto"/>
        <w:ind w:right="-360"/>
        <w:outlineLvl w:val="3"/>
        <w:rPr>
          <w:rFonts w:eastAsia="Calibri" w:cs="Times New Roman"/>
        </w:rPr>
      </w:pPr>
      <w:r w:rsidRPr="00B67293">
        <w:rPr>
          <w:rFonts w:eastAsia="Calibri" w:cs="Times New Roman"/>
        </w:rPr>
        <w:t>Life expectancy is higher for women (83.4 years) than for men (78.3 years). Within each racial/ethnic group, women are expected to live longer than men. For individuals born in 2014, Hispanic women could expect to live 89.6 years, the longest life expectancy across racial/ethnic and sex-specific groups</w:t>
      </w:r>
      <w:r w:rsidR="00CE72DD" w:rsidRPr="00B67293">
        <w:rPr>
          <w:rFonts w:eastAsia="Calibri" w:cs="Times New Roman"/>
        </w:rPr>
        <w:t xml:space="preserve"> </w:t>
      </w:r>
      <w:r w:rsidR="00CE72DD" w:rsidRPr="00B67293">
        <w:rPr>
          <w:rFonts w:eastAsia="Calibri" w:cs="Times New Roman"/>
          <w:b/>
        </w:rPr>
        <w:t>(see Figure 1.22)</w:t>
      </w:r>
      <w:r w:rsidRPr="00B67293">
        <w:rPr>
          <w:rFonts w:eastAsia="Calibri" w:cs="Times New Roman"/>
        </w:rPr>
        <w:t xml:space="preserve">. Black non-Hispanic women (84.3 years), Hispanic men (84.3 years), and White non-Hispanic women (83.0 years) had the next highest life expectancies. Black non-Hispanic men had a life expectancy of (77.5 years) and White non-Hispanic men (78.1 years) had the lowest life expectancies. </w:t>
      </w:r>
    </w:p>
    <w:p w14:paraId="48C9AF41" w14:textId="77777777" w:rsidR="00B67293" w:rsidRPr="00B67293" w:rsidRDefault="00B67293" w:rsidP="00B67293">
      <w:pPr>
        <w:spacing w:before="240" w:line="360" w:lineRule="auto"/>
        <w:ind w:right="-360"/>
        <w:outlineLvl w:val="3"/>
        <w:rPr>
          <w:rFonts w:eastAsia="Calibri" w:cs="Times New Roman"/>
        </w:rPr>
      </w:pPr>
    </w:p>
    <w:p w14:paraId="0E82D8E1" w14:textId="2451AA3C" w:rsidR="009A2934" w:rsidRPr="00B67293" w:rsidRDefault="009A2934" w:rsidP="00B67293">
      <w:pPr>
        <w:spacing w:before="240" w:line="360" w:lineRule="auto"/>
        <w:ind w:right="-360"/>
        <w:outlineLvl w:val="3"/>
        <w:rPr>
          <w:rFonts w:eastAsia="Calibri" w:cs="Times New Roman"/>
          <w:b/>
          <w:sz w:val="30"/>
          <w:szCs w:val="30"/>
        </w:rPr>
      </w:pPr>
      <w:r w:rsidRPr="00B67293">
        <w:rPr>
          <w:rFonts w:eastAsia="Calibri" w:cs="Times New Roman"/>
          <w:b/>
          <w:sz w:val="30"/>
          <w:szCs w:val="30"/>
        </w:rPr>
        <w:t>Premature Mortality</w:t>
      </w:r>
    </w:p>
    <w:p w14:paraId="4CC6F439" w14:textId="77777777" w:rsidR="009A2934" w:rsidRPr="00592C35" w:rsidRDefault="009A2934" w:rsidP="00B67293">
      <w:pPr>
        <w:spacing w:line="360" w:lineRule="auto"/>
        <w:ind w:right="-360"/>
        <w:rPr>
          <w:rFonts w:eastAsia="Calibri" w:cs="Times New Roman"/>
          <w:sz w:val="24"/>
          <w:szCs w:val="24"/>
        </w:rPr>
      </w:pPr>
      <w:r w:rsidRPr="00592C35">
        <w:rPr>
          <w:rFonts w:eastAsia="Calibri" w:cs="Times New Roman"/>
          <w:sz w:val="24"/>
          <w:szCs w:val="24"/>
        </w:rPr>
        <w:t>The premature mortality rate indicates how many individuals die before reaching 75 years of age. The premature mortality rate is highly correlated with morbidity indicators (measures of “sickness” rather than death).</w:t>
      </w:r>
      <w:r w:rsidRPr="00592C35">
        <w:rPr>
          <w:rFonts w:eastAsia="Calibri" w:cs="Times New Roman"/>
          <w:sz w:val="24"/>
          <w:szCs w:val="24"/>
          <w:vertAlign w:val="superscript"/>
        </w:rPr>
        <w:endnoteReference w:id="27"/>
      </w:r>
      <w:r w:rsidRPr="00592C35">
        <w:rPr>
          <w:rFonts w:eastAsia="Calibri" w:cs="Times New Roman"/>
          <w:sz w:val="24"/>
          <w:szCs w:val="24"/>
        </w:rPr>
        <w:t xml:space="preserve"> The premature mortality rate reflects the health status of a population, and the need for systematic public health approaches to health promotion and disease prevention.</w:t>
      </w:r>
      <w:r w:rsidRPr="00592C35">
        <w:rPr>
          <w:rFonts w:eastAsia="Calibri" w:cs="Times New Roman"/>
          <w:sz w:val="24"/>
          <w:szCs w:val="24"/>
          <w:vertAlign w:val="superscript"/>
        </w:rPr>
        <w:endnoteReference w:id="28"/>
      </w:r>
      <w:r w:rsidRPr="00592C35">
        <w:rPr>
          <w:rFonts w:eastAsia="Calibri" w:cs="Times New Roman"/>
          <w:sz w:val="24"/>
          <w:szCs w:val="24"/>
        </w:rPr>
        <w:t xml:space="preserve"> </w:t>
      </w:r>
    </w:p>
    <w:p w14:paraId="0794094D" w14:textId="77777777" w:rsidR="009A2934" w:rsidRPr="00592C35" w:rsidRDefault="009A2934" w:rsidP="00B67293">
      <w:pPr>
        <w:spacing w:line="360" w:lineRule="auto"/>
        <w:ind w:right="-360"/>
        <w:rPr>
          <w:rFonts w:eastAsia="Calibri" w:cs="Times New Roman"/>
          <w:sz w:val="24"/>
          <w:szCs w:val="24"/>
        </w:rPr>
      </w:pPr>
      <w:r w:rsidRPr="00592C35">
        <w:rPr>
          <w:rFonts w:eastAsia="Calibri" w:cs="Times New Roman"/>
          <w:sz w:val="24"/>
          <w:szCs w:val="24"/>
        </w:rPr>
        <w:lastRenderedPageBreak/>
        <w:t>Premature mortality may be related to socioeconomic status and its correlates, such as neighborhood, social and economic environment, and exposure to stressors.</w:t>
      </w:r>
      <w:r w:rsidRPr="00592C35">
        <w:rPr>
          <w:rFonts w:eastAsia="Calibri" w:cs="Times New Roman"/>
          <w:sz w:val="24"/>
          <w:szCs w:val="24"/>
          <w:vertAlign w:val="superscript"/>
        </w:rPr>
        <w:endnoteReference w:id="29"/>
      </w:r>
      <w:r w:rsidRPr="00592C35">
        <w:rPr>
          <w:rFonts w:eastAsia="Calibri" w:cs="Times New Roman"/>
          <w:sz w:val="24"/>
          <w:szCs w:val="24"/>
          <w:vertAlign w:val="superscript"/>
        </w:rPr>
        <w:t>,</w:t>
      </w:r>
      <w:r w:rsidRPr="00592C35">
        <w:rPr>
          <w:rFonts w:eastAsia="Calibri" w:cs="Times New Roman"/>
          <w:sz w:val="24"/>
          <w:szCs w:val="24"/>
          <w:vertAlign w:val="superscript"/>
        </w:rPr>
        <w:endnoteReference w:id="30"/>
      </w:r>
      <w:r w:rsidRPr="00592C35">
        <w:rPr>
          <w:rFonts w:eastAsia="Calibri" w:cs="Times New Roman"/>
          <w:sz w:val="24"/>
          <w:szCs w:val="24"/>
          <w:vertAlign w:val="superscript"/>
        </w:rPr>
        <w:t>,</w:t>
      </w:r>
      <w:r w:rsidRPr="00592C35">
        <w:rPr>
          <w:rFonts w:eastAsia="Calibri" w:cs="Times New Roman"/>
          <w:sz w:val="24"/>
          <w:szCs w:val="24"/>
          <w:vertAlign w:val="superscript"/>
        </w:rPr>
        <w:endnoteReference w:id="31"/>
      </w:r>
    </w:p>
    <w:p w14:paraId="5535733D" w14:textId="25075B1D" w:rsidR="009A2934" w:rsidRPr="00592C35" w:rsidRDefault="009A2934" w:rsidP="00B67293">
      <w:pPr>
        <w:spacing w:line="360" w:lineRule="auto"/>
        <w:ind w:right="-360"/>
        <w:rPr>
          <w:rFonts w:eastAsia="Calibri" w:cs="Times New Roman"/>
          <w:sz w:val="24"/>
          <w:szCs w:val="24"/>
        </w:rPr>
      </w:pPr>
      <w:r w:rsidRPr="00592C35">
        <w:rPr>
          <w:rFonts w:eastAsia="Calibri" w:cs="Times New Roman"/>
          <w:sz w:val="24"/>
          <w:szCs w:val="24"/>
        </w:rPr>
        <w:t>In 2014, Black non-Hispanics in Massachusetts had the highest premature mortality rate, experiencing 1.1 times the rate of premature deaths as White non-Hispanics</w:t>
      </w:r>
      <w:r w:rsidR="00CE72DD" w:rsidRPr="00592C35">
        <w:rPr>
          <w:rFonts w:eastAsia="Calibri" w:cs="Times New Roman"/>
          <w:sz w:val="24"/>
          <w:szCs w:val="24"/>
        </w:rPr>
        <w:t xml:space="preserve"> </w:t>
      </w:r>
      <w:r w:rsidR="00CE72DD" w:rsidRPr="00592C35">
        <w:rPr>
          <w:rFonts w:eastAsia="Calibri" w:cs="Times New Roman"/>
          <w:b/>
          <w:sz w:val="24"/>
          <w:szCs w:val="24"/>
        </w:rPr>
        <w:t>(see Figure 1.</w:t>
      </w:r>
      <w:r w:rsidR="002B1C3E" w:rsidRPr="00592C35">
        <w:rPr>
          <w:rFonts w:eastAsia="Calibri" w:cs="Times New Roman"/>
          <w:b/>
          <w:sz w:val="24"/>
          <w:szCs w:val="24"/>
        </w:rPr>
        <w:t>2</w:t>
      </w:r>
      <w:r w:rsidR="00CE72DD" w:rsidRPr="00592C35">
        <w:rPr>
          <w:rFonts w:eastAsia="Calibri" w:cs="Times New Roman"/>
          <w:b/>
          <w:sz w:val="24"/>
          <w:szCs w:val="24"/>
        </w:rPr>
        <w:t>3)</w:t>
      </w:r>
      <w:r w:rsidRPr="00592C35">
        <w:rPr>
          <w:rFonts w:eastAsia="Calibri" w:cs="Times New Roman"/>
          <w:sz w:val="24"/>
          <w:szCs w:val="24"/>
        </w:rPr>
        <w:t xml:space="preserve">. Asian non-Hispanics had the lowest. </w:t>
      </w:r>
    </w:p>
    <w:p w14:paraId="7EB57FAD" w14:textId="55C377AF"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t>Figure 1.22</w:t>
      </w:r>
    </w:p>
    <w:p w14:paraId="13F018F8" w14:textId="77777777" w:rsidR="001B52C7" w:rsidRPr="00592C35" w:rsidRDefault="001B52C7" w:rsidP="00B67293">
      <w:pPr>
        <w:keepNext/>
        <w:keepLines/>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Life Expectancy at Birth, by Race/Ethnicity and Sex, Massachusetts, 2014</w:t>
      </w:r>
    </w:p>
    <w:p w14:paraId="7CFAA500" w14:textId="7246AC6D" w:rsidR="001B52C7" w:rsidRPr="00592C35" w:rsidRDefault="00DC78E8" w:rsidP="00B67293">
      <w:pPr>
        <w:keepNext/>
        <w:keepLines/>
        <w:spacing w:line="360" w:lineRule="auto"/>
        <w:ind w:right="-360"/>
        <w:jc w:val="center"/>
        <w:rPr>
          <w:rFonts w:eastAsia="Calibri" w:cs="Times New Roman"/>
          <w:sz w:val="24"/>
          <w:szCs w:val="24"/>
        </w:rPr>
      </w:pPr>
      <w:r w:rsidRPr="00592C35">
        <w:rPr>
          <w:sz w:val="24"/>
          <w:szCs w:val="24"/>
        </w:rPr>
        <w:drawing>
          <wp:inline distT="0" distB="0" distL="0" distR="0" wp14:anchorId="1C51B5B4" wp14:editId="1AF24897">
            <wp:extent cx="4572881" cy="2703874"/>
            <wp:effectExtent l="0" t="0" r="0" b="1270"/>
            <wp:docPr id="125" name="Chart 125" descr="This vertical bar graph shows the rate of life expectancy at birth by race/ethnicity and sex in Massachusetts in 2014. The rate of life expectancy at birth in Massachusetts was: a) 83 per 100,000 for White non-Hispanic females and 78 per 100,000 for White non-Hispanic males; b) 84 per 100,000 for Black non-Hispanic females and 78 per 100,000 for Black non-Hispanic males; and c) 90 per 100,000 for Hispanic females and 84 per 100,000 for Hispanic mal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1801F0-185D-4550-9684-D2AAA5C64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B6FA89E" w14:textId="77777777" w:rsidR="00B67293" w:rsidRPr="00592C35" w:rsidRDefault="00B67293">
      <w:pPr>
        <w:spacing w:before="0"/>
        <w:ind w:left="0" w:right="0"/>
        <w:jc w:val="left"/>
        <w:rPr>
          <w:rFonts w:eastAsia="Calibri" w:cs="Times New Roman"/>
          <w:b/>
          <w:noProof w:val="0"/>
          <w:sz w:val="24"/>
          <w:szCs w:val="24"/>
        </w:rPr>
      </w:pPr>
      <w:r w:rsidRPr="00592C35">
        <w:rPr>
          <w:rFonts w:eastAsia="Calibri" w:cs="Times New Roman"/>
          <w:b/>
          <w:noProof w:val="0"/>
          <w:sz w:val="24"/>
          <w:szCs w:val="24"/>
        </w:rPr>
        <w:br w:type="page"/>
      </w:r>
    </w:p>
    <w:p w14:paraId="14B57BE6" w14:textId="7C55321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1.23</w:t>
      </w:r>
    </w:p>
    <w:p w14:paraId="115EE353" w14:textId="77777777" w:rsidR="001B52C7" w:rsidRPr="00592C35" w:rsidRDefault="001B52C7" w:rsidP="00B67293">
      <w:pPr>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Premature Mortality Rate, by Race/Ethnicity, Massachusetts, 2014</w:t>
      </w:r>
    </w:p>
    <w:p w14:paraId="0043A68C" w14:textId="7141B60F" w:rsidR="001B52C7" w:rsidRPr="00B67293" w:rsidRDefault="00DC78E8" w:rsidP="00B67293">
      <w:pPr>
        <w:spacing w:line="360" w:lineRule="auto"/>
        <w:ind w:right="-360"/>
        <w:jc w:val="center"/>
        <w:rPr>
          <w:rFonts w:eastAsia="Calibri" w:cs="Times New Roman"/>
        </w:rPr>
      </w:pPr>
      <w:r w:rsidRPr="00B67293">
        <w:drawing>
          <wp:inline distT="0" distB="0" distL="0" distR="0" wp14:anchorId="00F25F61" wp14:editId="1690F2A1">
            <wp:extent cx="4572881" cy="2757391"/>
            <wp:effectExtent l="0" t="0" r="0" b="5080"/>
            <wp:docPr id="126" name="Chart 126" descr="This horizontal bar graph shows that in 2014, the premature mortality rate in Massachusetts was 281.9 per 100,000 for White non-Hispanics, 313.0 per 100,000 for Black non-Hispanics, 120.6 per 100,000 for Asian non-Hispanics, and 227.4 per 100,000 for Hispanic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7C7F43-AD82-4959-BD43-B838DD1B8D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E58EF99" w14:textId="77777777" w:rsidR="001B52C7" w:rsidRPr="00B67293" w:rsidRDefault="001B52C7" w:rsidP="00B67293">
      <w:pPr>
        <w:spacing w:before="240" w:line="360" w:lineRule="auto"/>
        <w:ind w:right="-360"/>
        <w:outlineLvl w:val="3"/>
        <w:rPr>
          <w:rFonts w:eastAsia="Calibri" w:cs="Times New Roman"/>
          <w:b/>
          <w:sz w:val="30"/>
          <w:szCs w:val="30"/>
        </w:rPr>
      </w:pPr>
      <w:r w:rsidRPr="00B67293">
        <w:rPr>
          <w:rFonts w:eastAsia="Calibri" w:cs="Times New Roman"/>
          <w:b/>
          <w:sz w:val="30"/>
          <w:szCs w:val="30"/>
        </w:rPr>
        <w:t>Amenable Mortality</w:t>
      </w:r>
    </w:p>
    <w:p w14:paraId="74EC96E6"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Amenable mortality are deaths that may have been prevented by timely and effective health care. This concept has been implemented by many countries as a tool to track changes over time and assess the performance of health care systems.</w:t>
      </w:r>
      <w:r w:rsidRPr="00592C35">
        <w:rPr>
          <w:rFonts w:eastAsia="Calibri" w:cs="Times New Roman"/>
          <w:sz w:val="24"/>
          <w:szCs w:val="24"/>
          <w:vertAlign w:val="superscript"/>
        </w:rPr>
        <w:endnoteReference w:id="32"/>
      </w:r>
      <w:r w:rsidRPr="00592C35">
        <w:rPr>
          <w:rFonts w:eastAsia="Calibri" w:cs="Times New Roman"/>
          <w:sz w:val="24"/>
          <w:szCs w:val="24"/>
        </w:rPr>
        <w:t xml:space="preserve"> </w:t>
      </w:r>
    </w:p>
    <w:p w14:paraId="3365E75F" w14:textId="77777777" w:rsidR="001B52C7"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 xml:space="preserve">The categorization of amenable mortality allows policy-makers, community advocates, and public health professionals to consider more effective and cost-efficient approaches to improving the quality of life and health of the public. </w:t>
      </w:r>
    </w:p>
    <w:p w14:paraId="6769FE0D" w14:textId="728952E8" w:rsidR="00B67293" w:rsidRPr="00592C35" w:rsidRDefault="001B52C7" w:rsidP="00B67293">
      <w:pPr>
        <w:spacing w:line="360" w:lineRule="auto"/>
        <w:ind w:right="-360"/>
        <w:rPr>
          <w:rFonts w:eastAsia="Calibri" w:cs="Times New Roman"/>
          <w:sz w:val="24"/>
          <w:szCs w:val="24"/>
        </w:rPr>
      </w:pPr>
      <w:r w:rsidRPr="00592C35">
        <w:rPr>
          <w:rFonts w:eastAsia="Calibri" w:cs="Times New Roman"/>
          <w:sz w:val="24"/>
          <w:szCs w:val="24"/>
        </w:rPr>
        <w:t>In Massachusetts, Black non-Hispanics had the highest amenable mortality rate, 1.2 times that of White non-Hispanics in 2014</w:t>
      </w:r>
      <w:r w:rsidR="00CE72DD" w:rsidRPr="00592C35">
        <w:rPr>
          <w:rFonts w:eastAsia="Calibri" w:cs="Times New Roman"/>
          <w:sz w:val="24"/>
          <w:szCs w:val="24"/>
        </w:rPr>
        <w:t xml:space="preserve"> </w:t>
      </w:r>
      <w:r w:rsidR="00CE72DD" w:rsidRPr="00592C35">
        <w:rPr>
          <w:rFonts w:eastAsia="Calibri" w:cs="Times New Roman"/>
          <w:b/>
          <w:sz w:val="24"/>
          <w:szCs w:val="24"/>
        </w:rPr>
        <w:t>(see Figure 1.24)</w:t>
      </w:r>
      <w:r w:rsidRPr="00592C35">
        <w:rPr>
          <w:rFonts w:eastAsia="Calibri" w:cs="Times New Roman"/>
          <w:sz w:val="24"/>
          <w:szCs w:val="24"/>
        </w:rPr>
        <w:t>.</w:t>
      </w:r>
    </w:p>
    <w:p w14:paraId="193E84BF" w14:textId="77777777" w:rsidR="00B67293" w:rsidRPr="00592C35" w:rsidRDefault="00B67293">
      <w:pPr>
        <w:spacing w:before="0"/>
        <w:ind w:left="0" w:right="0"/>
        <w:jc w:val="left"/>
        <w:rPr>
          <w:rFonts w:eastAsia="Calibri" w:cs="Times New Roman"/>
          <w:sz w:val="24"/>
          <w:szCs w:val="24"/>
        </w:rPr>
      </w:pPr>
      <w:r w:rsidRPr="00592C35">
        <w:rPr>
          <w:rFonts w:eastAsia="Calibri" w:cs="Times New Roman"/>
          <w:sz w:val="24"/>
          <w:szCs w:val="24"/>
        </w:rPr>
        <w:br w:type="page"/>
      </w:r>
    </w:p>
    <w:p w14:paraId="6844310E" w14:textId="77777777" w:rsidR="001B52C7" w:rsidRPr="00592C35" w:rsidRDefault="001B52C7" w:rsidP="00B67293">
      <w:pPr>
        <w:spacing w:line="360" w:lineRule="auto"/>
        <w:ind w:right="-360"/>
        <w:jc w:val="center"/>
        <w:rPr>
          <w:rFonts w:eastAsia="Calibri" w:cs="Times New Roman"/>
          <w:b/>
          <w:noProof w:val="0"/>
          <w:sz w:val="24"/>
          <w:szCs w:val="24"/>
        </w:rPr>
      </w:pPr>
      <w:r w:rsidRPr="00592C35">
        <w:rPr>
          <w:rFonts w:eastAsia="Calibri" w:cs="Times New Roman"/>
          <w:b/>
          <w:noProof w:val="0"/>
          <w:sz w:val="24"/>
          <w:szCs w:val="24"/>
        </w:rPr>
        <w:lastRenderedPageBreak/>
        <w:t>Figure 1.24</w:t>
      </w:r>
    </w:p>
    <w:p w14:paraId="1B1ADB5A" w14:textId="77777777" w:rsidR="001B52C7" w:rsidRPr="00592C35" w:rsidRDefault="001B52C7" w:rsidP="00B67293">
      <w:pPr>
        <w:keepNext/>
        <w:numPr>
          <w:ilvl w:val="1"/>
          <w:numId w:val="0"/>
        </w:numPr>
        <w:spacing w:line="360" w:lineRule="auto"/>
        <w:ind w:left="-360" w:right="-360"/>
        <w:jc w:val="center"/>
        <w:rPr>
          <w:rFonts w:eastAsia="Times New Roman" w:cs="Calibri"/>
          <w:b/>
          <w:color w:val="000000"/>
          <w:sz w:val="24"/>
          <w:szCs w:val="24"/>
        </w:rPr>
      </w:pPr>
      <w:r w:rsidRPr="00592C35">
        <w:rPr>
          <w:rFonts w:eastAsia="Times New Roman" w:cs="Calibri"/>
          <w:b/>
          <w:color w:val="000000"/>
          <w:sz w:val="24"/>
          <w:szCs w:val="24"/>
        </w:rPr>
        <w:t>Age-Adjusted Amenable Mortality Rate, by Race/Ethnicity, Massachusetts, 2014</w:t>
      </w:r>
    </w:p>
    <w:p w14:paraId="705DC96F" w14:textId="2EE2001C" w:rsidR="001B52C7" w:rsidRPr="00B67293" w:rsidRDefault="00DC78E8" w:rsidP="00B67293">
      <w:pPr>
        <w:spacing w:line="360" w:lineRule="auto"/>
        <w:ind w:right="-360"/>
        <w:jc w:val="center"/>
        <w:rPr>
          <w:rFonts w:eastAsia="Calibri" w:cs="Times New Roman"/>
        </w:rPr>
      </w:pPr>
      <w:r w:rsidRPr="00B67293">
        <w:drawing>
          <wp:inline distT="0" distB="0" distL="0" distR="0" wp14:anchorId="2F2AFAB4" wp14:editId="121B736B">
            <wp:extent cx="4576089" cy="2759315"/>
            <wp:effectExtent l="0" t="0" r="0" b="3175"/>
            <wp:docPr id="127" name="Chart 127" descr="This horizontal bar graph shows that in 2014, the age-adjusted amenable mortality rate in Massachusetts was 68.2 per 100,000 for White non-Hispanics, 84.1 per 100,000 for Black non-Hispanics, 31 per 100,000 for Asian non-Hispanics, and 54.7 per 100,000 for Hispanic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8DC774-2B66-44A5-AD7A-5B2BD2A1A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4E99F8E" w14:textId="77777777" w:rsidR="00DD519D" w:rsidRPr="00B67293" w:rsidRDefault="00DD519D" w:rsidP="00B67293">
      <w:pPr>
        <w:spacing w:before="0" w:line="360" w:lineRule="auto"/>
        <w:ind w:left="0" w:right="0"/>
        <w:jc w:val="left"/>
        <w:rPr>
          <w:rFonts w:eastAsiaTheme="majorEastAsia" w:cstheme="majorBidi"/>
          <w:b/>
          <w:sz w:val="40"/>
          <w:szCs w:val="40"/>
        </w:rPr>
      </w:pPr>
      <w:r w:rsidRPr="00B67293">
        <w:br w:type="page"/>
      </w:r>
    </w:p>
    <w:p w14:paraId="53B378BC" w14:textId="63597884" w:rsidR="00BA2E13" w:rsidRDefault="006E7510" w:rsidP="004C4721">
      <w:pPr>
        <w:pStyle w:val="Heading1"/>
        <w:sectPr w:rsidR="00BA2E13" w:rsidSect="006C055D">
          <w:footerReference w:type="default" r:id="rId55"/>
          <w:endnotePr>
            <w:numFmt w:val="decimal"/>
          </w:endnotePr>
          <w:type w:val="continuous"/>
          <w:pgSz w:w="12240" w:h="15840"/>
          <w:pgMar w:top="1440" w:right="1080" w:bottom="1440" w:left="1080" w:header="720" w:footer="720" w:gutter="0"/>
          <w:cols w:space="720"/>
          <w:docGrid w:linePitch="360"/>
        </w:sectPr>
      </w:pPr>
      <w:r>
        <w:lastRenderedPageBreak/>
        <w:t>Reference</w:t>
      </w:r>
    </w:p>
    <w:p w14:paraId="69AD7556" w14:textId="108B2885" w:rsidR="00BA2E13" w:rsidRDefault="00BA2E13" w:rsidP="006E7510">
      <w:pPr>
        <w:spacing w:before="0"/>
        <w:ind w:left="0" w:right="0"/>
        <w:jc w:val="left"/>
      </w:pPr>
    </w:p>
    <w:sectPr w:rsidR="00BA2E13" w:rsidSect="006E7510">
      <w:endnotePr>
        <w:numFmt w:val="decimal"/>
      </w:end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BB6ED" w14:textId="77777777" w:rsidR="006139CD" w:rsidRPr="00EC73EF" w:rsidRDefault="006139CD" w:rsidP="00EC73EF">
      <w:pPr>
        <w:pStyle w:val="Footer"/>
      </w:pPr>
    </w:p>
  </w:endnote>
  <w:endnote w:type="continuationSeparator" w:id="0">
    <w:p w14:paraId="746A8674" w14:textId="77777777" w:rsidR="006139CD" w:rsidRPr="00EC73EF" w:rsidRDefault="006139CD" w:rsidP="00EC73EF">
      <w:pPr>
        <w:pStyle w:val="Footer"/>
      </w:pPr>
    </w:p>
  </w:endnote>
  <w:endnote w:type="continuationNotice" w:id="1">
    <w:p w14:paraId="7DFBEBBE" w14:textId="77777777" w:rsidR="006139CD" w:rsidRPr="00EC73EF" w:rsidRDefault="006139CD" w:rsidP="00EC73EF">
      <w:pPr>
        <w:pStyle w:val="Footer"/>
      </w:pPr>
    </w:p>
  </w:endnote>
  <w:endnote w:id="2">
    <w:p w14:paraId="467A4102" w14:textId="77777777" w:rsidR="00B67293" w:rsidRPr="00592C35" w:rsidRDefault="00B67293" w:rsidP="00FE4FD3">
      <w:pPr>
        <w:pStyle w:val="REFERENCES"/>
        <w:rPr>
          <w:sz w:val="24"/>
          <w:szCs w:val="24"/>
        </w:rPr>
      </w:pPr>
      <w:r w:rsidRPr="00FE4FD3">
        <w:rPr>
          <w:rStyle w:val="EndnoteReference"/>
          <w:rFonts w:cstheme="minorHAnsi"/>
        </w:rPr>
        <w:endnoteRef/>
      </w:r>
      <w:r w:rsidRPr="00FE4FD3">
        <w:t xml:space="preserve"> </w:t>
      </w:r>
      <w:proofErr w:type="gramStart"/>
      <w:r w:rsidRPr="00592C35">
        <w:rPr>
          <w:sz w:val="24"/>
          <w:szCs w:val="24"/>
        </w:rPr>
        <w:t>Robert Wood Johnson Foundation.</w:t>
      </w:r>
      <w:proofErr w:type="gramEnd"/>
      <w:r w:rsidRPr="00592C35">
        <w:rPr>
          <w:sz w:val="24"/>
          <w:szCs w:val="24"/>
        </w:rPr>
        <w:t xml:space="preserve"> </w:t>
      </w:r>
      <w:proofErr w:type="gramStart"/>
      <w:r w:rsidRPr="00592C35">
        <w:rPr>
          <w:sz w:val="24"/>
          <w:szCs w:val="24"/>
        </w:rPr>
        <w:t>A new way to talk about the social determinants of health.</w:t>
      </w:r>
      <w:proofErr w:type="gramEnd"/>
      <w:r w:rsidRPr="00592C35">
        <w:rPr>
          <w:sz w:val="24"/>
          <w:szCs w:val="24"/>
        </w:rPr>
        <w:t xml:space="preserve"> Available at:</w:t>
      </w:r>
    </w:p>
    <w:p w14:paraId="5B1CCB35" w14:textId="77777777" w:rsidR="00B67293" w:rsidRPr="00592C35" w:rsidRDefault="00B67293" w:rsidP="00FE4FD3">
      <w:pPr>
        <w:pStyle w:val="REFERENCES"/>
        <w:rPr>
          <w:sz w:val="24"/>
          <w:szCs w:val="24"/>
        </w:rPr>
      </w:pPr>
      <w:r w:rsidRPr="00592C35">
        <w:rPr>
          <w:sz w:val="24"/>
          <w:szCs w:val="24"/>
        </w:rPr>
        <w:t xml:space="preserve"> http://www.rwjf.org/content/dam/farm/reports/reports/2010/rwjf63023 Accessed July 2, 2017.</w:t>
      </w:r>
    </w:p>
  </w:endnote>
  <w:endnote w:id="3">
    <w:p w14:paraId="7AAC9627"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Centers for Disease Control and Prevention.</w:t>
      </w:r>
      <w:proofErr w:type="gramEnd"/>
      <w:r w:rsidRPr="00592C35">
        <w:rPr>
          <w:sz w:val="24"/>
          <w:szCs w:val="24"/>
        </w:rPr>
        <w:t xml:space="preserve"> CDC health disparities and inequalities report: United States, 2013. </w:t>
      </w:r>
      <w:proofErr w:type="gramStart"/>
      <w:r w:rsidRPr="00592C35">
        <w:rPr>
          <w:i/>
          <w:sz w:val="24"/>
          <w:szCs w:val="24"/>
        </w:rPr>
        <w:t>Morbidity and Mortality Weekly Report.</w:t>
      </w:r>
      <w:proofErr w:type="gramEnd"/>
      <w:r w:rsidRPr="00592C35">
        <w:rPr>
          <w:sz w:val="24"/>
          <w:szCs w:val="24"/>
        </w:rPr>
        <w:t xml:space="preserve"> 2013:  62(3); 1-187. Available at: https://www.cdc.gov/mmwr/pdf/other/su6203.pdf Accessed July 2, 2017.</w:t>
      </w:r>
    </w:p>
  </w:endnote>
  <w:endnote w:id="4">
    <w:p w14:paraId="06D4A872"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US Census Bureau.</w:t>
      </w:r>
      <w:proofErr w:type="gramEnd"/>
      <w:r w:rsidRPr="00592C35">
        <w:rPr>
          <w:sz w:val="24"/>
          <w:szCs w:val="24"/>
        </w:rPr>
        <w:t xml:space="preserve"> 2015 American Community Survey 1-Year Estimates, B01003 File, Massachusetts. </w:t>
      </w:r>
    </w:p>
  </w:endnote>
  <w:endnote w:id="5">
    <w:p w14:paraId="45362B8B" w14:textId="7EFADB73"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r w:rsidRPr="00592C35">
        <w:rPr>
          <w:rStyle w:val="EndnoteReference"/>
          <w:rFonts w:cstheme="minorHAnsi"/>
          <w:sz w:val="24"/>
          <w:szCs w:val="24"/>
        </w:rPr>
        <w:endnoteRef/>
      </w:r>
      <w:proofErr w:type="gramStart"/>
      <w:r w:rsidRPr="00592C35">
        <w:rPr>
          <w:rFonts w:cstheme="minorHAnsi"/>
          <w:sz w:val="24"/>
          <w:szCs w:val="24"/>
        </w:rPr>
        <w:t>University of Massachusetts, Boston.</w:t>
      </w:r>
      <w:proofErr w:type="gramEnd"/>
      <w:r w:rsidRPr="00592C35">
        <w:rPr>
          <w:rFonts w:cstheme="minorHAnsi"/>
          <w:sz w:val="24"/>
          <w:szCs w:val="24"/>
        </w:rPr>
        <w:t xml:space="preserve"> Institute for New England Native American Studies. Personal Communication, August 1, 2017.</w:t>
      </w:r>
      <w:r w:rsidRPr="00592C35">
        <w:rPr>
          <w:sz w:val="24"/>
          <w:szCs w:val="24"/>
        </w:rPr>
        <w:t xml:space="preserve"> </w:t>
      </w:r>
    </w:p>
  </w:endnote>
  <w:endnote w:id="6">
    <w:p w14:paraId="552C2031"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US Census Bureau.</w:t>
      </w:r>
      <w:proofErr w:type="gramEnd"/>
      <w:r w:rsidRPr="00592C35">
        <w:rPr>
          <w:sz w:val="24"/>
          <w:szCs w:val="24"/>
        </w:rPr>
        <w:t xml:space="preserve"> 2015 American Community Survey 1-Year Estimates, S0501 File, Massachusetts.</w:t>
      </w:r>
    </w:p>
  </w:endnote>
  <w:endnote w:id="7">
    <w:p w14:paraId="18DBEAF8"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US Census Bureau.</w:t>
      </w:r>
      <w:proofErr w:type="gramEnd"/>
      <w:r w:rsidRPr="00592C35">
        <w:rPr>
          <w:sz w:val="24"/>
          <w:szCs w:val="24"/>
        </w:rPr>
        <w:t xml:space="preserve"> 2015 American Community Survey 1-Year Estimates, S1810 File, Massachusetts.</w:t>
      </w:r>
    </w:p>
  </w:endnote>
  <w:endnote w:id="8">
    <w:p w14:paraId="3A1E5E01" w14:textId="79930F42"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rFonts w:cstheme="minorHAnsi"/>
          <w:sz w:val="24"/>
          <w:szCs w:val="24"/>
        </w:rPr>
        <w:t>The Commonwealth Fund.</w:t>
      </w:r>
      <w:proofErr w:type="gramEnd"/>
      <w:r w:rsidRPr="00592C35">
        <w:rPr>
          <w:rFonts w:cstheme="minorHAnsi"/>
          <w:sz w:val="24"/>
          <w:szCs w:val="24"/>
        </w:rPr>
        <w:t xml:space="preserve"> US </w:t>
      </w:r>
      <w:proofErr w:type="gramStart"/>
      <w:r w:rsidRPr="00592C35">
        <w:rPr>
          <w:rFonts w:cstheme="minorHAnsi"/>
          <w:sz w:val="24"/>
          <w:szCs w:val="24"/>
        </w:rPr>
        <w:t>spends</w:t>
      </w:r>
      <w:proofErr w:type="gramEnd"/>
      <w:r w:rsidRPr="00592C35">
        <w:rPr>
          <w:rFonts w:cstheme="minorHAnsi"/>
          <w:sz w:val="24"/>
          <w:szCs w:val="24"/>
        </w:rPr>
        <w:t xml:space="preserve"> more on health care than other high-income nations but has lower life expectancy, worse health. 2015. Available at: </w:t>
      </w:r>
      <w:hyperlink r:id="rId1" w:history="1">
        <w:r w:rsidRPr="00592C35">
          <w:rPr>
            <w:rStyle w:val="Hyperlink"/>
            <w:color w:val="auto"/>
            <w:sz w:val="24"/>
            <w:szCs w:val="24"/>
          </w:rPr>
          <w:t>http://www.commonwealthfund.org/publications/press-releases/2015/oct/us-spends-more-on-health-care-than-other-nations</w:t>
        </w:r>
      </w:hyperlink>
      <w:r w:rsidRPr="00592C35">
        <w:rPr>
          <w:rFonts w:cstheme="minorHAnsi"/>
          <w:sz w:val="24"/>
          <w:szCs w:val="24"/>
        </w:rPr>
        <w:t xml:space="preserve">.  </w:t>
      </w:r>
      <w:proofErr w:type="gramStart"/>
      <w:r w:rsidRPr="00592C35">
        <w:rPr>
          <w:rFonts w:cstheme="minorHAnsi"/>
          <w:sz w:val="24"/>
          <w:szCs w:val="24"/>
        </w:rPr>
        <w:t>Accessed July 9, 2017.</w:t>
      </w:r>
      <w:proofErr w:type="gramEnd"/>
      <w:r w:rsidRPr="00592C35">
        <w:rPr>
          <w:sz w:val="24"/>
          <w:szCs w:val="24"/>
        </w:rPr>
        <w:t xml:space="preserve"> </w:t>
      </w:r>
    </w:p>
  </w:endnote>
  <w:endnote w:id="9">
    <w:p w14:paraId="3A09186B" w14:textId="6C354548"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Aten BH, Figueroa EB, </w:t>
      </w:r>
      <w:proofErr w:type="spellStart"/>
      <w:r w:rsidRPr="00592C35">
        <w:rPr>
          <w:sz w:val="24"/>
          <w:szCs w:val="24"/>
        </w:rPr>
        <w:t>Vengelen</w:t>
      </w:r>
      <w:proofErr w:type="spellEnd"/>
      <w:r w:rsidRPr="00592C35">
        <w:rPr>
          <w:sz w:val="24"/>
          <w:szCs w:val="24"/>
        </w:rPr>
        <w:t xml:space="preserve"> BM. Real per capita personal income and regional price parities for 2014. US Chamber of Commerce Bureau of Economic Analysis. 2016. Available at: https://www.bea.gov/scb/pdf/2016/08%20August/0816_real_per_capita_personal_income.pdf. </w:t>
      </w:r>
      <w:proofErr w:type="gramStart"/>
      <w:r w:rsidRPr="00592C35">
        <w:rPr>
          <w:sz w:val="24"/>
          <w:szCs w:val="24"/>
        </w:rPr>
        <w:t>Accessed July 2, 2017.</w:t>
      </w:r>
      <w:proofErr w:type="gramEnd"/>
      <w:r w:rsidRPr="00592C35">
        <w:rPr>
          <w:sz w:val="24"/>
          <w:szCs w:val="24"/>
        </w:rPr>
        <w:t xml:space="preserve"> </w:t>
      </w:r>
    </w:p>
  </w:endnote>
  <w:endnote w:id="10">
    <w:p w14:paraId="09FA825D"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US Census Bureau.</w:t>
      </w:r>
      <w:proofErr w:type="gramEnd"/>
      <w:r w:rsidRPr="00592C35">
        <w:rPr>
          <w:sz w:val="24"/>
          <w:szCs w:val="24"/>
        </w:rPr>
        <w:t xml:space="preserve"> 2015 American Community Survey 1-Year Estimates, S1902 File, Massachusetts.</w:t>
      </w:r>
    </w:p>
  </w:endnote>
  <w:endnote w:id="11">
    <w:p w14:paraId="6A67D3D1" w14:textId="7C2707DE"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Martin E. These are the 15 most expensive US states. </w:t>
      </w:r>
      <w:proofErr w:type="gramStart"/>
      <w:r w:rsidRPr="00592C35">
        <w:rPr>
          <w:sz w:val="24"/>
          <w:szCs w:val="24"/>
        </w:rPr>
        <w:t>CNBC.</w:t>
      </w:r>
      <w:proofErr w:type="gramEnd"/>
      <w:r w:rsidRPr="00592C35">
        <w:rPr>
          <w:sz w:val="24"/>
          <w:szCs w:val="24"/>
        </w:rPr>
        <w:t xml:space="preserve"> May 15, 2017. Available at: http://www.cnbc.com/2017/05/15/most-expensive-states-in-america.html. </w:t>
      </w:r>
      <w:proofErr w:type="gramStart"/>
      <w:r w:rsidRPr="00592C35">
        <w:rPr>
          <w:sz w:val="24"/>
          <w:szCs w:val="24"/>
        </w:rPr>
        <w:t>Accessed July 9, 2017.</w:t>
      </w:r>
      <w:proofErr w:type="gramEnd"/>
      <w:r w:rsidRPr="00592C35">
        <w:rPr>
          <w:sz w:val="24"/>
          <w:szCs w:val="24"/>
        </w:rPr>
        <w:t xml:space="preserve">  </w:t>
      </w:r>
    </w:p>
  </w:endnote>
  <w:endnote w:id="12">
    <w:p w14:paraId="5E3848A3" w14:textId="7502E8B4"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rFonts w:cstheme="minorHAnsi"/>
          <w:sz w:val="24"/>
          <w:szCs w:val="24"/>
        </w:rPr>
        <w:t>Environmental justice policy of the executive office of energy and environmental affairs.</w:t>
      </w:r>
      <w:proofErr w:type="gramEnd"/>
      <w:r w:rsidRPr="00592C35">
        <w:rPr>
          <w:rFonts w:cstheme="minorHAnsi"/>
          <w:sz w:val="24"/>
          <w:szCs w:val="24"/>
        </w:rPr>
        <w:t xml:space="preserve"> Available at: </w:t>
      </w:r>
      <w:hyperlink r:id="rId2" w:history="1">
        <w:r w:rsidRPr="00592C35">
          <w:rPr>
            <w:rStyle w:val="Hyperlink"/>
            <w:color w:val="auto"/>
            <w:sz w:val="24"/>
            <w:szCs w:val="24"/>
          </w:rPr>
          <w:t>http://www.mass.gov/eea/docs/eea/ej/2017-environmental-justice-policy.pdf</w:t>
        </w:r>
      </w:hyperlink>
      <w:r w:rsidRPr="00592C35">
        <w:rPr>
          <w:rFonts w:cstheme="minorHAnsi"/>
          <w:sz w:val="24"/>
          <w:szCs w:val="24"/>
        </w:rPr>
        <w:t>.</w:t>
      </w:r>
    </w:p>
  </w:endnote>
  <w:endnote w:id="13">
    <w:p w14:paraId="32D2AB34"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US Census Bureau.</w:t>
      </w:r>
      <w:proofErr w:type="gramEnd"/>
      <w:r w:rsidRPr="00592C35">
        <w:rPr>
          <w:sz w:val="24"/>
          <w:szCs w:val="24"/>
        </w:rPr>
        <w:t xml:space="preserve"> 2015 American Community Survey 1-Year Estimates, B15003 File, Massachusetts.</w:t>
      </w:r>
    </w:p>
  </w:endnote>
  <w:endnote w:id="14">
    <w:p w14:paraId="56FEADED"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Gibson M, </w:t>
      </w:r>
      <w:proofErr w:type="spellStart"/>
      <w:r w:rsidRPr="00592C35">
        <w:rPr>
          <w:sz w:val="24"/>
          <w:szCs w:val="24"/>
        </w:rPr>
        <w:t>Petticrew</w:t>
      </w:r>
      <w:proofErr w:type="spellEnd"/>
      <w:r w:rsidRPr="00592C35">
        <w:rPr>
          <w:sz w:val="24"/>
          <w:szCs w:val="24"/>
        </w:rPr>
        <w:t xml:space="preserve"> M, </w:t>
      </w:r>
      <w:proofErr w:type="spellStart"/>
      <w:r w:rsidRPr="00592C35">
        <w:rPr>
          <w:sz w:val="24"/>
          <w:szCs w:val="24"/>
        </w:rPr>
        <w:t>Bambra</w:t>
      </w:r>
      <w:proofErr w:type="spellEnd"/>
      <w:r w:rsidRPr="00592C35">
        <w:rPr>
          <w:sz w:val="24"/>
          <w:szCs w:val="24"/>
        </w:rPr>
        <w:t xml:space="preserve"> C, Sowden AJ, Wright KE, Whitehead M. Housing and health inequalities: A synthesis of systematic reviews of interventions aimed at different pathways linking housing and health. </w:t>
      </w:r>
      <w:proofErr w:type="gramStart"/>
      <w:r w:rsidRPr="00592C35">
        <w:rPr>
          <w:i/>
          <w:sz w:val="24"/>
          <w:szCs w:val="24"/>
        </w:rPr>
        <w:t>Health and Place</w:t>
      </w:r>
      <w:r w:rsidRPr="00592C35">
        <w:rPr>
          <w:sz w:val="24"/>
          <w:szCs w:val="24"/>
        </w:rPr>
        <w:t>.</w:t>
      </w:r>
      <w:proofErr w:type="gramEnd"/>
      <w:r w:rsidRPr="00592C35">
        <w:rPr>
          <w:sz w:val="24"/>
          <w:szCs w:val="24"/>
        </w:rPr>
        <w:t xml:space="preserve"> 2011; 17(1): 175-184. </w:t>
      </w:r>
    </w:p>
  </w:endnote>
  <w:endnote w:id="15">
    <w:p w14:paraId="0363343E"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Jacobs DE, Wilson J, Dixon SL, Smith J, Evens A. The relationship of housing and population health: A 30-year retrospective analysis. </w:t>
      </w:r>
      <w:proofErr w:type="gramStart"/>
      <w:r w:rsidRPr="00592C35">
        <w:rPr>
          <w:i/>
          <w:sz w:val="24"/>
          <w:szCs w:val="24"/>
        </w:rPr>
        <w:t>Environmental Health Perspectives</w:t>
      </w:r>
      <w:r w:rsidRPr="00592C35">
        <w:rPr>
          <w:sz w:val="24"/>
          <w:szCs w:val="24"/>
        </w:rPr>
        <w:t>.</w:t>
      </w:r>
      <w:proofErr w:type="gramEnd"/>
      <w:r w:rsidRPr="00592C35">
        <w:rPr>
          <w:sz w:val="24"/>
          <w:szCs w:val="24"/>
        </w:rPr>
        <w:t xml:space="preserve"> 2009: 117(4): 597-604. </w:t>
      </w:r>
    </w:p>
  </w:endnote>
  <w:endnote w:id="16">
    <w:p w14:paraId="46528BFC" w14:textId="77777777" w:rsidR="00B67293" w:rsidRPr="00592C35" w:rsidRDefault="00B67293" w:rsidP="00A07B92">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spellStart"/>
      <w:r w:rsidRPr="00592C35">
        <w:rPr>
          <w:sz w:val="24"/>
          <w:szCs w:val="24"/>
        </w:rPr>
        <w:t>Slesnic</w:t>
      </w:r>
      <w:proofErr w:type="spellEnd"/>
      <w:r w:rsidRPr="00592C35">
        <w:rPr>
          <w:sz w:val="24"/>
          <w:szCs w:val="24"/>
        </w:rPr>
        <w:t xml:space="preserve"> N, Bartle-Haring S, </w:t>
      </w:r>
      <w:proofErr w:type="spellStart"/>
      <w:r w:rsidRPr="00592C35">
        <w:rPr>
          <w:sz w:val="24"/>
          <w:szCs w:val="24"/>
        </w:rPr>
        <w:t>Dashora</w:t>
      </w:r>
      <w:proofErr w:type="spellEnd"/>
      <w:r w:rsidRPr="00592C35">
        <w:rPr>
          <w:sz w:val="24"/>
          <w:szCs w:val="24"/>
        </w:rPr>
        <w:t xml:space="preserve"> P, Kang MJ, </w:t>
      </w:r>
      <w:proofErr w:type="spellStart"/>
      <w:r w:rsidRPr="00592C35">
        <w:rPr>
          <w:sz w:val="24"/>
          <w:szCs w:val="24"/>
        </w:rPr>
        <w:t>Aukward</w:t>
      </w:r>
      <w:proofErr w:type="spellEnd"/>
      <w:r w:rsidRPr="00592C35">
        <w:rPr>
          <w:sz w:val="24"/>
          <w:szCs w:val="24"/>
        </w:rPr>
        <w:t xml:space="preserve"> E. Predictors of homelessness among street living youth. </w:t>
      </w:r>
      <w:proofErr w:type="gramStart"/>
      <w:r w:rsidRPr="00592C35">
        <w:rPr>
          <w:i/>
          <w:sz w:val="24"/>
          <w:szCs w:val="24"/>
        </w:rPr>
        <w:t>Journal of Youth and Adolescence.</w:t>
      </w:r>
      <w:proofErr w:type="gramEnd"/>
      <w:r w:rsidRPr="00592C35">
        <w:rPr>
          <w:i/>
          <w:sz w:val="24"/>
          <w:szCs w:val="24"/>
        </w:rPr>
        <w:t xml:space="preserve"> </w:t>
      </w:r>
      <w:r w:rsidRPr="00592C35">
        <w:rPr>
          <w:sz w:val="24"/>
          <w:szCs w:val="24"/>
        </w:rPr>
        <w:t xml:space="preserve">2008; 37(4): 465-474. </w:t>
      </w:r>
    </w:p>
  </w:endnote>
  <w:endnote w:id="17">
    <w:p w14:paraId="71A196D6" w14:textId="77777777" w:rsidR="00B67293" w:rsidRPr="00592C35" w:rsidRDefault="00B67293" w:rsidP="00A07B92">
      <w:pPr>
        <w:pStyle w:val="REFERENCES"/>
        <w:rPr>
          <w:sz w:val="24"/>
          <w:szCs w:val="24"/>
        </w:rPr>
      </w:pPr>
      <w:r w:rsidRPr="00592C35">
        <w:rPr>
          <w:rStyle w:val="EndnoteReference"/>
          <w:rFonts w:cstheme="minorHAnsi"/>
          <w:sz w:val="24"/>
          <w:szCs w:val="24"/>
        </w:rPr>
        <w:endnoteRef/>
      </w:r>
      <w:r w:rsidRPr="00592C35">
        <w:rPr>
          <w:sz w:val="24"/>
          <w:szCs w:val="24"/>
        </w:rPr>
        <w:t xml:space="preserve"> Department of Elementary and Secondary Education, MAYRBS, Percent of Students Who Are Homeless, MA 2005-2013</w:t>
      </w:r>
    </w:p>
  </w:endnote>
  <w:endnote w:id="18">
    <w:p w14:paraId="187A9E89"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Uchino BN. Social support and health: A review of physiological processes potentially underlying links to disease outcomes. </w:t>
      </w:r>
      <w:proofErr w:type="gramStart"/>
      <w:r w:rsidRPr="00592C35">
        <w:rPr>
          <w:i/>
          <w:sz w:val="24"/>
          <w:szCs w:val="24"/>
        </w:rPr>
        <w:t>Journal of Behavioral Medicine.</w:t>
      </w:r>
      <w:proofErr w:type="gramEnd"/>
      <w:r w:rsidRPr="00592C35">
        <w:rPr>
          <w:sz w:val="24"/>
          <w:szCs w:val="24"/>
        </w:rPr>
        <w:t xml:space="preserve"> 2006; 29(4): 377-387.</w:t>
      </w:r>
    </w:p>
  </w:endnote>
  <w:endnote w:id="19">
    <w:p w14:paraId="33209D93"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House JS. Social isolation kills, but how and why? </w:t>
      </w:r>
      <w:proofErr w:type="gramStart"/>
      <w:r w:rsidRPr="00592C35">
        <w:rPr>
          <w:i/>
          <w:sz w:val="24"/>
          <w:szCs w:val="24"/>
        </w:rPr>
        <w:t>Psychosomatic Medicine</w:t>
      </w:r>
      <w:r w:rsidRPr="00592C35">
        <w:rPr>
          <w:sz w:val="24"/>
          <w:szCs w:val="24"/>
        </w:rPr>
        <w:t>.</w:t>
      </w:r>
      <w:proofErr w:type="gramEnd"/>
      <w:r w:rsidRPr="00592C35">
        <w:rPr>
          <w:sz w:val="24"/>
          <w:szCs w:val="24"/>
        </w:rPr>
        <w:t xml:space="preserve"> 2001; 63(2): 273-274. </w:t>
      </w:r>
    </w:p>
  </w:endnote>
  <w:endnote w:id="20">
    <w:p w14:paraId="0549E5E6" w14:textId="22680779"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rFonts w:cstheme="minorHAnsi"/>
          <w:sz w:val="24"/>
          <w:szCs w:val="24"/>
        </w:rPr>
        <w:t>Massachusetts Parks and Recreation.</w:t>
      </w:r>
      <w:proofErr w:type="gramEnd"/>
      <w:r w:rsidRPr="00592C35">
        <w:rPr>
          <w:rFonts w:cstheme="minorHAnsi"/>
          <w:sz w:val="24"/>
          <w:szCs w:val="24"/>
        </w:rPr>
        <w:t xml:space="preserve">  Available at: </w:t>
      </w:r>
      <w:hyperlink r:id="rId3" w:history="1">
        <w:r w:rsidRPr="00592C35">
          <w:rPr>
            <w:rStyle w:val="Hyperlink"/>
            <w:color w:val="auto"/>
            <w:sz w:val="24"/>
            <w:szCs w:val="24"/>
          </w:rPr>
          <w:t>http://www.stateparks.com/massachusetts_parks_and_recreation_destinations.html</w:t>
        </w:r>
      </w:hyperlink>
      <w:r w:rsidRPr="00592C35">
        <w:rPr>
          <w:rFonts w:cstheme="minorHAnsi"/>
          <w:sz w:val="24"/>
          <w:szCs w:val="24"/>
        </w:rPr>
        <w:t xml:space="preserve">.  </w:t>
      </w:r>
      <w:proofErr w:type="gramStart"/>
      <w:r w:rsidRPr="00592C35">
        <w:rPr>
          <w:rFonts w:cstheme="minorHAnsi"/>
          <w:sz w:val="24"/>
          <w:szCs w:val="24"/>
        </w:rPr>
        <w:t>Accessed July 7, 2017.</w:t>
      </w:r>
      <w:proofErr w:type="gramEnd"/>
    </w:p>
  </w:endnote>
  <w:endnote w:id="21">
    <w:p w14:paraId="7F0565B1" w14:textId="078D938E"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American Public Health Association.</w:t>
      </w:r>
      <w:proofErr w:type="gramEnd"/>
      <w:r w:rsidRPr="00592C35">
        <w:rPr>
          <w:sz w:val="24"/>
          <w:szCs w:val="24"/>
        </w:rPr>
        <w:t xml:space="preserve"> </w:t>
      </w:r>
      <w:proofErr w:type="gramStart"/>
      <w:r w:rsidRPr="00592C35">
        <w:rPr>
          <w:sz w:val="24"/>
          <w:szCs w:val="24"/>
        </w:rPr>
        <w:t>The Hidden Costs of Transportation.</w:t>
      </w:r>
      <w:proofErr w:type="gramEnd"/>
      <w:r w:rsidRPr="00592C35">
        <w:rPr>
          <w:sz w:val="24"/>
          <w:szCs w:val="24"/>
        </w:rPr>
        <w:t xml:space="preserve"> 2010. Available at: https://www.apha.org/~/media/files/pdf/factsheets/hidden_health_costs_transportation.ashx. </w:t>
      </w:r>
      <w:proofErr w:type="gramStart"/>
      <w:r w:rsidRPr="00592C35">
        <w:rPr>
          <w:sz w:val="24"/>
          <w:szCs w:val="24"/>
        </w:rPr>
        <w:t>Accessed July 9, 2017.</w:t>
      </w:r>
      <w:proofErr w:type="gramEnd"/>
      <w:r w:rsidRPr="00592C35">
        <w:rPr>
          <w:sz w:val="24"/>
          <w:szCs w:val="24"/>
        </w:rPr>
        <w:t xml:space="preserve"> </w:t>
      </w:r>
    </w:p>
  </w:endnote>
  <w:endnote w:id="22">
    <w:p w14:paraId="0D1B3FE6" w14:textId="4905565D"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r w:rsidRPr="00592C35">
        <w:rPr>
          <w:rFonts w:cstheme="minorHAnsi"/>
          <w:sz w:val="24"/>
          <w:szCs w:val="24"/>
        </w:rPr>
        <w:t xml:space="preserve">Frank LD, Andresen MA, </w:t>
      </w:r>
      <w:proofErr w:type="spellStart"/>
      <w:r w:rsidRPr="00592C35">
        <w:rPr>
          <w:rFonts w:cstheme="minorHAnsi"/>
          <w:sz w:val="24"/>
          <w:szCs w:val="24"/>
        </w:rPr>
        <w:t>Schmid</w:t>
      </w:r>
      <w:proofErr w:type="spellEnd"/>
      <w:r w:rsidRPr="00592C35">
        <w:rPr>
          <w:rFonts w:cstheme="minorHAnsi"/>
          <w:sz w:val="24"/>
          <w:szCs w:val="24"/>
        </w:rPr>
        <w:t xml:space="preserve"> TL. (2004). Obesity Relationships with Community Design, Physical Activity, and Time Spent in Cars. </w:t>
      </w:r>
      <w:r w:rsidRPr="00592C35">
        <w:rPr>
          <w:rFonts w:cstheme="minorHAnsi"/>
          <w:i/>
          <w:sz w:val="24"/>
          <w:szCs w:val="24"/>
        </w:rPr>
        <w:t xml:space="preserve">AM J </w:t>
      </w:r>
      <w:proofErr w:type="spellStart"/>
      <w:r w:rsidRPr="00592C35">
        <w:rPr>
          <w:rFonts w:cstheme="minorHAnsi"/>
          <w:i/>
          <w:sz w:val="24"/>
          <w:szCs w:val="24"/>
        </w:rPr>
        <w:t>Preve</w:t>
      </w:r>
      <w:proofErr w:type="spellEnd"/>
      <w:r w:rsidRPr="00592C35">
        <w:rPr>
          <w:rFonts w:cstheme="minorHAnsi"/>
          <w:i/>
          <w:sz w:val="24"/>
          <w:szCs w:val="24"/>
        </w:rPr>
        <w:t xml:space="preserve"> Med</w:t>
      </w:r>
      <w:r w:rsidRPr="00592C35">
        <w:rPr>
          <w:rFonts w:cstheme="minorHAnsi"/>
          <w:sz w:val="24"/>
          <w:szCs w:val="24"/>
        </w:rPr>
        <w:t>, 27(2), 87-</w:t>
      </w:r>
      <w:proofErr w:type="gramStart"/>
      <w:r w:rsidRPr="00592C35">
        <w:rPr>
          <w:rFonts w:cstheme="minorHAnsi"/>
          <w:sz w:val="24"/>
          <w:szCs w:val="24"/>
        </w:rPr>
        <w:t>96.</w:t>
      </w:r>
      <w:proofErr w:type="gramEnd"/>
    </w:p>
  </w:endnote>
  <w:endnote w:id="23">
    <w:p w14:paraId="68D9944B" w14:textId="495BF525"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spellStart"/>
      <w:proofErr w:type="gramStart"/>
      <w:r w:rsidRPr="00592C35">
        <w:rPr>
          <w:rFonts w:cstheme="minorHAnsi"/>
          <w:sz w:val="24"/>
          <w:szCs w:val="24"/>
        </w:rPr>
        <w:t>Treuhaft</w:t>
      </w:r>
      <w:proofErr w:type="spellEnd"/>
      <w:r w:rsidRPr="00592C35">
        <w:rPr>
          <w:rFonts w:cstheme="minorHAnsi"/>
          <w:sz w:val="24"/>
          <w:szCs w:val="24"/>
        </w:rPr>
        <w:t xml:space="preserve"> S and </w:t>
      </w:r>
      <w:proofErr w:type="spellStart"/>
      <w:r w:rsidRPr="00592C35">
        <w:rPr>
          <w:rFonts w:cstheme="minorHAnsi"/>
          <w:sz w:val="24"/>
          <w:szCs w:val="24"/>
        </w:rPr>
        <w:t>Karpyn</w:t>
      </w:r>
      <w:proofErr w:type="spellEnd"/>
      <w:r w:rsidRPr="00592C35">
        <w:rPr>
          <w:rFonts w:cstheme="minorHAnsi"/>
          <w:sz w:val="24"/>
          <w:szCs w:val="24"/>
        </w:rPr>
        <w:t xml:space="preserve"> A.</w:t>
      </w:r>
      <w:proofErr w:type="gramEnd"/>
      <w:r w:rsidRPr="00592C35">
        <w:rPr>
          <w:rFonts w:cstheme="minorHAnsi"/>
          <w:sz w:val="24"/>
          <w:szCs w:val="24"/>
        </w:rPr>
        <w:t xml:space="preserve"> </w:t>
      </w:r>
      <w:r w:rsidRPr="00592C35">
        <w:rPr>
          <w:rFonts w:cstheme="minorHAnsi"/>
          <w:i/>
          <w:sz w:val="24"/>
          <w:szCs w:val="24"/>
        </w:rPr>
        <w:t xml:space="preserve">The Grocery Gap: Who Has Access to Healthy Food and Why It Matters. </w:t>
      </w:r>
      <w:proofErr w:type="gramStart"/>
      <w:r w:rsidRPr="00592C35">
        <w:rPr>
          <w:rFonts w:cstheme="minorHAnsi"/>
          <w:sz w:val="24"/>
          <w:szCs w:val="24"/>
        </w:rPr>
        <w:t xml:space="preserve">2010. </w:t>
      </w:r>
      <w:hyperlink r:id="rId4" w:history="1">
        <w:r w:rsidRPr="00592C35">
          <w:rPr>
            <w:rStyle w:val="Hyperlink"/>
            <w:color w:val="auto"/>
            <w:sz w:val="24"/>
            <w:szCs w:val="24"/>
          </w:rPr>
          <w:t>http://thefoodtrust.org/uploads/media_items/grocerygap.original.pdf</w:t>
        </w:r>
      </w:hyperlink>
      <w:r w:rsidRPr="00592C35">
        <w:rPr>
          <w:rFonts w:cstheme="minorHAnsi"/>
          <w:sz w:val="24"/>
          <w:szCs w:val="24"/>
        </w:rPr>
        <w:t>.</w:t>
      </w:r>
      <w:proofErr w:type="gramEnd"/>
      <w:r w:rsidRPr="00592C35">
        <w:rPr>
          <w:rFonts w:cstheme="minorHAnsi"/>
          <w:sz w:val="24"/>
          <w:szCs w:val="24"/>
        </w:rPr>
        <w:t xml:space="preserve">  </w:t>
      </w:r>
      <w:proofErr w:type="gramStart"/>
      <w:r w:rsidRPr="00592C35">
        <w:rPr>
          <w:rFonts w:cstheme="minorHAnsi"/>
          <w:sz w:val="24"/>
          <w:szCs w:val="24"/>
        </w:rPr>
        <w:t>Accessed July 14, 2017.</w:t>
      </w:r>
      <w:proofErr w:type="gramEnd"/>
    </w:p>
  </w:endnote>
  <w:endnote w:id="24">
    <w:p w14:paraId="24D194C8"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Also called age standardization, adjusting for age is a technique used to better allow populations to be compared when the age profiles of the populations are quite different.</w:t>
      </w:r>
    </w:p>
  </w:endnote>
  <w:endnote w:id="25">
    <w:p w14:paraId="174571C9"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The National Center for Health Statistics (NCHS) publishes a list of 113 selected causes of death, from which we select 57 causes and order them by their number of deaths. </w:t>
      </w:r>
    </w:p>
  </w:endnote>
  <w:endnote w:id="26">
    <w:p w14:paraId="5E2AD72D"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Years of Life Remaining is calculated using the </w:t>
      </w:r>
      <w:proofErr w:type="spellStart"/>
      <w:r w:rsidRPr="00592C35">
        <w:rPr>
          <w:sz w:val="24"/>
          <w:szCs w:val="24"/>
        </w:rPr>
        <w:t>Greville</w:t>
      </w:r>
      <w:proofErr w:type="spellEnd"/>
      <w:r w:rsidRPr="00592C35">
        <w:rPr>
          <w:sz w:val="24"/>
          <w:szCs w:val="24"/>
        </w:rPr>
        <w:t xml:space="preserve"> Abridged Life Table Method, as referenced in: Dublin L. </w:t>
      </w:r>
      <w:r w:rsidRPr="00592C35">
        <w:rPr>
          <w:i/>
          <w:sz w:val="24"/>
          <w:szCs w:val="24"/>
        </w:rPr>
        <w:t>Length of Life – A Study of the Life Table.</w:t>
      </w:r>
      <w:r w:rsidRPr="00592C35">
        <w:rPr>
          <w:sz w:val="24"/>
          <w:szCs w:val="24"/>
        </w:rPr>
        <w:t xml:space="preserve"> New York, NY: Ronal Press Co; 1949. </w:t>
      </w:r>
    </w:p>
  </w:endnote>
  <w:endnote w:id="27">
    <w:p w14:paraId="7E92C1B3"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Black C, Roos NP, </w:t>
      </w:r>
      <w:proofErr w:type="spellStart"/>
      <w:r w:rsidRPr="00592C35">
        <w:rPr>
          <w:sz w:val="24"/>
          <w:szCs w:val="24"/>
        </w:rPr>
        <w:t>Fransoo</w:t>
      </w:r>
      <w:proofErr w:type="spellEnd"/>
      <w:r w:rsidRPr="00592C35">
        <w:rPr>
          <w:sz w:val="24"/>
          <w:szCs w:val="24"/>
        </w:rPr>
        <w:t xml:space="preserve"> R, Martens PJ. Comparative Indicators of Population Health and Health Care Use for Manitoba’s Regional Health Authorities: A POPULIS Project. </w:t>
      </w:r>
      <w:proofErr w:type="gramStart"/>
      <w:r w:rsidRPr="00592C35">
        <w:rPr>
          <w:sz w:val="24"/>
          <w:szCs w:val="24"/>
        </w:rPr>
        <w:t>Manitoba Centre for Health Policy and Evaluation; 1999.</w:t>
      </w:r>
      <w:proofErr w:type="gramEnd"/>
      <w:r w:rsidRPr="00592C35">
        <w:rPr>
          <w:sz w:val="24"/>
          <w:szCs w:val="24"/>
        </w:rPr>
        <w:t xml:space="preserve"> Available at: http://mchp-appserv.cpe.umanitoba.ca/reference/rha.pdf Accessed July 7, 2017.</w:t>
      </w:r>
    </w:p>
  </w:endnote>
  <w:endnote w:id="28">
    <w:p w14:paraId="5F1DE85C"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Yoon PW, Bastian B, Anderson RN, Collins JL, Jaffe HW.</w:t>
      </w:r>
      <w:proofErr w:type="gramEnd"/>
      <w:r w:rsidRPr="00592C35">
        <w:rPr>
          <w:sz w:val="24"/>
          <w:szCs w:val="24"/>
        </w:rPr>
        <w:t xml:space="preserve"> </w:t>
      </w:r>
      <w:proofErr w:type="gramStart"/>
      <w:r w:rsidRPr="00592C35">
        <w:rPr>
          <w:sz w:val="24"/>
          <w:szCs w:val="24"/>
        </w:rPr>
        <w:t>Potentially preventable deaths from the five leading causes of death – United States, 2008-2010.</w:t>
      </w:r>
      <w:proofErr w:type="gramEnd"/>
      <w:r w:rsidRPr="00592C35">
        <w:rPr>
          <w:sz w:val="24"/>
          <w:szCs w:val="24"/>
        </w:rPr>
        <w:t xml:space="preserve"> </w:t>
      </w:r>
      <w:proofErr w:type="gramStart"/>
      <w:r w:rsidRPr="00592C35">
        <w:rPr>
          <w:i/>
          <w:sz w:val="24"/>
          <w:szCs w:val="24"/>
        </w:rPr>
        <w:t>Morbidity and Mortality Weekly Report</w:t>
      </w:r>
      <w:r w:rsidRPr="00592C35">
        <w:rPr>
          <w:sz w:val="24"/>
          <w:szCs w:val="24"/>
        </w:rPr>
        <w:t>.</w:t>
      </w:r>
      <w:proofErr w:type="gramEnd"/>
      <w:r w:rsidRPr="00592C35">
        <w:rPr>
          <w:sz w:val="24"/>
          <w:szCs w:val="24"/>
        </w:rPr>
        <w:t xml:space="preserve"> 2014; 63(17): 369-374. Available at: https://www.cdc.gov/mmwr/preview/mmwrhtml/mm6317a1.htm Accessed July 8, 2017.</w:t>
      </w:r>
    </w:p>
  </w:endnote>
  <w:endnote w:id="29">
    <w:p w14:paraId="196806D6"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Chen JT, </w:t>
      </w:r>
      <w:proofErr w:type="spellStart"/>
      <w:r w:rsidRPr="00592C35">
        <w:rPr>
          <w:sz w:val="24"/>
          <w:szCs w:val="24"/>
        </w:rPr>
        <w:t>Rehkopf</w:t>
      </w:r>
      <w:proofErr w:type="spellEnd"/>
      <w:r w:rsidRPr="00592C35">
        <w:rPr>
          <w:sz w:val="24"/>
          <w:szCs w:val="24"/>
        </w:rPr>
        <w:t xml:space="preserve"> DH, Waterman PD, Subramanian SV, </w:t>
      </w:r>
      <w:proofErr w:type="spellStart"/>
      <w:r w:rsidRPr="00592C35">
        <w:rPr>
          <w:sz w:val="24"/>
          <w:szCs w:val="24"/>
        </w:rPr>
        <w:t>Coull</w:t>
      </w:r>
      <w:proofErr w:type="spellEnd"/>
      <w:r w:rsidRPr="00592C35">
        <w:rPr>
          <w:sz w:val="24"/>
          <w:szCs w:val="24"/>
        </w:rPr>
        <w:t xml:space="preserve"> BA, Cohen B, </w:t>
      </w:r>
      <w:proofErr w:type="spellStart"/>
      <w:r w:rsidRPr="00592C35">
        <w:rPr>
          <w:sz w:val="24"/>
          <w:szCs w:val="24"/>
        </w:rPr>
        <w:t>Ostrem</w:t>
      </w:r>
      <w:proofErr w:type="spellEnd"/>
      <w:r w:rsidRPr="00592C35">
        <w:rPr>
          <w:sz w:val="24"/>
          <w:szCs w:val="24"/>
        </w:rPr>
        <w:t xml:space="preserve"> M, Krieger N. Mapping and measuring social disparities in premature mortality: The impact of Census tract poverty within and across Boston neighborhoods, 1999-2001. </w:t>
      </w:r>
      <w:proofErr w:type="gramStart"/>
      <w:r w:rsidRPr="00592C35">
        <w:rPr>
          <w:i/>
          <w:sz w:val="24"/>
          <w:szCs w:val="24"/>
        </w:rPr>
        <w:t>Journal of Urban Health</w:t>
      </w:r>
      <w:r w:rsidRPr="00592C35">
        <w:rPr>
          <w:sz w:val="24"/>
          <w:szCs w:val="24"/>
        </w:rPr>
        <w:t>.</w:t>
      </w:r>
      <w:proofErr w:type="gramEnd"/>
      <w:r w:rsidRPr="00592C35">
        <w:rPr>
          <w:sz w:val="24"/>
          <w:szCs w:val="24"/>
        </w:rPr>
        <w:t xml:space="preserve"> 2006; 83(6): 1063-1084.</w:t>
      </w:r>
    </w:p>
  </w:endnote>
  <w:endnote w:id="30">
    <w:p w14:paraId="46DB0B6B"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w:t>
      </w:r>
      <w:proofErr w:type="gramStart"/>
      <w:r w:rsidRPr="00592C35">
        <w:rPr>
          <w:sz w:val="24"/>
          <w:szCs w:val="24"/>
        </w:rPr>
        <w:t xml:space="preserve">Cooper RS, Kennelly JF, </w:t>
      </w:r>
      <w:proofErr w:type="spellStart"/>
      <w:r w:rsidRPr="00592C35">
        <w:rPr>
          <w:sz w:val="24"/>
          <w:szCs w:val="24"/>
        </w:rPr>
        <w:t>Durazo-Arvizu</w:t>
      </w:r>
      <w:proofErr w:type="spellEnd"/>
      <w:r w:rsidRPr="00592C35">
        <w:rPr>
          <w:sz w:val="24"/>
          <w:szCs w:val="24"/>
        </w:rPr>
        <w:t xml:space="preserve"> R, Oh HJ, Kaplan G, Lynch J. Relationship between premature mortality and socioeconomic factors in black and white populations of US metropolitan areas.</w:t>
      </w:r>
      <w:proofErr w:type="gramEnd"/>
      <w:r w:rsidRPr="00592C35">
        <w:rPr>
          <w:sz w:val="24"/>
          <w:szCs w:val="24"/>
        </w:rPr>
        <w:t xml:space="preserve"> </w:t>
      </w:r>
      <w:proofErr w:type="gramStart"/>
      <w:r w:rsidRPr="00592C35">
        <w:rPr>
          <w:i/>
          <w:sz w:val="24"/>
          <w:szCs w:val="24"/>
        </w:rPr>
        <w:t>Public Health Reports</w:t>
      </w:r>
      <w:r w:rsidRPr="00592C35">
        <w:rPr>
          <w:sz w:val="24"/>
          <w:szCs w:val="24"/>
        </w:rPr>
        <w:t>.</w:t>
      </w:r>
      <w:proofErr w:type="gramEnd"/>
      <w:r w:rsidRPr="00592C35">
        <w:rPr>
          <w:sz w:val="24"/>
          <w:szCs w:val="24"/>
        </w:rPr>
        <w:t xml:space="preserve"> </w:t>
      </w:r>
      <w:proofErr w:type="gramStart"/>
      <w:r w:rsidRPr="00592C35">
        <w:rPr>
          <w:sz w:val="24"/>
          <w:szCs w:val="24"/>
        </w:rPr>
        <w:t>2001; 116: 464-473.</w:t>
      </w:r>
      <w:proofErr w:type="gramEnd"/>
    </w:p>
  </w:endnote>
  <w:endnote w:id="31">
    <w:p w14:paraId="5C51F33E"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Brown DW, </w:t>
      </w:r>
      <w:proofErr w:type="spellStart"/>
      <w:r w:rsidRPr="00592C35">
        <w:rPr>
          <w:sz w:val="24"/>
          <w:szCs w:val="24"/>
        </w:rPr>
        <w:t>Anda</w:t>
      </w:r>
      <w:proofErr w:type="spellEnd"/>
      <w:r w:rsidRPr="00592C35">
        <w:rPr>
          <w:sz w:val="24"/>
          <w:szCs w:val="24"/>
        </w:rPr>
        <w:t xml:space="preserve"> RF, </w:t>
      </w:r>
      <w:proofErr w:type="spellStart"/>
      <w:r w:rsidRPr="00592C35">
        <w:rPr>
          <w:sz w:val="24"/>
          <w:szCs w:val="24"/>
        </w:rPr>
        <w:t>Tiemeier</w:t>
      </w:r>
      <w:proofErr w:type="spellEnd"/>
      <w:r w:rsidRPr="00592C35">
        <w:rPr>
          <w:sz w:val="24"/>
          <w:szCs w:val="24"/>
        </w:rPr>
        <w:t xml:space="preserve"> H, </w:t>
      </w:r>
      <w:proofErr w:type="spellStart"/>
      <w:r w:rsidRPr="00592C35">
        <w:rPr>
          <w:sz w:val="24"/>
          <w:szCs w:val="24"/>
        </w:rPr>
        <w:t>Felitti</w:t>
      </w:r>
      <w:proofErr w:type="spellEnd"/>
      <w:r w:rsidRPr="00592C35">
        <w:rPr>
          <w:sz w:val="24"/>
          <w:szCs w:val="24"/>
        </w:rPr>
        <w:t xml:space="preserve"> VJ, Edwards VJ, Croft JB. </w:t>
      </w:r>
      <w:proofErr w:type="gramStart"/>
      <w:r w:rsidRPr="00592C35">
        <w:rPr>
          <w:sz w:val="24"/>
          <w:szCs w:val="24"/>
        </w:rPr>
        <w:t>Adverse childhood experiences and the risk of premature mortality.</w:t>
      </w:r>
      <w:proofErr w:type="gramEnd"/>
      <w:r w:rsidRPr="00592C35">
        <w:rPr>
          <w:sz w:val="24"/>
          <w:szCs w:val="24"/>
        </w:rPr>
        <w:t xml:space="preserve"> </w:t>
      </w:r>
      <w:proofErr w:type="gramStart"/>
      <w:r w:rsidRPr="00592C35">
        <w:rPr>
          <w:i/>
          <w:sz w:val="24"/>
          <w:szCs w:val="24"/>
        </w:rPr>
        <w:t>American Journal of Preventive Medicine.</w:t>
      </w:r>
      <w:proofErr w:type="gramEnd"/>
      <w:r w:rsidRPr="00592C35">
        <w:rPr>
          <w:sz w:val="24"/>
          <w:szCs w:val="24"/>
        </w:rPr>
        <w:t xml:space="preserve"> 2009; 37(5): 389-396.</w:t>
      </w:r>
    </w:p>
  </w:endnote>
  <w:endnote w:id="32">
    <w:p w14:paraId="2695BA94" w14:textId="77777777" w:rsidR="00B67293" w:rsidRPr="00592C35" w:rsidRDefault="00B67293" w:rsidP="00FE4FD3">
      <w:pPr>
        <w:pStyle w:val="REFERENCES"/>
        <w:rPr>
          <w:sz w:val="24"/>
          <w:szCs w:val="24"/>
        </w:rPr>
      </w:pPr>
      <w:r w:rsidRPr="00592C35">
        <w:rPr>
          <w:rStyle w:val="EndnoteReference"/>
          <w:rFonts w:cstheme="minorHAnsi"/>
          <w:sz w:val="24"/>
          <w:szCs w:val="24"/>
        </w:rPr>
        <w:endnoteRef/>
      </w:r>
      <w:r w:rsidRPr="00592C35">
        <w:rPr>
          <w:sz w:val="24"/>
          <w:szCs w:val="24"/>
        </w:rPr>
        <w:t xml:space="preserve"> Nolte E, McKee CM. In amenable mortality – deaths avoidable through health care – Progress in the US lags that of three European countries. </w:t>
      </w:r>
      <w:proofErr w:type="gramStart"/>
      <w:r w:rsidRPr="00592C35">
        <w:rPr>
          <w:i/>
          <w:sz w:val="24"/>
          <w:szCs w:val="24"/>
        </w:rPr>
        <w:t>Health Affairs</w:t>
      </w:r>
      <w:r w:rsidRPr="00592C35">
        <w:rPr>
          <w:sz w:val="24"/>
          <w:szCs w:val="24"/>
        </w:rPr>
        <w:t>.</w:t>
      </w:r>
      <w:proofErr w:type="gramEnd"/>
      <w:r w:rsidRPr="00592C35">
        <w:rPr>
          <w:sz w:val="24"/>
          <w:szCs w:val="24"/>
        </w:rPr>
        <w:t xml:space="preserve"> 2012; 31(9): 2114-2122.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Aileron Light">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B67293" w:rsidRPr="00195F02" w:rsidRDefault="00B67293"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F53C91">
          <w:t>24</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DC6FC" w14:textId="77777777" w:rsidR="006139CD" w:rsidRDefault="006139CD" w:rsidP="00E36D41">
      <w:r>
        <w:separator/>
      </w:r>
    </w:p>
    <w:p w14:paraId="7A57665E" w14:textId="77777777" w:rsidR="006139CD" w:rsidRDefault="006139CD"/>
    <w:p w14:paraId="05FF2687" w14:textId="77777777" w:rsidR="006139CD" w:rsidRDefault="006139CD"/>
  </w:footnote>
  <w:footnote w:type="continuationSeparator" w:id="0">
    <w:p w14:paraId="481E885E" w14:textId="77777777" w:rsidR="006139CD" w:rsidRDefault="006139CD" w:rsidP="00E36D41">
      <w:r>
        <w:continuationSeparator/>
      </w:r>
    </w:p>
    <w:p w14:paraId="5662573D" w14:textId="77777777" w:rsidR="006139CD" w:rsidRDefault="006139CD"/>
    <w:p w14:paraId="15B997E1" w14:textId="77777777" w:rsidR="006139CD" w:rsidRDefault="006139CD"/>
  </w:footnote>
  <w:footnote w:type="continuationNotice" w:id="1">
    <w:p w14:paraId="1B627984" w14:textId="77777777" w:rsidR="006139CD" w:rsidRDefault="006139CD" w:rsidP="00E36D41"/>
    <w:p w14:paraId="2BDC858F" w14:textId="77777777" w:rsidR="006139CD" w:rsidRDefault="006139CD"/>
    <w:p w14:paraId="45FC992A" w14:textId="77777777" w:rsidR="006139CD" w:rsidRDefault="006139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10D"/>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561D"/>
    <w:rsid w:val="0055714A"/>
    <w:rsid w:val="0056199E"/>
    <w:rsid w:val="00561BF0"/>
    <w:rsid w:val="00561D9E"/>
    <w:rsid w:val="00563659"/>
    <w:rsid w:val="0056630B"/>
    <w:rsid w:val="00567C2A"/>
    <w:rsid w:val="005706DC"/>
    <w:rsid w:val="00571FB3"/>
    <w:rsid w:val="0057314A"/>
    <w:rsid w:val="00576A6D"/>
    <w:rsid w:val="0058080A"/>
    <w:rsid w:val="005815DC"/>
    <w:rsid w:val="0058182E"/>
    <w:rsid w:val="00581871"/>
    <w:rsid w:val="00582880"/>
    <w:rsid w:val="005835E6"/>
    <w:rsid w:val="00583968"/>
    <w:rsid w:val="00583FB8"/>
    <w:rsid w:val="00584CCB"/>
    <w:rsid w:val="00584EE6"/>
    <w:rsid w:val="00584F3B"/>
    <w:rsid w:val="005856F1"/>
    <w:rsid w:val="00592C35"/>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39CD"/>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E7510"/>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715"/>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22DB"/>
    <w:rsid w:val="00B55DB4"/>
    <w:rsid w:val="00B606B4"/>
    <w:rsid w:val="00B62D94"/>
    <w:rsid w:val="00B62EF4"/>
    <w:rsid w:val="00B645B9"/>
    <w:rsid w:val="00B64805"/>
    <w:rsid w:val="00B65A0F"/>
    <w:rsid w:val="00B6620D"/>
    <w:rsid w:val="00B66293"/>
    <w:rsid w:val="00B66BAF"/>
    <w:rsid w:val="00B67293"/>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1729B"/>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71300"/>
    <w:rsid w:val="00E739B7"/>
    <w:rsid w:val="00E73E94"/>
    <w:rsid w:val="00E756C0"/>
    <w:rsid w:val="00E7576A"/>
    <w:rsid w:val="00E7696A"/>
    <w:rsid w:val="00E77118"/>
    <w:rsid w:val="00E83570"/>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3C91"/>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snews.com/news/best-states/rankings" TargetMode="External"/><Relationship Id="rId18" Type="http://schemas.openxmlformats.org/officeDocument/2006/relationships/hyperlink" Target="https://mahealthyagingcollaborative.org/" TargetMode="External"/><Relationship Id="rId39" Type="http://schemas.openxmlformats.org/officeDocument/2006/relationships/chart" Target="charts/chart6.xml"/><Relationship Id="rId51" Type="http://schemas.openxmlformats.org/officeDocument/2006/relationships/chart" Target="charts/chart14.xml"/><Relationship Id="rId3" Type="http://schemas.openxmlformats.org/officeDocument/2006/relationships/styles" Target="styles.xml"/><Relationship Id="rId42" Type="http://schemas.openxmlformats.org/officeDocument/2006/relationships/chart" Target="charts/chart9.xml"/><Relationship Id="rId47" Type="http://schemas.openxmlformats.org/officeDocument/2006/relationships/chart" Target="charts/chart12.xml"/><Relationship Id="rId50" Type="http://schemas.openxmlformats.org/officeDocument/2006/relationships/chart" Target="charts/chart13.xm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usnews.com/news/best-states/rankings" TargetMode="External"/><Relationship Id="rId17" Type="http://schemas.openxmlformats.org/officeDocument/2006/relationships/chart" Target="charts/chart3.xml"/><Relationship Id="rId38" Type="http://schemas.openxmlformats.org/officeDocument/2006/relationships/image" Target="media/image17.png"/><Relationship Id="rId46"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41" Type="http://schemas.openxmlformats.org/officeDocument/2006/relationships/chart" Target="charts/chart8.xml"/><Relationship Id="rId54"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snews.com/news/best-states/rankings" TargetMode="External"/><Relationship Id="rId37" Type="http://schemas.openxmlformats.org/officeDocument/2006/relationships/image" Target="media/image16.png"/><Relationship Id="rId40" Type="http://schemas.openxmlformats.org/officeDocument/2006/relationships/chart" Target="charts/chart7.xml"/><Relationship Id="rId45" Type="http://schemas.openxmlformats.org/officeDocument/2006/relationships/chart" Target="charts/chart10.xml"/><Relationship Id="rId53"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image" Target="media/image3.jpeg"/><Relationship Id="rId49" Type="http://schemas.openxmlformats.org/officeDocument/2006/relationships/image" Target="media/image7.png"/><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4.xml"/><Relationship Id="rId44" Type="http://schemas.openxmlformats.org/officeDocument/2006/relationships/image" Target="media/image5.png"/><Relationship Id="rId52" Type="http://schemas.openxmlformats.org/officeDocument/2006/relationships/chart" Target="charts/chart1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43" Type="http://schemas.openxmlformats.org/officeDocument/2006/relationships/image" Target="media/image4.png"/><Relationship Id="rId48" Type="http://schemas.openxmlformats.org/officeDocument/2006/relationships/image" Target="media/image6.png"/><Relationship Id="rId56"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stateparks.com/massachusetts_parks_and_recreation_destinations.html" TargetMode="External"/><Relationship Id="rId2" Type="http://schemas.openxmlformats.org/officeDocument/2006/relationships/hyperlink" Target="http://www.mass.gov/eea/docs/eea/ej/2017-environmental-justice-policy.pdf" TargetMode="External"/><Relationship Id="rId1" Type="http://schemas.openxmlformats.org/officeDocument/2006/relationships/hyperlink" Target="http://www.commonwealthfund.org/publications/press-releases/2015/oct/us-spends-more-on-health-care-than-other-nations" TargetMode="External"/><Relationship Id="rId4" Type="http://schemas.openxmlformats.org/officeDocument/2006/relationships/hyperlink" Target="http://thefoodtrust.org/uploads/media_items/grocerygap.original.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1\MA%20SHA_Chapter%201_Figures_9.18.17.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'Figure 1.1'!$A$2</c:f>
              <c:strCache>
                <c:ptCount val="1"/>
                <c:pt idx="0">
                  <c:v>MA</c:v>
                </c:pt>
              </c:strCache>
            </c:strRef>
          </c:tx>
          <c:spPr>
            <a:ln w="19050" cap="rnd">
              <a:solidFill>
                <a:srgbClr val="203864"/>
              </a:solidFill>
              <a:round/>
            </a:ln>
            <a:effectLst/>
          </c:spPr>
          <c:marker>
            <c:symbol val="circle"/>
            <c:size val="7"/>
            <c:spPr>
              <a:solidFill>
                <a:schemeClr val="bg1"/>
              </a:solidFill>
              <a:ln w="12700">
                <a:solidFill>
                  <a:srgbClr val="203864"/>
                </a:solidFill>
              </a:ln>
              <a:effectLst/>
            </c:spPr>
          </c:marker>
          <c:dPt>
            <c:idx val="10"/>
            <c:bubble3D val="0"/>
            <c:spPr>
              <a:ln w="19050" cap="rnd">
                <a:solidFill>
                  <a:srgbClr val="203864"/>
                </a:solidFill>
                <a:round/>
              </a:ln>
              <a:effectLst/>
            </c:spPr>
            <c:extLst xmlns:c16r2="http://schemas.microsoft.com/office/drawing/2015/06/chart">
              <c:ext xmlns:c16="http://schemas.microsoft.com/office/drawing/2014/chart" uri="{C3380CC4-5D6E-409C-BE32-E72D297353CC}">
                <c16:uniqueId val="{00000003-2643-4E26-A94C-12E92F29FEA1}"/>
              </c:ext>
            </c:extLst>
          </c:dPt>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643-4E26-A94C-12E92F29FEA1}"/>
                </c:ext>
              </c:extLst>
            </c:dLbl>
            <c:dLbl>
              <c:idx val="16"/>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643-4E26-A94C-12E92F29FEA1}"/>
                </c:ext>
              </c:extLst>
            </c:dLbl>
            <c:numFmt formatCode="0.0,,\ &quot;M&quot;;"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1.1'!$B$1:$Y$1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 1.1'!$B$2:$Y$2</c:f>
              <c:numCache>
                <c:formatCode>#,##0</c:formatCode>
                <c:ptCount val="17"/>
                <c:pt idx="0">
                  <c:v>6361104</c:v>
                </c:pt>
                <c:pt idx="1">
                  <c:v>6397634</c:v>
                </c:pt>
                <c:pt idx="2">
                  <c:v>6417206</c:v>
                </c:pt>
                <c:pt idx="3">
                  <c:v>6422565</c:v>
                </c:pt>
                <c:pt idx="4">
                  <c:v>6412281</c:v>
                </c:pt>
                <c:pt idx="5">
                  <c:v>6403290</c:v>
                </c:pt>
                <c:pt idx="6">
                  <c:v>6410084</c:v>
                </c:pt>
                <c:pt idx="7">
                  <c:v>6431559</c:v>
                </c:pt>
                <c:pt idx="8">
                  <c:v>6468967</c:v>
                </c:pt>
                <c:pt idx="9">
                  <c:v>6517613</c:v>
                </c:pt>
                <c:pt idx="10">
                  <c:v>6565524</c:v>
                </c:pt>
                <c:pt idx="11">
                  <c:v>6611923</c:v>
                </c:pt>
                <c:pt idx="12">
                  <c:v>6658008</c:v>
                </c:pt>
                <c:pt idx="13">
                  <c:v>6706786</c:v>
                </c:pt>
                <c:pt idx="14">
                  <c:v>6749911</c:v>
                </c:pt>
                <c:pt idx="15">
                  <c:v>6784240</c:v>
                </c:pt>
                <c:pt idx="16">
                  <c:v>6811779</c:v>
                </c:pt>
              </c:numCache>
            </c:numRef>
          </c:val>
          <c:smooth val="1"/>
          <c:extLst xmlns:c16r2="http://schemas.microsoft.com/office/drawing/2015/06/chart">
            <c:ext xmlns:c16="http://schemas.microsoft.com/office/drawing/2014/chart" uri="{C3380CC4-5D6E-409C-BE32-E72D297353CC}">
              <c16:uniqueId val="{00000002-2643-4E26-A94C-12E92F29FEA1}"/>
            </c:ext>
          </c:extLst>
        </c:ser>
        <c:dLbls>
          <c:showLegendKey val="0"/>
          <c:showVal val="0"/>
          <c:showCatName val="0"/>
          <c:showSerName val="0"/>
          <c:showPercent val="0"/>
          <c:showBubbleSize val="0"/>
        </c:dLbls>
        <c:marker val="1"/>
        <c:smooth val="0"/>
        <c:axId val="114834432"/>
        <c:axId val="114836224"/>
      </c:lineChart>
      <c:catAx>
        <c:axId val="11483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4836224"/>
        <c:crosses val="autoZero"/>
        <c:auto val="1"/>
        <c:lblAlgn val="ctr"/>
        <c:lblOffset val="100"/>
        <c:noMultiLvlLbl val="0"/>
      </c:catAx>
      <c:valAx>
        <c:axId val="114836224"/>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Massachusetts Population</a:t>
                </a:r>
              </a:p>
            </c:rich>
          </c:tx>
          <c:overlay val="0"/>
          <c:spPr>
            <a:noFill/>
            <a:ln>
              <a:noFill/>
            </a:ln>
            <a:effectLst/>
          </c:spPr>
        </c:title>
        <c:numFmt formatCode="0.0,,\ &quot;M&quot;;"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4834432"/>
        <c:crosses val="autoZero"/>
        <c:crossBetween val="between"/>
      </c:valAx>
      <c:spPr>
        <a:noFill/>
        <a:ln>
          <a:noFill/>
        </a:ln>
        <a:effectLst/>
      </c:spPr>
    </c:plotArea>
    <c:plotVisOnly val="1"/>
    <c:dispBlanksAs val="gap"/>
    <c:showDLblsOverMax val="0"/>
  </c:chart>
  <c:spPr>
    <a:solidFill>
      <a:schemeClr val="bg1"/>
    </a:solidFill>
    <a:ln w="19050"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468810148731409"/>
          <c:y val="5.536332179930796E-2"/>
          <c:w val="0.50403871391076116"/>
          <c:h val="0.67593613298337718"/>
        </c:manualLayout>
      </c:layout>
      <c:barChart>
        <c:barDir val="bar"/>
        <c:grouping val="clustered"/>
        <c:varyColors val="0"/>
        <c:ser>
          <c:idx val="0"/>
          <c:order val="0"/>
          <c:tx>
            <c:strRef>
              <c:f>'Figure 1.11'!$A$4</c:f>
              <c:strCache>
                <c:ptCount val="1"/>
                <c:pt idx="0">
                  <c:v>US</c:v>
                </c:pt>
              </c:strCache>
            </c:strRef>
          </c:tx>
          <c:spPr>
            <a:solidFill>
              <a:srgbClr val="08519C"/>
            </a:solidFill>
            <a:ln>
              <a:noFill/>
            </a:ln>
            <a:effectLst/>
          </c:spPr>
          <c:invertIfNegative val="0"/>
          <c:dLbls>
            <c:dLbl>
              <c:idx val="0"/>
              <c:layout>
                <c:manualLayout>
                  <c:x val="1.3888888888888888E-2"/>
                  <c:y val="1.526797699905832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178-44F5-94E0-42BD14A3ABC7}"/>
                </c:ext>
              </c:extLst>
            </c:dLbl>
            <c:dLbl>
              <c:idx val="1"/>
              <c:layout>
                <c:manualLayout>
                  <c:x val="0"/>
                  <c:y val="2.5803523697682693E-4"/>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78-44F5-94E0-42BD14A3ABC7}"/>
                </c:ext>
              </c:extLst>
            </c:dLbl>
            <c:dLbl>
              <c:idx val="3"/>
              <c:layout>
                <c:manualLayout>
                  <c:x val="0"/>
                  <c:y val="1.52671755725191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178-44F5-94E0-42BD14A3ABC7}"/>
                </c:ext>
              </c:extLst>
            </c:dLbl>
            <c:dLbl>
              <c:idx val="4"/>
              <c:layout>
                <c:manualLayout>
                  <c:x val="-1.0185067526415994E-16"/>
                  <c:y val="1.526757628578879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178-44F5-94E0-42BD14A3ABC7}"/>
                </c:ext>
              </c:extLst>
            </c:dLbl>
            <c:dLbl>
              <c:idx val="5"/>
              <c:layout>
                <c:manualLayout>
                  <c:x val="0"/>
                  <c:y val="1.526717557251917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178-44F5-94E0-42BD14A3ABC7}"/>
                </c:ext>
              </c:extLst>
            </c:dLbl>
            <c:dLbl>
              <c:idx val="6"/>
              <c:layout>
                <c:manualLayout>
                  <c:x val="-1.0185067526415994E-16"/>
                  <c:y val="1.526717557251908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178-44F5-94E0-42BD14A3ABC7}"/>
                </c:ext>
              </c:extLst>
            </c:dLbl>
            <c:dLbl>
              <c:idx val="7"/>
              <c:layout>
                <c:manualLayout>
                  <c:x val="-5.5555555555556572E-3"/>
                  <c:y val="1.526717557251917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178-44F5-94E0-42BD14A3ABC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1.11'!$B$3:$I$3</c:f>
              <c:strCache>
                <c:ptCount val="8"/>
                <c:pt idx="0">
                  <c:v>Black</c:v>
                </c:pt>
                <c:pt idx="1">
                  <c:v>Latino (any race)</c:v>
                </c:pt>
                <c:pt idx="2">
                  <c:v>American Indian/Alaska Native</c:v>
                </c:pt>
                <c:pt idx="3">
                  <c:v>Asian</c:v>
                </c:pt>
                <c:pt idx="4">
                  <c:v>White, non-Latino</c:v>
                </c:pt>
                <c:pt idx="5">
                  <c:v>Native Hawaiian/Other Pacific Islander</c:v>
                </c:pt>
                <c:pt idx="6">
                  <c:v>Other</c:v>
                </c:pt>
                <c:pt idx="7">
                  <c:v>2 or More Races</c:v>
                </c:pt>
              </c:strCache>
            </c:strRef>
          </c:cat>
          <c:val>
            <c:numRef>
              <c:f>'Figure 1.11'!$B$4:$I$4</c:f>
              <c:numCache>
                <c:formatCode>0</c:formatCode>
                <c:ptCount val="8"/>
                <c:pt idx="0">
                  <c:v>27</c:v>
                </c:pt>
                <c:pt idx="1">
                  <c:v>24</c:v>
                </c:pt>
                <c:pt idx="2">
                  <c:v>28</c:v>
                </c:pt>
                <c:pt idx="3">
                  <c:v>13</c:v>
                </c:pt>
                <c:pt idx="4">
                  <c:v>11</c:v>
                </c:pt>
                <c:pt idx="5">
                  <c:v>21</c:v>
                </c:pt>
                <c:pt idx="6">
                  <c:v>27</c:v>
                </c:pt>
                <c:pt idx="7">
                  <c:v>20</c:v>
                </c:pt>
              </c:numCache>
            </c:numRef>
          </c:val>
          <c:extLst xmlns:c16r2="http://schemas.microsoft.com/office/drawing/2015/06/chart">
            <c:ext xmlns:c16="http://schemas.microsoft.com/office/drawing/2014/chart" uri="{C3380CC4-5D6E-409C-BE32-E72D297353CC}">
              <c16:uniqueId val="{00000000-A178-44F5-94E0-42BD14A3ABC7}"/>
            </c:ext>
          </c:extLst>
        </c:ser>
        <c:ser>
          <c:idx val="1"/>
          <c:order val="1"/>
          <c:tx>
            <c:strRef>
              <c:f>'Figure 1.11'!$A$5</c:f>
              <c:strCache>
                <c:ptCount val="1"/>
                <c:pt idx="0">
                  <c:v>MA</c:v>
                </c:pt>
              </c:strCache>
            </c:strRef>
          </c:tx>
          <c:spPr>
            <a:pattFill prst="dkUpDiag">
              <a:fgClr>
                <a:sysClr val="window" lastClr="FFFFFF"/>
              </a:fgClr>
              <a:bgClr>
                <a:srgbClr val="6BAED6"/>
              </a:bgClr>
            </a:pattFill>
            <a:ln>
              <a:noFill/>
            </a:ln>
            <a:effectLst/>
          </c:spPr>
          <c:invertIfNegative val="0"/>
          <c:dLbls>
            <c:dLbl>
              <c:idx val="0"/>
              <c:layout>
                <c:manualLayout>
                  <c:x val="-9.548500806014995E-17"/>
                  <c:y val="-1.00062519377264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9F-42DF-9CE3-5100CE22F15C}"/>
                </c:ext>
              </c:extLst>
            </c:dLbl>
            <c:dLbl>
              <c:idx val="2"/>
              <c:layout>
                <c:manualLayout>
                  <c:x val="0"/>
                  <c:y val="-1.500937790658966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79F-42DF-9CE3-5100CE22F15C}"/>
                </c:ext>
              </c:extLst>
            </c:dLbl>
            <c:dLbl>
              <c:idx val="4"/>
              <c:layout>
                <c:manualLayout>
                  <c:x val="5.5555555555554534E-3"/>
                  <c:y val="-1.01781170483460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178-44F5-94E0-42BD14A3ABC7}"/>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1.11'!$B$3:$I$3</c:f>
              <c:strCache>
                <c:ptCount val="8"/>
                <c:pt idx="0">
                  <c:v>Black</c:v>
                </c:pt>
                <c:pt idx="1">
                  <c:v>Latino (any race)</c:v>
                </c:pt>
                <c:pt idx="2">
                  <c:v>American Indian/Alaska Native</c:v>
                </c:pt>
                <c:pt idx="3">
                  <c:v>Asian</c:v>
                </c:pt>
                <c:pt idx="4">
                  <c:v>White, non-Latino</c:v>
                </c:pt>
                <c:pt idx="5">
                  <c:v>Native Hawaiian/Other Pacific Islander</c:v>
                </c:pt>
                <c:pt idx="6">
                  <c:v>Other</c:v>
                </c:pt>
                <c:pt idx="7">
                  <c:v>2 or More Races</c:v>
                </c:pt>
              </c:strCache>
            </c:strRef>
          </c:cat>
          <c:val>
            <c:numRef>
              <c:f>'Figure 1.11'!$B$5:$I$5</c:f>
              <c:numCache>
                <c:formatCode>0</c:formatCode>
                <c:ptCount val="8"/>
                <c:pt idx="0">
                  <c:v>22</c:v>
                </c:pt>
                <c:pt idx="1">
                  <c:v>29</c:v>
                </c:pt>
                <c:pt idx="2">
                  <c:v>23</c:v>
                </c:pt>
                <c:pt idx="3">
                  <c:v>15</c:v>
                </c:pt>
                <c:pt idx="4">
                  <c:v>8</c:v>
                </c:pt>
                <c:pt idx="5">
                  <c:v>22</c:v>
                </c:pt>
                <c:pt idx="6">
                  <c:v>32</c:v>
                </c:pt>
                <c:pt idx="7">
                  <c:v>20</c:v>
                </c:pt>
              </c:numCache>
            </c:numRef>
          </c:val>
          <c:extLst xmlns:c16r2="http://schemas.microsoft.com/office/drawing/2015/06/chart">
            <c:ext xmlns:c16="http://schemas.microsoft.com/office/drawing/2014/chart" uri="{C3380CC4-5D6E-409C-BE32-E72D297353CC}">
              <c16:uniqueId val="{00000001-A178-44F5-94E0-42BD14A3ABC7}"/>
            </c:ext>
          </c:extLst>
        </c:ser>
        <c:dLbls>
          <c:showLegendKey val="0"/>
          <c:showVal val="0"/>
          <c:showCatName val="0"/>
          <c:showSerName val="0"/>
          <c:showPercent val="0"/>
          <c:showBubbleSize val="0"/>
        </c:dLbls>
        <c:gapWidth val="108"/>
        <c:overlap val="-16"/>
        <c:axId val="115654656"/>
        <c:axId val="115656192"/>
      </c:barChart>
      <c:catAx>
        <c:axId val="115654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656192"/>
        <c:crosses val="autoZero"/>
        <c:auto val="1"/>
        <c:lblAlgn val="ctr"/>
        <c:lblOffset val="100"/>
        <c:noMultiLvlLbl val="0"/>
      </c:catAx>
      <c:valAx>
        <c:axId val="11565619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sz="1000" b="1"/>
                  <a:t>Percent of Population</a:t>
                </a:r>
              </a:p>
            </c:rich>
          </c:tx>
          <c:layout>
            <c:manualLayout>
              <c:xMode val="edge"/>
              <c:yMode val="edge"/>
              <c:x val="0.58125594652230972"/>
              <c:y val="0.8286909970914898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654656"/>
        <c:crosses val="max"/>
        <c:crossBetween val="between"/>
        <c:minorUnit val="1.0000000000000002E-2"/>
      </c:valAx>
      <c:spPr>
        <a:noFill/>
        <a:ln>
          <a:noFill/>
        </a:ln>
        <a:effectLst/>
      </c:spPr>
    </c:plotArea>
    <c:legend>
      <c:legendPos val="b"/>
      <c:layout>
        <c:manualLayout>
          <c:xMode val="edge"/>
          <c:yMode val="edge"/>
          <c:x val="0.61541400098425192"/>
          <c:y val="0.90788890539088796"/>
          <c:w val="0.15771347331583552"/>
          <c:h val="9.202500450802428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1.13'!$A$3</c:f>
              <c:strCache>
                <c:ptCount val="1"/>
                <c:pt idx="0">
                  <c:v>US</c:v>
                </c:pt>
              </c:strCache>
            </c:strRef>
          </c:tx>
          <c:spPr>
            <a:solidFill>
              <a:srgbClr val="203864"/>
            </a:solidFill>
            <a:ln>
              <a:noFill/>
            </a:ln>
            <a:effectLst/>
          </c:spPr>
          <c:invertIfNegative val="0"/>
          <c:cat>
            <c:strRef>
              <c:f>'Figure 1.13'!$B$2:$K$2</c:f>
              <c:strCache>
                <c:ptCount val="10"/>
                <c:pt idx="0">
                  <c:v>16-19 </c:v>
                </c:pt>
                <c:pt idx="1">
                  <c:v>20-24 </c:v>
                </c:pt>
                <c:pt idx="2">
                  <c:v>25-29 </c:v>
                </c:pt>
                <c:pt idx="3">
                  <c:v>30-34 </c:v>
                </c:pt>
                <c:pt idx="4">
                  <c:v>35-44 </c:v>
                </c:pt>
                <c:pt idx="5">
                  <c:v>45-54 </c:v>
                </c:pt>
                <c:pt idx="6">
                  <c:v>55-59 </c:v>
                </c:pt>
                <c:pt idx="7">
                  <c:v>60-64 </c:v>
                </c:pt>
                <c:pt idx="8">
                  <c:v>65-74 </c:v>
                </c:pt>
                <c:pt idx="9">
                  <c:v>75+ </c:v>
                </c:pt>
              </c:strCache>
            </c:strRef>
          </c:cat>
          <c:val>
            <c:numRef>
              <c:f>'Figure 1.13'!$B$6:$K$6</c:f>
              <c:numCache>
                <c:formatCode>General</c:formatCode>
                <c:ptCount val="10"/>
                <c:pt idx="0">
                  <c:v>25.1</c:v>
                </c:pt>
                <c:pt idx="1">
                  <c:v>14.2</c:v>
                </c:pt>
                <c:pt idx="2">
                  <c:v>9.3000000000000007</c:v>
                </c:pt>
                <c:pt idx="3">
                  <c:v>7.8</c:v>
                </c:pt>
                <c:pt idx="4">
                  <c:v>6.6000000000000005</c:v>
                </c:pt>
                <c:pt idx="5">
                  <c:v>6.2</c:v>
                </c:pt>
                <c:pt idx="6">
                  <c:v>5.8999999999999995</c:v>
                </c:pt>
                <c:pt idx="7">
                  <c:v>5.6000000000000005</c:v>
                </c:pt>
                <c:pt idx="8">
                  <c:v>5.4</c:v>
                </c:pt>
                <c:pt idx="9">
                  <c:v>4.9000000000000004</c:v>
                </c:pt>
              </c:numCache>
            </c:numRef>
          </c:val>
          <c:extLst xmlns:c16r2="http://schemas.microsoft.com/office/drawing/2015/06/chart">
            <c:ext xmlns:c16="http://schemas.microsoft.com/office/drawing/2014/chart" uri="{C3380CC4-5D6E-409C-BE32-E72D297353CC}">
              <c16:uniqueId val="{00000000-96FA-4EA8-B389-FFF5B3794EF5}"/>
            </c:ext>
          </c:extLst>
        </c:ser>
        <c:ser>
          <c:idx val="1"/>
          <c:order val="1"/>
          <c:tx>
            <c:strRef>
              <c:f>'Figure 1.13'!$A$4</c:f>
              <c:strCache>
                <c:ptCount val="1"/>
                <c:pt idx="0">
                  <c:v>MA</c:v>
                </c:pt>
              </c:strCache>
            </c:strRef>
          </c:tx>
          <c:spPr>
            <a:pattFill prst="dkUpDiag">
              <a:fgClr>
                <a:srgbClr val="3182BD"/>
              </a:fgClr>
              <a:bgClr>
                <a:sysClr val="window" lastClr="FFFFFF"/>
              </a:bgClr>
            </a:pattFill>
            <a:ln>
              <a:noFill/>
            </a:ln>
            <a:effectLst/>
          </c:spPr>
          <c:invertIfNegative val="0"/>
          <c:cat>
            <c:strRef>
              <c:f>'Figure 1.13'!$B$2:$K$2</c:f>
              <c:strCache>
                <c:ptCount val="10"/>
                <c:pt idx="0">
                  <c:v>16-19 </c:v>
                </c:pt>
                <c:pt idx="1">
                  <c:v>20-24 </c:v>
                </c:pt>
                <c:pt idx="2">
                  <c:v>25-29 </c:v>
                </c:pt>
                <c:pt idx="3">
                  <c:v>30-34 </c:v>
                </c:pt>
                <c:pt idx="4">
                  <c:v>35-44 </c:v>
                </c:pt>
                <c:pt idx="5">
                  <c:v>45-54 </c:v>
                </c:pt>
                <c:pt idx="6">
                  <c:v>55-59 </c:v>
                </c:pt>
                <c:pt idx="7">
                  <c:v>60-64 </c:v>
                </c:pt>
                <c:pt idx="8">
                  <c:v>65-74 </c:v>
                </c:pt>
                <c:pt idx="9">
                  <c:v>75+ </c:v>
                </c:pt>
              </c:strCache>
            </c:strRef>
          </c:cat>
          <c:val>
            <c:numRef>
              <c:f>'Figure 1.13'!$B$7:$K$7</c:f>
              <c:numCache>
                <c:formatCode>General</c:formatCode>
                <c:ptCount val="10"/>
                <c:pt idx="0">
                  <c:v>21.099999999999998</c:v>
                </c:pt>
                <c:pt idx="1">
                  <c:v>12</c:v>
                </c:pt>
                <c:pt idx="2">
                  <c:v>8</c:v>
                </c:pt>
                <c:pt idx="3">
                  <c:v>6.8000000000000007</c:v>
                </c:pt>
                <c:pt idx="4">
                  <c:v>6.3</c:v>
                </c:pt>
                <c:pt idx="5">
                  <c:v>6.1</c:v>
                </c:pt>
                <c:pt idx="6">
                  <c:v>5.8000000000000007</c:v>
                </c:pt>
                <c:pt idx="7">
                  <c:v>5.8000000000000007</c:v>
                </c:pt>
                <c:pt idx="8">
                  <c:v>5.5</c:v>
                </c:pt>
                <c:pt idx="9">
                  <c:v>5.0999999999999996</c:v>
                </c:pt>
              </c:numCache>
            </c:numRef>
          </c:val>
          <c:extLst xmlns:c16r2="http://schemas.microsoft.com/office/drawing/2015/06/chart">
            <c:ext xmlns:c16="http://schemas.microsoft.com/office/drawing/2014/chart" uri="{C3380CC4-5D6E-409C-BE32-E72D297353CC}">
              <c16:uniqueId val="{00000001-96FA-4EA8-B389-FFF5B3794EF5}"/>
            </c:ext>
          </c:extLst>
        </c:ser>
        <c:dLbls>
          <c:showLegendKey val="0"/>
          <c:showVal val="0"/>
          <c:showCatName val="0"/>
          <c:showSerName val="0"/>
          <c:showPercent val="0"/>
          <c:showBubbleSize val="0"/>
        </c:dLbls>
        <c:gapWidth val="108"/>
        <c:overlap val="-16"/>
        <c:axId val="115765632"/>
        <c:axId val="115767168"/>
      </c:barChart>
      <c:catAx>
        <c:axId val="11576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767168"/>
        <c:crosses val="autoZero"/>
        <c:auto val="1"/>
        <c:lblAlgn val="ctr"/>
        <c:lblOffset val="100"/>
        <c:noMultiLvlLbl val="0"/>
      </c:catAx>
      <c:valAx>
        <c:axId val="11576716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t>Percent of Population</a:t>
                </a:r>
              </a:p>
            </c:rich>
          </c:tx>
          <c:layout>
            <c:manualLayout>
              <c:xMode val="edge"/>
              <c:yMode val="edge"/>
              <c:x val="2.7777777777777776E-2"/>
              <c:y val="0.1949489647127442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765632"/>
        <c:crosses val="autoZero"/>
        <c:crossBetween val="between"/>
        <c:min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mn-lt"/>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1.15'!$A$2</c:f>
              <c:strCache>
                <c:ptCount val="1"/>
                <c:pt idx="0">
                  <c:v>US</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1.15'!$B$1:$C$1</c:f>
              <c:strCache>
                <c:ptCount val="2"/>
                <c:pt idx="0">
                  <c:v>2006-2010</c:v>
                </c:pt>
                <c:pt idx="1">
                  <c:v>2011-2015</c:v>
                </c:pt>
              </c:strCache>
            </c:strRef>
          </c:cat>
          <c:val>
            <c:numRef>
              <c:f>'Figure 1.15'!$B$2:$C$2</c:f>
              <c:numCache>
                <c:formatCode>"$"#,##0</c:formatCode>
                <c:ptCount val="2"/>
                <c:pt idx="0">
                  <c:v>841</c:v>
                </c:pt>
                <c:pt idx="1">
                  <c:v>928</c:v>
                </c:pt>
              </c:numCache>
            </c:numRef>
          </c:val>
          <c:extLst xmlns:c16r2="http://schemas.microsoft.com/office/drawing/2015/06/chart">
            <c:ext xmlns:c16="http://schemas.microsoft.com/office/drawing/2014/chart" uri="{C3380CC4-5D6E-409C-BE32-E72D297353CC}">
              <c16:uniqueId val="{00000000-1A95-40D7-B67D-CD253610C481}"/>
            </c:ext>
          </c:extLst>
        </c:ser>
        <c:ser>
          <c:idx val="1"/>
          <c:order val="1"/>
          <c:tx>
            <c:strRef>
              <c:f>'Figure 1.15'!$A$3</c:f>
              <c:strCache>
                <c:ptCount val="1"/>
                <c:pt idx="0">
                  <c:v>MA</c:v>
                </c:pt>
              </c:strCache>
            </c:strRef>
          </c:tx>
          <c:spPr>
            <a:pattFill prst="dkUpDiag">
              <a:fgClr>
                <a:srgbClr val="6BAED6"/>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1.15'!$B$1:$C$1</c:f>
              <c:strCache>
                <c:ptCount val="2"/>
                <c:pt idx="0">
                  <c:v>2006-2010</c:v>
                </c:pt>
                <c:pt idx="1">
                  <c:v>2011-2015</c:v>
                </c:pt>
              </c:strCache>
            </c:strRef>
          </c:cat>
          <c:val>
            <c:numRef>
              <c:f>'Figure 1.15'!$B$3:$C$3</c:f>
              <c:numCache>
                <c:formatCode>"$"#,##0</c:formatCode>
                <c:ptCount val="2"/>
                <c:pt idx="0">
                  <c:v>1006</c:v>
                </c:pt>
                <c:pt idx="1">
                  <c:v>1102</c:v>
                </c:pt>
              </c:numCache>
            </c:numRef>
          </c:val>
          <c:extLst xmlns:c16r2="http://schemas.microsoft.com/office/drawing/2015/06/chart">
            <c:ext xmlns:c16="http://schemas.microsoft.com/office/drawing/2014/chart" uri="{C3380CC4-5D6E-409C-BE32-E72D297353CC}">
              <c16:uniqueId val="{00000002-1A95-40D7-B67D-CD253610C481}"/>
            </c:ext>
          </c:extLst>
        </c:ser>
        <c:dLbls>
          <c:showLegendKey val="0"/>
          <c:showVal val="0"/>
          <c:showCatName val="0"/>
          <c:showSerName val="0"/>
          <c:showPercent val="0"/>
          <c:showBubbleSize val="0"/>
        </c:dLbls>
        <c:gapWidth val="108"/>
        <c:overlap val="-16"/>
        <c:axId val="115820416"/>
        <c:axId val="115821952"/>
      </c:barChart>
      <c:catAx>
        <c:axId val="11582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821952"/>
        <c:crosses val="autoZero"/>
        <c:auto val="1"/>
        <c:lblAlgn val="ctr"/>
        <c:lblOffset val="100"/>
        <c:noMultiLvlLbl val="0"/>
      </c:catAx>
      <c:valAx>
        <c:axId val="1158219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sz="1000" b="1"/>
                  <a:t>Median Rent</a:t>
                </a:r>
              </a:p>
            </c:rich>
          </c:tx>
          <c:layout>
            <c:manualLayout>
              <c:xMode val="edge"/>
              <c:yMode val="edge"/>
              <c:x val="2.7777777777777776E-2"/>
              <c:y val="0.29680081656459611"/>
            </c:manualLayout>
          </c:layout>
          <c:overlay val="0"/>
          <c:spPr>
            <a:noFill/>
            <a:ln>
              <a:noFill/>
            </a:ln>
            <a:effectLst/>
          </c:sp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820416"/>
        <c:crosses val="autoZero"/>
        <c:crossBetween val="between"/>
        <c:min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mn-lt"/>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'Figure 1.18'!$A$2</c:f>
              <c:strCache>
                <c:ptCount val="1"/>
                <c:pt idx="0">
                  <c:v>Year</c:v>
                </c:pt>
              </c:strCache>
            </c:strRef>
          </c:tx>
          <c:spPr>
            <a:ln w="28575" cap="rnd">
              <a:solidFill>
                <a:schemeClr val="accent1"/>
              </a:solidFill>
              <a:round/>
            </a:ln>
            <a:effectLst/>
          </c:spPr>
          <c:marker>
            <c:symbol val="diamond"/>
            <c:size val="7"/>
            <c:spPr>
              <a:solidFill>
                <a:schemeClr val="bg1"/>
              </a:solidFill>
              <a:ln w="9525">
                <a:solidFill>
                  <a:srgbClr val="2F5496"/>
                </a:solidFill>
              </a:ln>
              <a:effectLst/>
            </c:spPr>
          </c:marker>
          <c:cat>
            <c:numRef>
              <c:f>'Figure 1.18'!$A$3:$A$13</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'Figure 1.18'!$A$3:$A$13</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val>
          <c:smooth val="0"/>
          <c:extLst xmlns:c16r2="http://schemas.microsoft.com/office/drawing/2015/06/chart">
            <c:ext xmlns:c16="http://schemas.microsoft.com/office/drawing/2014/chart" uri="{C3380CC4-5D6E-409C-BE32-E72D297353CC}">
              <c16:uniqueId val="{00000003-1181-43F7-B38E-21AF7ED94C15}"/>
            </c:ext>
          </c:extLst>
        </c:ser>
        <c:ser>
          <c:idx val="1"/>
          <c:order val="1"/>
          <c:tx>
            <c:strRef>
              <c:f>'Figure 1.18'!$B$2</c:f>
              <c:strCache>
                <c:ptCount val="1"/>
                <c:pt idx="0">
                  <c:v>Massachusetts</c:v>
                </c:pt>
              </c:strCache>
            </c:strRef>
          </c:tx>
          <c:spPr>
            <a:ln w="28575" cap="rnd">
              <a:solidFill>
                <a:srgbClr val="203864"/>
              </a:solidFill>
              <a:round/>
            </a:ln>
            <a:effectLst/>
          </c:spPr>
          <c:marker>
            <c:symbol val="circle"/>
            <c:size val="7"/>
            <c:spPr>
              <a:solidFill>
                <a:sysClr val="window" lastClr="FFFFFF"/>
              </a:solidFill>
              <a:ln w="9525">
                <a:solidFill>
                  <a:srgbClr val="203864"/>
                </a:solidFill>
              </a:ln>
              <a:effectLst/>
            </c:spPr>
          </c:marker>
          <c:dLbls>
            <c:dLbl>
              <c:idx val="0"/>
              <c:layout>
                <c:manualLayout>
                  <c:x val="-4.2076628498047691E-2"/>
                  <c:y val="-5.29942812076854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181-43F7-B38E-21AF7ED94C15}"/>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181-43F7-B38E-21AF7ED94C15}"/>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181-43F7-B38E-21AF7ED94C1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181-43F7-B38E-21AF7ED94C15}"/>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181-43F7-B38E-21AF7ED94C15}"/>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181-43F7-B38E-21AF7ED94C15}"/>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181-43F7-B38E-21AF7ED94C15}"/>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181-43F7-B38E-21AF7ED94C15}"/>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181-43F7-B38E-21AF7ED94C15}"/>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181-43F7-B38E-21AF7ED94C15}"/>
                </c:ext>
              </c:extLst>
            </c:dLbl>
            <c:dLbl>
              <c:idx val="10"/>
              <c:layout>
                <c:manualLayout>
                  <c:x val="-2.5245977098828511E-2"/>
                  <c:y val="-4.85780911070450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181-43F7-B38E-21AF7ED94C15}"/>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1.18'!$A$3:$A$13</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'Figure 1.18'!$B$3:$B$13</c:f>
              <c:numCache>
                <c:formatCode>0.0</c:formatCode>
                <c:ptCount val="11"/>
                <c:pt idx="0">
                  <c:v>739.3</c:v>
                </c:pt>
                <c:pt idx="1">
                  <c:v>720.6</c:v>
                </c:pt>
                <c:pt idx="2">
                  <c:v>717.6</c:v>
                </c:pt>
                <c:pt idx="3">
                  <c:v>704.4</c:v>
                </c:pt>
                <c:pt idx="4">
                  <c:v>703.5</c:v>
                </c:pt>
                <c:pt idx="5">
                  <c:v>675.1</c:v>
                </c:pt>
                <c:pt idx="6">
                  <c:v>672.7</c:v>
                </c:pt>
                <c:pt idx="7">
                  <c:v>674</c:v>
                </c:pt>
                <c:pt idx="8">
                  <c:v>669.2</c:v>
                </c:pt>
                <c:pt idx="9">
                  <c:v>664.1</c:v>
                </c:pt>
                <c:pt idx="10">
                  <c:v>662.5</c:v>
                </c:pt>
              </c:numCache>
            </c:numRef>
          </c:val>
          <c:smooth val="0"/>
          <c:extLst xmlns:c16r2="http://schemas.microsoft.com/office/drawing/2015/06/chart">
            <c:ext xmlns:c16="http://schemas.microsoft.com/office/drawing/2014/chart" uri="{C3380CC4-5D6E-409C-BE32-E72D297353CC}">
              <c16:uniqueId val="{00000004-1181-43F7-B38E-21AF7ED94C15}"/>
            </c:ext>
          </c:extLst>
        </c:ser>
        <c:dLbls>
          <c:showLegendKey val="0"/>
          <c:showVal val="0"/>
          <c:showCatName val="0"/>
          <c:showSerName val="0"/>
          <c:showPercent val="0"/>
          <c:showBubbleSize val="0"/>
        </c:dLbls>
        <c:marker val="1"/>
        <c:smooth val="0"/>
        <c:axId val="115903872"/>
        <c:axId val="115905664"/>
      </c:lineChart>
      <c:catAx>
        <c:axId val="11590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905664"/>
        <c:crosses val="autoZero"/>
        <c:auto val="1"/>
        <c:lblAlgn val="ctr"/>
        <c:lblOffset val="100"/>
        <c:noMultiLvlLbl val="0"/>
      </c:catAx>
      <c:valAx>
        <c:axId val="115905664"/>
        <c:scaling>
          <c:orientation val="minMax"/>
          <c:max val="100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Rate per 100,000 Population</a:t>
                </a:r>
              </a:p>
            </c:rich>
          </c:tx>
          <c:layout>
            <c:manualLayout>
              <c:xMode val="edge"/>
              <c:yMode val="edge"/>
              <c:x val="3.0856194231901637E-2"/>
              <c:y val="0.1329613997166683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903872"/>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35480460775736"/>
          <c:y val="5.536332179930796E-2"/>
          <c:w val="0.71237204724409453"/>
          <c:h val="0.67593613298337718"/>
        </c:manualLayout>
      </c:layout>
      <c:barChart>
        <c:barDir val="bar"/>
        <c:grouping val="clustered"/>
        <c:varyColors val="0"/>
        <c:ser>
          <c:idx val="0"/>
          <c:order val="0"/>
          <c:tx>
            <c:strRef>
              <c:f>'Figure 1.19'!$B$2</c:f>
              <c:strCache>
                <c:ptCount val="1"/>
                <c:pt idx="0">
                  <c:v>Rate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1.19'!$A$3:$A$6</c:f>
              <c:strCache>
                <c:ptCount val="4"/>
                <c:pt idx="0">
                  <c:v>White non-Hispanic</c:v>
                </c:pt>
                <c:pt idx="1">
                  <c:v>Black non-Hispanic</c:v>
                </c:pt>
                <c:pt idx="2">
                  <c:v>Asian non-Hispanic</c:v>
                </c:pt>
                <c:pt idx="3">
                  <c:v>Hispanic</c:v>
                </c:pt>
              </c:strCache>
            </c:strRef>
          </c:cat>
          <c:val>
            <c:numRef>
              <c:f>'Figure 1.19'!$B$3:$B$6</c:f>
              <c:numCache>
                <c:formatCode>0.0</c:formatCode>
                <c:ptCount val="4"/>
                <c:pt idx="0">
                  <c:v>679.5</c:v>
                </c:pt>
                <c:pt idx="1">
                  <c:v>630.4</c:v>
                </c:pt>
                <c:pt idx="2">
                  <c:v>344.7</c:v>
                </c:pt>
                <c:pt idx="3">
                  <c:v>447.9</c:v>
                </c:pt>
              </c:numCache>
            </c:numRef>
          </c:val>
          <c:extLst xmlns:c16r2="http://schemas.microsoft.com/office/drawing/2015/06/chart">
            <c:ext xmlns:c16="http://schemas.microsoft.com/office/drawing/2014/chart" uri="{C3380CC4-5D6E-409C-BE32-E72D297353CC}">
              <c16:uniqueId val="{00000000-EB34-4B19-8BF1-2887CDDC7823}"/>
            </c:ext>
          </c:extLst>
        </c:ser>
        <c:dLbls>
          <c:showLegendKey val="0"/>
          <c:showVal val="0"/>
          <c:showCatName val="0"/>
          <c:showSerName val="0"/>
          <c:showPercent val="0"/>
          <c:showBubbleSize val="0"/>
        </c:dLbls>
        <c:gapWidth val="108"/>
        <c:overlap val="-16"/>
        <c:axId val="115955968"/>
        <c:axId val="115982336"/>
      </c:barChart>
      <c:catAx>
        <c:axId val="1159559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982336"/>
        <c:crosses val="autoZero"/>
        <c:auto val="1"/>
        <c:lblAlgn val="ctr"/>
        <c:lblOffset val="100"/>
        <c:noMultiLvlLbl val="0"/>
      </c:catAx>
      <c:valAx>
        <c:axId val="11598233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b="1"/>
                  <a:t>Rate per 100,000 Population</a:t>
                </a:r>
              </a:p>
            </c:rich>
          </c:tx>
          <c:layout>
            <c:manualLayout>
              <c:xMode val="edge"/>
              <c:yMode val="edge"/>
              <c:x val="0.42269506874554585"/>
              <c:y val="0.84376153811661048"/>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955968"/>
        <c:crosses val="max"/>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1.22'!$B$2</c:f>
              <c:strCache>
                <c:ptCount val="1"/>
                <c:pt idx="0">
                  <c:v>Female</c:v>
                </c:pt>
              </c:strCache>
            </c:strRef>
          </c:tx>
          <c:spPr>
            <a:solidFill>
              <a:srgbClr val="20386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1.22'!$A$3:$A$5</c:f>
              <c:strCache>
                <c:ptCount val="3"/>
                <c:pt idx="0">
                  <c:v>White non-Hispanic</c:v>
                </c:pt>
                <c:pt idx="1">
                  <c:v>Black non-Hispanic</c:v>
                </c:pt>
                <c:pt idx="2">
                  <c:v>Hispanic</c:v>
                </c:pt>
              </c:strCache>
            </c:strRef>
          </c:cat>
          <c:val>
            <c:numRef>
              <c:f>'Figure 1.22'!$B$3:$B$5</c:f>
              <c:numCache>
                <c:formatCode>0</c:formatCode>
                <c:ptCount val="3"/>
                <c:pt idx="0">
                  <c:v>83</c:v>
                </c:pt>
                <c:pt idx="1">
                  <c:v>84.3</c:v>
                </c:pt>
                <c:pt idx="2">
                  <c:v>89.6</c:v>
                </c:pt>
              </c:numCache>
            </c:numRef>
          </c:val>
          <c:extLst xmlns:c16r2="http://schemas.microsoft.com/office/drawing/2015/06/chart">
            <c:ext xmlns:c16="http://schemas.microsoft.com/office/drawing/2014/chart" uri="{C3380CC4-5D6E-409C-BE32-E72D297353CC}">
              <c16:uniqueId val="{00000000-DFBB-4907-8D31-93F69F466A50}"/>
            </c:ext>
          </c:extLst>
        </c:ser>
        <c:ser>
          <c:idx val="1"/>
          <c:order val="1"/>
          <c:tx>
            <c:strRef>
              <c:f>'Figure 1.22'!$C$2</c:f>
              <c:strCache>
                <c:ptCount val="1"/>
                <c:pt idx="0">
                  <c:v>Male</c:v>
                </c:pt>
              </c:strCache>
            </c:strRef>
          </c:tx>
          <c:spPr>
            <a:pattFill prst="dkUpDiag">
              <a:fgClr>
                <a:srgbClr val="6BAED6"/>
              </a:fgClr>
              <a:bgClr>
                <a:sysClr val="window" lastClr="FFFFFF"/>
              </a:bgClr>
            </a:patt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1.22'!$A$3:$A$5</c:f>
              <c:strCache>
                <c:ptCount val="3"/>
                <c:pt idx="0">
                  <c:v>White non-Hispanic</c:v>
                </c:pt>
                <c:pt idx="1">
                  <c:v>Black non-Hispanic</c:v>
                </c:pt>
                <c:pt idx="2">
                  <c:v>Hispanic</c:v>
                </c:pt>
              </c:strCache>
            </c:strRef>
          </c:cat>
          <c:val>
            <c:numRef>
              <c:f>'Figure 1.22'!$C$3:$C$5</c:f>
              <c:numCache>
                <c:formatCode>0</c:formatCode>
                <c:ptCount val="3"/>
                <c:pt idx="0">
                  <c:v>78.099999999999994</c:v>
                </c:pt>
                <c:pt idx="1">
                  <c:v>77.5</c:v>
                </c:pt>
                <c:pt idx="2">
                  <c:v>84.3</c:v>
                </c:pt>
              </c:numCache>
            </c:numRef>
          </c:val>
          <c:extLst xmlns:c16r2="http://schemas.microsoft.com/office/drawing/2015/06/chart">
            <c:ext xmlns:c16="http://schemas.microsoft.com/office/drawing/2014/chart" uri="{C3380CC4-5D6E-409C-BE32-E72D297353CC}">
              <c16:uniqueId val="{00000002-DFBB-4907-8D31-93F69F466A50}"/>
            </c:ext>
          </c:extLst>
        </c:ser>
        <c:dLbls>
          <c:showLegendKey val="0"/>
          <c:showVal val="0"/>
          <c:showCatName val="0"/>
          <c:showSerName val="0"/>
          <c:showPercent val="0"/>
          <c:showBubbleSize val="0"/>
        </c:dLbls>
        <c:gapWidth val="108"/>
        <c:overlap val="-16"/>
        <c:axId val="116042368"/>
        <c:axId val="116056448"/>
      </c:barChart>
      <c:catAx>
        <c:axId val="11604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056448"/>
        <c:crosses val="autoZero"/>
        <c:auto val="1"/>
        <c:lblAlgn val="ctr"/>
        <c:lblOffset val="100"/>
        <c:noMultiLvlLbl val="0"/>
      </c:catAx>
      <c:valAx>
        <c:axId val="116056448"/>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Rate per 100,000 Population</a:t>
                </a:r>
              </a:p>
            </c:rich>
          </c:tx>
          <c:layout>
            <c:manualLayout>
              <c:xMode val="edge"/>
              <c:yMode val="edge"/>
              <c:x val="2.7777796017460187E-2"/>
              <c:y val="0.1334699697222798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042368"/>
        <c:crosses val="autoZero"/>
        <c:crossBetween val="between"/>
        <c:min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29791303742586"/>
          <c:y val="5.536332179930796E-2"/>
          <c:w val="0.65857021756074308"/>
          <c:h val="0.75463983668708068"/>
        </c:manualLayout>
      </c:layout>
      <c:barChart>
        <c:barDir val="bar"/>
        <c:grouping val="clustered"/>
        <c:varyColors val="0"/>
        <c:ser>
          <c:idx val="0"/>
          <c:order val="0"/>
          <c:tx>
            <c:strRef>
              <c:f>'Figure 1.23'!$B$2</c:f>
              <c:strCache>
                <c:ptCount val="1"/>
                <c:pt idx="0">
                  <c:v>Rate</c:v>
                </c:pt>
              </c:strCache>
            </c:strRef>
          </c:tx>
          <c:spPr>
            <a:solidFill>
              <a:srgbClr val="20386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1.23'!$A$3:$A$6</c:f>
              <c:strCache>
                <c:ptCount val="4"/>
                <c:pt idx="0">
                  <c:v>White non-Hispanic</c:v>
                </c:pt>
                <c:pt idx="1">
                  <c:v>Black non-Hispanic</c:v>
                </c:pt>
                <c:pt idx="2">
                  <c:v>Asian non-Hispanic</c:v>
                </c:pt>
                <c:pt idx="3">
                  <c:v>Hispanic</c:v>
                </c:pt>
              </c:strCache>
            </c:strRef>
          </c:cat>
          <c:val>
            <c:numRef>
              <c:f>'Figure 1.23'!$B$3:$B$6</c:f>
              <c:numCache>
                <c:formatCode>0.0</c:formatCode>
                <c:ptCount val="4"/>
                <c:pt idx="0">
                  <c:v>281.89999999999998</c:v>
                </c:pt>
                <c:pt idx="1">
                  <c:v>313</c:v>
                </c:pt>
                <c:pt idx="2">
                  <c:v>120.6</c:v>
                </c:pt>
                <c:pt idx="3">
                  <c:v>227.4</c:v>
                </c:pt>
              </c:numCache>
            </c:numRef>
          </c:val>
          <c:extLst xmlns:c16r2="http://schemas.microsoft.com/office/drawing/2015/06/chart">
            <c:ext xmlns:c16="http://schemas.microsoft.com/office/drawing/2014/chart" uri="{C3380CC4-5D6E-409C-BE32-E72D297353CC}">
              <c16:uniqueId val="{00000000-1D00-44AE-8617-85DD148E71DC}"/>
            </c:ext>
          </c:extLst>
        </c:ser>
        <c:dLbls>
          <c:showLegendKey val="0"/>
          <c:showVal val="0"/>
          <c:showCatName val="0"/>
          <c:showSerName val="0"/>
          <c:showPercent val="0"/>
          <c:showBubbleSize val="0"/>
        </c:dLbls>
        <c:gapWidth val="100"/>
        <c:overlap val="-16"/>
        <c:axId val="116086272"/>
        <c:axId val="116087808"/>
      </c:barChart>
      <c:catAx>
        <c:axId val="116086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087808"/>
        <c:crosses val="autoZero"/>
        <c:auto val="1"/>
        <c:lblAlgn val="ctr"/>
        <c:lblOffset val="100"/>
        <c:noMultiLvlLbl val="0"/>
      </c:catAx>
      <c:valAx>
        <c:axId val="11608780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b="1"/>
                  <a:t>Rate per 100,000 Population</a:t>
                </a:r>
              </a:p>
            </c:rich>
          </c:tx>
          <c:layout>
            <c:manualLayout>
              <c:xMode val="edge"/>
              <c:yMode val="edge"/>
              <c:x val="0.45170823382458453"/>
              <c:y val="0.9166777580691313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086272"/>
        <c:crosses val="max"/>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857693163234214"/>
          <c:y val="5.536332179930796E-2"/>
          <c:w val="0.69014989279311179"/>
          <c:h val="0.76389909594633998"/>
        </c:manualLayout>
      </c:layout>
      <c:barChart>
        <c:barDir val="bar"/>
        <c:grouping val="clustered"/>
        <c:varyColors val="0"/>
        <c:ser>
          <c:idx val="0"/>
          <c:order val="0"/>
          <c:tx>
            <c:strRef>
              <c:f>'Figure 1.24'!$B$2</c:f>
              <c:strCache>
                <c:ptCount val="1"/>
                <c:pt idx="0">
                  <c:v>Rate</c:v>
                </c:pt>
              </c:strCache>
            </c:strRef>
          </c:tx>
          <c:spPr>
            <a:solidFill>
              <a:srgbClr val="20386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1.24'!$A$3:$A$6</c:f>
              <c:strCache>
                <c:ptCount val="4"/>
                <c:pt idx="0">
                  <c:v>White non-Hispanic</c:v>
                </c:pt>
                <c:pt idx="1">
                  <c:v>Black non-Hispanic</c:v>
                </c:pt>
                <c:pt idx="2">
                  <c:v>Asian non-Hispanic</c:v>
                </c:pt>
                <c:pt idx="3">
                  <c:v>Hispanic</c:v>
                </c:pt>
              </c:strCache>
            </c:strRef>
          </c:cat>
          <c:val>
            <c:numRef>
              <c:f>'Figure 1.24'!$B$3:$B$6</c:f>
              <c:numCache>
                <c:formatCode>0.0</c:formatCode>
                <c:ptCount val="4"/>
                <c:pt idx="0">
                  <c:v>68.2</c:v>
                </c:pt>
                <c:pt idx="1">
                  <c:v>84.1</c:v>
                </c:pt>
                <c:pt idx="2">
                  <c:v>31</c:v>
                </c:pt>
                <c:pt idx="3">
                  <c:v>54.7</c:v>
                </c:pt>
              </c:numCache>
            </c:numRef>
          </c:val>
          <c:extLst xmlns:c16r2="http://schemas.microsoft.com/office/drawing/2015/06/chart">
            <c:ext xmlns:c16="http://schemas.microsoft.com/office/drawing/2014/chart" uri="{C3380CC4-5D6E-409C-BE32-E72D297353CC}">
              <c16:uniqueId val="{00000000-BAAB-48CC-BE20-4D6E68F41062}"/>
            </c:ext>
          </c:extLst>
        </c:ser>
        <c:dLbls>
          <c:showLegendKey val="0"/>
          <c:showVal val="0"/>
          <c:showCatName val="0"/>
          <c:showSerName val="0"/>
          <c:showPercent val="0"/>
          <c:showBubbleSize val="0"/>
        </c:dLbls>
        <c:gapWidth val="108"/>
        <c:overlap val="-16"/>
        <c:axId val="116130176"/>
        <c:axId val="116131712"/>
      </c:barChart>
      <c:catAx>
        <c:axId val="116130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131712"/>
        <c:crosses val="autoZero"/>
        <c:auto val="1"/>
        <c:lblAlgn val="ctr"/>
        <c:lblOffset val="100"/>
        <c:noMultiLvlLbl val="0"/>
      </c:catAx>
      <c:valAx>
        <c:axId val="11613171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b="1"/>
                  <a:t>Rate per 100,000 Population</a:t>
                </a:r>
              </a:p>
            </c:rich>
          </c:tx>
          <c:layout>
            <c:manualLayout>
              <c:xMode val="edge"/>
              <c:yMode val="edge"/>
              <c:x val="0.44343849081606579"/>
              <c:y val="0.907448768987955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6130176"/>
        <c:crosses val="max"/>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'Figure 1.3'!$B$3:$Q$3</c:f>
              <c:strCache>
                <c:ptCount val="16"/>
                <c:pt idx="0">
                  <c:v>62.1</c:v>
                </c:pt>
                <c:pt idx="1">
                  <c:v>56.6</c:v>
                </c:pt>
                <c:pt idx="2">
                  <c:v>56.8</c:v>
                </c:pt>
                <c:pt idx="3">
                  <c:v>56.8</c:v>
                </c:pt>
                <c:pt idx="4">
                  <c:v>56.2</c:v>
                </c:pt>
                <c:pt idx="5">
                  <c:v>55.6</c:v>
                </c:pt>
                <c:pt idx="6">
                  <c:v>56.9</c:v>
                </c:pt>
                <c:pt idx="7">
                  <c:v>57.2</c:v>
                </c:pt>
                <c:pt idx="8">
                  <c:v>56.5</c:v>
                </c:pt>
                <c:pt idx="9">
                  <c:v>55.1</c:v>
                </c:pt>
                <c:pt idx="10">
                  <c:v>53.7</c:v>
                </c:pt>
                <c:pt idx="11">
                  <c:v>54.1</c:v>
                </c:pt>
                <c:pt idx="12">
                  <c:v>53.3</c:v>
                </c:pt>
                <c:pt idx="13">
                  <c:v>52.5</c:v>
                </c:pt>
                <c:pt idx="14">
                  <c:v>52.1</c:v>
                </c:pt>
                <c:pt idx="15">
                  <c:v>52.0</c:v>
                </c:pt>
              </c:strCache>
            </c:strRef>
          </c:tx>
          <c:spPr>
            <a:ln w="19050" cap="rnd">
              <a:solidFill>
                <a:srgbClr val="203864"/>
              </a:solidFill>
              <a:round/>
            </a:ln>
            <a:effectLst/>
          </c:spPr>
          <c:marker>
            <c:symbol val="circle"/>
            <c:size val="7"/>
            <c:spPr>
              <a:solidFill>
                <a:schemeClr val="bg1"/>
              </a:solidFill>
              <a:ln w="9525">
                <a:solidFill>
                  <a:schemeClr val="accent1">
                    <a:lumMod val="75000"/>
                  </a:schemeClr>
                </a:solidFill>
              </a:ln>
              <a:effectLst/>
            </c:spPr>
          </c:marker>
          <c:cat>
            <c:numRef>
              <c:f>'Figure 1.3'!$B$2:$Q$2</c:f>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'Figure 1.3'!$B$3:$Q$3</c:f>
              <c:numCache>
                <c:formatCode>General</c:formatCode>
                <c:ptCount val="16"/>
                <c:pt idx="0">
                  <c:v>62.1</c:v>
                </c:pt>
                <c:pt idx="1">
                  <c:v>56.6</c:v>
                </c:pt>
                <c:pt idx="2">
                  <c:v>56.8</c:v>
                </c:pt>
                <c:pt idx="3">
                  <c:v>56.8</c:v>
                </c:pt>
                <c:pt idx="4">
                  <c:v>56.2</c:v>
                </c:pt>
                <c:pt idx="5">
                  <c:v>55.6</c:v>
                </c:pt>
                <c:pt idx="6">
                  <c:v>56.9</c:v>
                </c:pt>
                <c:pt idx="7">
                  <c:v>57.2</c:v>
                </c:pt>
                <c:pt idx="8">
                  <c:v>56.5</c:v>
                </c:pt>
                <c:pt idx="9">
                  <c:v>55.1</c:v>
                </c:pt>
                <c:pt idx="10">
                  <c:v>53.7</c:v>
                </c:pt>
                <c:pt idx="11">
                  <c:v>54.1</c:v>
                </c:pt>
                <c:pt idx="12">
                  <c:v>53.3</c:v>
                </c:pt>
                <c:pt idx="13">
                  <c:v>52.5</c:v>
                </c:pt>
                <c:pt idx="14">
                  <c:v>52.1</c:v>
                </c:pt>
                <c:pt idx="15" formatCode="0.0">
                  <c:v>52</c:v>
                </c:pt>
              </c:numCache>
            </c:numRef>
          </c:val>
          <c:smooth val="0"/>
          <c:extLst xmlns:c16r2="http://schemas.microsoft.com/office/drawing/2015/06/chart">
            <c:ext xmlns:c16="http://schemas.microsoft.com/office/drawing/2014/chart" uri="{C3380CC4-5D6E-409C-BE32-E72D297353CC}">
              <c16:uniqueId val="{00000001-16EE-43C0-9FDD-B7DCBF12A5F9}"/>
            </c:ext>
          </c:extLst>
        </c:ser>
        <c:dLbls>
          <c:showLegendKey val="0"/>
          <c:showVal val="0"/>
          <c:showCatName val="0"/>
          <c:showSerName val="0"/>
          <c:showPercent val="0"/>
          <c:showBubbleSize val="0"/>
        </c:dLbls>
        <c:marker val="1"/>
        <c:smooth val="0"/>
        <c:axId val="114873472"/>
        <c:axId val="114875392"/>
        <c:extLst xmlns:c16r2="http://schemas.microsoft.com/office/drawing/2015/06/chart">
          <c:ext xmlns:c15="http://schemas.microsoft.com/office/drawing/2012/chart" uri="{02D57815-91ED-43cb-92C2-25804820EDAC}">
            <c15:filteredLineSeries>
              <c15:ser>
                <c:idx val="1"/>
                <c:order val="1"/>
                <c:spPr>
                  <a:ln w="28575" cap="rnd">
                    <a:solidFill>
                      <a:schemeClr val="accent1">
                        <a:lumMod val="75000"/>
                      </a:schemeClr>
                    </a:solidFill>
                    <a:round/>
                  </a:ln>
                  <a:effectLst/>
                </c:spPr>
                <c:marker>
                  <c:symbol val="circle"/>
                  <c:size val="5"/>
                  <c:spPr>
                    <a:solidFill>
                      <a:schemeClr val="bg1"/>
                    </a:solidFill>
                    <a:ln w="9525">
                      <a:solidFill>
                        <a:schemeClr val="accent1">
                          <a:lumMod val="75000"/>
                        </a:schemeClr>
                      </a:solidFill>
                    </a:ln>
                    <a:effectLst/>
                  </c:spPr>
                </c:marker>
                <c:dLbls>
                  <c:dLbl>
                    <c:idx val="1"/>
                    <c:layout>
                      <c:manualLayout>
                        <c:x val="-3.3623784831774098E-2"/>
                        <c:y val="4.0565228901511943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0-60B8-4CFE-A188-8A02619FEA4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'Figure 1.3'!$B$2:$Q$2</c15:sqref>
                        </c15:formulaRef>
                      </c:ext>
                    </c:extLst>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extLst>
                      <c:ext uri="{02D57815-91ED-43cb-92C2-25804820EDAC}">
                        <c15:formulaRef>
                          <c15:sqref>'Figure 1.3'!$B$3:$Q$3</c15:sqref>
                        </c15:formulaRef>
                      </c:ext>
                    </c:extLst>
                    <c:numCache>
                      <c:formatCode>General</c:formatCode>
                      <c:ptCount val="16"/>
                      <c:pt idx="0">
                        <c:v>62.1</c:v>
                      </c:pt>
                      <c:pt idx="1">
                        <c:v>56.6</c:v>
                      </c:pt>
                      <c:pt idx="2">
                        <c:v>56.8</c:v>
                      </c:pt>
                      <c:pt idx="3">
                        <c:v>56.8</c:v>
                      </c:pt>
                      <c:pt idx="4">
                        <c:v>56.2</c:v>
                      </c:pt>
                      <c:pt idx="5">
                        <c:v>55.6</c:v>
                      </c:pt>
                      <c:pt idx="6">
                        <c:v>56.9</c:v>
                      </c:pt>
                      <c:pt idx="7">
                        <c:v>57.2</c:v>
                      </c:pt>
                      <c:pt idx="8">
                        <c:v>56.5</c:v>
                      </c:pt>
                      <c:pt idx="9">
                        <c:v>55.1</c:v>
                      </c:pt>
                      <c:pt idx="10">
                        <c:v>53.7</c:v>
                      </c:pt>
                      <c:pt idx="11">
                        <c:v>54.1</c:v>
                      </c:pt>
                      <c:pt idx="12">
                        <c:v>53.3</c:v>
                      </c:pt>
                      <c:pt idx="13">
                        <c:v>52.5</c:v>
                      </c:pt>
                      <c:pt idx="14">
                        <c:v>52.1</c:v>
                      </c:pt>
                      <c:pt idx="15" formatCode="0.0">
                        <c:v>52</c:v>
                      </c:pt>
                    </c:numCache>
                  </c:numRef>
                </c:val>
                <c:smooth val="0"/>
                <c:extLst>
                  <c:ext xmlns:c16="http://schemas.microsoft.com/office/drawing/2014/chart" uri="{C3380CC4-5D6E-409C-BE32-E72D297353CC}">
                    <c16:uniqueId val="{00000021-16EE-43C0-9FDD-B7DCBF12A5F9}"/>
                  </c:ext>
                </c:extLst>
              </c15:ser>
            </c15:filteredLineSeries>
          </c:ext>
        </c:extLst>
      </c:lineChart>
      <c:catAx>
        <c:axId val="11487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4875392"/>
        <c:crosses val="autoZero"/>
        <c:auto val="1"/>
        <c:lblAlgn val="ctr"/>
        <c:lblOffset val="100"/>
        <c:noMultiLvlLbl val="0"/>
      </c:catAx>
      <c:valAx>
        <c:axId val="114875392"/>
        <c:scaling>
          <c:orientation val="minMax"/>
          <c:min val="4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Births per 1,000 Females</a:t>
                </a:r>
              </a:p>
            </c:rich>
          </c:tx>
          <c:layout>
            <c:manualLayout>
              <c:xMode val="edge"/>
              <c:yMode val="edge"/>
              <c:x val="6.9686411149825784E-3"/>
              <c:y val="0.2312249963380596"/>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4873472"/>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52774440403299"/>
          <c:y val="2.63176640482836E-2"/>
          <c:w val="0.82266579452260602"/>
          <c:h val="0.77934518343127801"/>
        </c:manualLayout>
      </c:layout>
      <c:lineChart>
        <c:grouping val="standard"/>
        <c:varyColors val="0"/>
        <c:ser>
          <c:idx val="0"/>
          <c:order val="0"/>
          <c:tx>
            <c:strRef>
              <c:f>'Figure 1.4'!$A$3</c:f>
              <c:strCache>
                <c:ptCount val="1"/>
                <c:pt idx="0">
                  <c:v>White non-Hispanic</c:v>
                </c:pt>
              </c:strCache>
            </c:strRef>
          </c:tx>
          <c:spPr>
            <a:ln w="28575" cap="rnd">
              <a:solidFill>
                <a:srgbClr val="08519C"/>
              </a:solidFill>
              <a:round/>
            </a:ln>
            <a:effectLst/>
          </c:spPr>
          <c:marker>
            <c:symbol val="none"/>
          </c:marker>
          <c:dLbls>
            <c:dLbl>
              <c:idx val="1"/>
              <c:delete val="1"/>
              <c:extLst xmlns:c16r2="http://schemas.microsoft.com/office/drawing/2015/06/chart">
                <c:ext xmlns:c16="http://schemas.microsoft.com/office/drawing/2014/chart" uri="{C3380CC4-5D6E-409C-BE32-E72D297353CC}">
                  <c16:uniqueId val="{00000000-F0B7-4F16-9E74-96DD5D946FD9}"/>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F0B7-4F16-9E74-96DD5D946FD9}"/>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2-F0B7-4F16-9E74-96DD5D946FD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3-F0B7-4F16-9E74-96DD5D946FD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4-F0B7-4F16-9E74-96DD5D946FD9}"/>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5-F0B7-4F16-9E74-96DD5D946FD9}"/>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6-F0B7-4F16-9E74-96DD5D946FD9}"/>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7-F0B7-4F16-9E74-96DD5D946FD9}"/>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8-F0B7-4F16-9E74-96DD5D946FD9}"/>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9-F0B7-4F16-9E74-96DD5D946FD9}"/>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A-F0B7-4F16-9E74-96DD5D946FD9}"/>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B-F0B7-4F16-9E74-96DD5D946FD9}"/>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C-F0B7-4F16-9E74-96DD5D946FD9}"/>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0D-F0B7-4F16-9E74-96DD5D946FD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1.4'!$B$2:$Q$2</c:f>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'Figure 1.4'!$B$7:$Q$7</c:f>
              <c:numCache>
                <c:formatCode>0</c:formatCode>
                <c:ptCount val="16"/>
                <c:pt idx="0">
                  <c:v>78.400000000000006</c:v>
                </c:pt>
                <c:pt idx="1">
                  <c:v>73</c:v>
                </c:pt>
                <c:pt idx="2">
                  <c:v>72.099999999999994</c:v>
                </c:pt>
                <c:pt idx="3">
                  <c:v>71.900000000000006</c:v>
                </c:pt>
                <c:pt idx="4">
                  <c:v>70.5</c:v>
                </c:pt>
                <c:pt idx="5">
                  <c:v>69.599999999999994</c:v>
                </c:pt>
                <c:pt idx="6">
                  <c:v>68.2</c:v>
                </c:pt>
                <c:pt idx="7">
                  <c:v>67.5</c:v>
                </c:pt>
                <c:pt idx="8">
                  <c:v>67.2</c:v>
                </c:pt>
                <c:pt idx="9">
                  <c:v>66.400000000000006</c:v>
                </c:pt>
                <c:pt idx="10">
                  <c:v>66.5</c:v>
                </c:pt>
                <c:pt idx="11">
                  <c:v>62.8</c:v>
                </c:pt>
                <c:pt idx="12">
                  <c:v>62.1</c:v>
                </c:pt>
                <c:pt idx="13">
                  <c:v>62</c:v>
                </c:pt>
                <c:pt idx="14">
                  <c:v>61.4</c:v>
                </c:pt>
                <c:pt idx="15">
                  <c:v>60.5</c:v>
                </c:pt>
              </c:numCache>
            </c:numRef>
          </c:val>
          <c:smooth val="0"/>
          <c:extLst xmlns:c16r2="http://schemas.microsoft.com/office/drawing/2015/06/chart">
            <c:ext xmlns:c16="http://schemas.microsoft.com/office/drawing/2014/chart" uri="{C3380CC4-5D6E-409C-BE32-E72D297353CC}">
              <c16:uniqueId val="{0000000E-F0B7-4F16-9E74-96DD5D946FD9}"/>
            </c:ext>
          </c:extLst>
        </c:ser>
        <c:ser>
          <c:idx val="1"/>
          <c:order val="1"/>
          <c:tx>
            <c:strRef>
              <c:f>'Figure 1.4'!$A$4</c:f>
              <c:strCache>
                <c:ptCount val="1"/>
                <c:pt idx="0">
                  <c:v>Black non-Hispanic</c:v>
                </c:pt>
              </c:strCache>
            </c:strRef>
          </c:tx>
          <c:spPr>
            <a:ln w="28575" cap="rnd">
              <a:solidFill>
                <a:srgbClr val="203864"/>
              </a:solidFill>
              <a:round/>
            </a:ln>
            <a:effectLst/>
          </c:spPr>
          <c:marker>
            <c:symbol val="none"/>
          </c:marker>
          <c:dLbls>
            <c:dLbl>
              <c:idx val="0"/>
              <c:layout>
                <c:manualLayout>
                  <c:x val="-4.7474363338004602E-2"/>
                  <c:y val="-0.200989335948075"/>
                </c:manualLayout>
              </c:layout>
              <c:dLblPos val="r"/>
              <c:showLegendKey val="1"/>
              <c:showVal val="1"/>
              <c:showCatName val="0"/>
              <c:showSerName val="0"/>
              <c:showPercent val="0"/>
              <c:showBubbleSize val="0"/>
              <c:extLst xmlns:c16r2="http://schemas.microsoft.com/office/drawing/2015/06/chart">
                <c:ext xmlns:c16="http://schemas.microsoft.com/office/drawing/2014/chart" uri="{C3380CC4-5D6E-409C-BE32-E72D297353CC}">
                  <c16:uniqueId val="{0000000F-F0B7-4F16-9E74-96DD5D946FD9}"/>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0-F0B7-4F16-9E74-96DD5D946FD9}"/>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1-F0B7-4F16-9E74-96DD5D946FD9}"/>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2-F0B7-4F16-9E74-96DD5D946FD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3-F0B7-4F16-9E74-96DD5D946FD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4-F0B7-4F16-9E74-96DD5D946FD9}"/>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5-F0B7-4F16-9E74-96DD5D946FD9}"/>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6-F0B7-4F16-9E74-96DD5D946FD9}"/>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7-F0B7-4F16-9E74-96DD5D946FD9}"/>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8-F0B7-4F16-9E74-96DD5D946FD9}"/>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9-F0B7-4F16-9E74-96DD5D946FD9}"/>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A-F0B7-4F16-9E74-96DD5D946FD9}"/>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1B-F0B7-4F16-9E74-96DD5D946FD9}"/>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1C-F0B7-4F16-9E74-96DD5D946FD9}"/>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1D-F0B7-4F16-9E74-96DD5D946FD9}"/>
                </c:ext>
                <c:ext xmlns:c15="http://schemas.microsoft.com/office/drawing/2012/chart" uri="{CE6537A1-D6FC-4f65-9D91-7224C49458BB}"/>
              </c:extLst>
            </c:dLbl>
            <c:dLbl>
              <c:idx val="15"/>
              <c:layout>
                <c:manualLayout>
                  <c:x val="-5.7957015213716503E-2"/>
                  <c:y val="-0.18229972034874201"/>
                </c:manualLayout>
              </c:layout>
              <c:dLblPos val="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1.4'!$B$2:$Q$2</c:f>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'Figure 1.4'!$B$8:$Q$8</c:f>
              <c:numCache>
                <c:formatCode>0</c:formatCode>
                <c:ptCount val="16"/>
                <c:pt idx="0">
                  <c:v>7.7</c:v>
                </c:pt>
                <c:pt idx="1">
                  <c:v>7.1999999999999966</c:v>
                </c:pt>
                <c:pt idx="2">
                  <c:v>7.3999999999999986</c:v>
                </c:pt>
                <c:pt idx="3">
                  <c:v>7.3999999999999986</c:v>
                </c:pt>
                <c:pt idx="4">
                  <c:v>7.7</c:v>
                </c:pt>
                <c:pt idx="5">
                  <c:v>7.9</c:v>
                </c:pt>
                <c:pt idx="6">
                  <c:v>8.3000000000000007</c:v>
                </c:pt>
                <c:pt idx="7">
                  <c:v>8.3000000000000007</c:v>
                </c:pt>
                <c:pt idx="8">
                  <c:v>8.6</c:v>
                </c:pt>
                <c:pt idx="9">
                  <c:v>9.3000000000000007</c:v>
                </c:pt>
                <c:pt idx="10">
                  <c:v>9.3000000000000007</c:v>
                </c:pt>
                <c:pt idx="11">
                  <c:v>9.6</c:v>
                </c:pt>
                <c:pt idx="12">
                  <c:v>9.5</c:v>
                </c:pt>
                <c:pt idx="13">
                  <c:v>9.8000000000000007</c:v>
                </c:pt>
                <c:pt idx="14">
                  <c:v>9.8000000000000007</c:v>
                </c:pt>
                <c:pt idx="15">
                  <c:v>9.7000000000000011</c:v>
                </c:pt>
              </c:numCache>
            </c:numRef>
          </c:val>
          <c:smooth val="0"/>
          <c:extLst xmlns:c16r2="http://schemas.microsoft.com/office/drawing/2015/06/chart">
            <c:ext xmlns:c16="http://schemas.microsoft.com/office/drawing/2014/chart" uri="{C3380CC4-5D6E-409C-BE32-E72D297353CC}">
              <c16:uniqueId val="{0000001F-F0B7-4F16-9E74-96DD5D946FD9}"/>
            </c:ext>
          </c:extLst>
        </c:ser>
        <c:ser>
          <c:idx val="2"/>
          <c:order val="2"/>
          <c:tx>
            <c:strRef>
              <c:f>'Figure 1.4'!$A$5</c:f>
              <c:strCache>
                <c:ptCount val="1"/>
                <c:pt idx="0">
                  <c:v>Asian</c:v>
                </c:pt>
              </c:strCache>
            </c:strRef>
          </c:tx>
          <c:spPr>
            <a:ln w="28575" cap="rnd">
              <a:solidFill>
                <a:srgbClr val="3182BD"/>
              </a:solidFill>
              <a:round/>
            </a:ln>
            <a:effectLst/>
          </c:spPr>
          <c:marker>
            <c:symbol val="none"/>
          </c:marker>
          <c:dLbls>
            <c:dLbl>
              <c:idx val="0"/>
              <c:layout>
                <c:manualLayout>
                  <c:x val="-4.6269017145617E-2"/>
                  <c:y val="-0.17960190820858701"/>
                </c:manualLayout>
              </c:layout>
              <c:dLblPos val="r"/>
              <c:showLegendKey val="1"/>
              <c:showVal val="1"/>
              <c:showCatName val="0"/>
              <c:showSerName val="0"/>
              <c:showPercent val="0"/>
              <c:showBubbleSize val="0"/>
              <c:extLs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21-F0B7-4F16-9E74-96DD5D946FD9}"/>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22-F0B7-4F16-9E74-96DD5D946FD9}"/>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23-F0B7-4F16-9E74-96DD5D946FD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24-F0B7-4F16-9E74-96DD5D946FD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25-F0B7-4F16-9E74-96DD5D946FD9}"/>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6-F0B7-4F16-9E74-96DD5D946FD9}"/>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7-F0B7-4F16-9E74-96DD5D946FD9}"/>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28-F0B7-4F16-9E74-96DD5D946FD9}"/>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29-F0B7-4F16-9E74-96DD5D946FD9}"/>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2A-F0B7-4F16-9E74-96DD5D946FD9}"/>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2B-F0B7-4F16-9E74-96DD5D946FD9}"/>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2C-F0B7-4F16-9E74-96DD5D946FD9}"/>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2D-F0B7-4F16-9E74-96DD5D946FD9}"/>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2E-F0B7-4F16-9E74-96DD5D946FD9}"/>
                </c:ext>
                <c:ext xmlns:c15="http://schemas.microsoft.com/office/drawing/2012/chart" uri="{CE6537A1-D6FC-4f65-9D91-7224C49458BB}"/>
              </c:extLst>
            </c:dLbl>
            <c:dLbl>
              <c:idx val="15"/>
              <c:layout>
                <c:manualLayout>
                  <c:x val="-7.0044513573692693E-2"/>
                  <c:y val="-0.130251686132588"/>
                </c:manualLayout>
              </c:layout>
              <c:dLblPos val="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1.4'!$B$2:$Q$2</c:f>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'Figure 1.4'!$B$9:$Q$9</c:f>
              <c:numCache>
                <c:formatCode>0</c:formatCode>
                <c:ptCount val="16"/>
                <c:pt idx="0">
                  <c:v>3.5999999999999992</c:v>
                </c:pt>
                <c:pt idx="1">
                  <c:v>5.8999999999999986</c:v>
                </c:pt>
                <c:pt idx="2">
                  <c:v>6.6</c:v>
                </c:pt>
                <c:pt idx="3">
                  <c:v>6.5</c:v>
                </c:pt>
                <c:pt idx="4">
                  <c:v>7.0000000000000009</c:v>
                </c:pt>
                <c:pt idx="5">
                  <c:v>6.8000000000000007</c:v>
                </c:pt>
                <c:pt idx="6">
                  <c:v>7.0000000000000009</c:v>
                </c:pt>
                <c:pt idx="7">
                  <c:v>7.3999999999999986</c:v>
                </c:pt>
                <c:pt idx="8">
                  <c:v>7.7</c:v>
                </c:pt>
                <c:pt idx="9">
                  <c:v>7.9</c:v>
                </c:pt>
                <c:pt idx="10">
                  <c:v>8</c:v>
                </c:pt>
                <c:pt idx="11">
                  <c:v>8.2000000000000011</c:v>
                </c:pt>
                <c:pt idx="12">
                  <c:v>9</c:v>
                </c:pt>
                <c:pt idx="13">
                  <c:v>8.7000000000000011</c:v>
                </c:pt>
                <c:pt idx="14">
                  <c:v>8.9</c:v>
                </c:pt>
                <c:pt idx="15">
                  <c:v>9.1</c:v>
                </c:pt>
              </c:numCache>
            </c:numRef>
          </c:val>
          <c:smooth val="0"/>
          <c:extLst xmlns:c16r2="http://schemas.microsoft.com/office/drawing/2015/06/chart">
            <c:ext xmlns:c16="http://schemas.microsoft.com/office/drawing/2014/chart" uri="{C3380CC4-5D6E-409C-BE32-E72D297353CC}">
              <c16:uniqueId val="{00000030-F0B7-4F16-9E74-96DD5D946FD9}"/>
            </c:ext>
          </c:extLst>
        </c:ser>
        <c:ser>
          <c:idx val="3"/>
          <c:order val="3"/>
          <c:tx>
            <c:strRef>
              <c:f>'Figure 1.4'!$A$6</c:f>
              <c:strCache>
                <c:ptCount val="1"/>
                <c:pt idx="0">
                  <c:v>Hispanic</c:v>
                </c:pt>
              </c:strCache>
            </c:strRef>
          </c:tx>
          <c:spPr>
            <a:ln w="28575" cap="rnd">
              <a:solidFill>
                <a:srgbClr val="9ECAE1"/>
              </a:solidFill>
              <a:round/>
            </a:ln>
            <a:effectLst/>
          </c:spPr>
          <c:marker>
            <c:symbol val="none"/>
          </c:marker>
          <c:dLbls>
            <c:dLbl>
              <c:idx val="0"/>
              <c:layout>
                <c:manualLayout>
                  <c:x val="-4.8936599056487201E-2"/>
                  <c:y val="-0.24810001645007401"/>
                </c:manualLayout>
              </c:layout>
              <c:dLblPos val="r"/>
              <c:showLegendKey val="1"/>
              <c:showVal val="1"/>
              <c:showCatName val="0"/>
              <c:showSerName val="0"/>
              <c:showPercent val="0"/>
              <c:showBubbleSize val="0"/>
              <c:extLs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32-F0B7-4F16-9E74-96DD5D946FD9}"/>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33-F0B7-4F16-9E74-96DD5D946FD9}"/>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34-F0B7-4F16-9E74-96DD5D946FD9}"/>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35-F0B7-4F16-9E74-96DD5D946FD9}"/>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36-F0B7-4F16-9E74-96DD5D946FD9}"/>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37-F0B7-4F16-9E74-96DD5D946FD9}"/>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38-F0B7-4F16-9E74-96DD5D946FD9}"/>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39-F0B7-4F16-9E74-96DD5D946FD9}"/>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3A-F0B7-4F16-9E74-96DD5D946FD9}"/>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3B-F0B7-4F16-9E74-96DD5D946FD9}"/>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3C-F0B7-4F16-9E74-96DD5D946FD9}"/>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3D-F0B7-4F16-9E74-96DD5D946FD9}"/>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3E-F0B7-4F16-9E74-96DD5D946FD9}"/>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3F-F0B7-4F16-9E74-96DD5D946FD9}"/>
                </c:ext>
                <c:ext xmlns:c15="http://schemas.microsoft.com/office/drawing/2012/chart" uri="{CE6537A1-D6FC-4f65-9D91-7224C49458BB}"/>
              </c:extLst>
            </c:dLbl>
            <c:dLbl>
              <c:idx val="15"/>
              <c:layout>
                <c:manualLayout>
                  <c:x val="-5.7957015213716503E-2"/>
                  <c:y val="-0.16584964632340801"/>
                </c:manualLayout>
              </c:layout>
              <c:dLblPos val="r"/>
              <c:showLegendKey val="1"/>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1.4'!$B$2:$Q$2</c:f>
              <c:numCache>
                <c:formatCode>General</c:formatCode>
                <c:ptCount val="16"/>
                <c:pt idx="0">
                  <c:v>1990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'Figure 1.4'!$B$10:$Q$10</c:f>
              <c:numCache>
                <c:formatCode>0</c:formatCode>
                <c:ptCount val="16"/>
                <c:pt idx="0">
                  <c:v>9.1</c:v>
                </c:pt>
                <c:pt idx="1">
                  <c:v>11.6</c:v>
                </c:pt>
                <c:pt idx="2">
                  <c:v>11.8</c:v>
                </c:pt>
                <c:pt idx="3">
                  <c:v>12.2</c:v>
                </c:pt>
                <c:pt idx="4">
                  <c:v>12.5</c:v>
                </c:pt>
                <c:pt idx="5">
                  <c:v>13.1</c:v>
                </c:pt>
                <c:pt idx="6">
                  <c:v>13.8</c:v>
                </c:pt>
                <c:pt idx="7">
                  <c:v>13.9</c:v>
                </c:pt>
                <c:pt idx="8">
                  <c:v>14.2</c:v>
                </c:pt>
                <c:pt idx="9">
                  <c:v>14.7</c:v>
                </c:pt>
                <c:pt idx="10">
                  <c:v>14.5</c:v>
                </c:pt>
                <c:pt idx="11">
                  <c:v>17.5</c:v>
                </c:pt>
                <c:pt idx="12">
                  <c:v>18.099999999999991</c:v>
                </c:pt>
                <c:pt idx="13">
                  <c:v>17.2</c:v>
                </c:pt>
                <c:pt idx="14">
                  <c:v>17.599999999999991</c:v>
                </c:pt>
                <c:pt idx="15">
                  <c:v>18.099999999999991</c:v>
                </c:pt>
              </c:numCache>
            </c:numRef>
          </c:val>
          <c:smooth val="0"/>
          <c:extLst xmlns:c16r2="http://schemas.microsoft.com/office/drawing/2015/06/chart">
            <c:ext xmlns:c16="http://schemas.microsoft.com/office/drawing/2014/chart" uri="{C3380CC4-5D6E-409C-BE32-E72D297353CC}">
              <c16:uniqueId val="{00000040-F0B7-4F16-9E74-96DD5D946FD9}"/>
            </c:ext>
          </c:extLst>
        </c:ser>
        <c:dLbls>
          <c:dLblPos val="t"/>
          <c:showLegendKey val="0"/>
          <c:showVal val="1"/>
          <c:showCatName val="0"/>
          <c:showSerName val="0"/>
          <c:showPercent val="0"/>
          <c:showBubbleSize val="0"/>
        </c:dLbls>
        <c:marker val="1"/>
        <c:smooth val="0"/>
        <c:axId val="115093504"/>
        <c:axId val="115095040"/>
      </c:lineChart>
      <c:catAx>
        <c:axId val="11509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095040"/>
        <c:crosses val="autoZero"/>
        <c:auto val="1"/>
        <c:lblAlgn val="ctr"/>
        <c:lblOffset val="100"/>
        <c:noMultiLvlLbl val="0"/>
      </c:catAx>
      <c:valAx>
        <c:axId val="11509504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Percent of Total Births</a:t>
                </a:r>
              </a:p>
            </c:rich>
          </c:tx>
          <c:layout>
            <c:manualLayout>
              <c:xMode val="edge"/>
              <c:yMode val="edge"/>
              <c:x val="3.1391073260984899E-2"/>
              <c:y val="0.27392569663452498"/>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09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574726783570341"/>
          <c:y val="7.8582860069320609E-2"/>
          <c:w val="0.43904281332476475"/>
          <c:h val="0.87791818705588631"/>
        </c:manualLayout>
      </c:layout>
      <c:barChart>
        <c:barDir val="bar"/>
        <c:grouping val="clustered"/>
        <c:varyColors val="0"/>
        <c:ser>
          <c:idx val="0"/>
          <c:order val="0"/>
          <c:spPr>
            <a:solidFill>
              <a:srgbClr val="9ECAE1"/>
            </a:solidFill>
            <a:ln>
              <a:noFill/>
            </a:ln>
            <a:effectLst/>
          </c:spPr>
          <c:invertIfNegative val="0"/>
          <c:dLbls>
            <c:dLbl>
              <c:idx val="8"/>
              <c:layout>
                <c:manualLayout>
                  <c:x val="1.1732040201791021E-2"/>
                  <c:y val="1.0974237977202231E-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6C-4EA3-8959-DEE630CDCD90}"/>
                </c:ext>
              </c:extLst>
            </c:dLbl>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1.5'!$A$5:$A$15</c:f>
              <c:strCache>
                <c:ptCount val="11"/>
                <c:pt idx="0">
                  <c:v>Native Born</c:v>
                </c:pt>
                <c:pt idx="1">
                  <c:v>Foreign Born</c:v>
                </c:pt>
                <c:pt idx="3">
                  <c:v>English</c:v>
                </c:pt>
                <c:pt idx="4">
                  <c:v>Other</c:v>
                </c:pt>
                <c:pt idx="6">
                  <c:v>Africa</c:v>
                </c:pt>
                <c:pt idx="7">
                  <c:v>Latin America &amp; Carribbean</c:v>
                </c:pt>
                <c:pt idx="8">
                  <c:v>East &amp; Southeast Asia</c:v>
                </c:pt>
                <c:pt idx="9">
                  <c:v>Near East &amp; South Asia</c:v>
                </c:pt>
                <c:pt idx="10">
                  <c:v>Europe &amp; Central Asia</c:v>
                </c:pt>
              </c:strCache>
            </c:strRef>
          </c:cat>
          <c:val>
            <c:numRef>
              <c:f>'Figure 1.5'!$C$5:$C$15</c:f>
              <c:numCache>
                <c:formatCode>0</c:formatCode>
                <c:ptCount val="11"/>
                <c:pt idx="0">
                  <c:v>85</c:v>
                </c:pt>
                <c:pt idx="1">
                  <c:v>15</c:v>
                </c:pt>
                <c:pt idx="3">
                  <c:v>78</c:v>
                </c:pt>
                <c:pt idx="4">
                  <c:v>23</c:v>
                </c:pt>
                <c:pt idx="6">
                  <c:v>31</c:v>
                </c:pt>
                <c:pt idx="7">
                  <c:v>20</c:v>
                </c:pt>
                <c:pt idx="8">
                  <c:v>1</c:v>
                </c:pt>
                <c:pt idx="9">
                  <c:v>39</c:v>
                </c:pt>
                <c:pt idx="10">
                  <c:v>8</c:v>
                </c:pt>
              </c:numCache>
            </c:numRef>
          </c:val>
          <c:extLst xmlns:c16r2="http://schemas.microsoft.com/office/drawing/2015/06/chart">
            <c:ext xmlns:c16="http://schemas.microsoft.com/office/drawing/2014/chart" uri="{C3380CC4-5D6E-409C-BE32-E72D297353CC}">
              <c16:uniqueId val="{00000000-C86C-4EA3-8959-DEE630CDCD90}"/>
            </c:ext>
          </c:extLst>
        </c:ser>
        <c:dLbls>
          <c:dLblPos val="outEnd"/>
          <c:showLegendKey val="0"/>
          <c:showVal val="1"/>
          <c:showCatName val="0"/>
          <c:showSerName val="0"/>
          <c:showPercent val="0"/>
          <c:showBubbleSize val="0"/>
        </c:dLbls>
        <c:gapWidth val="108"/>
        <c:overlap val="-16"/>
        <c:axId val="115161728"/>
        <c:axId val="115172864"/>
      </c:barChart>
      <c:catAx>
        <c:axId val="1151617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ileron" panose="00000500000000000000" pitchFamily="50" charset="0"/>
                <a:ea typeface="+mn-ea"/>
                <a:cs typeface="+mn-cs"/>
              </a:defRPr>
            </a:pPr>
            <a:endParaRPr lang="en-US"/>
          </a:p>
        </c:txPr>
        <c:crossAx val="115172864"/>
        <c:crosses val="autoZero"/>
        <c:auto val="1"/>
        <c:lblAlgn val="ctr"/>
        <c:lblOffset val="100"/>
        <c:noMultiLvlLbl val="0"/>
      </c:catAx>
      <c:valAx>
        <c:axId val="115172864"/>
        <c:scaling>
          <c:orientation val="minMax"/>
        </c:scaling>
        <c:delete val="1"/>
        <c:axPos val="b"/>
        <c:numFmt formatCode="0" sourceLinked="1"/>
        <c:majorTickMark val="none"/>
        <c:minorTickMark val="none"/>
        <c:tickLblPos val="nextTo"/>
        <c:crossAx val="115161728"/>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Aileron" panose="00000500000000000000" pitchFamily="50"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594447879512807"/>
          <c:y val="0.10767649941167763"/>
          <c:w val="0.39211462808109881"/>
          <c:h val="0.86044640467863043"/>
        </c:manualLayout>
      </c:layout>
      <c:barChart>
        <c:barDir val="bar"/>
        <c:grouping val="clustered"/>
        <c:varyColors val="0"/>
        <c:ser>
          <c:idx val="0"/>
          <c:order val="0"/>
          <c:spPr>
            <a:solidFill>
              <a:srgbClr val="20386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1.5'!$A$5:$A$15</c:f>
              <c:strCache>
                <c:ptCount val="11"/>
                <c:pt idx="0">
                  <c:v>Native Born</c:v>
                </c:pt>
                <c:pt idx="1">
                  <c:v>Foreign Born</c:v>
                </c:pt>
                <c:pt idx="3">
                  <c:v>English</c:v>
                </c:pt>
                <c:pt idx="4">
                  <c:v>Other</c:v>
                </c:pt>
                <c:pt idx="6">
                  <c:v>Africa</c:v>
                </c:pt>
                <c:pt idx="7">
                  <c:v>Latin America &amp; Carribbean</c:v>
                </c:pt>
                <c:pt idx="8">
                  <c:v>East &amp; Southeast Asia</c:v>
                </c:pt>
                <c:pt idx="9">
                  <c:v>Near East &amp; South Asia</c:v>
                </c:pt>
                <c:pt idx="10">
                  <c:v>Europe &amp; Central Asia</c:v>
                </c:pt>
              </c:strCache>
            </c:strRef>
          </c:cat>
          <c:val>
            <c:numRef>
              <c:f>'Figure 1.5'!$B$5:$B$15</c:f>
              <c:numCache>
                <c:formatCode>0</c:formatCode>
                <c:ptCount val="11"/>
                <c:pt idx="0">
                  <c:v>87</c:v>
                </c:pt>
                <c:pt idx="1">
                  <c:v>13</c:v>
                </c:pt>
                <c:pt idx="3">
                  <c:v>79</c:v>
                </c:pt>
                <c:pt idx="4">
                  <c:v>21</c:v>
                </c:pt>
                <c:pt idx="6">
                  <c:v>32</c:v>
                </c:pt>
                <c:pt idx="7">
                  <c:v>3</c:v>
                </c:pt>
                <c:pt idx="8">
                  <c:v>2</c:v>
                </c:pt>
                <c:pt idx="9">
                  <c:v>35</c:v>
                </c:pt>
                <c:pt idx="10">
                  <c:v>28</c:v>
                </c:pt>
              </c:numCache>
            </c:numRef>
          </c:val>
          <c:extLst xmlns:c16r2="http://schemas.microsoft.com/office/drawing/2015/06/chart">
            <c:ext xmlns:c16="http://schemas.microsoft.com/office/drawing/2014/chart" uri="{C3380CC4-5D6E-409C-BE32-E72D297353CC}">
              <c16:uniqueId val="{00000000-74FF-4BE8-8A30-05C6C5FDFBE8}"/>
            </c:ext>
          </c:extLst>
        </c:ser>
        <c:dLbls>
          <c:dLblPos val="outEnd"/>
          <c:showLegendKey val="0"/>
          <c:showVal val="1"/>
          <c:showCatName val="0"/>
          <c:showSerName val="0"/>
          <c:showPercent val="0"/>
          <c:showBubbleSize val="0"/>
        </c:dLbls>
        <c:gapWidth val="108"/>
        <c:overlap val="-16"/>
        <c:axId val="115194112"/>
        <c:axId val="115217536"/>
      </c:barChart>
      <c:catAx>
        <c:axId val="115194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00" b="0" i="0" u="none" strike="noStrike" kern="1200" baseline="0">
                <a:solidFill>
                  <a:sysClr val="windowText" lastClr="000000"/>
                </a:solidFill>
                <a:latin typeface="+mn-lt"/>
                <a:ea typeface="+mn-ea"/>
                <a:cs typeface="+mn-cs"/>
              </a:defRPr>
            </a:pPr>
            <a:endParaRPr lang="en-US"/>
          </a:p>
        </c:txPr>
        <c:crossAx val="115217536"/>
        <c:crosses val="autoZero"/>
        <c:auto val="1"/>
        <c:lblAlgn val="ctr"/>
        <c:lblOffset val="100"/>
        <c:noMultiLvlLbl val="0"/>
      </c:catAx>
      <c:valAx>
        <c:axId val="115217536"/>
        <c:scaling>
          <c:orientation val="minMax"/>
        </c:scaling>
        <c:delete val="1"/>
        <c:axPos val="b"/>
        <c:numFmt formatCode="0" sourceLinked="1"/>
        <c:majorTickMark val="none"/>
        <c:minorTickMark val="none"/>
        <c:tickLblPos val="nextTo"/>
        <c:crossAx val="115194112"/>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mn-lt"/>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'Figure 1.6'!$B$3</c:f>
              <c:strCache>
                <c:ptCount val="1"/>
                <c:pt idx="0">
                  <c:v>Male/Female</c:v>
                </c:pt>
              </c:strCache>
            </c:strRef>
          </c:tx>
          <c:spPr>
            <a:solidFill>
              <a:srgbClr val="203864"/>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9-487D-4412-8E0D-1DA485113984}"/>
              </c:ext>
            </c:extLst>
          </c:dPt>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1.6'!$A$4:$A$16</c:f>
              <c:strCache>
                <c:ptCount val="13"/>
                <c:pt idx="0">
                  <c:v>2004 </c:v>
                </c:pt>
                <c:pt idx="1">
                  <c:v>2005</c:v>
                </c:pt>
                <c:pt idx="2">
                  <c:v>2006 </c:v>
                </c:pt>
                <c:pt idx="3">
                  <c:v>2007</c:v>
                </c:pt>
                <c:pt idx="4">
                  <c:v>2008 </c:v>
                </c:pt>
                <c:pt idx="5">
                  <c:v>2009</c:v>
                </c:pt>
                <c:pt idx="6">
                  <c:v>2010</c:v>
                </c:pt>
                <c:pt idx="7">
                  <c:v>2011</c:v>
                </c:pt>
                <c:pt idx="8">
                  <c:v>2012</c:v>
                </c:pt>
                <c:pt idx="9">
                  <c:v>2013</c:v>
                </c:pt>
                <c:pt idx="10">
                  <c:v>2014 </c:v>
                </c:pt>
                <c:pt idx="11">
                  <c:v>2015</c:v>
                </c:pt>
                <c:pt idx="12">
                  <c:v>2016</c:v>
                </c:pt>
              </c:strCache>
            </c:strRef>
          </c:cat>
          <c:val>
            <c:numRef>
              <c:f>'Figure 1.6'!$B$4:$B$16</c:f>
              <c:numCache>
                <c:formatCode>0%</c:formatCode>
                <c:ptCount val="13"/>
                <c:pt idx="0">
                  <c:v>0.85266578408954141</c:v>
                </c:pt>
                <c:pt idx="1">
                  <c:v>0.94785734173690739</c:v>
                </c:pt>
                <c:pt idx="2">
                  <c:v>0.96201931934830098</c:v>
                </c:pt>
                <c:pt idx="3">
                  <c:v>0.95978573501860309</c:v>
                </c:pt>
                <c:pt idx="4">
                  <c:v>0.94071445982179125</c:v>
                </c:pt>
                <c:pt idx="5">
                  <c:v>0.92240503199934076</c:v>
                </c:pt>
                <c:pt idx="6">
                  <c:v>0.93590271487002119</c:v>
                </c:pt>
                <c:pt idx="7">
                  <c:v>0.93910865196685656</c:v>
                </c:pt>
                <c:pt idx="8">
                  <c:v>0.94837403859128322</c:v>
                </c:pt>
                <c:pt idx="9">
                  <c:v>0.91303639326453012</c:v>
                </c:pt>
                <c:pt idx="10">
                  <c:v>0.92580751846543929</c:v>
                </c:pt>
                <c:pt idx="11">
                  <c:v>0.94648865153538053</c:v>
                </c:pt>
                <c:pt idx="12">
                  <c:v>0.94773137898567317</c:v>
                </c:pt>
              </c:numCache>
            </c:numRef>
          </c:val>
          <c:extLst xmlns:c16r2="http://schemas.microsoft.com/office/drawing/2015/06/chart">
            <c:ext xmlns:c16="http://schemas.microsoft.com/office/drawing/2014/chart" uri="{C3380CC4-5D6E-409C-BE32-E72D297353CC}">
              <c16:uniqueId val="{00000000-487D-4412-8E0D-1DA485113984}"/>
            </c:ext>
          </c:extLst>
        </c:ser>
        <c:ser>
          <c:idx val="1"/>
          <c:order val="1"/>
          <c:tx>
            <c:strRef>
              <c:f>'Figure 1.6'!$C$3</c:f>
              <c:strCache>
                <c:ptCount val="1"/>
                <c:pt idx="0">
                  <c:v>Male/Male</c:v>
                </c:pt>
              </c:strCache>
            </c:strRef>
          </c:tx>
          <c:spPr>
            <a:solidFill>
              <a:srgbClr val="C6DBEF"/>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1.6'!$A$4:$A$16</c:f>
              <c:strCache>
                <c:ptCount val="13"/>
                <c:pt idx="0">
                  <c:v>2004 </c:v>
                </c:pt>
                <c:pt idx="1">
                  <c:v>2005</c:v>
                </c:pt>
                <c:pt idx="2">
                  <c:v>2006 </c:v>
                </c:pt>
                <c:pt idx="3">
                  <c:v>2007</c:v>
                </c:pt>
                <c:pt idx="4">
                  <c:v>2008 </c:v>
                </c:pt>
                <c:pt idx="5">
                  <c:v>2009</c:v>
                </c:pt>
                <c:pt idx="6">
                  <c:v>2010</c:v>
                </c:pt>
                <c:pt idx="7">
                  <c:v>2011</c:v>
                </c:pt>
                <c:pt idx="8">
                  <c:v>2012</c:v>
                </c:pt>
                <c:pt idx="9">
                  <c:v>2013</c:v>
                </c:pt>
                <c:pt idx="10">
                  <c:v>2014 </c:v>
                </c:pt>
                <c:pt idx="11">
                  <c:v>2015</c:v>
                </c:pt>
                <c:pt idx="12">
                  <c:v>2016</c:v>
                </c:pt>
              </c:strCache>
            </c:strRef>
          </c:cat>
          <c:val>
            <c:numRef>
              <c:f>'Figure 1.6'!$C$4:$C$16</c:f>
              <c:numCache>
                <c:formatCode>0%</c:formatCode>
                <c:ptCount val="13"/>
                <c:pt idx="0">
                  <c:v>5.2376940666746898E-2</c:v>
                </c:pt>
                <c:pt idx="1">
                  <c:v>1.8629609942541828E-2</c:v>
                </c:pt>
                <c:pt idx="2">
                  <c:v>1.4292106440660122E-2</c:v>
                </c:pt>
                <c:pt idx="3">
                  <c:v>1.559490197113228E-2</c:v>
                </c:pt>
                <c:pt idx="4">
                  <c:v>2.3427132139858624E-2</c:v>
                </c:pt>
                <c:pt idx="5">
                  <c:v>2.9747026670695197E-2</c:v>
                </c:pt>
                <c:pt idx="6">
                  <c:v>2.3387960141645393E-2</c:v>
                </c:pt>
                <c:pt idx="7">
                  <c:v>2.2022187353758913E-2</c:v>
                </c:pt>
                <c:pt idx="8">
                  <c:v>1.9484549993253272E-2</c:v>
                </c:pt>
                <c:pt idx="9">
                  <c:v>4.0793047256925584E-2</c:v>
                </c:pt>
                <c:pt idx="10">
                  <c:v>3.2576342189394772E-2</c:v>
                </c:pt>
                <c:pt idx="11">
                  <c:v>2.4112149532710282E-2</c:v>
                </c:pt>
                <c:pt idx="12">
                  <c:v>2.3055195053057486E-2</c:v>
                </c:pt>
              </c:numCache>
            </c:numRef>
          </c:val>
          <c:extLst xmlns:c16r2="http://schemas.microsoft.com/office/drawing/2015/06/chart">
            <c:ext xmlns:c16="http://schemas.microsoft.com/office/drawing/2014/chart" uri="{C3380CC4-5D6E-409C-BE32-E72D297353CC}">
              <c16:uniqueId val="{00000001-487D-4412-8E0D-1DA485113984}"/>
            </c:ext>
          </c:extLst>
        </c:ser>
        <c:ser>
          <c:idx val="2"/>
          <c:order val="2"/>
          <c:tx>
            <c:strRef>
              <c:f>'Figure 1.6'!$D$3</c:f>
              <c:strCache>
                <c:ptCount val="1"/>
                <c:pt idx="0">
                  <c:v>Female/Female</c:v>
                </c:pt>
              </c:strCache>
            </c:strRef>
          </c:tx>
          <c:spPr>
            <a:solidFill>
              <a:srgbClr val="3182BD">
                <a:alpha val="69804"/>
              </a:srgb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'Figure 1.6'!$A$4:$A$16</c:f>
              <c:strCache>
                <c:ptCount val="13"/>
                <c:pt idx="0">
                  <c:v>2004 </c:v>
                </c:pt>
                <c:pt idx="1">
                  <c:v>2005</c:v>
                </c:pt>
                <c:pt idx="2">
                  <c:v>2006 </c:v>
                </c:pt>
                <c:pt idx="3">
                  <c:v>2007</c:v>
                </c:pt>
                <c:pt idx="4">
                  <c:v>2008 </c:v>
                </c:pt>
                <c:pt idx="5">
                  <c:v>2009</c:v>
                </c:pt>
                <c:pt idx="6">
                  <c:v>2010</c:v>
                </c:pt>
                <c:pt idx="7">
                  <c:v>2011</c:v>
                </c:pt>
                <c:pt idx="8">
                  <c:v>2012</c:v>
                </c:pt>
                <c:pt idx="9">
                  <c:v>2013</c:v>
                </c:pt>
                <c:pt idx="10">
                  <c:v>2014 </c:v>
                </c:pt>
                <c:pt idx="11">
                  <c:v>2015</c:v>
                </c:pt>
                <c:pt idx="12">
                  <c:v>2016</c:v>
                </c:pt>
              </c:strCache>
            </c:strRef>
          </c:cat>
          <c:val>
            <c:numRef>
              <c:f>'Figure 1.6'!$D$4:$D$16</c:f>
              <c:numCache>
                <c:formatCode>0%</c:formatCode>
                <c:ptCount val="13"/>
                <c:pt idx="0">
                  <c:v>9.4957275243711642E-2</c:v>
                </c:pt>
                <c:pt idx="1">
                  <c:v>3.3513048320550791E-2</c:v>
                </c:pt>
                <c:pt idx="2">
                  <c:v>2.366225357302661E-2</c:v>
                </c:pt>
                <c:pt idx="3">
                  <c:v>2.4619363010264666E-2</c:v>
                </c:pt>
                <c:pt idx="4">
                  <c:v>3.5289656853451777E-2</c:v>
                </c:pt>
                <c:pt idx="5">
                  <c:v>4.754580163155437E-2</c:v>
                </c:pt>
                <c:pt idx="6">
                  <c:v>4.0709324988333469E-2</c:v>
                </c:pt>
                <c:pt idx="7">
                  <c:v>3.8869160679384479E-2</c:v>
                </c:pt>
                <c:pt idx="8">
                  <c:v>3.2141411415463499E-2</c:v>
                </c:pt>
                <c:pt idx="9">
                  <c:v>4.6007604562737642E-2</c:v>
                </c:pt>
                <c:pt idx="10">
                  <c:v>4.0651526843787894E-2</c:v>
                </c:pt>
                <c:pt idx="11">
                  <c:v>2.9212283044058745E-2</c:v>
                </c:pt>
                <c:pt idx="12">
                  <c:v>2.8271878260427003E-2</c:v>
                </c:pt>
              </c:numCache>
            </c:numRef>
          </c:val>
          <c:extLst xmlns:c16r2="http://schemas.microsoft.com/office/drawing/2015/06/chart">
            <c:ext xmlns:c16="http://schemas.microsoft.com/office/drawing/2014/chart" uri="{C3380CC4-5D6E-409C-BE32-E72D297353CC}">
              <c16:uniqueId val="{00000002-487D-4412-8E0D-1DA485113984}"/>
            </c:ext>
          </c:extLst>
        </c:ser>
        <c:dLbls>
          <c:showLegendKey val="0"/>
          <c:showVal val="0"/>
          <c:showCatName val="0"/>
          <c:showSerName val="0"/>
          <c:showPercent val="0"/>
          <c:showBubbleSize val="0"/>
        </c:dLbls>
        <c:gapWidth val="30"/>
        <c:overlap val="100"/>
        <c:axId val="115276800"/>
        <c:axId val="115356416"/>
      </c:barChart>
      <c:catAx>
        <c:axId val="11527680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356416"/>
        <c:crosses val="autoZero"/>
        <c:auto val="1"/>
        <c:lblAlgn val="ctr"/>
        <c:lblOffset val="100"/>
        <c:noMultiLvlLbl val="0"/>
      </c:catAx>
      <c:valAx>
        <c:axId val="115356416"/>
        <c:scaling>
          <c:orientation val="minMax"/>
        </c:scaling>
        <c:delete val="0"/>
        <c:axPos val="l"/>
        <c:title>
          <c:tx>
            <c:rich>
              <a:bodyPr rot="-5400000" spcFirstLastPara="1" vertOverflow="ellipsis" vert="horz" wrap="square" anchor="ctr" anchorCtr="1"/>
              <a:lstStyle/>
              <a:p>
                <a:pPr>
                  <a:defRPr sz="1000" b="1" i="0" u="none" strike="noStrike" kern="1200" cap="none" baseline="0">
                    <a:solidFill>
                      <a:sysClr val="windowText" lastClr="000000"/>
                    </a:solidFill>
                    <a:latin typeface="+mn-lt"/>
                    <a:ea typeface="+mn-ea"/>
                    <a:cs typeface="+mn-cs"/>
                  </a:defRPr>
                </a:pPr>
                <a:r>
                  <a:rPr lang="en-US" b="1" cap="none" baseline="0"/>
                  <a:t>Percent of Marriages</a:t>
                </a:r>
              </a:p>
            </c:rich>
          </c:tx>
          <c:layout>
            <c:manualLayout>
              <c:xMode val="edge"/>
              <c:yMode val="edge"/>
              <c:x val="2.7804099124300246E-2"/>
              <c:y val="0.21350211431904345"/>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276800"/>
        <c:crosses val="autoZero"/>
        <c:crossBetween val="between"/>
      </c:valAx>
      <c:spPr>
        <a:noFill/>
        <a:ln>
          <a:noFill/>
        </a:ln>
        <a:effectLst/>
      </c:spPr>
    </c:plotArea>
    <c:legend>
      <c:legendPos val="b"/>
      <c:layout>
        <c:manualLayout>
          <c:xMode val="edge"/>
          <c:yMode val="edge"/>
          <c:x val="0.26458894216846895"/>
          <c:y val="0.86998651210265388"/>
          <c:w val="0.59214889463281373"/>
          <c:h val="8.371719160104987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1.7'!$B$10</c:f>
              <c:strCache>
                <c:ptCount val="1"/>
                <c:pt idx="0">
                  <c:v>Male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1.7'!$A$10:$A$16</c:f>
              <c:strCache>
                <c:ptCount val="5"/>
                <c:pt idx="0">
                  <c:v>0-17</c:v>
                </c:pt>
                <c:pt idx="1">
                  <c:v>18-34</c:v>
                </c:pt>
                <c:pt idx="2">
                  <c:v>35-64</c:v>
                </c:pt>
                <c:pt idx="3">
                  <c:v>65-74</c:v>
                </c:pt>
                <c:pt idx="4">
                  <c:v>75+</c:v>
                </c:pt>
              </c:strCache>
            </c:strRef>
          </c:cat>
          <c:val>
            <c:numRef>
              <c:f>'Figure 1.7'!$D$10:$D$16</c:f>
              <c:numCache>
                <c:formatCode>0</c:formatCode>
                <c:ptCount val="5"/>
                <c:pt idx="0">
                  <c:v>5.2200000000000006</c:v>
                </c:pt>
                <c:pt idx="1">
                  <c:v>6.1326005925142031</c:v>
                </c:pt>
                <c:pt idx="2">
                  <c:v>18.535976508985939</c:v>
                </c:pt>
                <c:pt idx="3">
                  <c:v>6.9997616322168472</c:v>
                </c:pt>
                <c:pt idx="4">
                  <c:v>9.8469469278059947</c:v>
                </c:pt>
              </c:numCache>
            </c:numRef>
          </c:val>
          <c:extLst xmlns:c16r2="http://schemas.microsoft.com/office/drawing/2015/06/chart">
            <c:ext xmlns:c16="http://schemas.microsoft.com/office/drawing/2014/chart" uri="{C3380CC4-5D6E-409C-BE32-E72D297353CC}">
              <c16:uniqueId val="{00000000-5420-4BAB-914D-EC4A870F901F}"/>
            </c:ext>
          </c:extLst>
        </c:ser>
        <c:ser>
          <c:idx val="1"/>
          <c:order val="1"/>
          <c:tx>
            <c:strRef>
              <c:f>'Figure 1.7'!$C$10</c:f>
              <c:strCache>
                <c:ptCount val="1"/>
                <c:pt idx="0">
                  <c:v>Female</c:v>
                </c:pt>
              </c:strCache>
            </c:strRef>
          </c:tx>
          <c:spPr>
            <a:pattFill prst="dkUpDiag">
              <a:fgClr>
                <a:srgbClr val="6BAED6"/>
              </a:fgClr>
              <a:bgClr>
                <a:sysClr val="window" lastClr="FFFFFF"/>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1.7'!$A$10:$A$16</c:f>
              <c:strCache>
                <c:ptCount val="5"/>
                <c:pt idx="0">
                  <c:v>0-17</c:v>
                </c:pt>
                <c:pt idx="1">
                  <c:v>18-34</c:v>
                </c:pt>
                <c:pt idx="2">
                  <c:v>35-64</c:v>
                </c:pt>
                <c:pt idx="3">
                  <c:v>65-74</c:v>
                </c:pt>
                <c:pt idx="4">
                  <c:v>75+</c:v>
                </c:pt>
              </c:strCache>
            </c:strRef>
          </c:cat>
          <c:val>
            <c:numRef>
              <c:f>'Figure 1.7'!$E$10:$E$16</c:f>
              <c:numCache>
                <c:formatCode>0</c:formatCode>
                <c:ptCount val="5"/>
                <c:pt idx="0">
                  <c:v>2.97</c:v>
                </c:pt>
                <c:pt idx="1">
                  <c:v>5.2273269017688984</c:v>
                </c:pt>
                <c:pt idx="2">
                  <c:v>20.347702632261377</c:v>
                </c:pt>
                <c:pt idx="3">
                  <c:v>8.0497586198767301</c:v>
                </c:pt>
                <c:pt idx="4">
                  <c:v>16.537616269779942</c:v>
                </c:pt>
              </c:numCache>
            </c:numRef>
          </c:val>
          <c:extLst xmlns:c16r2="http://schemas.microsoft.com/office/drawing/2015/06/chart">
            <c:ext xmlns:c16="http://schemas.microsoft.com/office/drawing/2014/chart" uri="{C3380CC4-5D6E-409C-BE32-E72D297353CC}">
              <c16:uniqueId val="{00000001-AD72-4430-BAAC-16BEC26E1475}"/>
            </c:ext>
          </c:extLst>
        </c:ser>
        <c:dLbls>
          <c:showLegendKey val="0"/>
          <c:showVal val="0"/>
          <c:showCatName val="0"/>
          <c:showSerName val="0"/>
          <c:showPercent val="0"/>
          <c:showBubbleSize val="0"/>
        </c:dLbls>
        <c:gapWidth val="108"/>
        <c:overlap val="-16"/>
        <c:axId val="115384704"/>
        <c:axId val="115386240"/>
      </c:barChart>
      <c:catAx>
        <c:axId val="11538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386240"/>
        <c:crosses val="autoZero"/>
        <c:auto val="1"/>
        <c:lblAlgn val="ctr"/>
        <c:lblOffset val="100"/>
        <c:noMultiLvlLbl val="0"/>
      </c:catAx>
      <c:valAx>
        <c:axId val="11538624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Percent of Population</a:t>
                </a:r>
              </a:p>
            </c:rich>
          </c:tx>
          <c:layout>
            <c:manualLayout>
              <c:xMode val="edge"/>
              <c:yMode val="edge"/>
              <c:x val="2.7777777777777776E-2"/>
              <c:y val="0.19494896471274423"/>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384704"/>
        <c:crosses val="autoZero"/>
        <c:crossBetween val="between"/>
        <c:min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203864"/>
            </a:solidFill>
            <a:ln>
              <a:noFill/>
            </a:ln>
            <a:effectLst/>
          </c:spPr>
          <c:invertIfNegative val="0"/>
          <c:dLbls>
            <c:dLbl>
              <c:idx val="0"/>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FDE-472F-A683-221E823FEAE2}"/>
                </c:ext>
              </c:extLst>
            </c:dLbl>
            <c:dLbl>
              <c:idx val="8"/>
              <c:layout>
                <c:manualLayout>
                  <c:x val="-1.2578616352201373E-2"/>
                  <c:y val="-4.4606135152186835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FDE-472F-A683-221E823FEAE2}"/>
                </c:ext>
              </c:extLst>
            </c:dLbl>
            <c:dLbl>
              <c:idx val="9"/>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FDE-472F-A683-221E823FEAE2}"/>
                </c:ext>
              </c:extLst>
            </c:dLbl>
            <c:dLbl>
              <c:idx val="10"/>
              <c:layout>
                <c:manualLayout>
                  <c:x val="1.8867924528301886E-2"/>
                  <c:y val="-4.8661800486618006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FDE-472F-A683-221E823FEAE2}"/>
                </c:ext>
              </c:extLst>
            </c:dLbl>
            <c:dLbl>
              <c:idx val="13"/>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FDE-472F-A683-221E823FEAE2}"/>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1.8'!$A$2:$A$15</c:f>
              <c:strCache>
                <c:ptCount val="14"/>
                <c:pt idx="0">
                  <c:v>&lt;20</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strCache>
            </c:strRef>
          </c:cat>
          <c:val>
            <c:numRef>
              <c:f>'Figure 1.8'!$B$2:$B$15</c:f>
              <c:numCache>
                <c:formatCode>#,##0</c:formatCode>
                <c:ptCount val="14"/>
                <c:pt idx="0">
                  <c:v>3887</c:v>
                </c:pt>
                <c:pt idx="1">
                  <c:v>10369</c:v>
                </c:pt>
                <c:pt idx="2">
                  <c:v>14102</c:v>
                </c:pt>
                <c:pt idx="3">
                  <c:v>14583</c:v>
                </c:pt>
                <c:pt idx="4">
                  <c:v>17858</c:v>
                </c:pt>
                <c:pt idx="5">
                  <c:v>22260</c:v>
                </c:pt>
                <c:pt idx="6">
                  <c:v>30845</c:v>
                </c:pt>
                <c:pt idx="7">
                  <c:v>32274</c:v>
                </c:pt>
                <c:pt idx="8">
                  <c:v>32287</c:v>
                </c:pt>
                <c:pt idx="9">
                  <c:v>58995</c:v>
                </c:pt>
                <c:pt idx="10">
                  <c:v>40200</c:v>
                </c:pt>
                <c:pt idx="11">
                  <c:v>32797</c:v>
                </c:pt>
                <c:pt idx="12">
                  <c:v>36212</c:v>
                </c:pt>
                <c:pt idx="13">
                  <c:v>36981</c:v>
                </c:pt>
              </c:numCache>
            </c:numRef>
          </c:val>
          <c:extLst xmlns:c16r2="http://schemas.microsoft.com/office/drawing/2015/06/chart">
            <c:ext xmlns:c16="http://schemas.microsoft.com/office/drawing/2014/chart" uri="{C3380CC4-5D6E-409C-BE32-E72D297353CC}">
              <c16:uniqueId val="{00000005-6FDE-472F-A683-221E823FEAE2}"/>
            </c:ext>
          </c:extLst>
        </c:ser>
        <c:dLbls>
          <c:showLegendKey val="0"/>
          <c:showVal val="0"/>
          <c:showCatName val="0"/>
          <c:showSerName val="0"/>
          <c:showPercent val="0"/>
          <c:showBubbleSize val="0"/>
        </c:dLbls>
        <c:gapWidth val="108"/>
        <c:overlap val="-16"/>
        <c:axId val="115410816"/>
        <c:axId val="115412352"/>
      </c:barChart>
      <c:catAx>
        <c:axId val="1154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412352"/>
        <c:crosses val="autoZero"/>
        <c:auto val="1"/>
        <c:lblAlgn val="ctr"/>
        <c:lblOffset val="100"/>
        <c:noMultiLvlLbl val="0"/>
      </c:catAx>
      <c:valAx>
        <c:axId val="11541235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Number of Veterans</a:t>
                </a:r>
              </a:p>
            </c:rich>
          </c:tx>
          <c:layout>
            <c:manualLayout>
              <c:xMode val="edge"/>
              <c:yMode val="edge"/>
              <c:x val="2.7777777777777776E-2"/>
              <c:y val="0.19494896471274423"/>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410816"/>
        <c:crosses val="autoZero"/>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35480460775736"/>
          <c:y val="5.536332179930796E-2"/>
          <c:w val="0.71237204724409453"/>
          <c:h val="0.69550433388537025"/>
        </c:manualLayout>
      </c:layout>
      <c:barChart>
        <c:barDir val="bar"/>
        <c:grouping val="clustered"/>
        <c:varyColors val="0"/>
        <c:ser>
          <c:idx val="0"/>
          <c:order val="0"/>
          <c:tx>
            <c:strRef>
              <c:f>'\\hria-fs\Berkeley\Common\Research&amp;Eval Dept\R&amp;E ACTIVE PROJECTS\MA SHA\SHA Report\Chapter 1\[MA SHA_Sociodemographics_Figures_Chloe.xlsx]Employment'!$A$19</c:f>
              <c:strCache>
                <c:ptCount val="1"/>
                <c:pt idx="0">
                  <c:v>US</c:v>
                </c:pt>
              </c:strCache>
            </c:strRef>
          </c:tx>
          <c:spPr>
            <a:solidFill>
              <a:srgbClr val="203864"/>
            </a:solidFill>
            <a:ln>
              <a:noFill/>
            </a:ln>
            <a:effectLst/>
          </c:spPr>
          <c:invertIfNegative val="0"/>
          <c:dLbls>
            <c:dLbl>
              <c:idx val="0"/>
              <c:layout>
                <c:manualLayout>
                  <c:x val="-9.5298877440149649E-17"/>
                  <c:y val="1.97897302207879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1DB-48C1-83BB-7B8D67C39620}"/>
                </c:ext>
              </c:extLst>
            </c:dLbl>
            <c:dLbl>
              <c:idx val="1"/>
              <c:layout>
                <c:manualLayout>
                  <c:x val="-9.5298877440149649E-17"/>
                  <c:y val="6.523113823165219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1DB-48C1-83BB-7B8D67C39620}"/>
                </c:ext>
              </c:extLst>
            </c:dLbl>
            <c:dLbl>
              <c:idx val="2"/>
              <c:layout>
                <c:manualLayout>
                  <c:x val="-9.5298877440149649E-17"/>
                  <c:y val="8.84466402116033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1DB-48C1-83BB-7B8D67C39620}"/>
                </c:ext>
              </c:extLst>
            </c:dLbl>
            <c:dLbl>
              <c:idx val="3"/>
              <c:layout>
                <c:manualLayout>
                  <c:x val="0"/>
                  <c:y val="1.32669960317405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1DB-48C1-83BB-7B8D67C39620}"/>
                </c:ext>
              </c:extLst>
            </c:dLbl>
            <c:dLbl>
              <c:idx val="4"/>
              <c:layout>
                <c:manualLayout>
                  <c:x val="0"/>
                  <c:y val="1.32676924619783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1DB-48C1-83BB-7B8D67C39620}"/>
                </c:ext>
              </c:extLst>
            </c:dLbl>
            <c:dLbl>
              <c:idx val="5"/>
              <c:layout>
                <c:manualLayout>
                  <c:x val="0"/>
                  <c:y val="8.844664021160417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1DB-48C1-83BB-7B8D67C39620}"/>
                </c:ext>
              </c:extLst>
            </c:dLbl>
            <c:dLbl>
              <c:idx val="6"/>
              <c:layout>
                <c:manualLayout>
                  <c:x val="-5.1981806367772231E-3"/>
                  <c:y val="1.32673442468595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1DB-48C1-83BB-7B8D67C39620}"/>
                </c:ext>
              </c:extLst>
            </c:dLbl>
            <c:dLbl>
              <c:idx val="7"/>
              <c:layout>
                <c:manualLayout>
                  <c:x val="0"/>
                  <c:y val="8.84466402116033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1DB-48C1-83BB-7B8D67C39620}"/>
                </c:ext>
              </c:extLst>
            </c:dLbl>
            <c:numFmt formatCode="&quot;$&quot;#,##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[2]Employment!$B$18:$I$18</c:f>
              <c:strCache>
                <c:ptCount val="8"/>
                <c:pt idx="0">
                  <c:v>Black</c:v>
                </c:pt>
                <c:pt idx="1">
                  <c:v>Latino (any race)</c:v>
                </c:pt>
                <c:pt idx="2">
                  <c:v>American Indian/Alaska Native</c:v>
                </c:pt>
                <c:pt idx="3">
                  <c:v>Asian</c:v>
                </c:pt>
                <c:pt idx="4">
                  <c:v>White, non-Latino</c:v>
                </c:pt>
                <c:pt idx="5">
                  <c:v>Native Hawaiian/Other Pacific Islander</c:v>
                </c:pt>
                <c:pt idx="6">
                  <c:v>Other</c:v>
                </c:pt>
                <c:pt idx="7">
                  <c:v>2 or More Races</c:v>
                </c:pt>
              </c:strCache>
            </c:strRef>
          </c:cat>
          <c:val>
            <c:numRef>
              <c:f>[2]Employment!$B$19:$I$19</c:f>
              <c:numCache>
                <c:formatCode>General</c:formatCode>
                <c:ptCount val="8"/>
                <c:pt idx="0">
                  <c:v>35695</c:v>
                </c:pt>
                <c:pt idx="1">
                  <c:v>42651</c:v>
                </c:pt>
                <c:pt idx="2">
                  <c:v>37408</c:v>
                </c:pt>
                <c:pt idx="3">
                  <c:v>74245</c:v>
                </c:pt>
                <c:pt idx="4">
                  <c:v>59542</c:v>
                </c:pt>
                <c:pt idx="5">
                  <c:v>52936</c:v>
                </c:pt>
                <c:pt idx="6">
                  <c:v>40625</c:v>
                </c:pt>
                <c:pt idx="7">
                  <c:v>48648</c:v>
                </c:pt>
              </c:numCache>
            </c:numRef>
          </c:val>
          <c:extLst xmlns:c16r2="http://schemas.microsoft.com/office/drawing/2015/06/chart">
            <c:ext xmlns:c16="http://schemas.microsoft.com/office/drawing/2014/chart" uri="{C3380CC4-5D6E-409C-BE32-E72D297353CC}">
              <c16:uniqueId val="{00000000-51DB-48C1-83BB-7B8D67C39620}"/>
            </c:ext>
          </c:extLst>
        </c:ser>
        <c:ser>
          <c:idx val="1"/>
          <c:order val="1"/>
          <c:tx>
            <c:strRef>
              <c:f>'\\hria-fs\Berkeley\Common\Research&amp;Eval Dept\R&amp;E ACTIVE PROJECTS\MA SHA\SHA Report\Chapter 1\[MA SHA_Sociodemographics_Figures_Chloe.xlsx]Employment'!$A$20</c:f>
              <c:strCache>
                <c:ptCount val="1"/>
                <c:pt idx="0">
                  <c:v>MA</c:v>
                </c:pt>
              </c:strCache>
            </c:strRef>
          </c:tx>
          <c:spPr>
            <a:pattFill prst="dkUpDiag">
              <a:fgClr>
                <a:srgbClr val="6BAED6"/>
              </a:fgClr>
              <a:bgClr>
                <a:sysClr val="window" lastClr="FFFFFF"/>
              </a:bgClr>
            </a:pattFill>
            <a:ln>
              <a:noFill/>
            </a:ln>
            <a:effectLst/>
          </c:spPr>
          <c:invertIfNegative val="0"/>
          <c:dLbls>
            <c:dLbl>
              <c:idx val="1"/>
              <c:layout>
                <c:manualLayout>
                  <c:x val="1.2995451591942819E-2"/>
                  <c:y val="-4.42233201058016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1DB-48C1-83BB-7B8D67C39620}"/>
                </c:ext>
              </c:extLst>
            </c:dLbl>
            <c:dLbl>
              <c:idx val="6"/>
              <c:layout>
                <c:manualLayout>
                  <c:x val="-2.5990903183885639E-3"/>
                  <c:y val="3.4821511902439546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1DB-48C1-83BB-7B8D67C39620}"/>
                </c:ext>
              </c:extLst>
            </c:dLbl>
            <c:numFmt formatCode="&quot;$&quot;#,##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[2]Employment!$B$18:$I$18</c:f>
              <c:strCache>
                <c:ptCount val="8"/>
                <c:pt idx="0">
                  <c:v>Black</c:v>
                </c:pt>
                <c:pt idx="1">
                  <c:v>Latino (any race)</c:v>
                </c:pt>
                <c:pt idx="2">
                  <c:v>American Indian/Alaska Native</c:v>
                </c:pt>
                <c:pt idx="3">
                  <c:v>Asian</c:v>
                </c:pt>
                <c:pt idx="4">
                  <c:v>White, non-Latino</c:v>
                </c:pt>
                <c:pt idx="5">
                  <c:v>Native Hawaiian/Other Pacific Islander</c:v>
                </c:pt>
                <c:pt idx="6">
                  <c:v>Other</c:v>
                </c:pt>
                <c:pt idx="7">
                  <c:v>2 or More Races</c:v>
                </c:pt>
              </c:strCache>
            </c:strRef>
          </c:cat>
          <c:val>
            <c:numRef>
              <c:f>[2]Employment!$B$20:$I$20</c:f>
              <c:numCache>
                <c:formatCode>General</c:formatCode>
                <c:ptCount val="8"/>
                <c:pt idx="0">
                  <c:v>42959</c:v>
                </c:pt>
                <c:pt idx="1">
                  <c:v>36171</c:v>
                </c:pt>
                <c:pt idx="2">
                  <c:v>38286</c:v>
                </c:pt>
                <c:pt idx="3">
                  <c:v>78996</c:v>
                </c:pt>
                <c:pt idx="4">
                  <c:v>74905</c:v>
                </c:pt>
                <c:pt idx="5">
                  <c:v>80658</c:v>
                </c:pt>
                <c:pt idx="6">
                  <c:v>32972</c:v>
                </c:pt>
                <c:pt idx="7">
                  <c:v>50484</c:v>
                </c:pt>
              </c:numCache>
            </c:numRef>
          </c:val>
          <c:extLst xmlns:c16r2="http://schemas.microsoft.com/office/drawing/2015/06/chart">
            <c:ext xmlns:c16="http://schemas.microsoft.com/office/drawing/2014/chart" uri="{C3380CC4-5D6E-409C-BE32-E72D297353CC}">
              <c16:uniqueId val="{00000001-51DB-48C1-83BB-7B8D67C39620}"/>
            </c:ext>
          </c:extLst>
        </c:ser>
        <c:dLbls>
          <c:showLegendKey val="0"/>
          <c:showVal val="0"/>
          <c:showCatName val="0"/>
          <c:showSerName val="0"/>
          <c:showPercent val="0"/>
          <c:showBubbleSize val="0"/>
        </c:dLbls>
        <c:gapWidth val="108"/>
        <c:overlap val="-16"/>
        <c:axId val="115502080"/>
        <c:axId val="115520256"/>
      </c:barChart>
      <c:catAx>
        <c:axId val="115502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520256"/>
        <c:crosses val="autoZero"/>
        <c:auto val="1"/>
        <c:lblAlgn val="ctr"/>
        <c:lblOffset val="100"/>
        <c:noMultiLvlLbl val="0"/>
      </c:catAx>
      <c:valAx>
        <c:axId val="11552025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sz="1000" b="1"/>
                  <a:t>Median Household Income</a:t>
                </a:r>
              </a:p>
            </c:rich>
          </c:tx>
          <c:layout>
            <c:manualLayout>
              <c:xMode val="edge"/>
              <c:yMode val="edge"/>
              <c:x val="0.5128533202355553"/>
              <c:y val="0.84436211865221245"/>
            </c:manualLayout>
          </c:layout>
          <c:overlay val="0"/>
          <c:spPr>
            <a:noFill/>
            <a:ln>
              <a:noFill/>
            </a:ln>
            <a:effectLst/>
          </c:sp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5502080"/>
        <c:crosses val="max"/>
        <c:crossBetween val="between"/>
        <c:minorUnit val="1.0000000000000002E-2"/>
      </c:valAx>
      <c:spPr>
        <a:noFill/>
        <a:ln>
          <a:noFill/>
        </a:ln>
        <a:effectLst/>
      </c:spPr>
    </c:plotArea>
    <c:legend>
      <c:legendPos val="b"/>
      <c:layout>
        <c:manualLayout>
          <c:xMode val="edge"/>
          <c:yMode val="edge"/>
          <c:x val="0.56396760346477148"/>
          <c:y val="0.91560902127872945"/>
          <c:w val="0.14756816216686364"/>
          <c:h val="7.996864671069034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0.65777</cdr:x>
      <cdr:y>0</cdr:y>
    </cdr:from>
    <cdr:to>
      <cdr:x>0.78832</cdr:x>
      <cdr:y>0.08062</cdr:y>
    </cdr:to>
    <cdr:sp macro="" textlink="">
      <cdr:nvSpPr>
        <cdr:cNvPr id="2" name="TextBox 1"/>
        <cdr:cNvSpPr txBox="1"/>
      </cdr:nvSpPr>
      <cdr:spPr>
        <a:xfrm xmlns:a="http://schemas.openxmlformats.org/drawingml/2006/main">
          <a:off x="1948906" y="0"/>
          <a:ext cx="386808" cy="2238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Aileron" panose="00000500000000000000" pitchFamily="50" charset="0"/>
            </a:rPr>
            <a:t>MA</a:t>
          </a:r>
        </a:p>
      </cdr:txBody>
    </cdr:sp>
  </cdr:relSizeAnchor>
  <cdr:relSizeAnchor xmlns:cdr="http://schemas.openxmlformats.org/drawingml/2006/chartDrawing">
    <cdr:from>
      <cdr:x>0</cdr:x>
      <cdr:y>0.03888</cdr:y>
    </cdr:from>
    <cdr:to>
      <cdr:x>0.2754</cdr:x>
      <cdr:y>0.12693</cdr:y>
    </cdr:to>
    <cdr:sp macro="" textlink="">
      <cdr:nvSpPr>
        <cdr:cNvPr id="3" name="TextBox 1"/>
        <cdr:cNvSpPr txBox="1"/>
      </cdr:nvSpPr>
      <cdr:spPr>
        <a:xfrm xmlns:a="http://schemas.openxmlformats.org/drawingml/2006/main">
          <a:off x="0" y="107950"/>
          <a:ext cx="815975" cy="2444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Aileron" panose="00000500000000000000" pitchFamily="50" charset="0"/>
            </a:rPr>
            <a:t>Nativity</a:t>
          </a:r>
        </a:p>
      </cdr:txBody>
    </cdr:sp>
  </cdr:relSizeAnchor>
  <cdr:relSizeAnchor xmlns:cdr="http://schemas.openxmlformats.org/drawingml/2006/chartDrawing">
    <cdr:from>
      <cdr:x>0</cdr:x>
      <cdr:y>0.24814</cdr:y>
    </cdr:from>
    <cdr:to>
      <cdr:x>0.55615</cdr:x>
      <cdr:y>0.33619</cdr:y>
    </cdr:to>
    <cdr:sp macro="" textlink="">
      <cdr:nvSpPr>
        <cdr:cNvPr id="4" name="TextBox 1"/>
        <cdr:cNvSpPr txBox="1"/>
      </cdr:nvSpPr>
      <cdr:spPr>
        <a:xfrm xmlns:a="http://schemas.openxmlformats.org/drawingml/2006/main">
          <a:off x="0" y="688975"/>
          <a:ext cx="1647824" cy="244475"/>
        </a:xfrm>
        <a:prstGeom xmlns:a="http://schemas.openxmlformats.org/drawingml/2006/main" prst="rect">
          <a:avLst/>
        </a:prstGeom>
        <a:solidFill xmlns:a="http://schemas.openxmlformats.org/drawingml/2006/main">
          <a:sysClr val="window" lastClr="FFFFFF"/>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Aileron" panose="00000500000000000000" pitchFamily="50" charset="0"/>
            </a:rPr>
            <a:t>Language</a:t>
          </a:r>
          <a:r>
            <a:rPr lang="en-US" sz="1000" b="1" baseline="0">
              <a:latin typeface="Aileron" panose="00000500000000000000" pitchFamily="50" charset="0"/>
            </a:rPr>
            <a:t> Preference</a:t>
          </a:r>
          <a:endParaRPr lang="en-US" sz="1000" b="1">
            <a:latin typeface="Aileron" panose="00000500000000000000" pitchFamily="50"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0.65777</cdr:x>
      <cdr:y>0</cdr:y>
    </cdr:from>
    <cdr:to>
      <cdr:x>0.78832</cdr:x>
      <cdr:y>0.08062</cdr:y>
    </cdr:to>
    <cdr:sp macro="" textlink="">
      <cdr:nvSpPr>
        <cdr:cNvPr id="2" name="TextBox 1"/>
        <cdr:cNvSpPr txBox="1"/>
      </cdr:nvSpPr>
      <cdr:spPr>
        <a:xfrm xmlns:a="http://schemas.openxmlformats.org/drawingml/2006/main">
          <a:off x="1948906" y="0"/>
          <a:ext cx="386808" cy="2238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Aileron" panose="00000500000000000000" pitchFamily="50" charset="0"/>
            </a:rPr>
            <a:t>US</a:t>
          </a:r>
        </a:p>
      </cdr:txBody>
    </cdr:sp>
  </cdr:relSizeAnchor>
  <cdr:relSizeAnchor xmlns:cdr="http://schemas.openxmlformats.org/drawingml/2006/chartDrawing">
    <cdr:from>
      <cdr:x>0.02127</cdr:x>
      <cdr:y>0.02639</cdr:y>
    </cdr:from>
    <cdr:to>
      <cdr:x>0.11441</cdr:x>
      <cdr:y>0.25144</cdr:y>
    </cdr:to>
    <cdr:sp macro="" textlink="">
      <cdr:nvSpPr>
        <cdr:cNvPr id="3" name="TextBox 1"/>
        <cdr:cNvSpPr txBox="1"/>
      </cdr:nvSpPr>
      <cdr:spPr>
        <a:xfrm xmlns:a="http://schemas.openxmlformats.org/drawingml/2006/main">
          <a:off x="85726" y="66676"/>
          <a:ext cx="375368" cy="568528"/>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mn-lt"/>
            </a:rPr>
            <a:t>Nativity</a:t>
          </a:r>
        </a:p>
      </cdr:txBody>
    </cdr:sp>
  </cdr:relSizeAnchor>
  <cdr:relSizeAnchor xmlns:cdr="http://schemas.openxmlformats.org/drawingml/2006/chartDrawing">
    <cdr:from>
      <cdr:x>0</cdr:x>
      <cdr:y>0.29786</cdr:y>
    </cdr:from>
    <cdr:to>
      <cdr:x>0.1158</cdr:x>
      <cdr:y>0.57621</cdr:y>
    </cdr:to>
    <cdr:sp macro="" textlink="">
      <cdr:nvSpPr>
        <cdr:cNvPr id="4" name="TextBox 1"/>
        <cdr:cNvSpPr txBox="1"/>
      </cdr:nvSpPr>
      <cdr:spPr>
        <a:xfrm xmlns:a="http://schemas.openxmlformats.org/drawingml/2006/main">
          <a:off x="0" y="752476"/>
          <a:ext cx="466725" cy="703196"/>
        </a:xfrm>
        <a:prstGeom xmlns:a="http://schemas.openxmlformats.org/drawingml/2006/main" prst="rect">
          <a:avLst/>
        </a:prstGeom>
        <a:solidFill xmlns:a="http://schemas.openxmlformats.org/drawingml/2006/main">
          <a:sysClr val="window" lastClr="FFFFFF"/>
        </a:solidFill>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mn-lt"/>
            </a:rPr>
            <a:t>Language</a:t>
          </a:r>
          <a:r>
            <a:rPr lang="en-US" sz="1000" b="1" baseline="0">
              <a:latin typeface="+mn-lt"/>
            </a:rPr>
            <a:t> Preference</a:t>
          </a:r>
          <a:endParaRPr lang="en-US" sz="1000" b="1">
            <a:latin typeface="+mn-lt"/>
          </a:endParaRPr>
        </a:p>
      </cdr:txBody>
    </cdr:sp>
  </cdr:relSizeAnchor>
  <cdr:relSizeAnchor xmlns:cdr="http://schemas.openxmlformats.org/drawingml/2006/chartDrawing">
    <cdr:from>
      <cdr:x>0</cdr:x>
      <cdr:y>0.65137</cdr:y>
    </cdr:from>
    <cdr:to>
      <cdr:x>0.13194</cdr:x>
      <cdr:y>0.91024</cdr:y>
    </cdr:to>
    <cdr:sp macro="" textlink="">
      <cdr:nvSpPr>
        <cdr:cNvPr id="5" name="TextBox 1"/>
        <cdr:cNvSpPr txBox="1"/>
      </cdr:nvSpPr>
      <cdr:spPr>
        <a:xfrm xmlns:a="http://schemas.openxmlformats.org/drawingml/2006/main">
          <a:off x="0" y="1485900"/>
          <a:ext cx="485775" cy="590549"/>
        </a:xfrm>
        <a:prstGeom xmlns:a="http://schemas.openxmlformats.org/drawingml/2006/main" prst="rect">
          <a:avLst/>
        </a:prstGeom>
        <a:solidFill xmlns:a="http://schemas.openxmlformats.org/drawingml/2006/main">
          <a:sysClr val="window" lastClr="FFFFFF"/>
        </a:solidFill>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a:latin typeface="+mn-lt"/>
            </a:rPr>
            <a:t>Refugee</a:t>
          </a:r>
          <a:r>
            <a:rPr lang="en-US" sz="1000" b="1" baseline="0">
              <a:latin typeface="+mn-lt"/>
            </a:rPr>
            <a:t> Arrivals</a:t>
          </a:r>
          <a:endParaRPr lang="en-US" sz="1000" b="1">
            <a:latin typeface="+mn-lt"/>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5C1EE-C548-44CB-A74C-7DD1345B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37</Pages>
  <Words>6247</Words>
  <Characters>35613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9</cp:revision>
  <cp:lastPrinted>2017-11-02T16:19:00Z</cp:lastPrinted>
  <dcterms:created xsi:type="dcterms:W3CDTF">2017-11-03T02:03:00Z</dcterms:created>
  <dcterms:modified xsi:type="dcterms:W3CDTF">2017-11-03T16:07:00Z</dcterms:modified>
</cp:coreProperties>
</file>