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0A1D6D" w14:textId="77777777" w:rsidR="00BA2E13" w:rsidRPr="006E7DBF" w:rsidRDefault="00BA2E13" w:rsidP="006E3904">
      <w:pPr>
        <w:pStyle w:val="Title"/>
        <w:rPr>
          <w:sz w:val="24"/>
          <w:szCs w:val="24"/>
        </w:rPr>
      </w:pPr>
      <w:r w:rsidRPr="006E7DBF">
        <w:rPr>
          <w:sz w:val="24"/>
          <w:szCs w:val="24"/>
        </w:rPr>
        <w:drawing>
          <wp:anchor distT="0" distB="0" distL="114300" distR="114300" simplePos="0" relativeHeight="251636736" behindDoc="1" locked="0" layoutInCell="1" allowOverlap="1" wp14:anchorId="5CA1B1A2" wp14:editId="7AC74C6C">
            <wp:simplePos x="0" y="0"/>
            <wp:positionH relativeFrom="column">
              <wp:posOffset>-698027</wp:posOffset>
            </wp:positionH>
            <wp:positionV relativeFrom="paragraph">
              <wp:posOffset>-1976755</wp:posOffset>
            </wp:positionV>
            <wp:extent cx="7772400" cy="11651674"/>
            <wp:effectExtent l="0" t="0" r="0" b="6985"/>
            <wp:wrapNone/>
            <wp:docPr id="36" name="Picture 36" descr="Young mother with preschool age daughter in the park blowing dandelions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errichetti\Downloads\iStock-14027256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165167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17B3B8" w14:textId="77777777" w:rsidR="00BA2E13" w:rsidRPr="006E7DBF" w:rsidRDefault="00BA2E13" w:rsidP="006E3904">
      <w:pPr>
        <w:pStyle w:val="Title"/>
        <w:rPr>
          <w:sz w:val="24"/>
          <w:szCs w:val="24"/>
        </w:rPr>
      </w:pPr>
    </w:p>
    <w:p w14:paraId="3D565A82" w14:textId="77777777" w:rsidR="00BA2E13" w:rsidRPr="006E7DBF" w:rsidRDefault="00BA2E13" w:rsidP="006E3904">
      <w:pPr>
        <w:pStyle w:val="Title"/>
        <w:rPr>
          <w:sz w:val="24"/>
          <w:szCs w:val="24"/>
        </w:rPr>
      </w:pPr>
    </w:p>
    <w:p w14:paraId="34DAFDB3" w14:textId="77777777" w:rsidR="00BA2E13" w:rsidRPr="006E7DBF" w:rsidRDefault="00BA2E13" w:rsidP="006E3904">
      <w:pPr>
        <w:pStyle w:val="Title"/>
        <w:rPr>
          <w:sz w:val="24"/>
          <w:szCs w:val="24"/>
        </w:rPr>
      </w:pPr>
    </w:p>
    <w:p w14:paraId="50439903" w14:textId="77777777" w:rsidR="00BA2E13" w:rsidRPr="006E7DBF" w:rsidRDefault="00BA2E13" w:rsidP="00BA2E13">
      <w:pPr>
        <w:rPr>
          <w:rFonts w:ascii="Aileron Light" w:eastAsiaTheme="majorEastAsia" w:hAnsi="Aileron Light" w:cstheme="majorBidi"/>
          <w:spacing w:val="-10"/>
          <w:kern w:val="28"/>
          <w:sz w:val="24"/>
          <w:szCs w:val="24"/>
        </w:rPr>
      </w:pPr>
      <w:r w:rsidRPr="006E7DBF">
        <w:rPr>
          <w:sz w:val="24"/>
          <w:szCs w:val="24"/>
        </w:rPr>
        <mc:AlternateContent>
          <mc:Choice Requires="wps">
            <w:drawing>
              <wp:anchor distT="0" distB="0" distL="114300" distR="114300" simplePos="0" relativeHeight="251629568" behindDoc="0" locked="0" layoutInCell="1" allowOverlap="1" wp14:anchorId="28579F2F" wp14:editId="37CE9E51">
                <wp:simplePos x="0" y="0"/>
                <wp:positionH relativeFrom="column">
                  <wp:posOffset>-687867</wp:posOffset>
                </wp:positionH>
                <wp:positionV relativeFrom="paragraph">
                  <wp:posOffset>487045</wp:posOffset>
                </wp:positionV>
                <wp:extent cx="7772400" cy="1518661"/>
                <wp:effectExtent l="0" t="0" r="0" b="5715"/>
                <wp:wrapNone/>
                <wp:docPr id="680" name="Rectangle 680"/>
                <wp:cNvGraphicFramePr/>
                <a:graphic xmlns:a="http://schemas.openxmlformats.org/drawingml/2006/main">
                  <a:graphicData uri="http://schemas.microsoft.com/office/word/2010/wordprocessingShape">
                    <wps:wsp>
                      <wps:cNvSpPr/>
                      <wps:spPr>
                        <a:xfrm>
                          <a:off x="0" y="0"/>
                          <a:ext cx="7772400" cy="1518661"/>
                        </a:xfrm>
                        <a:prstGeom prst="rect">
                          <a:avLst/>
                        </a:prstGeom>
                        <a:solidFill>
                          <a:schemeClr val="accent1">
                            <a:lumMod val="50000"/>
                          </a:schemeClr>
                        </a:solidFill>
                        <a:ln w="571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135D8E" w14:textId="600FC2ED" w:rsidR="003F257A" w:rsidRPr="00405E2B" w:rsidRDefault="003F257A" w:rsidP="00FC64DD">
                            <w:pPr>
                              <w:pStyle w:val="Chapter"/>
                            </w:pPr>
                            <w:r>
                              <w:t xml:space="preserve">        </w:t>
                            </w:r>
                            <w:r w:rsidRPr="00405E2B">
                              <w:t>CHAPTER 2</w:t>
                            </w:r>
                            <w:r>
                              <w:t xml:space="preserve"> </w:t>
                            </w:r>
                          </w:p>
                          <w:p w14:paraId="07F8EA6E" w14:textId="77777777" w:rsidR="003F257A" w:rsidRPr="00405E2B" w:rsidRDefault="003F257A" w:rsidP="00BA2E13">
                            <w:pPr>
                              <w:pStyle w:val="ChapterName"/>
                            </w:pPr>
                            <w:r w:rsidRPr="00405E2B">
                              <w:t>Maternal, Infant, and Child Health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80" o:spid="_x0000_s1048" style="position:absolute;left:0;text-align:left;margin-left:-54.15pt;margin-top:38.35pt;width:612pt;height:119.6pt;z-index:251629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" fillcolor="#1f3763 [1604]" stroked="f" strokeweight="4.5pt">
                <v:textbox>
                  <w:txbxContent>
                    <w:p w14:paraId="3E135D8E" w14:textId="600FC2ED" w:rsidR="003F257A" w:rsidRPr="00405E2B" w:rsidRDefault="003F257A" w:rsidP="00FC64DD">
                      <w:pPr>
                        <w:pStyle w:val="Chapter"/>
                      </w:pPr>
                      <w:r>
                        <w:t xml:space="preserve">        </w:t>
                      </w:r>
                      <w:r w:rsidRPr="00405E2B">
                        <w:t>CHAPTER 2</w:t>
                      </w:r>
                      <w:r>
                        <w:t xml:space="preserve"> </w:t>
                      </w:r>
                    </w:p>
                    <w:p w14:paraId="07F8EA6E" w14:textId="77777777" w:rsidR="003F257A" w:rsidRPr="00405E2B" w:rsidRDefault="003F257A" w:rsidP="00BA2E13">
                      <w:pPr>
                        <w:pStyle w:val="ChapterName"/>
                      </w:pPr>
                      <w:r w:rsidRPr="00405E2B">
                        <w:t>Maternal, Infant, and Child Health</w:t>
                      </w:r>
                    </w:p>
                  </w:txbxContent>
                </v:textbox>
              </v:rect>
            </w:pict>
          </mc:Fallback>
        </mc:AlternateContent>
      </w:r>
      <w:r w:rsidRPr="006E7DBF">
        <w:rPr>
          <w:sz w:val="24"/>
          <w:szCs w:val="24"/>
        </w:rPr>
        <w:br w:type="page"/>
      </w:r>
    </w:p>
    <w:p w14:paraId="4C51F1E3" w14:textId="77777777" w:rsidR="00BA2E13" w:rsidRPr="006E7DBF" w:rsidRDefault="00BA2E13" w:rsidP="006E3904">
      <w:pPr>
        <w:pStyle w:val="Title"/>
        <w:rPr>
          <w:sz w:val="24"/>
          <w:szCs w:val="24"/>
        </w:rPr>
      </w:pPr>
      <w:r w:rsidRPr="006E7DBF">
        <w:rPr>
          <w:sz w:val="24"/>
          <w:szCs w:val="24"/>
        </w:rPr>
        <w:lastRenderedPageBreak/>
        <w:drawing>
          <wp:anchor distT="0" distB="0" distL="114300" distR="114300" simplePos="0" relativeHeight="251649024" behindDoc="1" locked="0" layoutInCell="1" allowOverlap="1" wp14:anchorId="6151461F" wp14:editId="17CAC9CC">
            <wp:simplePos x="0" y="0"/>
            <wp:positionH relativeFrom="column">
              <wp:posOffset>-717550</wp:posOffset>
            </wp:positionH>
            <wp:positionV relativeFrom="paragraph">
              <wp:posOffset>-917413</wp:posOffset>
            </wp:positionV>
            <wp:extent cx="7833934" cy="4038600"/>
            <wp:effectExtent l="0" t="0" r="0" b="0"/>
            <wp:wrapNone/>
            <wp:docPr id="682" name="Picture 682" descr="Mother lying on grass holding a baby on her chest while smiling and happily gazing into each other’s ey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errichetti\Downloads\iStock-92024060.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6975"/>
                    <a:stretch/>
                  </pic:blipFill>
                  <pic:spPr bwMode="auto">
                    <a:xfrm>
                      <a:off x="0" y="0"/>
                      <a:ext cx="7833934" cy="4038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B97D95" w14:textId="77777777" w:rsidR="00BA2E13" w:rsidRPr="006E7DBF" w:rsidRDefault="00BA2E13" w:rsidP="006E3904">
      <w:pPr>
        <w:pStyle w:val="Title"/>
        <w:rPr>
          <w:sz w:val="24"/>
          <w:szCs w:val="24"/>
        </w:rPr>
      </w:pPr>
    </w:p>
    <w:p w14:paraId="2D13C174" w14:textId="77777777" w:rsidR="00BA2E13" w:rsidRPr="006E7DBF" w:rsidRDefault="00BA2E13" w:rsidP="006E3904">
      <w:pPr>
        <w:pStyle w:val="Title"/>
        <w:rPr>
          <w:sz w:val="24"/>
          <w:szCs w:val="24"/>
        </w:rPr>
      </w:pPr>
    </w:p>
    <w:p w14:paraId="69F15096" w14:textId="77777777" w:rsidR="00BA2E13" w:rsidRPr="006E7DBF" w:rsidRDefault="00BA2E13" w:rsidP="006E3904">
      <w:pPr>
        <w:pStyle w:val="Title"/>
        <w:rPr>
          <w:sz w:val="24"/>
          <w:szCs w:val="24"/>
        </w:rPr>
      </w:pPr>
    </w:p>
    <w:p w14:paraId="69AD7556" w14:textId="77777777" w:rsidR="00BA2E13" w:rsidRPr="006E7DBF" w:rsidRDefault="00BA2E13" w:rsidP="006E3904">
      <w:pPr>
        <w:pStyle w:val="Title"/>
        <w:rPr>
          <w:sz w:val="24"/>
          <w:szCs w:val="24"/>
        </w:rPr>
      </w:pPr>
    </w:p>
    <w:p w14:paraId="06C9CDED" w14:textId="77777777" w:rsidR="006E7DBF" w:rsidRDefault="006E7DBF" w:rsidP="00FC64DD">
      <w:pPr>
        <w:pStyle w:val="Chapter"/>
        <w:rPr>
          <w:sz w:val="24"/>
          <w:szCs w:val="24"/>
        </w:rPr>
      </w:pPr>
    </w:p>
    <w:p w14:paraId="06EDBAD8" w14:textId="77777777" w:rsidR="006E7DBF" w:rsidRDefault="006E7DBF" w:rsidP="00FC64DD">
      <w:pPr>
        <w:pStyle w:val="Chapter"/>
        <w:rPr>
          <w:sz w:val="24"/>
          <w:szCs w:val="24"/>
        </w:rPr>
      </w:pPr>
    </w:p>
    <w:p w14:paraId="6925975B" w14:textId="77777777" w:rsidR="006E7DBF" w:rsidRDefault="006E7DBF" w:rsidP="00FC64DD">
      <w:pPr>
        <w:pStyle w:val="Chapter"/>
        <w:rPr>
          <w:sz w:val="24"/>
          <w:szCs w:val="24"/>
        </w:rPr>
      </w:pPr>
    </w:p>
    <w:p w14:paraId="622C6250" w14:textId="77777777" w:rsidR="006E7DBF" w:rsidRDefault="006E7DBF" w:rsidP="00FC64DD">
      <w:pPr>
        <w:pStyle w:val="Chapter"/>
        <w:rPr>
          <w:sz w:val="24"/>
          <w:szCs w:val="24"/>
        </w:rPr>
      </w:pPr>
    </w:p>
    <w:p w14:paraId="5BC47240" w14:textId="77777777" w:rsidR="006E7DBF" w:rsidRDefault="006E7DBF" w:rsidP="00FC64DD">
      <w:pPr>
        <w:pStyle w:val="Chapter"/>
        <w:rPr>
          <w:sz w:val="24"/>
          <w:szCs w:val="24"/>
        </w:rPr>
      </w:pPr>
    </w:p>
    <w:p w14:paraId="1A5FDD44" w14:textId="77777777" w:rsidR="006E7DBF" w:rsidRDefault="006E7DBF" w:rsidP="00FC64DD">
      <w:pPr>
        <w:pStyle w:val="Chapter"/>
        <w:rPr>
          <w:sz w:val="24"/>
          <w:szCs w:val="24"/>
        </w:rPr>
      </w:pPr>
    </w:p>
    <w:p w14:paraId="6AB82F46" w14:textId="77777777" w:rsidR="006E7DBF" w:rsidRDefault="006E7DBF" w:rsidP="00FC64DD">
      <w:pPr>
        <w:pStyle w:val="Chapter"/>
        <w:rPr>
          <w:sz w:val="24"/>
          <w:szCs w:val="24"/>
        </w:rPr>
      </w:pPr>
    </w:p>
    <w:p w14:paraId="36FA8BC3" w14:textId="77777777" w:rsidR="006E7DBF" w:rsidRDefault="006E7DBF" w:rsidP="00FC64DD">
      <w:pPr>
        <w:pStyle w:val="Chapter"/>
        <w:rPr>
          <w:sz w:val="24"/>
          <w:szCs w:val="24"/>
        </w:rPr>
      </w:pPr>
    </w:p>
    <w:p w14:paraId="77ACB749" w14:textId="1F6D96ED" w:rsidR="00BA2E13" w:rsidRPr="006E7DBF" w:rsidRDefault="00BA2E13" w:rsidP="00FC64DD">
      <w:pPr>
        <w:pStyle w:val="Chapter"/>
        <w:rPr>
          <w:sz w:val="24"/>
          <w:szCs w:val="24"/>
        </w:rPr>
      </w:pPr>
      <w:r w:rsidRPr="006E7DBF">
        <w:rPr>
          <w:sz w:val="24"/>
          <w:szCs w:val="24"/>
        </w:rPr>
        <w:t>Maternal, Infant, and Child Health</w:t>
      </w:r>
    </w:p>
    <w:p w14:paraId="380063DB" w14:textId="4A5E4EF4" w:rsidR="00BA2E13" w:rsidRPr="006E7DBF" w:rsidRDefault="00BA2E13" w:rsidP="00D355BC">
      <w:pPr>
        <w:ind w:right="-360"/>
        <w:rPr>
          <w:sz w:val="24"/>
          <w:szCs w:val="24"/>
        </w:rPr>
      </w:pPr>
      <w:r w:rsidRPr="006E7DBF">
        <w:rPr>
          <w:sz w:val="24"/>
          <w:szCs w:val="24"/>
        </w:rPr>
        <w:t>This chapter presents information about trends, di</w:t>
      </w:r>
      <w:r w:rsidR="00C46CAB" w:rsidRPr="006E7DBF">
        <w:rPr>
          <w:sz w:val="24"/>
          <w:szCs w:val="24"/>
        </w:rPr>
        <w:t>sparities and resources related</w:t>
      </w:r>
      <w:r w:rsidRPr="006E7DBF">
        <w:rPr>
          <w:sz w:val="24"/>
          <w:szCs w:val="24"/>
        </w:rPr>
        <w:t xml:space="preserve"> to maternal, infant, and child health in Massachusetts. </w:t>
      </w:r>
    </w:p>
    <w:p w14:paraId="0203979D" w14:textId="18C8F014" w:rsidR="00BA2E13" w:rsidRPr="006E7DBF" w:rsidRDefault="00BA2E13" w:rsidP="00D355BC">
      <w:pPr>
        <w:ind w:right="-360"/>
        <w:rPr>
          <w:sz w:val="24"/>
          <w:szCs w:val="24"/>
        </w:rPr>
      </w:pPr>
      <w:r w:rsidRPr="006E7DBF">
        <w:rPr>
          <w:sz w:val="24"/>
          <w:szCs w:val="24"/>
        </w:rPr>
        <w:t>This chapter addresses the following topics:</w:t>
      </w:r>
    </w:p>
    <w:p w14:paraId="5EDC0759" w14:textId="20B4A4A1" w:rsidR="00BA2E13" w:rsidRPr="006E7DBF" w:rsidRDefault="00652B4B" w:rsidP="005953B5">
      <w:pPr>
        <w:pStyle w:val="ListParagraph"/>
        <w:numPr>
          <w:ilvl w:val="0"/>
          <w:numId w:val="9"/>
        </w:numPr>
        <w:spacing w:line="276" w:lineRule="auto"/>
        <w:ind w:right="-360"/>
        <w:rPr>
          <w:sz w:val="24"/>
          <w:szCs w:val="24"/>
        </w:rPr>
      </w:pPr>
      <w:r w:rsidRPr="006E7DBF">
        <w:rPr>
          <w:sz w:val="24"/>
          <w:szCs w:val="24"/>
        </w:rPr>
        <w:t>Infant Health</w:t>
      </w:r>
    </w:p>
    <w:p w14:paraId="3A12CCB5" w14:textId="5D039C8E" w:rsidR="00BA2E13" w:rsidRPr="006E7DBF" w:rsidRDefault="00BA2E13" w:rsidP="005953B5">
      <w:pPr>
        <w:pStyle w:val="ListParagraph"/>
        <w:numPr>
          <w:ilvl w:val="0"/>
          <w:numId w:val="9"/>
        </w:numPr>
        <w:ind w:right="-360"/>
        <w:rPr>
          <w:sz w:val="24"/>
          <w:szCs w:val="24"/>
        </w:rPr>
      </w:pPr>
      <w:r w:rsidRPr="006E7DBF">
        <w:rPr>
          <w:sz w:val="24"/>
          <w:szCs w:val="24"/>
        </w:rPr>
        <w:t>Child Health</w:t>
      </w:r>
    </w:p>
    <w:p w14:paraId="7E441165" w14:textId="4C06774B" w:rsidR="00BA2E13" w:rsidRPr="006E7DBF" w:rsidRDefault="00BA2E13" w:rsidP="005953B5">
      <w:pPr>
        <w:pStyle w:val="ListParagraph"/>
        <w:numPr>
          <w:ilvl w:val="0"/>
          <w:numId w:val="9"/>
        </w:numPr>
        <w:ind w:right="-360"/>
        <w:rPr>
          <w:sz w:val="24"/>
          <w:szCs w:val="24"/>
        </w:rPr>
      </w:pPr>
      <w:r w:rsidRPr="006E7DBF">
        <w:rPr>
          <w:sz w:val="24"/>
          <w:szCs w:val="24"/>
        </w:rPr>
        <w:t>Children and Youth with Special Health Care Needs</w:t>
      </w:r>
    </w:p>
    <w:p w14:paraId="145C4123" w14:textId="24A281B6" w:rsidR="00BA2E13" w:rsidRPr="006E7DBF" w:rsidRDefault="00BA2E13" w:rsidP="005953B5">
      <w:pPr>
        <w:pStyle w:val="ListParagraph"/>
        <w:numPr>
          <w:ilvl w:val="0"/>
          <w:numId w:val="9"/>
        </w:numPr>
        <w:ind w:right="-360"/>
        <w:rPr>
          <w:sz w:val="24"/>
          <w:szCs w:val="24"/>
        </w:rPr>
      </w:pPr>
      <w:r w:rsidRPr="006E7DBF">
        <w:rPr>
          <w:sz w:val="24"/>
          <w:szCs w:val="24"/>
        </w:rPr>
        <w:t>Women’s Health</w:t>
      </w:r>
    </w:p>
    <w:p w14:paraId="0C995AA5" w14:textId="69C5BB24" w:rsidR="000B520F" w:rsidRPr="006E7DBF" w:rsidRDefault="009771D5" w:rsidP="006E7DBF">
      <w:pPr>
        <w:pStyle w:val="ListParagraph"/>
        <w:numPr>
          <w:ilvl w:val="0"/>
          <w:numId w:val="9"/>
        </w:numPr>
        <w:ind w:right="-360"/>
        <w:rPr>
          <w:sz w:val="24"/>
          <w:szCs w:val="24"/>
        </w:rPr>
      </w:pPr>
      <w:r w:rsidRPr="006E7DBF">
        <w:rPr>
          <w:sz w:val="24"/>
          <w:szCs w:val="24"/>
        </w:rPr>
        <mc:AlternateContent>
          <mc:Choice Requires="wps">
            <w:drawing>
              <wp:anchor distT="0" distB="0" distL="114300" distR="114300" simplePos="0" relativeHeight="251663360" behindDoc="0" locked="0" layoutInCell="1" allowOverlap="1" wp14:anchorId="2E701CD9" wp14:editId="53AFD610">
                <wp:simplePos x="0" y="0"/>
                <wp:positionH relativeFrom="margin">
                  <wp:posOffset>-168275</wp:posOffset>
                </wp:positionH>
                <wp:positionV relativeFrom="margin">
                  <wp:posOffset>5706110</wp:posOffset>
                </wp:positionV>
                <wp:extent cx="6836410" cy="2412365"/>
                <wp:effectExtent l="0" t="0" r="2540" b="6985"/>
                <wp:wrapSquare wrapText="bothSides"/>
                <wp:docPr id="41" name="Rectangle 41"/>
                <wp:cNvGraphicFramePr/>
                <a:graphic xmlns:a="http://schemas.openxmlformats.org/drawingml/2006/main">
                  <a:graphicData uri="http://schemas.microsoft.com/office/word/2010/wordprocessingShape">
                    <wps:wsp>
                      <wps:cNvSpPr/>
                      <wps:spPr>
                        <a:xfrm>
                          <a:off x="0" y="0"/>
                          <a:ext cx="6836410" cy="241236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AA1574" w14:textId="77777777" w:rsidR="003F257A" w:rsidRPr="009771D5" w:rsidRDefault="003F257A" w:rsidP="009771D5">
                            <w:pPr>
                              <w:pStyle w:val="NoSpacing"/>
                              <w:spacing w:after="160"/>
                              <w:ind w:right="144"/>
                              <w:jc w:val="left"/>
                              <w:rPr>
                                <w:rFonts w:asciiTheme="minorHAnsi" w:hAnsiTheme="minorHAnsi"/>
                                <w:b/>
                                <w:color w:val="203864"/>
                                <w:sz w:val="22"/>
                                <w:szCs w:val="22"/>
                              </w:rPr>
                            </w:pPr>
                            <w:r w:rsidRPr="009771D5">
                              <w:rPr>
                                <w:rFonts w:asciiTheme="minorHAnsi" w:hAnsiTheme="minorHAnsi"/>
                                <w:b/>
                                <w:color w:val="203864"/>
                                <w:sz w:val="22"/>
                                <w:szCs w:val="22"/>
                              </w:rPr>
                              <w:t>Chapter Data Highlights</w:t>
                            </w:r>
                          </w:p>
                          <w:p w14:paraId="4905F7CE" w14:textId="50C24B60" w:rsidR="003F257A" w:rsidRPr="00BD6EC7" w:rsidRDefault="003F257A" w:rsidP="005953B5">
                            <w:pPr>
                              <w:pStyle w:val="NoSpacing"/>
                              <w:numPr>
                                <w:ilvl w:val="0"/>
                                <w:numId w:val="91"/>
                              </w:numPr>
                              <w:spacing w:after="60" w:line="276" w:lineRule="auto"/>
                              <w:ind w:right="144"/>
                              <w:jc w:val="left"/>
                              <w:rPr>
                                <w:rFonts w:asciiTheme="minorHAnsi" w:hAnsiTheme="minorHAnsi"/>
                                <w:color w:val="000000" w:themeColor="text1"/>
                                <w:sz w:val="22"/>
                                <w:szCs w:val="22"/>
                              </w:rPr>
                            </w:pPr>
                            <w:r w:rsidRPr="00C46CAB">
                              <w:rPr>
                                <w:rFonts w:asciiTheme="minorHAnsi" w:hAnsiTheme="minorHAnsi"/>
                                <w:color w:val="000000" w:themeColor="text1"/>
                                <w:sz w:val="22"/>
                                <w:szCs w:val="22"/>
                              </w:rPr>
                              <w:t>Preterm births are declining, but disparities remain</w:t>
                            </w:r>
                          </w:p>
                          <w:p w14:paraId="05006C90" w14:textId="604C0056" w:rsidR="003F257A" w:rsidRPr="00BD6EC7" w:rsidRDefault="003F257A" w:rsidP="005953B5">
                            <w:pPr>
                              <w:pStyle w:val="NoSpacing"/>
                              <w:numPr>
                                <w:ilvl w:val="0"/>
                                <w:numId w:val="91"/>
                              </w:numPr>
                              <w:spacing w:after="60" w:line="276" w:lineRule="auto"/>
                              <w:ind w:right="144"/>
                              <w:jc w:val="left"/>
                              <w:rPr>
                                <w:rFonts w:asciiTheme="minorHAnsi" w:hAnsiTheme="minorHAnsi"/>
                                <w:color w:val="000000" w:themeColor="text1"/>
                                <w:sz w:val="22"/>
                                <w:szCs w:val="22"/>
                              </w:rPr>
                            </w:pPr>
                            <w:r>
                              <w:rPr>
                                <w:rFonts w:asciiTheme="minorHAnsi" w:hAnsiTheme="minorHAnsi"/>
                                <w:color w:val="000000" w:themeColor="text1"/>
                                <w:sz w:val="22"/>
                                <w:szCs w:val="22"/>
                              </w:rPr>
                              <w:t>The i</w:t>
                            </w:r>
                            <w:r w:rsidRPr="00BD6EC7">
                              <w:rPr>
                                <w:rFonts w:asciiTheme="minorHAnsi" w:hAnsiTheme="minorHAnsi"/>
                                <w:color w:val="000000" w:themeColor="text1"/>
                                <w:sz w:val="22"/>
                                <w:szCs w:val="22"/>
                              </w:rPr>
                              <w:t xml:space="preserve">nfant mortality rate </w:t>
                            </w:r>
                            <w:r>
                              <w:rPr>
                                <w:rFonts w:asciiTheme="minorHAnsi" w:hAnsiTheme="minorHAnsi"/>
                                <w:color w:val="000000" w:themeColor="text1"/>
                                <w:sz w:val="22"/>
                                <w:szCs w:val="22"/>
                              </w:rPr>
                              <w:t xml:space="preserve">is the </w:t>
                            </w:r>
                            <w:r w:rsidRPr="00BD6EC7">
                              <w:rPr>
                                <w:rFonts w:asciiTheme="minorHAnsi" w:hAnsiTheme="minorHAnsi"/>
                                <w:color w:val="000000" w:themeColor="text1"/>
                                <w:sz w:val="22"/>
                                <w:szCs w:val="22"/>
                              </w:rPr>
                              <w:t>lowest in the nation, but disparities remain</w:t>
                            </w:r>
                          </w:p>
                          <w:p w14:paraId="7C5171CD" w14:textId="0EEB9B27" w:rsidR="003F257A" w:rsidRPr="00BD6EC7" w:rsidRDefault="003F257A" w:rsidP="006E7DBF">
                            <w:pPr>
                              <w:pStyle w:val="NoSpacing"/>
                              <w:numPr>
                                <w:ilvl w:val="0"/>
                                <w:numId w:val="91"/>
                              </w:numPr>
                              <w:spacing w:after="60" w:line="360" w:lineRule="auto"/>
                              <w:ind w:right="144"/>
                              <w:jc w:val="left"/>
                              <w:rPr>
                                <w:rFonts w:asciiTheme="minorHAnsi" w:hAnsiTheme="minorHAnsi"/>
                                <w:color w:val="000000" w:themeColor="text1"/>
                                <w:sz w:val="22"/>
                                <w:szCs w:val="22"/>
                              </w:rPr>
                            </w:pPr>
                            <w:r w:rsidRPr="00BD6EC7">
                              <w:rPr>
                                <w:rFonts w:asciiTheme="minorHAnsi" w:hAnsiTheme="minorHAnsi"/>
                                <w:color w:val="000000" w:themeColor="text1"/>
                                <w:sz w:val="22"/>
                                <w:szCs w:val="22"/>
                              </w:rPr>
                              <w:t xml:space="preserve">Among pregnant women enrolled in addiction treatment, opioids </w:t>
                            </w:r>
                            <w:r>
                              <w:rPr>
                                <w:rFonts w:asciiTheme="minorHAnsi" w:hAnsiTheme="minorHAnsi"/>
                                <w:color w:val="000000" w:themeColor="text1"/>
                                <w:sz w:val="22"/>
                                <w:szCs w:val="22"/>
                              </w:rPr>
                              <w:t xml:space="preserve">are the </w:t>
                            </w:r>
                            <w:r w:rsidRPr="00BD6EC7">
                              <w:rPr>
                                <w:rFonts w:asciiTheme="minorHAnsi" w:hAnsiTheme="minorHAnsi"/>
                                <w:color w:val="000000" w:themeColor="text1"/>
                                <w:sz w:val="22"/>
                                <w:szCs w:val="22"/>
                              </w:rPr>
                              <w:t>most common substance used in the past year</w:t>
                            </w:r>
                          </w:p>
                          <w:p w14:paraId="5B87CD17" w14:textId="764468F1" w:rsidR="003F257A" w:rsidRPr="00BD6EC7" w:rsidRDefault="003F257A" w:rsidP="005953B5">
                            <w:pPr>
                              <w:pStyle w:val="NoSpacing"/>
                              <w:numPr>
                                <w:ilvl w:val="0"/>
                                <w:numId w:val="91"/>
                              </w:numPr>
                              <w:spacing w:after="60" w:line="276" w:lineRule="auto"/>
                              <w:ind w:right="144"/>
                              <w:jc w:val="left"/>
                              <w:rPr>
                                <w:rFonts w:asciiTheme="minorHAnsi" w:hAnsiTheme="minorHAnsi"/>
                                <w:color w:val="000000" w:themeColor="text1"/>
                                <w:sz w:val="22"/>
                                <w:szCs w:val="22"/>
                              </w:rPr>
                            </w:pPr>
                            <w:r w:rsidRPr="00C46CAB">
                              <w:rPr>
                                <w:rFonts w:asciiTheme="minorHAnsi" w:hAnsiTheme="minorHAnsi"/>
                                <w:color w:val="000000" w:themeColor="text1"/>
                                <w:sz w:val="22"/>
                                <w:szCs w:val="22"/>
                              </w:rPr>
                              <w:t>Childhood overweight and obesity are de</w:t>
                            </w:r>
                            <w:r>
                              <w:rPr>
                                <w:rFonts w:asciiTheme="minorHAnsi" w:hAnsiTheme="minorHAnsi"/>
                                <w:color w:val="000000" w:themeColor="text1"/>
                                <w:sz w:val="22"/>
                                <w:szCs w:val="22"/>
                              </w:rPr>
                              <w:t>clining, but disparities remain</w:t>
                            </w:r>
                          </w:p>
                          <w:p w14:paraId="03D3E2DF" w14:textId="3CE21A4A" w:rsidR="003F257A" w:rsidRPr="00BD6EC7" w:rsidRDefault="003F257A" w:rsidP="005953B5">
                            <w:pPr>
                              <w:pStyle w:val="NoSpacing"/>
                              <w:numPr>
                                <w:ilvl w:val="0"/>
                                <w:numId w:val="91"/>
                              </w:numPr>
                              <w:spacing w:after="60" w:line="276" w:lineRule="auto"/>
                              <w:ind w:right="144"/>
                              <w:jc w:val="left"/>
                              <w:rPr>
                                <w:rFonts w:asciiTheme="minorHAnsi" w:hAnsiTheme="minorHAnsi"/>
                                <w:color w:val="000000" w:themeColor="text1"/>
                                <w:sz w:val="22"/>
                                <w:szCs w:val="22"/>
                              </w:rPr>
                            </w:pPr>
                            <w:r w:rsidRPr="00BD6EC7">
                              <w:rPr>
                                <w:rFonts w:asciiTheme="minorHAnsi" w:hAnsiTheme="minorHAnsi"/>
                                <w:color w:val="000000" w:themeColor="text1"/>
                                <w:sz w:val="22"/>
                                <w:szCs w:val="22"/>
                              </w:rPr>
                              <w:t xml:space="preserve">Receipt of adequate prenatal care </w:t>
                            </w:r>
                            <w:r>
                              <w:rPr>
                                <w:rFonts w:asciiTheme="minorHAnsi" w:hAnsiTheme="minorHAnsi"/>
                                <w:color w:val="000000" w:themeColor="text1"/>
                                <w:sz w:val="22"/>
                                <w:szCs w:val="22"/>
                              </w:rPr>
                              <w:t xml:space="preserve">is </w:t>
                            </w:r>
                            <w:r w:rsidRPr="00BD6EC7">
                              <w:rPr>
                                <w:rFonts w:asciiTheme="minorHAnsi" w:hAnsiTheme="minorHAnsi"/>
                                <w:color w:val="000000" w:themeColor="text1"/>
                                <w:sz w:val="22"/>
                                <w:szCs w:val="22"/>
                              </w:rPr>
                              <w:t>down f</w:t>
                            </w:r>
                            <w:r>
                              <w:rPr>
                                <w:rFonts w:asciiTheme="minorHAnsi" w:hAnsiTheme="minorHAnsi"/>
                                <w:color w:val="000000" w:themeColor="text1"/>
                                <w:sz w:val="22"/>
                                <w:szCs w:val="22"/>
                              </w:rPr>
                              <w:t>or all racial and ethnic groups</w:t>
                            </w:r>
                          </w:p>
                          <w:p w14:paraId="72B32D9F" w14:textId="3552F23A" w:rsidR="003F257A" w:rsidRPr="00BD6EC7" w:rsidRDefault="003F257A" w:rsidP="005953B5">
                            <w:pPr>
                              <w:pStyle w:val="NoSpacing"/>
                              <w:numPr>
                                <w:ilvl w:val="0"/>
                                <w:numId w:val="91"/>
                              </w:numPr>
                              <w:spacing w:after="160"/>
                              <w:ind w:right="144"/>
                              <w:jc w:val="left"/>
                              <w:rPr>
                                <w:rFonts w:asciiTheme="minorHAnsi" w:hAnsiTheme="minorHAnsi"/>
                                <w:color w:val="000000" w:themeColor="text1"/>
                                <w:sz w:val="22"/>
                                <w:szCs w:val="22"/>
                              </w:rPr>
                            </w:pPr>
                            <w:r>
                              <w:rPr>
                                <w:rFonts w:asciiTheme="minorHAnsi" w:hAnsiTheme="minorHAnsi"/>
                                <w:color w:val="000000" w:themeColor="text1"/>
                                <w:sz w:val="22"/>
                                <w:szCs w:val="22"/>
                              </w:rPr>
                              <w:t>Massachusetts has the l</w:t>
                            </w:r>
                            <w:r w:rsidRPr="00BD6EC7">
                              <w:rPr>
                                <w:rFonts w:asciiTheme="minorHAnsi" w:hAnsiTheme="minorHAnsi"/>
                                <w:color w:val="000000" w:themeColor="text1"/>
                                <w:sz w:val="22"/>
                                <w:szCs w:val="22"/>
                              </w:rPr>
                              <w:t>owest teen birth rate in the US</w:t>
                            </w:r>
                            <w:r>
                              <w:rPr>
                                <w:rFonts w:asciiTheme="minorHAnsi" w:hAnsiTheme="minorHAnsi"/>
                                <w:color w:val="000000" w:themeColor="text1"/>
                                <w:sz w:val="22"/>
                                <w:szCs w:val="22"/>
                              </w:rPr>
                              <w:t>, but disparities remain</w:t>
                            </w: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1" o:spid="_x0000_s1027" style="position:absolute;left:0;text-align:left;margin-left:-13.25pt;margin-top:449.3pt;width:538.3pt;height:189.9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" fillcolor="#d9e2f3 [660]" stroked="f" strokeweight="1pt">
                <v:textbox inset="14.4pt,,14.4pt">
                  <w:txbxContent>
                    <w:p w14:paraId="65AA1574" w14:textId="77777777" w:rsidR="003F257A" w:rsidRPr="009771D5" w:rsidRDefault="003F257A" w:rsidP="009771D5">
                      <w:pPr>
                        <w:pStyle w:val="NoSpacing"/>
                        <w:spacing w:after="160"/>
                        <w:ind w:right="144"/>
                        <w:jc w:val="left"/>
                        <w:rPr>
                          <w:rFonts w:asciiTheme="minorHAnsi" w:hAnsiTheme="minorHAnsi"/>
                          <w:b/>
                          <w:color w:val="203864"/>
                          <w:sz w:val="22"/>
                          <w:szCs w:val="22"/>
                        </w:rPr>
                      </w:pPr>
                      <w:r w:rsidRPr="009771D5">
                        <w:rPr>
                          <w:rFonts w:asciiTheme="minorHAnsi" w:hAnsiTheme="minorHAnsi"/>
                          <w:b/>
                          <w:color w:val="203864"/>
                          <w:sz w:val="22"/>
                          <w:szCs w:val="22"/>
                        </w:rPr>
                        <w:t>Chapter Data Highlights</w:t>
                      </w:r>
                    </w:p>
                    <w:p w14:paraId="4905F7CE" w14:textId="50C24B60" w:rsidR="003F257A" w:rsidRPr="00BD6EC7" w:rsidRDefault="003F257A" w:rsidP="005953B5">
                      <w:pPr>
                        <w:pStyle w:val="NoSpacing"/>
                        <w:numPr>
                          <w:ilvl w:val="0"/>
                          <w:numId w:val="91"/>
                        </w:numPr>
                        <w:spacing w:after="60" w:line="276" w:lineRule="auto"/>
                        <w:ind w:right="144"/>
                        <w:jc w:val="left"/>
                        <w:rPr>
                          <w:rFonts w:asciiTheme="minorHAnsi" w:hAnsiTheme="minorHAnsi"/>
                          <w:color w:val="000000" w:themeColor="text1"/>
                          <w:sz w:val="22"/>
                          <w:szCs w:val="22"/>
                        </w:rPr>
                      </w:pPr>
                      <w:r w:rsidRPr="00C46CAB">
                        <w:rPr>
                          <w:rFonts w:asciiTheme="minorHAnsi" w:hAnsiTheme="minorHAnsi"/>
                          <w:color w:val="000000" w:themeColor="text1"/>
                          <w:sz w:val="22"/>
                          <w:szCs w:val="22"/>
                        </w:rPr>
                        <w:t>Preterm births are declining, but disparities remain</w:t>
                      </w:r>
                    </w:p>
                    <w:p w14:paraId="05006C90" w14:textId="604C0056" w:rsidR="003F257A" w:rsidRPr="00BD6EC7" w:rsidRDefault="003F257A" w:rsidP="005953B5">
                      <w:pPr>
                        <w:pStyle w:val="NoSpacing"/>
                        <w:numPr>
                          <w:ilvl w:val="0"/>
                          <w:numId w:val="91"/>
                        </w:numPr>
                        <w:spacing w:after="60" w:line="276" w:lineRule="auto"/>
                        <w:ind w:right="144"/>
                        <w:jc w:val="left"/>
                        <w:rPr>
                          <w:rFonts w:asciiTheme="minorHAnsi" w:hAnsiTheme="minorHAnsi"/>
                          <w:color w:val="000000" w:themeColor="text1"/>
                          <w:sz w:val="22"/>
                          <w:szCs w:val="22"/>
                        </w:rPr>
                      </w:pPr>
                      <w:r>
                        <w:rPr>
                          <w:rFonts w:asciiTheme="minorHAnsi" w:hAnsiTheme="minorHAnsi"/>
                          <w:color w:val="000000" w:themeColor="text1"/>
                          <w:sz w:val="22"/>
                          <w:szCs w:val="22"/>
                        </w:rPr>
                        <w:t>The i</w:t>
                      </w:r>
                      <w:r w:rsidRPr="00BD6EC7">
                        <w:rPr>
                          <w:rFonts w:asciiTheme="minorHAnsi" w:hAnsiTheme="minorHAnsi"/>
                          <w:color w:val="000000" w:themeColor="text1"/>
                          <w:sz w:val="22"/>
                          <w:szCs w:val="22"/>
                        </w:rPr>
                        <w:t xml:space="preserve">nfant mortality rate </w:t>
                      </w:r>
                      <w:r>
                        <w:rPr>
                          <w:rFonts w:asciiTheme="minorHAnsi" w:hAnsiTheme="minorHAnsi"/>
                          <w:color w:val="000000" w:themeColor="text1"/>
                          <w:sz w:val="22"/>
                          <w:szCs w:val="22"/>
                        </w:rPr>
                        <w:t xml:space="preserve">is the </w:t>
                      </w:r>
                      <w:r w:rsidRPr="00BD6EC7">
                        <w:rPr>
                          <w:rFonts w:asciiTheme="minorHAnsi" w:hAnsiTheme="minorHAnsi"/>
                          <w:color w:val="000000" w:themeColor="text1"/>
                          <w:sz w:val="22"/>
                          <w:szCs w:val="22"/>
                        </w:rPr>
                        <w:t>lowest in the nation, but disparities remain</w:t>
                      </w:r>
                    </w:p>
                    <w:p w14:paraId="7C5171CD" w14:textId="0EEB9B27" w:rsidR="003F257A" w:rsidRPr="00BD6EC7" w:rsidRDefault="003F257A" w:rsidP="006E7DBF">
                      <w:pPr>
                        <w:pStyle w:val="NoSpacing"/>
                        <w:numPr>
                          <w:ilvl w:val="0"/>
                          <w:numId w:val="91"/>
                        </w:numPr>
                        <w:spacing w:after="60" w:line="360" w:lineRule="auto"/>
                        <w:ind w:right="144"/>
                        <w:jc w:val="left"/>
                        <w:rPr>
                          <w:rFonts w:asciiTheme="minorHAnsi" w:hAnsiTheme="minorHAnsi"/>
                          <w:color w:val="000000" w:themeColor="text1"/>
                          <w:sz w:val="22"/>
                          <w:szCs w:val="22"/>
                        </w:rPr>
                      </w:pPr>
                      <w:r w:rsidRPr="00BD6EC7">
                        <w:rPr>
                          <w:rFonts w:asciiTheme="minorHAnsi" w:hAnsiTheme="minorHAnsi"/>
                          <w:color w:val="000000" w:themeColor="text1"/>
                          <w:sz w:val="22"/>
                          <w:szCs w:val="22"/>
                        </w:rPr>
                        <w:t xml:space="preserve">Among pregnant women enrolled in addiction treatment, opioids </w:t>
                      </w:r>
                      <w:r>
                        <w:rPr>
                          <w:rFonts w:asciiTheme="minorHAnsi" w:hAnsiTheme="minorHAnsi"/>
                          <w:color w:val="000000" w:themeColor="text1"/>
                          <w:sz w:val="22"/>
                          <w:szCs w:val="22"/>
                        </w:rPr>
                        <w:t xml:space="preserve">are the </w:t>
                      </w:r>
                      <w:r w:rsidRPr="00BD6EC7">
                        <w:rPr>
                          <w:rFonts w:asciiTheme="minorHAnsi" w:hAnsiTheme="minorHAnsi"/>
                          <w:color w:val="000000" w:themeColor="text1"/>
                          <w:sz w:val="22"/>
                          <w:szCs w:val="22"/>
                        </w:rPr>
                        <w:t>most common substance used in the past year</w:t>
                      </w:r>
                    </w:p>
                    <w:p w14:paraId="5B87CD17" w14:textId="764468F1" w:rsidR="003F257A" w:rsidRPr="00BD6EC7" w:rsidRDefault="003F257A" w:rsidP="005953B5">
                      <w:pPr>
                        <w:pStyle w:val="NoSpacing"/>
                        <w:numPr>
                          <w:ilvl w:val="0"/>
                          <w:numId w:val="91"/>
                        </w:numPr>
                        <w:spacing w:after="60" w:line="276" w:lineRule="auto"/>
                        <w:ind w:right="144"/>
                        <w:jc w:val="left"/>
                        <w:rPr>
                          <w:rFonts w:asciiTheme="minorHAnsi" w:hAnsiTheme="minorHAnsi"/>
                          <w:color w:val="000000" w:themeColor="text1"/>
                          <w:sz w:val="22"/>
                          <w:szCs w:val="22"/>
                        </w:rPr>
                      </w:pPr>
                      <w:r w:rsidRPr="00C46CAB">
                        <w:rPr>
                          <w:rFonts w:asciiTheme="minorHAnsi" w:hAnsiTheme="minorHAnsi"/>
                          <w:color w:val="000000" w:themeColor="text1"/>
                          <w:sz w:val="22"/>
                          <w:szCs w:val="22"/>
                        </w:rPr>
                        <w:t>Childhood overweight and obesity are de</w:t>
                      </w:r>
                      <w:r>
                        <w:rPr>
                          <w:rFonts w:asciiTheme="minorHAnsi" w:hAnsiTheme="minorHAnsi"/>
                          <w:color w:val="000000" w:themeColor="text1"/>
                          <w:sz w:val="22"/>
                          <w:szCs w:val="22"/>
                        </w:rPr>
                        <w:t>clining, but disparities remain</w:t>
                      </w:r>
                    </w:p>
                    <w:p w14:paraId="03D3E2DF" w14:textId="3CE21A4A" w:rsidR="003F257A" w:rsidRPr="00BD6EC7" w:rsidRDefault="003F257A" w:rsidP="005953B5">
                      <w:pPr>
                        <w:pStyle w:val="NoSpacing"/>
                        <w:numPr>
                          <w:ilvl w:val="0"/>
                          <w:numId w:val="91"/>
                        </w:numPr>
                        <w:spacing w:after="60" w:line="276" w:lineRule="auto"/>
                        <w:ind w:right="144"/>
                        <w:jc w:val="left"/>
                        <w:rPr>
                          <w:rFonts w:asciiTheme="minorHAnsi" w:hAnsiTheme="minorHAnsi"/>
                          <w:color w:val="000000" w:themeColor="text1"/>
                          <w:sz w:val="22"/>
                          <w:szCs w:val="22"/>
                        </w:rPr>
                      </w:pPr>
                      <w:r w:rsidRPr="00BD6EC7">
                        <w:rPr>
                          <w:rFonts w:asciiTheme="minorHAnsi" w:hAnsiTheme="minorHAnsi"/>
                          <w:color w:val="000000" w:themeColor="text1"/>
                          <w:sz w:val="22"/>
                          <w:szCs w:val="22"/>
                        </w:rPr>
                        <w:t xml:space="preserve">Receipt of adequate prenatal care </w:t>
                      </w:r>
                      <w:r>
                        <w:rPr>
                          <w:rFonts w:asciiTheme="minorHAnsi" w:hAnsiTheme="minorHAnsi"/>
                          <w:color w:val="000000" w:themeColor="text1"/>
                          <w:sz w:val="22"/>
                          <w:szCs w:val="22"/>
                        </w:rPr>
                        <w:t xml:space="preserve">is </w:t>
                      </w:r>
                      <w:r w:rsidRPr="00BD6EC7">
                        <w:rPr>
                          <w:rFonts w:asciiTheme="minorHAnsi" w:hAnsiTheme="minorHAnsi"/>
                          <w:color w:val="000000" w:themeColor="text1"/>
                          <w:sz w:val="22"/>
                          <w:szCs w:val="22"/>
                        </w:rPr>
                        <w:t>down f</w:t>
                      </w:r>
                      <w:r>
                        <w:rPr>
                          <w:rFonts w:asciiTheme="minorHAnsi" w:hAnsiTheme="minorHAnsi"/>
                          <w:color w:val="000000" w:themeColor="text1"/>
                          <w:sz w:val="22"/>
                          <w:szCs w:val="22"/>
                        </w:rPr>
                        <w:t>or all racial and ethnic groups</w:t>
                      </w:r>
                    </w:p>
                    <w:p w14:paraId="72B32D9F" w14:textId="3552F23A" w:rsidR="003F257A" w:rsidRPr="00BD6EC7" w:rsidRDefault="003F257A" w:rsidP="005953B5">
                      <w:pPr>
                        <w:pStyle w:val="NoSpacing"/>
                        <w:numPr>
                          <w:ilvl w:val="0"/>
                          <w:numId w:val="91"/>
                        </w:numPr>
                        <w:spacing w:after="160"/>
                        <w:ind w:right="144"/>
                        <w:jc w:val="left"/>
                        <w:rPr>
                          <w:rFonts w:asciiTheme="minorHAnsi" w:hAnsiTheme="minorHAnsi"/>
                          <w:color w:val="000000" w:themeColor="text1"/>
                          <w:sz w:val="22"/>
                          <w:szCs w:val="22"/>
                        </w:rPr>
                      </w:pPr>
                      <w:r>
                        <w:rPr>
                          <w:rFonts w:asciiTheme="minorHAnsi" w:hAnsiTheme="minorHAnsi"/>
                          <w:color w:val="000000" w:themeColor="text1"/>
                          <w:sz w:val="22"/>
                          <w:szCs w:val="22"/>
                        </w:rPr>
                        <w:t>Massachusetts has the l</w:t>
                      </w:r>
                      <w:r w:rsidRPr="00BD6EC7">
                        <w:rPr>
                          <w:rFonts w:asciiTheme="minorHAnsi" w:hAnsiTheme="minorHAnsi"/>
                          <w:color w:val="000000" w:themeColor="text1"/>
                          <w:sz w:val="22"/>
                          <w:szCs w:val="22"/>
                        </w:rPr>
                        <w:t>owest teen birth rate in the US</w:t>
                      </w:r>
                      <w:r>
                        <w:rPr>
                          <w:rFonts w:asciiTheme="minorHAnsi" w:hAnsiTheme="minorHAnsi"/>
                          <w:color w:val="000000" w:themeColor="text1"/>
                          <w:sz w:val="22"/>
                          <w:szCs w:val="22"/>
                        </w:rPr>
                        <w:t>, but disparities remain</w:t>
                      </w:r>
                    </w:p>
                  </w:txbxContent>
                </v:textbox>
                <w10:wrap type="square" anchorx="margin" anchory="margin"/>
              </v:rect>
            </w:pict>
          </mc:Fallback>
        </mc:AlternateContent>
      </w:r>
      <w:r w:rsidR="00BA2E13" w:rsidRPr="006E7DBF">
        <w:rPr>
          <w:sz w:val="24"/>
          <w:szCs w:val="24"/>
        </w:rPr>
        <w:t>Selected Resources, Services</w:t>
      </w:r>
      <w:r w:rsidR="007E0624" w:rsidRPr="006E7DBF">
        <w:rPr>
          <w:sz w:val="24"/>
          <w:szCs w:val="24"/>
        </w:rPr>
        <w:t>,</w:t>
      </w:r>
      <w:r w:rsidR="00BA2E13" w:rsidRPr="006E7DBF">
        <w:rPr>
          <w:sz w:val="24"/>
          <w:szCs w:val="24"/>
        </w:rPr>
        <w:t xml:space="preserve"> and Programs</w:t>
      </w:r>
    </w:p>
    <w:p w14:paraId="31FC9BF5" w14:textId="1445FC0F" w:rsidR="00BA2E13" w:rsidRPr="006E7DBF" w:rsidRDefault="00BA2E13" w:rsidP="006E7DBF">
      <w:pPr>
        <w:pStyle w:val="Heading1"/>
        <w:spacing w:line="360" w:lineRule="auto"/>
        <w:rPr>
          <w:sz w:val="24"/>
          <w:szCs w:val="24"/>
        </w:rPr>
      </w:pPr>
      <w:r w:rsidRPr="006E7DBF">
        <w:rPr>
          <w:sz w:val="24"/>
          <w:szCs w:val="24"/>
        </w:rPr>
        <w:lastRenderedPageBreak/>
        <w:t>Overview</w:t>
      </w:r>
    </w:p>
    <w:p w14:paraId="78F47E9A" w14:textId="7495262F" w:rsidR="00C46CAB" w:rsidRPr="006E7DBF" w:rsidRDefault="00C46CAB" w:rsidP="006E7DBF">
      <w:pPr>
        <w:spacing w:line="360" w:lineRule="auto"/>
        <w:ind w:right="-360"/>
        <w:rPr>
          <w:sz w:val="24"/>
          <w:szCs w:val="24"/>
        </w:rPr>
      </w:pPr>
      <w:r w:rsidRPr="006E7DBF">
        <w:rPr>
          <w:sz w:val="24"/>
          <w:szCs w:val="24"/>
        </w:rPr>
        <w:t>Health outcomes for women, infants, and children in Massachusetts are some of the best in the nation; however, some racial, ethnic</w:t>
      </w:r>
      <w:r w:rsidR="009F6354" w:rsidRPr="006E7DBF">
        <w:rPr>
          <w:sz w:val="24"/>
          <w:szCs w:val="24"/>
        </w:rPr>
        <w:t>,</w:t>
      </w:r>
      <w:r w:rsidRPr="006E7DBF">
        <w:rPr>
          <w:sz w:val="24"/>
          <w:szCs w:val="24"/>
        </w:rPr>
        <w:t xml:space="preserve"> and socioeconomic disparities persist.</w:t>
      </w:r>
    </w:p>
    <w:p w14:paraId="37C9905E" w14:textId="3DDD96F1" w:rsidR="00BA2E13" w:rsidRPr="006E7DBF" w:rsidRDefault="00BA2E13" w:rsidP="006E7DBF">
      <w:pPr>
        <w:spacing w:line="360" w:lineRule="auto"/>
        <w:ind w:right="-360"/>
        <w:rPr>
          <w:rFonts w:eastAsiaTheme="majorEastAsia" w:cstheme="majorBidi"/>
          <w:sz w:val="24"/>
          <w:szCs w:val="24"/>
        </w:rPr>
      </w:pPr>
      <w:r w:rsidRPr="006E7DBF">
        <w:rPr>
          <w:sz w:val="24"/>
          <w:szCs w:val="24"/>
        </w:rPr>
        <w:t xml:space="preserve">Massachusetts devotes substantial resources to protecting and improving the health of these populations, offering nearly 50 programs and services targeted at pregnant women, infants, and children. </w:t>
      </w:r>
    </w:p>
    <w:p w14:paraId="4AB44A2D" w14:textId="40585110" w:rsidR="00BA2E13" w:rsidRPr="006E7DBF" w:rsidRDefault="00BA2E13" w:rsidP="006E7DBF">
      <w:pPr>
        <w:pStyle w:val="Heading2"/>
        <w:spacing w:line="360" w:lineRule="auto"/>
        <w:ind w:right="-360"/>
        <w:rPr>
          <w:sz w:val="24"/>
          <w:szCs w:val="24"/>
        </w:rPr>
      </w:pPr>
      <w:r w:rsidRPr="006E7DBF">
        <w:rPr>
          <w:sz w:val="24"/>
          <w:szCs w:val="24"/>
        </w:rPr>
        <w:t xml:space="preserve">Infant Health </w:t>
      </w:r>
    </w:p>
    <w:p w14:paraId="018E8CFF" w14:textId="31085A3E" w:rsidR="00BA2E13" w:rsidRPr="006E7DBF" w:rsidRDefault="00C46CAB" w:rsidP="006E7DBF">
      <w:pPr>
        <w:spacing w:line="360" w:lineRule="auto"/>
        <w:ind w:right="-360"/>
        <w:rPr>
          <w:sz w:val="24"/>
          <w:szCs w:val="24"/>
        </w:rPr>
      </w:pPr>
      <w:r w:rsidRPr="006E7DBF">
        <w:rPr>
          <w:sz w:val="24"/>
          <w:szCs w:val="24"/>
        </w:rPr>
        <w:t>Infant mortality is the best indicator of the health and well-being of a community or state, because the same biological, social, economic, and environmental risk factors that contribute to infant health also affect the health of the broader population.</w:t>
      </w:r>
    </w:p>
    <w:p w14:paraId="54C3D4A6" w14:textId="77777777" w:rsidR="00BA2E13" w:rsidRPr="006E7DBF" w:rsidRDefault="00BA2E13" w:rsidP="006E7DBF">
      <w:pPr>
        <w:spacing w:line="360" w:lineRule="auto"/>
        <w:ind w:right="-360"/>
        <w:rPr>
          <w:sz w:val="24"/>
          <w:szCs w:val="24"/>
        </w:rPr>
      </w:pPr>
      <w:r w:rsidRPr="006E7DBF">
        <w:rPr>
          <w:sz w:val="24"/>
          <w:szCs w:val="24"/>
        </w:rPr>
        <w:t>MDPH tracks and responds to trends and disparities in infant health with a multi-faceted approach that includes preventive services, screening programs, and intervention strategies.</w:t>
      </w:r>
    </w:p>
    <w:p w14:paraId="77C1BF1E" w14:textId="77777777" w:rsidR="00BA2E13" w:rsidRPr="006E7DBF" w:rsidRDefault="00BA2E13" w:rsidP="006E7DBF">
      <w:pPr>
        <w:pStyle w:val="Heading3"/>
        <w:spacing w:line="360" w:lineRule="auto"/>
        <w:rPr>
          <w:sz w:val="24"/>
          <w:szCs w:val="24"/>
        </w:rPr>
      </w:pPr>
      <w:r w:rsidRPr="006E7DBF">
        <w:rPr>
          <w:sz w:val="24"/>
          <w:szCs w:val="24"/>
        </w:rPr>
        <w:t>Preterm Birth</w:t>
      </w:r>
    </w:p>
    <w:p w14:paraId="5ECDCCE5" w14:textId="77777777" w:rsidR="00BA2E13" w:rsidRPr="006E7DBF" w:rsidRDefault="00BA2E13" w:rsidP="006E7DBF">
      <w:pPr>
        <w:spacing w:line="360" w:lineRule="auto"/>
        <w:ind w:right="-360"/>
        <w:rPr>
          <w:sz w:val="24"/>
          <w:szCs w:val="24"/>
        </w:rPr>
      </w:pPr>
      <w:r w:rsidRPr="006E7DBF">
        <w:rPr>
          <w:sz w:val="24"/>
          <w:szCs w:val="24"/>
        </w:rPr>
        <w:t>Preterm birth refers to the birth of an infant that occurs before the 37</w:t>
      </w:r>
      <w:r w:rsidRPr="006E7DBF">
        <w:rPr>
          <w:sz w:val="24"/>
          <w:szCs w:val="24"/>
          <w:vertAlign w:val="superscript"/>
        </w:rPr>
        <w:t>th</w:t>
      </w:r>
      <w:r w:rsidRPr="006E7DBF">
        <w:rPr>
          <w:sz w:val="24"/>
          <w:szCs w:val="24"/>
        </w:rPr>
        <w:t xml:space="preserve"> week of gestation. Preterm birth is a major contributor to infant mortality; two-thirds of all infant deaths occur among infants born preterm.</w:t>
      </w:r>
      <w:r w:rsidRPr="006E7DBF">
        <w:rPr>
          <w:rStyle w:val="EndnoteReference"/>
          <w:sz w:val="24"/>
          <w:szCs w:val="24"/>
        </w:rPr>
        <w:endnoteReference w:id="2"/>
      </w:r>
      <w:r w:rsidRPr="006E7DBF">
        <w:rPr>
          <w:sz w:val="24"/>
          <w:szCs w:val="24"/>
        </w:rPr>
        <w:t xml:space="preserve"> Preterm birth is also a major cause of infant morbidity and long-term neuro-developmental and behavioral disabilities, particularly if the birth occurs before 34 weeks of gestation.</w:t>
      </w:r>
      <w:r w:rsidRPr="006E7DBF">
        <w:rPr>
          <w:rStyle w:val="EndnoteReference"/>
          <w:sz w:val="24"/>
          <w:szCs w:val="24"/>
        </w:rPr>
        <w:endnoteReference w:id="3"/>
      </w:r>
      <w:r w:rsidRPr="006E7DBF">
        <w:rPr>
          <w:sz w:val="24"/>
          <w:szCs w:val="24"/>
        </w:rPr>
        <w:t xml:space="preserve"> Additionally, infants who are born preterm are more likely to be re-hospitalized in the first year of life.</w:t>
      </w:r>
      <w:r w:rsidRPr="006E7DBF">
        <w:rPr>
          <w:rStyle w:val="EndnoteReference"/>
          <w:sz w:val="24"/>
          <w:szCs w:val="24"/>
        </w:rPr>
        <w:endnoteReference w:id="4"/>
      </w:r>
      <w:r w:rsidRPr="006E7DBF">
        <w:rPr>
          <w:sz w:val="24"/>
          <w:szCs w:val="24"/>
        </w:rPr>
        <w:t xml:space="preserve"> </w:t>
      </w:r>
    </w:p>
    <w:p w14:paraId="183A55B8" w14:textId="5C644D1C" w:rsidR="00BA2E13" w:rsidRPr="006E7DBF" w:rsidRDefault="00BA2E13" w:rsidP="006E7DBF">
      <w:pPr>
        <w:spacing w:line="360" w:lineRule="auto"/>
        <w:ind w:right="-360"/>
        <w:rPr>
          <w:sz w:val="24"/>
          <w:szCs w:val="24"/>
        </w:rPr>
      </w:pPr>
      <w:r w:rsidRPr="006E7DBF">
        <w:rPr>
          <w:sz w:val="24"/>
          <w:szCs w:val="24"/>
        </w:rPr>
        <w:t>Women of lower socioeconomic status, those who receive poor care during pregnancy, and those of younger or older ages are at increased risk of preterm birth. Other risk factors for preterm birth include elevated stress in the second trimester; behavioral risk factors such as smoking, drug use, or alcohol consumption; heavy physical labor; malnutrition; obstetric history including a previous preterm birth</w:t>
      </w:r>
      <w:r w:rsidR="00C46CAB" w:rsidRPr="006E7DBF">
        <w:rPr>
          <w:sz w:val="24"/>
          <w:szCs w:val="24"/>
        </w:rPr>
        <w:t xml:space="preserve"> and multiple births</w:t>
      </w:r>
      <w:r w:rsidRPr="006E7DBF">
        <w:rPr>
          <w:sz w:val="24"/>
          <w:szCs w:val="24"/>
        </w:rPr>
        <w:t>;</w:t>
      </w:r>
      <w:r w:rsidRPr="006E7DBF">
        <w:rPr>
          <w:rStyle w:val="EndnoteReference"/>
          <w:sz w:val="24"/>
          <w:szCs w:val="24"/>
        </w:rPr>
        <w:t xml:space="preserve"> </w:t>
      </w:r>
      <w:r w:rsidRPr="006E7DBF">
        <w:rPr>
          <w:sz w:val="24"/>
          <w:szCs w:val="24"/>
        </w:rPr>
        <w:t>and pregnancy complications in the current pregnancy.</w:t>
      </w:r>
      <w:r w:rsidRPr="006E7DBF">
        <w:rPr>
          <w:rStyle w:val="EndnoteReference"/>
          <w:sz w:val="24"/>
          <w:szCs w:val="24"/>
        </w:rPr>
        <w:endnoteReference w:id="5"/>
      </w:r>
      <w:r w:rsidRPr="006E7DBF">
        <w:rPr>
          <w:sz w:val="24"/>
          <w:szCs w:val="24"/>
          <w:vertAlign w:val="superscript"/>
        </w:rPr>
        <w:t>,</w:t>
      </w:r>
      <w:r w:rsidRPr="006E7DBF" w:rsidDel="0096654B">
        <w:rPr>
          <w:rStyle w:val="EndnoteReference"/>
          <w:sz w:val="24"/>
          <w:szCs w:val="24"/>
        </w:rPr>
        <w:t xml:space="preserve"> </w:t>
      </w:r>
      <w:r w:rsidRPr="006E7DBF">
        <w:rPr>
          <w:rStyle w:val="EndnoteReference"/>
          <w:sz w:val="24"/>
          <w:szCs w:val="24"/>
        </w:rPr>
        <w:endnoteReference w:id="6"/>
      </w:r>
      <w:r w:rsidRPr="006E7DBF">
        <w:rPr>
          <w:sz w:val="24"/>
          <w:szCs w:val="24"/>
          <w:vertAlign w:val="superscript"/>
        </w:rPr>
        <w:t>,</w:t>
      </w:r>
      <w:r w:rsidRPr="006E7DBF" w:rsidDel="0096654B">
        <w:rPr>
          <w:rStyle w:val="EndnoteReference"/>
          <w:sz w:val="24"/>
          <w:szCs w:val="24"/>
        </w:rPr>
        <w:t xml:space="preserve"> </w:t>
      </w:r>
      <w:r w:rsidRPr="006E7DBF">
        <w:rPr>
          <w:rStyle w:val="EndnoteReference"/>
          <w:sz w:val="24"/>
          <w:szCs w:val="24"/>
        </w:rPr>
        <w:endnoteReference w:id="7"/>
      </w:r>
      <w:r w:rsidRPr="006E7DBF">
        <w:rPr>
          <w:sz w:val="24"/>
          <w:szCs w:val="24"/>
          <w:vertAlign w:val="superscript"/>
        </w:rPr>
        <w:t xml:space="preserve">, </w:t>
      </w:r>
      <w:r w:rsidRPr="006E7DBF">
        <w:rPr>
          <w:rStyle w:val="EndnoteReference"/>
          <w:sz w:val="24"/>
          <w:szCs w:val="24"/>
        </w:rPr>
        <w:endnoteReference w:id="8"/>
      </w:r>
      <w:r w:rsidRPr="006E7DBF">
        <w:rPr>
          <w:sz w:val="24"/>
          <w:szCs w:val="24"/>
        </w:rPr>
        <w:t xml:space="preserve"> </w:t>
      </w:r>
    </w:p>
    <w:p w14:paraId="10F7363C" w14:textId="77777777" w:rsidR="00BA2E13" w:rsidRPr="006E7DBF" w:rsidRDefault="00BA2E13" w:rsidP="006E7DBF">
      <w:pPr>
        <w:pStyle w:val="Heading4"/>
        <w:spacing w:line="360" w:lineRule="auto"/>
        <w:rPr>
          <w:i/>
        </w:rPr>
      </w:pPr>
      <w:r w:rsidRPr="006E7DBF">
        <w:t>Trends/Disparities</w:t>
      </w:r>
    </w:p>
    <w:p w14:paraId="76E84CB9" w14:textId="77777777" w:rsidR="00BA2E13" w:rsidRPr="006E7DBF" w:rsidRDefault="00BA2E13" w:rsidP="006E7DBF">
      <w:pPr>
        <w:spacing w:line="360" w:lineRule="auto"/>
        <w:ind w:right="-360"/>
        <w:rPr>
          <w:sz w:val="24"/>
          <w:szCs w:val="24"/>
        </w:rPr>
      </w:pPr>
      <w:r w:rsidRPr="006E7DBF">
        <w:rPr>
          <w:sz w:val="24"/>
          <w:szCs w:val="24"/>
        </w:rPr>
        <w:t xml:space="preserve">From 2006 to 2015, the proportion of preterm births in Massachusetts before 34 weeks declined by 0.6%.  Late preterm births (between 34-36 weeks of gestation) comprised 72% of all preterm births. In 2015, preterm </w:t>
      </w:r>
      <w:r w:rsidRPr="006E7DBF">
        <w:rPr>
          <w:sz w:val="24"/>
          <w:szCs w:val="24"/>
        </w:rPr>
        <w:lastRenderedPageBreak/>
        <w:t xml:space="preserve">birth was highest among Black non-Hispanics, followed by Hispanics, Asian non-Hispanics, and White non-Hispanics </w:t>
      </w:r>
      <w:r w:rsidRPr="006E7DBF">
        <w:rPr>
          <w:b/>
          <w:sz w:val="24"/>
          <w:szCs w:val="24"/>
        </w:rPr>
        <w:t>(Figure 2.1)</w:t>
      </w:r>
      <w:r w:rsidRPr="006E7DBF">
        <w:rPr>
          <w:sz w:val="24"/>
          <w:szCs w:val="24"/>
        </w:rPr>
        <w:t xml:space="preserve">. </w:t>
      </w:r>
    </w:p>
    <w:p w14:paraId="48D44680" w14:textId="2EF5413F" w:rsidR="00BA2E13" w:rsidRPr="006E7DBF" w:rsidRDefault="00BA2E13" w:rsidP="006E7DBF">
      <w:pPr>
        <w:pStyle w:val="SHAFigureNumber"/>
        <w:spacing w:line="360" w:lineRule="auto"/>
        <w:rPr>
          <w:sz w:val="24"/>
          <w:szCs w:val="24"/>
        </w:rPr>
      </w:pPr>
      <w:r w:rsidRPr="006E7DBF">
        <w:rPr>
          <w:sz w:val="24"/>
          <w:szCs w:val="24"/>
        </w:rPr>
        <w:t>Figure 2.1</w:t>
      </w:r>
    </w:p>
    <w:p w14:paraId="12A1688E" w14:textId="43AF265D" w:rsidR="00BA2E13" w:rsidRPr="006E7DBF" w:rsidRDefault="00BA2E13" w:rsidP="006E7DBF">
      <w:pPr>
        <w:pStyle w:val="SHAFigureNumber"/>
        <w:spacing w:line="360" w:lineRule="auto"/>
        <w:rPr>
          <w:sz w:val="24"/>
          <w:szCs w:val="24"/>
        </w:rPr>
      </w:pPr>
      <w:r w:rsidRPr="006E7DBF">
        <w:rPr>
          <w:sz w:val="24"/>
          <w:szCs w:val="24"/>
        </w:rPr>
        <w:t xml:space="preserve">Percent of </w:t>
      </w:r>
      <w:r w:rsidR="00276790" w:rsidRPr="006E7DBF">
        <w:rPr>
          <w:sz w:val="24"/>
          <w:szCs w:val="24"/>
        </w:rPr>
        <w:t xml:space="preserve">Live Births That Were </w:t>
      </w:r>
      <w:r w:rsidRPr="006E7DBF">
        <w:rPr>
          <w:sz w:val="24"/>
          <w:szCs w:val="24"/>
        </w:rPr>
        <w:t>Preterm Births, By Race/Ethnicity, 2015</w:t>
      </w:r>
    </w:p>
    <w:p w14:paraId="5534D113" w14:textId="64259342" w:rsidR="00BA2E13" w:rsidRPr="006E7DBF" w:rsidRDefault="00E0349A" w:rsidP="006E7DBF">
      <w:pPr>
        <w:spacing w:line="360" w:lineRule="auto"/>
        <w:ind w:right="-360"/>
        <w:jc w:val="center"/>
        <w:rPr>
          <w:sz w:val="24"/>
          <w:szCs w:val="24"/>
        </w:rPr>
      </w:pPr>
      <w:r w:rsidRPr="006E7DBF">
        <w:rPr>
          <w:sz w:val="24"/>
          <w:szCs w:val="24"/>
        </w:rPr>
        <w:drawing>
          <wp:inline distT="0" distB="0" distL="0" distR="0" wp14:anchorId="108F359A" wp14:editId="7CA42E1C">
            <wp:extent cx="5286375" cy="2613660"/>
            <wp:effectExtent l="0" t="0" r="0" b="0"/>
            <wp:docPr id="576" name="Chart 576" descr="This horizontal bar graph of preterm births in 2015 by race/ethnicity shows that 8% of all Massachusetts births were preterm; 10% of Black non-Hispanic births were preterm, 9% of Hispanic births were preterm, 8% of Asian non-Hispanic births were preterm, 8% of White non-Hispanic births were preterm, and 10% of Other births were preterm. " title="Figure 2.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7C80984-9F7A-4C03-95D3-F0F650F295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645964C" w14:textId="45918C89" w:rsidR="00BA2E13" w:rsidRPr="006E7DBF" w:rsidRDefault="00D355BC" w:rsidP="006E7DBF">
      <w:pPr>
        <w:pStyle w:val="SHAFigureNote"/>
        <w:spacing w:line="360" w:lineRule="auto"/>
        <w:rPr>
          <w:sz w:val="24"/>
          <w:szCs w:val="24"/>
        </w:rPr>
      </w:pPr>
      <w:r w:rsidRPr="006E7DBF">
        <w:rPr>
          <w:sz w:val="24"/>
          <w:szCs w:val="24"/>
        </w:rPr>
        <w:t xml:space="preserve">NOTE: </w:t>
      </w:r>
      <w:r w:rsidRPr="006E7DBF">
        <w:rPr>
          <w:i/>
          <w:sz w:val="24"/>
          <w:szCs w:val="24"/>
        </w:rPr>
        <w:t>OTHER</w:t>
      </w:r>
      <w:r w:rsidRPr="006E7DBF">
        <w:rPr>
          <w:sz w:val="24"/>
          <w:szCs w:val="24"/>
        </w:rPr>
        <w:t xml:space="preserve"> INCLUDES AMERICAN INDIAN AND OTHER NOT SPECIFIED</w:t>
      </w:r>
    </w:p>
    <w:p w14:paraId="16A3DDFE" w14:textId="77777777" w:rsidR="00BA2E13" w:rsidRPr="006E7DBF" w:rsidRDefault="00BA2E13" w:rsidP="006E7DBF">
      <w:pPr>
        <w:pStyle w:val="Heading3"/>
        <w:spacing w:line="360" w:lineRule="auto"/>
        <w:rPr>
          <w:sz w:val="24"/>
          <w:szCs w:val="24"/>
        </w:rPr>
      </w:pPr>
      <w:r w:rsidRPr="006E7DBF">
        <w:rPr>
          <w:sz w:val="24"/>
          <w:szCs w:val="24"/>
        </w:rPr>
        <w:t>Breastfeeding</w:t>
      </w:r>
    </w:p>
    <w:p w14:paraId="278820D5" w14:textId="45ACDACC" w:rsidR="00BA2E13" w:rsidRPr="006E7DBF" w:rsidRDefault="00BA2E13" w:rsidP="006E7DBF">
      <w:pPr>
        <w:spacing w:line="360" w:lineRule="auto"/>
        <w:ind w:right="-360"/>
        <w:rPr>
          <w:sz w:val="24"/>
          <w:szCs w:val="24"/>
        </w:rPr>
      </w:pPr>
      <w:r w:rsidRPr="006E7DBF">
        <w:rPr>
          <w:sz w:val="24"/>
          <w:szCs w:val="24"/>
        </w:rPr>
        <w:t>Breastfeeding has proven benefit</w:t>
      </w:r>
      <w:r w:rsidR="00EA6625" w:rsidRPr="006E7DBF">
        <w:rPr>
          <w:sz w:val="24"/>
          <w:szCs w:val="24"/>
        </w:rPr>
        <w:t xml:space="preserve">s for both mothers and infants. </w:t>
      </w:r>
      <w:r w:rsidRPr="006E7DBF">
        <w:rPr>
          <w:sz w:val="24"/>
          <w:szCs w:val="24"/>
        </w:rPr>
        <w:t>Breastfeeding lowers the incidence of sudden infant death syndrome (SIDS); infant respiratory infections; and necrotizing enterocolitis, a serious intestinal disease among infants.</w:t>
      </w:r>
      <w:r w:rsidRPr="006E7DBF">
        <w:rPr>
          <w:rStyle w:val="EndnoteReference"/>
          <w:sz w:val="24"/>
          <w:szCs w:val="24"/>
        </w:rPr>
        <w:endnoteReference w:id="9"/>
      </w:r>
      <w:r w:rsidRPr="006E7DBF">
        <w:rPr>
          <w:sz w:val="24"/>
          <w:szCs w:val="24"/>
        </w:rPr>
        <w:t xml:space="preserve"> Exclusive and extended breastfeeding is also associated with reduced risk of obesity, certain cancers, and diabetes.</w:t>
      </w:r>
      <w:r w:rsidRPr="006E7DBF">
        <w:rPr>
          <w:rStyle w:val="EndnoteReference"/>
          <w:sz w:val="24"/>
          <w:szCs w:val="24"/>
        </w:rPr>
        <w:endnoteReference w:id="10"/>
      </w:r>
      <w:r w:rsidRPr="006E7DBF">
        <w:rPr>
          <w:sz w:val="24"/>
          <w:szCs w:val="24"/>
        </w:rPr>
        <w:t xml:space="preserve"> </w:t>
      </w:r>
    </w:p>
    <w:p w14:paraId="2C6050C4" w14:textId="235EFF0F" w:rsidR="00BA2E13" w:rsidRPr="006E7DBF" w:rsidRDefault="00172459" w:rsidP="006E7DBF">
      <w:pPr>
        <w:spacing w:line="360" w:lineRule="auto"/>
        <w:ind w:right="-360"/>
        <w:rPr>
          <w:sz w:val="24"/>
          <w:szCs w:val="24"/>
        </w:rPr>
      </w:pPr>
      <w:r w:rsidRPr="006E7DBF">
        <w:rPr>
          <w:sz w:val="24"/>
          <w:szCs w:val="24"/>
        </w:rPr>
        <w:t>Many low-</w:t>
      </w:r>
      <w:r w:rsidR="00BA2E13" w:rsidRPr="006E7DBF">
        <w:rPr>
          <w:sz w:val="24"/>
          <w:szCs w:val="24"/>
        </w:rPr>
        <w:t xml:space="preserve">income mothers, including many who receive support from the Special Supplemental Nutrition Program for Women, Infants, and Children (WIC), need to return to work earlier than higher income women. This makes it difficult for them to continue breastfeeding. </w:t>
      </w:r>
    </w:p>
    <w:p w14:paraId="06072A53" w14:textId="77777777" w:rsidR="00BA2E13" w:rsidRPr="006E7DBF" w:rsidRDefault="00BA2E13" w:rsidP="006E7DBF">
      <w:pPr>
        <w:pStyle w:val="Heading4"/>
        <w:spacing w:line="360" w:lineRule="auto"/>
        <w:rPr>
          <w:i/>
        </w:rPr>
      </w:pPr>
      <w:r w:rsidRPr="006E7DBF">
        <w:t>Trends/Disparities</w:t>
      </w:r>
    </w:p>
    <w:p w14:paraId="5BEF71B1" w14:textId="6131784B" w:rsidR="00BA2E13" w:rsidRPr="006E7DBF" w:rsidRDefault="00C46CAB" w:rsidP="006E7DBF">
      <w:pPr>
        <w:spacing w:line="360" w:lineRule="auto"/>
        <w:ind w:right="-360"/>
        <w:rPr>
          <w:sz w:val="24"/>
          <w:szCs w:val="24"/>
        </w:rPr>
      </w:pPr>
      <w:r w:rsidRPr="006E7DBF">
        <w:rPr>
          <w:sz w:val="24"/>
          <w:szCs w:val="24"/>
        </w:rPr>
        <w:t>According to Massachusetts birth certificate records, breastfeeding at the time of hospital discharge increased from 83% in 2011 to 87% in 2015.</w:t>
      </w:r>
      <w:r w:rsidR="00BA2E13" w:rsidRPr="006E7DBF">
        <w:rPr>
          <w:sz w:val="24"/>
          <w:szCs w:val="24"/>
        </w:rPr>
        <w:t xml:space="preserve"> In 2015, Asian non-Hispanic women (92%) had the highest prevalence of </w:t>
      </w:r>
      <w:r w:rsidR="00BA2E13" w:rsidRPr="006E7DBF">
        <w:rPr>
          <w:sz w:val="24"/>
          <w:szCs w:val="24"/>
        </w:rPr>
        <w:lastRenderedPageBreak/>
        <w:t xml:space="preserve">breastfeeding initiation, followed by Black non-Hispanic (88%), Hispanic (87%), and White non-Hispanic women (86%). </w:t>
      </w:r>
    </w:p>
    <w:p w14:paraId="0BE96E58" w14:textId="77777777" w:rsidR="00BA2E13" w:rsidRPr="006E7DBF" w:rsidRDefault="00BA2E13" w:rsidP="006E7DBF">
      <w:pPr>
        <w:spacing w:line="360" w:lineRule="auto"/>
        <w:ind w:right="-360"/>
        <w:rPr>
          <w:sz w:val="24"/>
          <w:szCs w:val="24"/>
        </w:rPr>
      </w:pPr>
      <w:r w:rsidRPr="006E7DBF">
        <w:rPr>
          <w:sz w:val="24"/>
          <w:szCs w:val="24"/>
        </w:rPr>
        <w:t xml:space="preserve">Breastfeeding at eight weeks postpartum, as measured on the Massachusetts Pregnancy Risk Assessment Monitoring System (PRAMS) survey, increased from 65% in 2010 to 73% in 2014. Over this period, Asian non-Hispanic women maintained the highest prevalence of any breastfeeding at eight weeks postpartum </w:t>
      </w:r>
      <w:r w:rsidRPr="006E7DBF">
        <w:rPr>
          <w:b/>
          <w:sz w:val="24"/>
          <w:szCs w:val="24"/>
        </w:rPr>
        <w:t>(Figure 2.2)</w:t>
      </w:r>
      <w:r w:rsidRPr="006E7DBF">
        <w:rPr>
          <w:sz w:val="24"/>
          <w:szCs w:val="24"/>
        </w:rPr>
        <w:t xml:space="preserve">. </w:t>
      </w:r>
    </w:p>
    <w:p w14:paraId="153ACDAF" w14:textId="53A45F0C" w:rsidR="00BA2E13" w:rsidRPr="006E7DBF" w:rsidRDefault="00BA2E13" w:rsidP="006E7DBF">
      <w:pPr>
        <w:pStyle w:val="SHAFigureNumber"/>
        <w:spacing w:line="360" w:lineRule="auto"/>
        <w:rPr>
          <w:sz w:val="24"/>
          <w:szCs w:val="24"/>
        </w:rPr>
      </w:pPr>
      <w:r w:rsidRPr="006E7DBF">
        <w:rPr>
          <w:sz w:val="24"/>
          <w:szCs w:val="24"/>
        </w:rPr>
        <w:t>Figure 2.2</w:t>
      </w:r>
    </w:p>
    <w:p w14:paraId="0BF17065" w14:textId="71420053" w:rsidR="00BA2E13" w:rsidRPr="006E7DBF" w:rsidRDefault="00BA2E13" w:rsidP="006E7DBF">
      <w:pPr>
        <w:pStyle w:val="SHAFigureNumber"/>
        <w:spacing w:line="360" w:lineRule="auto"/>
        <w:rPr>
          <w:noProof/>
          <w:sz w:val="24"/>
          <w:szCs w:val="24"/>
        </w:rPr>
      </w:pPr>
      <w:r w:rsidRPr="006E7DBF">
        <w:rPr>
          <w:sz w:val="24"/>
          <w:szCs w:val="24"/>
        </w:rPr>
        <w:t>Any Breastfeeding at Eight Weeks Postpartum, By Race/Ethnicity, 2010-2014</w:t>
      </w:r>
      <w:r w:rsidRPr="006E7DBF">
        <w:rPr>
          <w:noProof/>
          <w:sz w:val="24"/>
          <w:szCs w:val="24"/>
        </w:rPr>
        <w:t xml:space="preserve"> </w:t>
      </w:r>
    </w:p>
    <w:p w14:paraId="21589EB2" w14:textId="2192EBCA" w:rsidR="006B0C31" w:rsidRPr="006E7DBF" w:rsidRDefault="00F01FC7" w:rsidP="006E7DBF">
      <w:pPr>
        <w:spacing w:line="360" w:lineRule="auto"/>
        <w:ind w:right="-360"/>
        <w:jc w:val="center"/>
        <w:rPr>
          <w:rFonts w:ascii="Calibri" w:eastAsia="Calibri" w:hAnsi="Calibri" w:cs="Times New Roman"/>
          <w:b/>
          <w:sz w:val="24"/>
          <w:szCs w:val="24"/>
        </w:rPr>
      </w:pPr>
      <w:r w:rsidRPr="006E7DBF">
        <w:rPr>
          <w:rFonts w:ascii="Calibri" w:eastAsia="Calibri" w:hAnsi="Calibri" w:cs="Times New Roman"/>
          <w:b/>
          <w:sz w:val="24"/>
          <w:szCs w:val="24"/>
        </w:rPr>
        <w:drawing>
          <wp:inline distT="0" distB="0" distL="0" distR="0" wp14:anchorId="7C93F040" wp14:editId="4DA67D54">
            <wp:extent cx="5222386" cy="3265714"/>
            <wp:effectExtent l="0" t="0" r="0" b="0"/>
            <wp:docPr id="72" name="Picture 72" descr="This line graph of any breastfeeding at eight weeks postpartum by race/ethnicity shows that from 2010-2014 the rate of breastfeeding increased from 64% to 74% among White non-Hispanics, 69% to 74% among Black non-Hispanics, 62% to 64% among Hispanics, and from 76% to 78% among Asian non-Hispan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23112" cy="3266168"/>
                    </a:xfrm>
                    <a:prstGeom prst="rect">
                      <a:avLst/>
                    </a:prstGeom>
                    <a:noFill/>
                  </pic:spPr>
                </pic:pic>
              </a:graphicData>
            </a:graphic>
          </wp:inline>
        </w:drawing>
      </w:r>
    </w:p>
    <w:p w14:paraId="4871808C" w14:textId="77777777" w:rsidR="00BA2E13" w:rsidRPr="006E7DBF" w:rsidRDefault="00BA2E13" w:rsidP="006E7DBF">
      <w:pPr>
        <w:spacing w:line="360" w:lineRule="auto"/>
        <w:ind w:right="-360"/>
        <w:rPr>
          <w:sz w:val="24"/>
          <w:szCs w:val="24"/>
        </w:rPr>
      </w:pPr>
      <w:r w:rsidRPr="006E7DBF">
        <w:rPr>
          <w:sz w:val="24"/>
          <w:szCs w:val="24"/>
        </w:rPr>
        <w:t xml:space="preserve">There also are important socioeconomic disparities in breastfeeding. According to Massachusetts PRAMS survey estimates, in 2014 only 59% of mothers with MassHealth were breastfeeding at eight weeks postpartum, compared with 81% of mothers with private health insurance. </w:t>
      </w:r>
    </w:p>
    <w:p w14:paraId="455D5AFE" w14:textId="77777777" w:rsidR="00BA2E13" w:rsidRPr="006E7DBF" w:rsidRDefault="00BA2E13" w:rsidP="006E7DBF">
      <w:pPr>
        <w:spacing w:line="360" w:lineRule="auto"/>
        <w:ind w:right="-360"/>
        <w:rPr>
          <w:sz w:val="24"/>
          <w:szCs w:val="24"/>
        </w:rPr>
      </w:pPr>
      <w:r w:rsidRPr="006E7DBF">
        <w:rPr>
          <w:sz w:val="24"/>
          <w:szCs w:val="24"/>
        </w:rPr>
        <w:t>Additionally, data from the 2016 National Immunization Survey indicate that only 28% of WIC participants in Massachusetts were breastfeeding at six months postpartum, compared to 68% of Massachusetts mothers overall, falling short of the Healthy People 2020 goal of 60.6%.</w:t>
      </w:r>
    </w:p>
    <w:p w14:paraId="29789DD6" w14:textId="77777777" w:rsidR="00BA2E13" w:rsidRPr="006E7DBF" w:rsidRDefault="00BA2E13" w:rsidP="006E7DBF">
      <w:pPr>
        <w:pStyle w:val="Heading3"/>
        <w:spacing w:line="360" w:lineRule="auto"/>
        <w:rPr>
          <w:sz w:val="24"/>
          <w:szCs w:val="24"/>
        </w:rPr>
      </w:pPr>
      <w:r w:rsidRPr="006E7DBF">
        <w:rPr>
          <w:sz w:val="24"/>
          <w:szCs w:val="24"/>
        </w:rPr>
        <w:lastRenderedPageBreak/>
        <w:t>Infant Mortality</w:t>
      </w:r>
    </w:p>
    <w:p w14:paraId="134BF33C" w14:textId="77777777" w:rsidR="00BA2E13" w:rsidRPr="006E7DBF" w:rsidRDefault="00BA2E13" w:rsidP="006E7DBF">
      <w:pPr>
        <w:spacing w:line="360" w:lineRule="auto"/>
        <w:ind w:right="-360"/>
        <w:rPr>
          <w:sz w:val="24"/>
          <w:szCs w:val="24"/>
        </w:rPr>
      </w:pPr>
      <w:r w:rsidRPr="006E7DBF">
        <w:rPr>
          <w:sz w:val="24"/>
          <w:szCs w:val="24"/>
        </w:rPr>
        <w:t xml:space="preserve">Infant mortality refers to the death of an infant prior to one year of age. The infant mortality rate (IMR) is calculated as the number of infant deaths per 1,000 live births. </w:t>
      </w:r>
    </w:p>
    <w:p w14:paraId="63BF0C20" w14:textId="0A97C2AA" w:rsidR="00BA2E13" w:rsidRPr="006E7DBF" w:rsidRDefault="00BA2E13" w:rsidP="006E7DBF">
      <w:pPr>
        <w:spacing w:line="360" w:lineRule="auto"/>
        <w:ind w:right="-360"/>
        <w:rPr>
          <w:sz w:val="24"/>
          <w:szCs w:val="24"/>
        </w:rPr>
      </w:pPr>
      <w:r w:rsidRPr="006E7DBF">
        <w:rPr>
          <w:sz w:val="24"/>
          <w:szCs w:val="24"/>
        </w:rPr>
        <w:t xml:space="preserve">The decline in the </w:t>
      </w:r>
      <w:r w:rsidR="000B65F3" w:rsidRPr="006E7DBF">
        <w:rPr>
          <w:sz w:val="24"/>
          <w:szCs w:val="24"/>
        </w:rPr>
        <w:t>US</w:t>
      </w:r>
      <w:r w:rsidRPr="006E7DBF">
        <w:rPr>
          <w:sz w:val="24"/>
          <w:szCs w:val="24"/>
        </w:rPr>
        <w:t xml:space="preserve"> infant mortality rate during the 20</w:t>
      </w:r>
      <w:r w:rsidRPr="006E7DBF">
        <w:rPr>
          <w:sz w:val="24"/>
          <w:szCs w:val="24"/>
          <w:vertAlign w:val="superscript"/>
        </w:rPr>
        <w:t>th</w:t>
      </w:r>
      <w:r w:rsidRPr="006E7DBF">
        <w:rPr>
          <w:sz w:val="24"/>
          <w:szCs w:val="24"/>
        </w:rPr>
        <w:t xml:space="preserve"> century is one of </w:t>
      </w:r>
      <w:r w:rsidR="000B65F3" w:rsidRPr="006E7DBF">
        <w:rPr>
          <w:sz w:val="24"/>
          <w:szCs w:val="24"/>
        </w:rPr>
        <w:t>the country’s</w:t>
      </w:r>
      <w:r w:rsidRPr="006E7DBF">
        <w:rPr>
          <w:sz w:val="24"/>
          <w:szCs w:val="24"/>
        </w:rPr>
        <w:t xml:space="preserve"> greatest </w:t>
      </w:r>
      <w:r w:rsidR="000B65F3" w:rsidRPr="006E7DBF">
        <w:rPr>
          <w:sz w:val="24"/>
          <w:szCs w:val="24"/>
        </w:rPr>
        <w:t xml:space="preserve">public health </w:t>
      </w:r>
      <w:r w:rsidRPr="006E7DBF">
        <w:rPr>
          <w:sz w:val="24"/>
          <w:szCs w:val="24"/>
        </w:rPr>
        <w:t xml:space="preserve">victories.  </w:t>
      </w:r>
      <w:r w:rsidR="000B65F3" w:rsidRPr="006E7DBF">
        <w:rPr>
          <w:sz w:val="24"/>
          <w:szCs w:val="24"/>
        </w:rPr>
        <w:t>However</w:t>
      </w:r>
      <w:r w:rsidRPr="006E7DBF">
        <w:rPr>
          <w:sz w:val="24"/>
          <w:szCs w:val="24"/>
        </w:rPr>
        <w:t>, currently 25 other developed nations have a lower IMR than the US.</w:t>
      </w:r>
      <w:r w:rsidRPr="006E7DBF">
        <w:rPr>
          <w:rStyle w:val="EndnoteReference"/>
          <w:rFonts w:ascii="Aileron" w:hAnsi="Aileron"/>
          <w:sz w:val="24"/>
          <w:szCs w:val="24"/>
        </w:rPr>
        <w:endnoteReference w:id="11"/>
      </w:r>
      <w:r w:rsidRPr="006E7DBF">
        <w:rPr>
          <w:sz w:val="24"/>
          <w:szCs w:val="24"/>
          <w:vertAlign w:val="superscript"/>
        </w:rPr>
        <w:t>,</w:t>
      </w:r>
      <w:r w:rsidRPr="006E7DBF">
        <w:rPr>
          <w:rStyle w:val="EndnoteReference"/>
          <w:rFonts w:ascii="Aileron" w:hAnsi="Aileron"/>
          <w:sz w:val="24"/>
          <w:szCs w:val="24"/>
        </w:rPr>
        <w:endnoteReference w:id="12"/>
      </w:r>
    </w:p>
    <w:p w14:paraId="334124D5" w14:textId="77777777" w:rsidR="00BA2E13" w:rsidRPr="006E7DBF" w:rsidRDefault="00BA2E13" w:rsidP="006E7DBF">
      <w:pPr>
        <w:pStyle w:val="Heading4"/>
        <w:spacing w:line="360" w:lineRule="auto"/>
        <w:rPr>
          <w:i/>
        </w:rPr>
      </w:pPr>
      <w:r w:rsidRPr="006E7DBF">
        <w:t>Trends/Disparities</w:t>
      </w:r>
    </w:p>
    <w:p w14:paraId="652EC6DC" w14:textId="77777777" w:rsidR="00BA2E13" w:rsidRPr="006E7DBF" w:rsidRDefault="00BA2E13" w:rsidP="006E7DBF">
      <w:pPr>
        <w:spacing w:line="360" w:lineRule="auto"/>
        <w:ind w:right="-360"/>
        <w:rPr>
          <w:sz w:val="24"/>
          <w:szCs w:val="24"/>
        </w:rPr>
      </w:pPr>
      <w:r w:rsidRPr="006E7DBF">
        <w:rPr>
          <w:sz w:val="24"/>
          <w:szCs w:val="24"/>
        </w:rPr>
        <w:t xml:space="preserve">While Massachusetts has achieved a 2.6% annual decline in the IMR from 2005 to 2014 and currently has the lowest IMR in the nation, racial/ethnic disparities persist. In 2014, the IMRs for Black non-Hispanics and Hispanics were 2.1 and 1.5 times that of White non-Hispanic infants, respectively </w:t>
      </w:r>
      <w:r w:rsidRPr="006E7DBF">
        <w:rPr>
          <w:b/>
          <w:sz w:val="24"/>
          <w:szCs w:val="24"/>
        </w:rPr>
        <w:t>(Figure 2.3)</w:t>
      </w:r>
      <w:r w:rsidRPr="006E7DBF">
        <w:rPr>
          <w:sz w:val="24"/>
          <w:szCs w:val="24"/>
        </w:rPr>
        <w:t xml:space="preserve">. </w:t>
      </w:r>
    </w:p>
    <w:p w14:paraId="4E8FCAB3" w14:textId="77777777" w:rsidR="00BA2E13" w:rsidRPr="006E7DBF" w:rsidRDefault="00BA2E13" w:rsidP="006E7DBF">
      <w:pPr>
        <w:spacing w:line="360" w:lineRule="auto"/>
        <w:ind w:right="-360"/>
        <w:rPr>
          <w:sz w:val="24"/>
          <w:szCs w:val="24"/>
        </w:rPr>
      </w:pPr>
      <w:r w:rsidRPr="006E7DBF">
        <w:rPr>
          <w:sz w:val="24"/>
          <w:szCs w:val="24"/>
        </w:rPr>
        <w:t xml:space="preserve">IMRs also vary by city or town. In 2014, the communities of Fitchburg (9.9 per 1,000 live births), Chelsea (8.5 per 1,000), and Worcester (7.4 per 1,000) had some of the highest IMRs in the state. </w:t>
      </w:r>
    </w:p>
    <w:p w14:paraId="5180368F" w14:textId="77777777" w:rsidR="00EA6625" w:rsidRPr="006E7DBF" w:rsidRDefault="00BA2E13" w:rsidP="006E7DBF">
      <w:pPr>
        <w:spacing w:line="360" w:lineRule="auto"/>
        <w:ind w:right="-360"/>
        <w:rPr>
          <w:sz w:val="24"/>
          <w:szCs w:val="24"/>
        </w:rPr>
      </w:pPr>
      <w:r w:rsidRPr="006E7DBF">
        <w:rPr>
          <w:sz w:val="24"/>
          <w:szCs w:val="24"/>
        </w:rPr>
        <w:t xml:space="preserve">Disparities in infant mortality result from differential developmental pathways shaped by early life experiences and cumulative wear and tear on the body as an individual is exposed to repeated or chronic stress over time. </w:t>
      </w:r>
    </w:p>
    <w:p w14:paraId="7D601AA0" w14:textId="08681956" w:rsidR="006E7DBF" w:rsidRDefault="00BA2E13" w:rsidP="006E7DBF">
      <w:pPr>
        <w:spacing w:line="360" w:lineRule="auto"/>
        <w:ind w:right="-360"/>
        <w:rPr>
          <w:sz w:val="24"/>
          <w:szCs w:val="24"/>
        </w:rPr>
      </w:pPr>
      <w:r w:rsidRPr="006E7DBF">
        <w:rPr>
          <w:sz w:val="24"/>
          <w:szCs w:val="24"/>
        </w:rPr>
        <w:t xml:space="preserve">To reduce disparities in birth outcomes and infant mortality, MDPH is addressing differential exposures to risk factors not only during pregnancy but over the life course. </w:t>
      </w:r>
    </w:p>
    <w:p w14:paraId="1CA0A5CD" w14:textId="77777777" w:rsidR="006E7DBF" w:rsidRDefault="006E7DBF">
      <w:pPr>
        <w:spacing w:before="0"/>
        <w:ind w:left="0" w:right="0"/>
        <w:jc w:val="left"/>
        <w:rPr>
          <w:sz w:val="24"/>
          <w:szCs w:val="24"/>
        </w:rPr>
      </w:pPr>
      <w:r>
        <w:rPr>
          <w:sz w:val="24"/>
          <w:szCs w:val="24"/>
        </w:rPr>
        <w:br w:type="page"/>
      </w:r>
    </w:p>
    <w:p w14:paraId="6AEA7804" w14:textId="77777777" w:rsidR="00BA2E13" w:rsidRPr="006E7DBF" w:rsidRDefault="00BA2E13" w:rsidP="006E7DBF">
      <w:pPr>
        <w:pStyle w:val="SHAFigureNumber"/>
        <w:spacing w:line="360" w:lineRule="auto"/>
        <w:rPr>
          <w:sz w:val="24"/>
          <w:szCs w:val="24"/>
        </w:rPr>
      </w:pPr>
      <w:r w:rsidRPr="006E7DBF">
        <w:rPr>
          <w:sz w:val="24"/>
          <w:szCs w:val="24"/>
        </w:rPr>
        <w:lastRenderedPageBreak/>
        <w:t>Figure 2.3</w:t>
      </w:r>
    </w:p>
    <w:p w14:paraId="400B1016" w14:textId="77777777" w:rsidR="00BA2E13" w:rsidRPr="006E7DBF" w:rsidRDefault="00BA2E13" w:rsidP="006E7DBF">
      <w:pPr>
        <w:pStyle w:val="SHAFigureNumber"/>
        <w:spacing w:line="360" w:lineRule="auto"/>
        <w:rPr>
          <w:sz w:val="24"/>
          <w:szCs w:val="24"/>
          <w:highlight w:val="lightGray"/>
        </w:rPr>
      </w:pPr>
      <w:r w:rsidRPr="006E7DBF">
        <w:rPr>
          <w:sz w:val="24"/>
          <w:szCs w:val="24"/>
        </w:rPr>
        <w:t>Infant Mortality Rate by Race/Ethnicity, Massachusetts, 2005-2014</w:t>
      </w:r>
    </w:p>
    <w:p w14:paraId="037505B8" w14:textId="6F166120" w:rsidR="00BA2E13" w:rsidRPr="006E7DBF" w:rsidRDefault="009F30C7" w:rsidP="006E7DBF">
      <w:pPr>
        <w:spacing w:line="360" w:lineRule="auto"/>
        <w:ind w:right="-360"/>
        <w:jc w:val="center"/>
        <w:rPr>
          <w:sz w:val="24"/>
          <w:szCs w:val="24"/>
        </w:rPr>
      </w:pPr>
      <w:r w:rsidRPr="006E7DBF">
        <w:rPr>
          <w:sz w:val="24"/>
          <w:szCs w:val="24"/>
        </w:rPr>
        <w:drawing>
          <wp:inline distT="0" distB="0" distL="0" distR="0" wp14:anchorId="4898F007" wp14:editId="7C8138BB">
            <wp:extent cx="4565552" cy="3013862"/>
            <wp:effectExtent l="0" t="0" r="6985" b="0"/>
            <wp:docPr id="249" name="Picture 249" descr="This line graph of infant mortality rates by race/ethnicity shows that from 2005-2014 the rate of infant mortality decreased for White non-Hispanics from 4.3 to 3.4 deaths per 1,000 infants, Hispanics from 7.7 to 5.0 deaths per 1,000 infants, and Asian non-Hispanics from 3.4 to 2.9 deaths per 1,000 infants. The infant mortality rate among Black non-Hispanics increased from 9.4 to 11.7 deaths per 1,000 infants from 2005 to 2008 and then decreased to 7.3 deaths per 1,000 infants in 20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1633" t="29978" r="30703" b="25820"/>
                    <a:stretch/>
                  </pic:blipFill>
                  <pic:spPr bwMode="auto">
                    <a:xfrm>
                      <a:off x="0" y="0"/>
                      <a:ext cx="4569083" cy="3016193"/>
                    </a:xfrm>
                    <a:prstGeom prst="rect">
                      <a:avLst/>
                    </a:prstGeom>
                    <a:ln>
                      <a:noFill/>
                    </a:ln>
                    <a:extLst>
                      <a:ext uri="{53640926-AAD7-44D8-BBD7-CCE9431645EC}">
                        <a14:shadowObscured xmlns:a14="http://schemas.microsoft.com/office/drawing/2010/main"/>
                      </a:ext>
                    </a:extLst>
                  </pic:spPr>
                </pic:pic>
              </a:graphicData>
            </a:graphic>
          </wp:inline>
        </w:drawing>
      </w:r>
    </w:p>
    <w:p w14:paraId="4B6282EF" w14:textId="77777777" w:rsidR="00BA2E13" w:rsidRPr="006E7DBF" w:rsidRDefault="00BA2E13" w:rsidP="006E7DBF">
      <w:pPr>
        <w:pStyle w:val="Heading3"/>
        <w:spacing w:line="360" w:lineRule="auto"/>
        <w:rPr>
          <w:sz w:val="24"/>
          <w:szCs w:val="24"/>
        </w:rPr>
      </w:pPr>
      <w:r w:rsidRPr="006E7DBF">
        <w:rPr>
          <w:sz w:val="24"/>
          <w:szCs w:val="24"/>
        </w:rPr>
        <w:t>Perinatal Substance Exposure</w:t>
      </w:r>
    </w:p>
    <w:p w14:paraId="1D45DBC0" w14:textId="77777777" w:rsidR="00BA2E13" w:rsidRPr="006E7DBF" w:rsidRDefault="00BA2E13" w:rsidP="006E7DBF">
      <w:pPr>
        <w:keepLines/>
        <w:spacing w:line="360" w:lineRule="auto"/>
        <w:ind w:right="-360"/>
        <w:rPr>
          <w:sz w:val="24"/>
          <w:szCs w:val="24"/>
        </w:rPr>
      </w:pPr>
      <w:r w:rsidRPr="006E7DBF">
        <w:rPr>
          <w:sz w:val="24"/>
          <w:szCs w:val="24"/>
        </w:rPr>
        <w:t>Substance use disorder can negatively affect maternal and child health and place substantial burden on federal and state health and human service systems. Risks to children prenatally exposed to substances and/or exposed to parental addiction in the home can include adverse developmental, behavioral, and psychosocial outcomes.</w:t>
      </w:r>
      <w:r w:rsidRPr="006E7DBF">
        <w:rPr>
          <w:rStyle w:val="EndnoteReference"/>
          <w:sz w:val="24"/>
          <w:szCs w:val="24"/>
        </w:rPr>
        <w:endnoteReference w:id="13"/>
      </w:r>
      <w:r w:rsidRPr="006E7DBF">
        <w:rPr>
          <w:sz w:val="24"/>
          <w:szCs w:val="24"/>
        </w:rPr>
        <w:t xml:space="preserve"> </w:t>
      </w:r>
    </w:p>
    <w:p w14:paraId="1C0C0ED2" w14:textId="77777777" w:rsidR="00BA2E13" w:rsidRPr="006E7DBF" w:rsidRDefault="00BA2E13" w:rsidP="006E7DBF">
      <w:pPr>
        <w:spacing w:line="360" w:lineRule="auto"/>
        <w:ind w:right="-360"/>
        <w:rPr>
          <w:sz w:val="24"/>
          <w:szCs w:val="24"/>
        </w:rPr>
      </w:pPr>
      <w:r w:rsidRPr="006E7DBF">
        <w:rPr>
          <w:sz w:val="24"/>
          <w:szCs w:val="24"/>
        </w:rPr>
        <w:t>Women who use substances may experience health risks from these substances and accompanying behaviors. They may also experience stress while interacting with health care providers, child welfare agencies and the criminal justice system.</w:t>
      </w:r>
      <w:r w:rsidRPr="006E7DBF">
        <w:rPr>
          <w:rStyle w:val="EndnoteReference"/>
          <w:sz w:val="24"/>
          <w:szCs w:val="24"/>
        </w:rPr>
        <w:endnoteReference w:id="14"/>
      </w:r>
    </w:p>
    <w:p w14:paraId="15A15F5D" w14:textId="77777777" w:rsidR="00BA2E13" w:rsidRPr="006E7DBF" w:rsidRDefault="00BA2E13" w:rsidP="006E7DBF">
      <w:pPr>
        <w:pStyle w:val="Heading4"/>
        <w:spacing w:line="360" w:lineRule="auto"/>
        <w:rPr>
          <w:i/>
        </w:rPr>
      </w:pPr>
      <w:r w:rsidRPr="006E7DBF">
        <w:t>Trends/Disparities</w:t>
      </w:r>
    </w:p>
    <w:p w14:paraId="6AD43ACA" w14:textId="77777777" w:rsidR="00BA2E13" w:rsidRPr="006E7DBF" w:rsidRDefault="00BA2E13" w:rsidP="006E7DBF">
      <w:pPr>
        <w:spacing w:line="360" w:lineRule="auto"/>
        <w:ind w:right="-360"/>
        <w:rPr>
          <w:sz w:val="24"/>
          <w:szCs w:val="24"/>
        </w:rPr>
      </w:pPr>
      <w:r w:rsidRPr="006E7DBF">
        <w:rPr>
          <w:sz w:val="24"/>
          <w:szCs w:val="24"/>
        </w:rPr>
        <w:t xml:space="preserve">Substance use disorders affect pregnant women across Massachusetts, but the burden varies by region. For example, Charlton Memorial Hospital in Fall River, St. Luke’s Hospital in New Bedford, Cape Cod Hospital in Hyannis, Melrose-Wakefield Hospital in Melrose, and Berkshire Medical Center in Pittsfield have the highest rates of infants diagnosed with neonatal abstinence syndrome, a collection of symptoms related to substance </w:t>
      </w:r>
      <w:r w:rsidRPr="006E7DBF">
        <w:rPr>
          <w:sz w:val="24"/>
          <w:szCs w:val="24"/>
        </w:rPr>
        <w:lastRenderedPageBreak/>
        <w:t>exposure in the womb that can include low birth weight, respiratory distress, feeding difficulty, tremors, increased irritability, diarrhea, and seizures.</w:t>
      </w:r>
      <w:r w:rsidRPr="006E7DBF">
        <w:rPr>
          <w:rStyle w:val="EndnoteReference"/>
          <w:sz w:val="24"/>
          <w:szCs w:val="24"/>
        </w:rPr>
        <w:endnoteReference w:id="15"/>
      </w:r>
      <w:r w:rsidRPr="006E7DBF">
        <w:rPr>
          <w:sz w:val="24"/>
          <w:szCs w:val="24"/>
        </w:rPr>
        <w:t xml:space="preserve"> </w:t>
      </w:r>
    </w:p>
    <w:p w14:paraId="6AE04693" w14:textId="77777777" w:rsidR="00BA2E13" w:rsidRPr="006E7DBF" w:rsidRDefault="00BA2E13" w:rsidP="006E7DBF">
      <w:pPr>
        <w:spacing w:line="360" w:lineRule="auto"/>
        <w:ind w:right="-360"/>
        <w:rPr>
          <w:sz w:val="24"/>
          <w:szCs w:val="24"/>
        </w:rPr>
      </w:pPr>
      <w:r w:rsidRPr="006E7DBF">
        <w:rPr>
          <w:sz w:val="24"/>
          <w:szCs w:val="24"/>
        </w:rPr>
        <w:t>Across the Commonwealth, mothers with opioid use disorder are more likely to be younger than 30 years of age, White non-Hispanic, US-born, unmarried, unemployed, of low educational attainment, receiving prenatal care at a hospital clinic, and covered by MassHealth.</w:t>
      </w:r>
      <w:r w:rsidRPr="006E7DBF">
        <w:rPr>
          <w:rStyle w:val="EndnoteReference"/>
          <w:sz w:val="24"/>
          <w:szCs w:val="24"/>
        </w:rPr>
        <w:endnoteReference w:id="16"/>
      </w:r>
      <w:r w:rsidRPr="006E7DBF">
        <w:rPr>
          <w:sz w:val="24"/>
          <w:szCs w:val="24"/>
        </w:rPr>
        <w:t xml:space="preserve"> </w:t>
      </w:r>
    </w:p>
    <w:p w14:paraId="39006486" w14:textId="0F93962E" w:rsidR="00BA2E13" w:rsidRPr="006E7DBF" w:rsidRDefault="00BA2E13" w:rsidP="006E7DBF">
      <w:pPr>
        <w:spacing w:line="360" w:lineRule="auto"/>
        <w:ind w:right="-360"/>
        <w:rPr>
          <w:b/>
          <w:sz w:val="24"/>
          <w:szCs w:val="24"/>
        </w:rPr>
      </w:pPr>
      <w:r w:rsidRPr="006E7DBF">
        <w:rPr>
          <w:sz w:val="24"/>
          <w:szCs w:val="24"/>
        </w:rPr>
        <w:t xml:space="preserve">In 2016, among pregnant women enrolled in the Bureau of Substance </w:t>
      </w:r>
      <w:r w:rsidR="00B72D42" w:rsidRPr="006E7DBF">
        <w:rPr>
          <w:sz w:val="24"/>
          <w:szCs w:val="24"/>
        </w:rPr>
        <w:t>Addiction</w:t>
      </w:r>
      <w:r w:rsidRPr="006E7DBF">
        <w:rPr>
          <w:sz w:val="24"/>
          <w:szCs w:val="24"/>
        </w:rPr>
        <w:t xml:space="preserve"> Services (BSAS) treatment system, opioids</w:t>
      </w:r>
      <w:r w:rsidR="008C7407" w:rsidRPr="006E7DBF">
        <w:rPr>
          <w:sz w:val="24"/>
          <w:szCs w:val="24"/>
        </w:rPr>
        <w:t>,</w:t>
      </w:r>
      <w:r w:rsidRPr="006E7DBF">
        <w:rPr>
          <w:sz w:val="24"/>
          <w:szCs w:val="24"/>
        </w:rPr>
        <w:t xml:space="preserve"> including pain relieving medications and heroin</w:t>
      </w:r>
      <w:r w:rsidR="008C7407" w:rsidRPr="006E7DBF">
        <w:rPr>
          <w:sz w:val="24"/>
          <w:szCs w:val="24"/>
        </w:rPr>
        <w:t>,</w:t>
      </w:r>
      <w:r w:rsidRPr="006E7DBF">
        <w:rPr>
          <w:sz w:val="24"/>
          <w:szCs w:val="24"/>
        </w:rPr>
        <w:t xml:space="preserve"> were the most common substance used in the past year. Seventy-one percent of </w:t>
      </w:r>
      <w:r w:rsidR="008C7407" w:rsidRPr="006E7DBF">
        <w:rPr>
          <w:sz w:val="24"/>
          <w:szCs w:val="24"/>
        </w:rPr>
        <w:t xml:space="preserve">pregnant </w:t>
      </w:r>
      <w:r w:rsidRPr="006E7DBF">
        <w:rPr>
          <w:sz w:val="24"/>
          <w:szCs w:val="24"/>
        </w:rPr>
        <w:t xml:space="preserve">women reported use of heroin and 20% reported use of other opioids </w:t>
      </w:r>
      <w:r w:rsidRPr="006E7DBF">
        <w:rPr>
          <w:b/>
          <w:sz w:val="24"/>
          <w:szCs w:val="24"/>
        </w:rPr>
        <w:t>(Figure 2.4)</w:t>
      </w:r>
      <w:r w:rsidRPr="006E7DBF">
        <w:rPr>
          <w:sz w:val="24"/>
          <w:szCs w:val="24"/>
        </w:rPr>
        <w:t>. Crack/cocaine use was reported by 44%, marijuana use by 37% and alcohol use by 35%</w:t>
      </w:r>
      <w:r w:rsidR="008C7407" w:rsidRPr="006E7DBF">
        <w:rPr>
          <w:sz w:val="24"/>
          <w:szCs w:val="24"/>
        </w:rPr>
        <w:t xml:space="preserve"> of pregnant women</w:t>
      </w:r>
      <w:r w:rsidRPr="006E7DBF">
        <w:rPr>
          <w:sz w:val="24"/>
          <w:szCs w:val="24"/>
        </w:rPr>
        <w:t xml:space="preserve">. </w:t>
      </w:r>
    </w:p>
    <w:p w14:paraId="5F1D2A8A" w14:textId="77777777" w:rsidR="00BA2E13" w:rsidRPr="006E7DBF" w:rsidRDefault="00BA2E13" w:rsidP="006E7DBF">
      <w:pPr>
        <w:pStyle w:val="SHAFigureNumber"/>
        <w:spacing w:line="360" w:lineRule="auto"/>
        <w:rPr>
          <w:sz w:val="24"/>
          <w:szCs w:val="24"/>
        </w:rPr>
      </w:pPr>
      <w:r w:rsidRPr="006E7DBF">
        <w:rPr>
          <w:sz w:val="24"/>
          <w:szCs w:val="24"/>
        </w:rPr>
        <w:t>Figure 2.4</w:t>
      </w:r>
    </w:p>
    <w:p w14:paraId="7CF5E35E" w14:textId="60E2AB13" w:rsidR="00BA2E13" w:rsidRPr="006E7DBF" w:rsidRDefault="00BA2E13" w:rsidP="006E7DBF">
      <w:pPr>
        <w:pStyle w:val="SHAFigureNumber"/>
        <w:spacing w:line="360" w:lineRule="auto"/>
        <w:rPr>
          <w:sz w:val="24"/>
          <w:szCs w:val="24"/>
        </w:rPr>
      </w:pPr>
      <w:r w:rsidRPr="006E7DBF">
        <w:rPr>
          <w:sz w:val="24"/>
          <w:szCs w:val="24"/>
        </w:rPr>
        <w:t xml:space="preserve">Bureau of </w:t>
      </w:r>
      <w:r w:rsidR="00B72D42" w:rsidRPr="006E7DBF">
        <w:rPr>
          <w:sz w:val="24"/>
          <w:szCs w:val="24"/>
        </w:rPr>
        <w:t>Substance Addiction</w:t>
      </w:r>
      <w:r w:rsidRPr="006E7DBF">
        <w:rPr>
          <w:sz w:val="24"/>
          <w:szCs w:val="24"/>
        </w:rPr>
        <w:t xml:space="preserve"> Services Enrollees Reporting Past Year Use, by Substance, 2016</w:t>
      </w:r>
    </w:p>
    <w:p w14:paraId="00209B4B" w14:textId="3EC0485C" w:rsidR="00BA2E13" w:rsidRPr="006E7DBF" w:rsidRDefault="001B2649" w:rsidP="006E7DBF">
      <w:pPr>
        <w:pStyle w:val="SHAFigureNumber"/>
        <w:spacing w:line="360" w:lineRule="auto"/>
        <w:rPr>
          <w:sz w:val="24"/>
          <w:szCs w:val="24"/>
        </w:rPr>
      </w:pPr>
      <w:r w:rsidRPr="006E7DBF">
        <w:rPr>
          <w:noProof/>
          <w:sz w:val="24"/>
          <w:szCs w:val="24"/>
        </w:rPr>
        <w:drawing>
          <wp:inline distT="0" distB="0" distL="0" distR="0" wp14:anchorId="71A4CD95" wp14:editId="5A6FB700">
            <wp:extent cx="5257800" cy="3289935"/>
            <wp:effectExtent l="0" t="0" r="0" b="5715"/>
            <wp:docPr id="69" name="Chart 69" descr="This vertical bar graph shows the proportion of patients enrolled in Massachusetts Bureau of Substance Addiction Services treatment programs in 2016 reporting use of substances in the past year. The graph compares women who were pregnant when they enrolled, all women, and all enrollees. Thirty-five percent of pregnant women, 52% of all women, and 52% of all enrollees reported using alcohol; 33% of pregnant women, 19% of all women, and 16% of all enrollees reported using other sedatives/hypnotics; 44% of pregnant women, 29% of all women, and 26% of all enrollees reported using crack/cocaine; 7% of pregnant women, 5% of all women, and 4% of all enrollees reported using other stimulants; 71% of pregnant women, 56% of all women, and 57% of all enrollees reported using heroin; 20% of pregnant women, 15% of all women, and 14% of all enrollees reported using other opioids; 37% of pregnant women, 23% of all women, and 23% of all enrollees reported using marijuana; 2% of pregnant women, 3% of all women, and 4% of all enrollees reported using other substances. ">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AF7BE32-548F-46B0-AAB9-C6EB7EC396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DF22F62" w14:textId="0103A4F8" w:rsidR="00BA2E13" w:rsidRPr="006E7DBF" w:rsidRDefault="00D355BC" w:rsidP="006E7DBF">
      <w:pPr>
        <w:pStyle w:val="SHAFigureNote"/>
        <w:spacing w:line="360" w:lineRule="auto"/>
        <w:rPr>
          <w:sz w:val="24"/>
          <w:szCs w:val="24"/>
        </w:rPr>
      </w:pPr>
      <w:r w:rsidRPr="006E7DBF">
        <w:rPr>
          <w:sz w:val="24"/>
          <w:szCs w:val="24"/>
        </w:rPr>
        <w:t>NOTE: BSAS TREATMENT DATA DO NOT INCLUDE WOMEN WHO BECOME PREGNANT WHILE IN TREATMENT AND DO NOT REFLECT ALL TREATMENT PROGRAMS IN THE STATE.</w:t>
      </w:r>
    </w:p>
    <w:p w14:paraId="4F10CA13" w14:textId="77777777" w:rsidR="00BA2E13" w:rsidRPr="006E7DBF" w:rsidRDefault="00BA2E13" w:rsidP="006E7DBF">
      <w:pPr>
        <w:pStyle w:val="Heading3"/>
        <w:spacing w:line="360" w:lineRule="auto"/>
        <w:rPr>
          <w:sz w:val="24"/>
          <w:szCs w:val="24"/>
        </w:rPr>
      </w:pPr>
      <w:r w:rsidRPr="006E7DBF">
        <w:rPr>
          <w:sz w:val="24"/>
          <w:szCs w:val="24"/>
        </w:rPr>
        <w:lastRenderedPageBreak/>
        <w:t xml:space="preserve">Sudden Unexpected Infant Death </w:t>
      </w:r>
    </w:p>
    <w:p w14:paraId="52250C59" w14:textId="24979F70" w:rsidR="00BA2E13" w:rsidRPr="006E7DBF" w:rsidRDefault="00BA2E13" w:rsidP="006E7DBF">
      <w:pPr>
        <w:spacing w:line="360" w:lineRule="auto"/>
        <w:ind w:right="-360"/>
        <w:rPr>
          <w:sz w:val="24"/>
          <w:szCs w:val="24"/>
        </w:rPr>
      </w:pPr>
      <w:r w:rsidRPr="006E7DBF">
        <w:rPr>
          <w:sz w:val="24"/>
          <w:szCs w:val="24"/>
        </w:rPr>
        <w:t xml:space="preserve">MDPH classifies sudden unexpected infant death (SUID) as the death of an infant less than one year of age due to sudden infant death syndrome (SIDS), accidental suffocation </w:t>
      </w:r>
      <w:r w:rsidR="000B65F3" w:rsidRPr="006E7DBF">
        <w:rPr>
          <w:sz w:val="24"/>
          <w:szCs w:val="24"/>
        </w:rPr>
        <w:t xml:space="preserve">and strangulation </w:t>
      </w:r>
      <w:r w:rsidRPr="006E7DBF">
        <w:rPr>
          <w:sz w:val="24"/>
          <w:szCs w:val="24"/>
        </w:rPr>
        <w:t>in bed, or from an undetermined cause and manner.</w:t>
      </w:r>
    </w:p>
    <w:p w14:paraId="72579D2D" w14:textId="77777777" w:rsidR="00BA2E13" w:rsidRPr="006E7DBF" w:rsidRDefault="00BA2E13" w:rsidP="006E7DBF">
      <w:pPr>
        <w:spacing w:line="360" w:lineRule="auto"/>
        <w:ind w:right="-360"/>
        <w:rPr>
          <w:sz w:val="24"/>
          <w:szCs w:val="24"/>
        </w:rPr>
      </w:pPr>
      <w:r w:rsidRPr="006E7DBF">
        <w:rPr>
          <w:sz w:val="24"/>
          <w:szCs w:val="24"/>
        </w:rPr>
        <w:t xml:space="preserve">Unsafe infant sleep practices, </w:t>
      </w:r>
      <w:r w:rsidRPr="006E7DBF">
        <w:rPr>
          <w:rFonts w:cs="Arial"/>
          <w:color w:val="000000"/>
          <w:sz w:val="24"/>
          <w:szCs w:val="24"/>
          <w:shd w:val="clear" w:color="auto" w:fill="FFFFFF"/>
        </w:rPr>
        <w:t xml:space="preserve">including placing infants to sleep on their stomachs or sides or in places other than cribs/bassinets/play yards -- such as adult beds, baby slings, car seats, couches or armchairs -- are </w:t>
      </w:r>
      <w:r w:rsidRPr="006E7DBF">
        <w:rPr>
          <w:sz w:val="24"/>
          <w:szCs w:val="24"/>
        </w:rPr>
        <w:t xml:space="preserve"> known modifiable risk factors for SUID.</w:t>
      </w:r>
      <w:r w:rsidRPr="006E7DBF">
        <w:rPr>
          <w:rStyle w:val="EndnoteReference"/>
          <w:sz w:val="24"/>
          <w:szCs w:val="24"/>
        </w:rPr>
        <w:endnoteReference w:id="17"/>
      </w:r>
      <w:r w:rsidRPr="006E7DBF">
        <w:rPr>
          <w:sz w:val="24"/>
          <w:szCs w:val="24"/>
        </w:rPr>
        <w:t xml:space="preserve"> Preterm birth is also a risk factor</w:t>
      </w:r>
      <w:r w:rsidRPr="006E7DBF">
        <w:rPr>
          <w:rStyle w:val="EndnoteReference"/>
          <w:sz w:val="24"/>
          <w:szCs w:val="24"/>
        </w:rPr>
        <w:endnoteReference w:id="18"/>
      </w:r>
      <w:r w:rsidRPr="006E7DBF">
        <w:rPr>
          <w:sz w:val="24"/>
          <w:szCs w:val="24"/>
        </w:rPr>
        <w:t xml:space="preserve"> along with prenatal and secondhand smoke exposure,</w:t>
      </w:r>
      <w:r w:rsidRPr="006E7DBF">
        <w:rPr>
          <w:rStyle w:val="EndnoteReference"/>
          <w:sz w:val="24"/>
          <w:szCs w:val="24"/>
        </w:rPr>
        <w:endnoteReference w:id="19"/>
      </w:r>
      <w:r w:rsidRPr="006E7DBF">
        <w:rPr>
          <w:sz w:val="24"/>
          <w:szCs w:val="24"/>
        </w:rPr>
        <w:t xml:space="preserve"> low access to prenatal care,</w:t>
      </w:r>
      <w:r w:rsidRPr="006E7DBF">
        <w:rPr>
          <w:rStyle w:val="EndnoteReference"/>
          <w:sz w:val="24"/>
          <w:szCs w:val="24"/>
        </w:rPr>
        <w:endnoteReference w:id="20"/>
      </w:r>
      <w:r w:rsidRPr="006E7DBF">
        <w:rPr>
          <w:sz w:val="24"/>
          <w:szCs w:val="24"/>
        </w:rPr>
        <w:t xml:space="preserve"> prenatal substance use,</w:t>
      </w:r>
      <w:r w:rsidRPr="006E7DBF">
        <w:rPr>
          <w:rStyle w:val="EndnoteReference"/>
          <w:sz w:val="24"/>
          <w:szCs w:val="24"/>
        </w:rPr>
        <w:endnoteReference w:id="21"/>
      </w:r>
      <w:r w:rsidRPr="006E7DBF">
        <w:rPr>
          <w:sz w:val="24"/>
          <w:szCs w:val="24"/>
        </w:rPr>
        <w:t xml:space="preserve"> soft bedding,</w:t>
      </w:r>
      <w:r w:rsidRPr="006E7DBF">
        <w:rPr>
          <w:rStyle w:val="EndnoteReference"/>
          <w:sz w:val="24"/>
          <w:szCs w:val="24"/>
        </w:rPr>
        <w:endnoteReference w:id="22"/>
      </w:r>
      <w:r w:rsidRPr="006E7DBF">
        <w:rPr>
          <w:sz w:val="24"/>
          <w:szCs w:val="24"/>
        </w:rPr>
        <w:t xml:space="preserve"> parental alcohol use,</w:t>
      </w:r>
      <w:r w:rsidRPr="006E7DBF">
        <w:rPr>
          <w:rStyle w:val="EndnoteReference"/>
          <w:sz w:val="24"/>
          <w:szCs w:val="24"/>
        </w:rPr>
        <w:endnoteReference w:id="23"/>
      </w:r>
      <w:r w:rsidRPr="006E7DBF">
        <w:rPr>
          <w:sz w:val="24"/>
          <w:szCs w:val="24"/>
        </w:rPr>
        <w:t xml:space="preserve"> and overheating.</w:t>
      </w:r>
      <w:r w:rsidRPr="006E7DBF">
        <w:rPr>
          <w:rStyle w:val="EndnoteReference"/>
          <w:sz w:val="24"/>
          <w:szCs w:val="24"/>
        </w:rPr>
        <w:endnoteReference w:id="24"/>
      </w:r>
      <w:r w:rsidRPr="006E7DBF">
        <w:rPr>
          <w:sz w:val="24"/>
          <w:szCs w:val="24"/>
        </w:rPr>
        <w:t xml:space="preserve"> In addition to supine sleep position, firm sleep surface, and separate sleep space, known protective factors for SUID include breastfeeding,</w:t>
      </w:r>
      <w:r w:rsidRPr="006E7DBF">
        <w:rPr>
          <w:rStyle w:val="EndnoteReference"/>
          <w:sz w:val="24"/>
          <w:szCs w:val="24"/>
        </w:rPr>
        <w:endnoteReference w:id="25"/>
      </w:r>
      <w:r w:rsidRPr="006E7DBF">
        <w:rPr>
          <w:sz w:val="24"/>
          <w:szCs w:val="24"/>
        </w:rPr>
        <w:t xml:space="preserve"> pacifier use,</w:t>
      </w:r>
      <w:r w:rsidRPr="006E7DBF">
        <w:rPr>
          <w:rStyle w:val="EndnoteReference"/>
          <w:sz w:val="24"/>
          <w:szCs w:val="24"/>
        </w:rPr>
        <w:endnoteReference w:id="26"/>
      </w:r>
      <w:r w:rsidRPr="006E7DBF">
        <w:rPr>
          <w:sz w:val="24"/>
          <w:szCs w:val="24"/>
        </w:rPr>
        <w:t xml:space="preserve"> and parental exposure to educational interventions.</w:t>
      </w:r>
      <w:r w:rsidRPr="006E7DBF">
        <w:rPr>
          <w:rStyle w:val="EndnoteReference"/>
          <w:sz w:val="24"/>
          <w:szCs w:val="24"/>
        </w:rPr>
        <w:endnoteReference w:id="27"/>
      </w:r>
    </w:p>
    <w:p w14:paraId="2635C84D" w14:textId="77777777" w:rsidR="00BA2E13" w:rsidRPr="006E7DBF" w:rsidRDefault="00BA2E13" w:rsidP="006E7DBF">
      <w:pPr>
        <w:pStyle w:val="Heading4"/>
        <w:spacing w:line="360" w:lineRule="auto"/>
        <w:rPr>
          <w:i/>
        </w:rPr>
      </w:pPr>
      <w:r w:rsidRPr="006E7DBF">
        <w:t>Trends/Disparities</w:t>
      </w:r>
    </w:p>
    <w:p w14:paraId="7851FCAC" w14:textId="4E748580" w:rsidR="00BA2E13" w:rsidRPr="006E7DBF" w:rsidRDefault="00BA2E13" w:rsidP="006E7DBF">
      <w:pPr>
        <w:spacing w:line="360" w:lineRule="auto"/>
        <w:ind w:right="-360"/>
        <w:rPr>
          <w:sz w:val="24"/>
          <w:szCs w:val="24"/>
        </w:rPr>
      </w:pPr>
      <w:r w:rsidRPr="006E7DBF">
        <w:rPr>
          <w:sz w:val="24"/>
          <w:szCs w:val="24"/>
        </w:rPr>
        <w:t>SUID rates decreased in Massachusetts duri</w:t>
      </w:r>
      <w:r w:rsidR="008C7407" w:rsidRPr="006E7DBF">
        <w:rPr>
          <w:sz w:val="24"/>
          <w:szCs w:val="24"/>
        </w:rPr>
        <w:t xml:space="preserve">ng the 10-year period from 2005 to </w:t>
      </w:r>
      <w:r w:rsidRPr="006E7DBF">
        <w:rPr>
          <w:sz w:val="24"/>
          <w:szCs w:val="24"/>
        </w:rPr>
        <w:t xml:space="preserve">2014. The three-year average annual SUID rate in Massachusetts declined 24.2%, from 54.2 per 100,000 infants in 2005-2007 to 41.1 per 100,000 infants in 2012-2014. </w:t>
      </w:r>
    </w:p>
    <w:p w14:paraId="7C57565B" w14:textId="0C959F30" w:rsidR="00BA2E13" w:rsidRPr="006E7DBF" w:rsidRDefault="00BA2E13" w:rsidP="006E7DBF">
      <w:pPr>
        <w:spacing w:line="360" w:lineRule="auto"/>
        <w:ind w:right="-360"/>
        <w:rPr>
          <w:sz w:val="24"/>
          <w:szCs w:val="24"/>
        </w:rPr>
      </w:pPr>
      <w:r w:rsidRPr="006E7DBF">
        <w:rPr>
          <w:sz w:val="24"/>
          <w:szCs w:val="24"/>
        </w:rPr>
        <w:t xml:space="preserve">Yet despite this overall reduction in SUID, racial and ethnic disparities persist. The five-year average annual SUID rate (2010-2014) among </w:t>
      </w:r>
      <w:r w:rsidR="008C7407" w:rsidRPr="006E7DBF">
        <w:rPr>
          <w:sz w:val="24"/>
          <w:szCs w:val="24"/>
        </w:rPr>
        <w:t>Black non-Hispanic infants was two</w:t>
      </w:r>
      <w:r w:rsidRPr="006E7DBF">
        <w:rPr>
          <w:sz w:val="24"/>
          <w:szCs w:val="24"/>
        </w:rPr>
        <w:t xml:space="preserve"> times the rate of White non-Hispanic infants </w:t>
      </w:r>
      <w:r w:rsidRPr="006E7DBF">
        <w:rPr>
          <w:b/>
          <w:sz w:val="24"/>
          <w:szCs w:val="24"/>
        </w:rPr>
        <w:t>(</w:t>
      </w:r>
      <w:r w:rsidR="00C46EBB" w:rsidRPr="006E7DBF">
        <w:rPr>
          <w:b/>
          <w:sz w:val="24"/>
          <w:szCs w:val="24"/>
        </w:rPr>
        <w:t xml:space="preserve">see </w:t>
      </w:r>
      <w:r w:rsidRPr="006E7DBF">
        <w:rPr>
          <w:b/>
          <w:sz w:val="24"/>
          <w:szCs w:val="24"/>
        </w:rPr>
        <w:t>Figure 2.5)</w:t>
      </w:r>
      <w:r w:rsidRPr="006E7DBF">
        <w:rPr>
          <w:sz w:val="24"/>
          <w:szCs w:val="24"/>
        </w:rPr>
        <w:t>.</w:t>
      </w:r>
    </w:p>
    <w:p w14:paraId="3D98D546" w14:textId="5E3A0103" w:rsidR="006E7DBF" w:rsidRDefault="00BA2E13" w:rsidP="006E7DBF">
      <w:pPr>
        <w:spacing w:line="360" w:lineRule="auto"/>
        <w:ind w:right="-360"/>
        <w:rPr>
          <w:sz w:val="24"/>
          <w:szCs w:val="24"/>
        </w:rPr>
      </w:pPr>
      <w:r w:rsidRPr="006E7DBF">
        <w:rPr>
          <w:sz w:val="24"/>
          <w:szCs w:val="24"/>
        </w:rPr>
        <w:t>According to data from MA PRAMS, while the prevalence of supine (back) sleep positioning has increased from 77% in 2010 to 85% in 2014, disparities persist as well. For example, in 2014, fewer WIC participants (76%) placed their infant on his/her back to sleep compared with non-WIC participants (90%). Further, Black non-Hispanic (70%) and Hispanic (74%) infants had a lower prevalence of supine sleep position than White non-Hispanic infants (91%).</w:t>
      </w:r>
    </w:p>
    <w:p w14:paraId="7245AE92" w14:textId="77777777" w:rsidR="006E7DBF" w:rsidRDefault="006E7DBF">
      <w:pPr>
        <w:spacing w:before="0"/>
        <w:ind w:left="0" w:right="0"/>
        <w:jc w:val="left"/>
        <w:rPr>
          <w:sz w:val="24"/>
          <w:szCs w:val="24"/>
        </w:rPr>
      </w:pPr>
      <w:r>
        <w:rPr>
          <w:sz w:val="24"/>
          <w:szCs w:val="24"/>
        </w:rPr>
        <w:br w:type="page"/>
      </w:r>
    </w:p>
    <w:p w14:paraId="2B3AADC8" w14:textId="77777777" w:rsidR="00BA2E13" w:rsidRPr="006E7DBF" w:rsidRDefault="00BA2E13" w:rsidP="006E7DBF">
      <w:pPr>
        <w:pStyle w:val="SHAFigureNumber"/>
        <w:spacing w:line="360" w:lineRule="auto"/>
        <w:rPr>
          <w:sz w:val="24"/>
          <w:szCs w:val="24"/>
        </w:rPr>
      </w:pPr>
      <w:r w:rsidRPr="006E7DBF">
        <w:rPr>
          <w:sz w:val="24"/>
          <w:szCs w:val="24"/>
        </w:rPr>
        <w:lastRenderedPageBreak/>
        <w:t>Figure 2.5</w:t>
      </w:r>
    </w:p>
    <w:p w14:paraId="6E521711" w14:textId="1471B0B8" w:rsidR="00D355BC" w:rsidRPr="006E7DBF" w:rsidRDefault="00BA2E13" w:rsidP="006E7DBF">
      <w:pPr>
        <w:pStyle w:val="SHAFigureNumber"/>
        <w:spacing w:line="360" w:lineRule="auto"/>
        <w:rPr>
          <w:noProof/>
          <w:sz w:val="24"/>
          <w:szCs w:val="24"/>
        </w:rPr>
      </w:pPr>
      <w:r w:rsidRPr="006E7DBF">
        <w:rPr>
          <w:sz w:val="24"/>
          <w:szCs w:val="24"/>
        </w:rPr>
        <w:t>Average Annual Rate of Sudden Unexpected Infant Death (SUID), by Race/Ethnicity, 2010-2014</w:t>
      </w:r>
    </w:p>
    <w:p w14:paraId="6895514B" w14:textId="5B67B4E0" w:rsidR="00E0349A" w:rsidRPr="006E7DBF" w:rsidRDefault="00E0349A" w:rsidP="006E7DBF">
      <w:pPr>
        <w:pStyle w:val="SHAFigureNumber"/>
        <w:spacing w:line="360" w:lineRule="auto"/>
        <w:rPr>
          <w:sz w:val="24"/>
          <w:szCs w:val="24"/>
        </w:rPr>
      </w:pPr>
      <w:r w:rsidRPr="006E7DBF">
        <w:rPr>
          <w:noProof/>
          <w:sz w:val="24"/>
          <w:szCs w:val="24"/>
        </w:rPr>
        <w:drawing>
          <wp:inline distT="0" distB="0" distL="0" distR="0" wp14:anchorId="3492DC8D" wp14:editId="140C92B6">
            <wp:extent cx="4572000" cy="2857500"/>
            <wp:effectExtent l="0" t="0" r="0" b="0"/>
            <wp:docPr id="581" name="Chart 581" descr="This horizontal bar graph shows the annual rate of sudden unexpected infant death by race and ethnicity from 2010 to 2014.  White non-Hispanics had an average annual rate of 43 deaths per 100,000 infants, Hispanics had an average annual rate of 39 deaths per 100,000 infants, and Black non-Hispanics had an average annual rate of 86 deaths per 100,000 infants.">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CBF337F-B9D6-4823-A841-F437265291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52992D9" w14:textId="3EF23E70" w:rsidR="00BA2E13" w:rsidRPr="006E7DBF" w:rsidRDefault="00BA2E13" w:rsidP="006E7DBF">
      <w:pPr>
        <w:pStyle w:val="Heading2"/>
        <w:spacing w:line="360" w:lineRule="auto"/>
        <w:ind w:right="-360"/>
        <w:rPr>
          <w:sz w:val="24"/>
          <w:szCs w:val="24"/>
        </w:rPr>
      </w:pPr>
      <w:r w:rsidRPr="006E7DBF">
        <w:rPr>
          <w:sz w:val="24"/>
          <w:szCs w:val="24"/>
        </w:rPr>
        <w:t>Child Health</w:t>
      </w:r>
    </w:p>
    <w:p w14:paraId="26F3435C" w14:textId="77777777" w:rsidR="00BA2E13" w:rsidRPr="006E7DBF" w:rsidRDefault="00BA2E13" w:rsidP="006E7DBF">
      <w:pPr>
        <w:spacing w:line="360" w:lineRule="auto"/>
        <w:ind w:right="-360"/>
        <w:rPr>
          <w:sz w:val="24"/>
          <w:szCs w:val="24"/>
        </w:rPr>
      </w:pPr>
      <w:r w:rsidRPr="006E7DBF">
        <w:rPr>
          <w:sz w:val="24"/>
          <w:szCs w:val="24"/>
        </w:rPr>
        <w:t>A child’s physical, social, and emotional health has important implications for health later in life.</w:t>
      </w:r>
      <w:r w:rsidRPr="006E7DBF">
        <w:rPr>
          <w:rStyle w:val="EndnoteReference"/>
          <w:rFonts w:ascii="Aileron" w:hAnsi="Aileron"/>
          <w:sz w:val="24"/>
          <w:szCs w:val="24"/>
        </w:rPr>
        <w:endnoteReference w:id="28"/>
      </w:r>
      <w:r w:rsidRPr="006E7DBF">
        <w:rPr>
          <w:sz w:val="24"/>
          <w:szCs w:val="24"/>
        </w:rPr>
        <w:t xml:space="preserve"> As children develop, they have unique health care needs and may require specialized services and interventions. Protecting and promoting the health of children and adolescents is a key mission of MDPH as the Commonwealth’s Title V Maternal and Child Health Block Grant Agency.</w:t>
      </w:r>
    </w:p>
    <w:p w14:paraId="5D6BE08F" w14:textId="77777777" w:rsidR="00BA2E13" w:rsidRPr="006E7DBF" w:rsidRDefault="00BA2E13" w:rsidP="006E7DBF">
      <w:pPr>
        <w:pStyle w:val="Heading3"/>
        <w:spacing w:line="360" w:lineRule="auto"/>
        <w:rPr>
          <w:sz w:val="24"/>
          <w:szCs w:val="24"/>
        </w:rPr>
      </w:pPr>
      <w:r w:rsidRPr="006E7DBF">
        <w:rPr>
          <w:sz w:val="24"/>
          <w:szCs w:val="24"/>
        </w:rPr>
        <w:t>Nutrition</w:t>
      </w:r>
    </w:p>
    <w:p w14:paraId="0E92BA60" w14:textId="431693C7" w:rsidR="00BA2E13" w:rsidRPr="006E7DBF" w:rsidRDefault="00BA2E13" w:rsidP="006E7DBF">
      <w:pPr>
        <w:spacing w:line="360" w:lineRule="auto"/>
        <w:ind w:right="-360"/>
        <w:rPr>
          <w:sz w:val="24"/>
          <w:szCs w:val="24"/>
        </w:rPr>
      </w:pPr>
      <w:r w:rsidRPr="006E7DBF">
        <w:rPr>
          <w:sz w:val="24"/>
          <w:szCs w:val="24"/>
        </w:rPr>
        <w:t>Healthy eating in childhood and adolescence is important for proper growth and development and the prevention of various health conditions including cancers and heart disease.</w:t>
      </w:r>
      <w:r w:rsidRPr="006E7DBF">
        <w:rPr>
          <w:rStyle w:val="EndnoteReference"/>
          <w:sz w:val="24"/>
          <w:szCs w:val="24"/>
        </w:rPr>
        <w:endnoteReference w:id="29"/>
      </w:r>
      <w:r w:rsidRPr="006E7DBF">
        <w:rPr>
          <w:sz w:val="24"/>
          <w:szCs w:val="24"/>
          <w:vertAlign w:val="superscript"/>
        </w:rPr>
        <w:t>,</w:t>
      </w:r>
      <w:r w:rsidRPr="006E7DBF">
        <w:rPr>
          <w:rStyle w:val="EndnoteReference"/>
          <w:sz w:val="24"/>
          <w:szCs w:val="24"/>
        </w:rPr>
        <w:endnoteReference w:id="30"/>
      </w:r>
      <w:r w:rsidRPr="006E7DBF">
        <w:rPr>
          <w:sz w:val="24"/>
          <w:szCs w:val="24"/>
        </w:rPr>
        <w:t xml:space="preserve">  Additionally, poor diet can increase the risk of obesity.</w:t>
      </w:r>
      <w:r w:rsidRPr="006E7DBF">
        <w:rPr>
          <w:rStyle w:val="EndnoteReference"/>
          <w:sz w:val="24"/>
          <w:szCs w:val="24"/>
        </w:rPr>
        <w:endnoteReference w:id="31"/>
      </w:r>
      <w:r w:rsidRPr="006E7DBF">
        <w:rPr>
          <w:sz w:val="24"/>
          <w:szCs w:val="24"/>
        </w:rPr>
        <w:t xml:space="preserve"> Childhood obesity has important implications for the physical and emotional well-being of children and youth. Children who are obese are more likely to develop risk factors for chronic disease early in life</w:t>
      </w:r>
      <w:r w:rsidR="002B3A27" w:rsidRPr="006E7DBF">
        <w:rPr>
          <w:sz w:val="24"/>
          <w:szCs w:val="24"/>
        </w:rPr>
        <w:t>,</w:t>
      </w:r>
      <w:r w:rsidRPr="006E7DBF">
        <w:rPr>
          <w:sz w:val="24"/>
          <w:szCs w:val="24"/>
        </w:rPr>
        <w:t xml:space="preserve"> such as high blood sugar, high triglycerides, and high blood pressure. Children who are obese are also more likely to develop chronic diseases</w:t>
      </w:r>
      <w:r w:rsidR="002B3A27" w:rsidRPr="006E7DBF">
        <w:rPr>
          <w:sz w:val="24"/>
          <w:szCs w:val="24"/>
        </w:rPr>
        <w:t>,</w:t>
      </w:r>
      <w:r w:rsidRPr="006E7DBF">
        <w:rPr>
          <w:sz w:val="24"/>
          <w:szCs w:val="24"/>
        </w:rPr>
        <w:t xml:space="preserve"> such as type 2 diabetes</w:t>
      </w:r>
      <w:r w:rsidR="002B3A27" w:rsidRPr="006E7DBF">
        <w:rPr>
          <w:sz w:val="24"/>
          <w:szCs w:val="24"/>
        </w:rPr>
        <w:t>,</w:t>
      </w:r>
      <w:r w:rsidRPr="006E7DBF">
        <w:rPr>
          <w:sz w:val="24"/>
          <w:szCs w:val="24"/>
        </w:rPr>
        <w:t xml:space="preserve"> before becoming adults. In addition, children who are obese are more likely to experience bullying and weight-based discrimination.</w:t>
      </w:r>
      <w:r w:rsidRPr="006E7DBF">
        <w:rPr>
          <w:rStyle w:val="EndnoteReference"/>
          <w:sz w:val="24"/>
          <w:szCs w:val="24"/>
        </w:rPr>
        <w:endnoteReference w:id="32"/>
      </w:r>
    </w:p>
    <w:p w14:paraId="2D8DAA95" w14:textId="77777777" w:rsidR="000B520F" w:rsidRPr="006E7DBF" w:rsidRDefault="000B520F" w:rsidP="006E7DBF">
      <w:pPr>
        <w:spacing w:line="360" w:lineRule="auto"/>
        <w:ind w:right="-360"/>
        <w:rPr>
          <w:sz w:val="24"/>
          <w:szCs w:val="24"/>
        </w:rPr>
      </w:pPr>
    </w:p>
    <w:p w14:paraId="2E04A1FC" w14:textId="77777777" w:rsidR="00BA2E13" w:rsidRPr="006E7DBF" w:rsidRDefault="00BA2E13" w:rsidP="006E7DBF">
      <w:pPr>
        <w:pStyle w:val="Heading4"/>
        <w:spacing w:line="360" w:lineRule="auto"/>
        <w:rPr>
          <w:i/>
        </w:rPr>
      </w:pPr>
      <w:r w:rsidRPr="006E7DBF">
        <w:lastRenderedPageBreak/>
        <w:t>Trends/Disparities</w:t>
      </w:r>
    </w:p>
    <w:p w14:paraId="02C7015D" w14:textId="18545233" w:rsidR="00BA2E13" w:rsidRPr="006E7DBF" w:rsidRDefault="00BA2E13" w:rsidP="006E7DBF">
      <w:pPr>
        <w:spacing w:line="360" w:lineRule="auto"/>
        <w:ind w:right="-360"/>
        <w:rPr>
          <w:sz w:val="24"/>
          <w:szCs w:val="24"/>
        </w:rPr>
      </w:pPr>
      <w:r w:rsidRPr="006E7DBF">
        <w:rPr>
          <w:sz w:val="24"/>
          <w:szCs w:val="24"/>
        </w:rPr>
        <w:t xml:space="preserve">Body mass index (BMI) screening data in Massachusetts indicate that the prevalence of overweight and obesity declined across the Commonwealth, from 34% in 2009 to 32% in 2015. While school districts with higher median household incomes (&gt;$37,000) experienced significant reductions in the prevalence of overweight and obesity during this period, data from 2014-2015 show that districts with lower median household incomes have disproportionally higher prevalence of overweight and obesity </w:t>
      </w:r>
      <w:r w:rsidRPr="006E7DBF">
        <w:rPr>
          <w:b/>
          <w:sz w:val="24"/>
          <w:szCs w:val="24"/>
        </w:rPr>
        <w:t>(</w:t>
      </w:r>
      <w:r w:rsidR="00C46EBB" w:rsidRPr="006E7DBF">
        <w:rPr>
          <w:b/>
          <w:sz w:val="24"/>
          <w:szCs w:val="24"/>
        </w:rPr>
        <w:t xml:space="preserve">see </w:t>
      </w:r>
      <w:r w:rsidRPr="006E7DBF">
        <w:rPr>
          <w:b/>
          <w:sz w:val="24"/>
          <w:szCs w:val="24"/>
        </w:rPr>
        <w:t>Figure 2.6)</w:t>
      </w:r>
      <w:r w:rsidRPr="006E7DBF">
        <w:rPr>
          <w:sz w:val="24"/>
          <w:szCs w:val="24"/>
        </w:rPr>
        <w:t xml:space="preserve">. </w:t>
      </w:r>
    </w:p>
    <w:p w14:paraId="41A23420" w14:textId="77777777" w:rsidR="00BA2E13" w:rsidRPr="006E7DBF" w:rsidRDefault="00BA2E13" w:rsidP="006E7DBF">
      <w:pPr>
        <w:pStyle w:val="SHAFigureNumber"/>
        <w:spacing w:line="360" w:lineRule="auto"/>
        <w:rPr>
          <w:sz w:val="24"/>
          <w:szCs w:val="24"/>
        </w:rPr>
      </w:pPr>
      <w:r w:rsidRPr="006E7DBF">
        <w:rPr>
          <w:sz w:val="24"/>
          <w:szCs w:val="24"/>
        </w:rPr>
        <w:t>Figure 2.6</w:t>
      </w:r>
    </w:p>
    <w:p w14:paraId="51D3EAF5" w14:textId="77777777" w:rsidR="001B2649" w:rsidRPr="006E7DBF" w:rsidRDefault="00BA2E13" w:rsidP="006E7DBF">
      <w:pPr>
        <w:pStyle w:val="SHAFigureNumber"/>
        <w:spacing w:line="360" w:lineRule="auto"/>
        <w:contextualSpacing/>
        <w:rPr>
          <w:sz w:val="24"/>
          <w:szCs w:val="24"/>
        </w:rPr>
      </w:pPr>
      <w:r w:rsidRPr="006E7DBF">
        <w:rPr>
          <w:sz w:val="24"/>
          <w:szCs w:val="24"/>
        </w:rPr>
        <w:t>Preval</w:t>
      </w:r>
      <w:r w:rsidR="00925A89" w:rsidRPr="006E7DBF">
        <w:rPr>
          <w:sz w:val="24"/>
          <w:szCs w:val="24"/>
        </w:rPr>
        <w:t>ence of Overweight and Obesity a</w:t>
      </w:r>
      <w:r w:rsidRPr="006E7DBF">
        <w:rPr>
          <w:sz w:val="24"/>
          <w:szCs w:val="24"/>
        </w:rPr>
        <w:t xml:space="preserve">mong Public School Children, Massachusetts Public School Districts, </w:t>
      </w:r>
    </w:p>
    <w:p w14:paraId="2A9B14DD" w14:textId="49E996BD" w:rsidR="00FC64DD" w:rsidRPr="006E7DBF" w:rsidRDefault="00BA2E13" w:rsidP="006E7DBF">
      <w:pPr>
        <w:pStyle w:val="SHAFigureNumber"/>
        <w:spacing w:line="360" w:lineRule="auto"/>
        <w:contextualSpacing/>
        <w:rPr>
          <w:sz w:val="24"/>
          <w:szCs w:val="24"/>
        </w:rPr>
      </w:pPr>
      <w:r w:rsidRPr="006E7DBF">
        <w:rPr>
          <w:sz w:val="24"/>
          <w:szCs w:val="24"/>
        </w:rPr>
        <w:t>School Year 2014-2015</w:t>
      </w:r>
    </w:p>
    <w:p w14:paraId="23F82994" w14:textId="6F154E9D" w:rsidR="00BA2E13" w:rsidRPr="006E7DBF" w:rsidRDefault="009F30C7" w:rsidP="006E7DBF">
      <w:pPr>
        <w:spacing w:line="360" w:lineRule="auto"/>
        <w:ind w:right="-360"/>
        <w:jc w:val="center"/>
        <w:rPr>
          <w:sz w:val="24"/>
          <w:szCs w:val="24"/>
        </w:rPr>
      </w:pPr>
      <w:r w:rsidRPr="006E7DBF">
        <w:rPr>
          <w:sz w:val="24"/>
          <w:szCs w:val="24"/>
        </w:rPr>
        <w:drawing>
          <wp:inline distT="0" distB="0" distL="0" distR="0" wp14:anchorId="1F75D0E0" wp14:editId="7C06E05C">
            <wp:extent cx="6201931" cy="3880236"/>
            <wp:effectExtent l="0" t="0" r="8890" b="6350"/>
            <wp:docPr id="228" name="Picture 228" descr="This map of Massachusetts public school districts shows the prevalence of overweight and obesity among public school children and identifies communities where more than 30% of students are economically disadvantaged. The Adams-Cheshire, Athol-Royalston, Boston, Brockton, Chelsea, Chicopee, Everett, Fall River, Fitchburg, Framingham, Haverhill, Holbrook, Leominster, Lowell, Lynn, Marlborough, New Bedford, Palmer, Peabody, Randolph, Revere, Salem, Somerville, Southbridge, Springfield, Swansea, Taunton, Waltham, Ware, Wareham, Westport, and Worcester school districts had the highest prevalence with 38% to 52% of students overweight or obese. More than 30% of students were economically disadvantaged in all of these communities except for Framingham, Holbrook, Marlborough, Swansea, Peabody, Waltham, and Westp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8286" t="14829" r="20009" b="16540"/>
                    <a:stretch/>
                  </pic:blipFill>
                  <pic:spPr bwMode="auto">
                    <a:xfrm>
                      <a:off x="0" y="0"/>
                      <a:ext cx="6208928" cy="3884613"/>
                    </a:xfrm>
                    <a:prstGeom prst="rect">
                      <a:avLst/>
                    </a:prstGeom>
                    <a:ln>
                      <a:noFill/>
                    </a:ln>
                    <a:extLst>
                      <a:ext uri="{53640926-AAD7-44D8-BBD7-CCE9431645EC}">
                        <a14:shadowObscured xmlns:a14="http://schemas.microsoft.com/office/drawing/2010/main"/>
                      </a:ext>
                    </a:extLst>
                  </pic:spPr>
                </pic:pic>
              </a:graphicData>
            </a:graphic>
          </wp:inline>
        </w:drawing>
      </w:r>
    </w:p>
    <w:p w14:paraId="025FC858" w14:textId="77777777" w:rsidR="00BA2E13" w:rsidRPr="006E7DBF" w:rsidRDefault="00BA2E13" w:rsidP="006E7DBF">
      <w:pPr>
        <w:pStyle w:val="Heading3"/>
        <w:spacing w:line="360" w:lineRule="auto"/>
        <w:rPr>
          <w:sz w:val="24"/>
          <w:szCs w:val="24"/>
        </w:rPr>
      </w:pPr>
      <w:r w:rsidRPr="006E7DBF">
        <w:rPr>
          <w:sz w:val="24"/>
          <w:szCs w:val="24"/>
        </w:rPr>
        <w:t>Social/Emotional Health</w:t>
      </w:r>
    </w:p>
    <w:p w14:paraId="2F958693" w14:textId="77777777" w:rsidR="00BA2E13" w:rsidRPr="006E7DBF" w:rsidRDefault="00BA2E13" w:rsidP="006E7DBF">
      <w:pPr>
        <w:spacing w:line="360" w:lineRule="auto"/>
        <w:ind w:right="-360"/>
        <w:rPr>
          <w:sz w:val="24"/>
          <w:szCs w:val="24"/>
        </w:rPr>
      </w:pPr>
      <w:r w:rsidRPr="006E7DBF">
        <w:rPr>
          <w:sz w:val="24"/>
          <w:szCs w:val="24"/>
        </w:rPr>
        <w:t xml:space="preserve">Emotional well-being is shaped by a variety of factors, including biological factors, life experiences, family and community supports, education, and environmental factors. Social connections are an important source of support for children and adolescents that can buffer the effects of stress, connect children with resources, and </w:t>
      </w:r>
      <w:r w:rsidRPr="006E7DBF">
        <w:rPr>
          <w:sz w:val="24"/>
          <w:szCs w:val="24"/>
        </w:rPr>
        <w:lastRenderedPageBreak/>
        <w:t>shape health behaviors.</w:t>
      </w:r>
      <w:r w:rsidRPr="006E7DBF">
        <w:rPr>
          <w:rStyle w:val="EndnoteReference"/>
          <w:sz w:val="24"/>
          <w:szCs w:val="24"/>
        </w:rPr>
        <w:endnoteReference w:id="33"/>
      </w:r>
      <w:r w:rsidRPr="006E7DBF">
        <w:rPr>
          <w:sz w:val="24"/>
          <w:szCs w:val="24"/>
        </w:rPr>
        <w:t xml:space="preserve"> Early detection and intervention to address social and emotional risk factors can greatly improve outcomes for children and adolescents. Promoting emotional wellness and social connectedness across the life course is a Title V priority for MDPH, including during early childhood and adolescence. </w:t>
      </w:r>
    </w:p>
    <w:p w14:paraId="16588E7F" w14:textId="77777777" w:rsidR="00BA2E13" w:rsidRPr="006E7DBF" w:rsidRDefault="00BA2E13" w:rsidP="006E7DBF">
      <w:pPr>
        <w:pStyle w:val="Heading4"/>
        <w:spacing w:line="360" w:lineRule="auto"/>
        <w:rPr>
          <w:i/>
        </w:rPr>
      </w:pPr>
      <w:r w:rsidRPr="006E7DBF">
        <w:t>Trends/Disparities</w:t>
      </w:r>
    </w:p>
    <w:p w14:paraId="5E5F677D" w14:textId="77777777" w:rsidR="00BA2E13" w:rsidRPr="006E7DBF" w:rsidRDefault="00BA2E13" w:rsidP="006E7DBF">
      <w:pPr>
        <w:spacing w:line="360" w:lineRule="auto"/>
        <w:ind w:right="-360"/>
        <w:rPr>
          <w:sz w:val="24"/>
          <w:szCs w:val="24"/>
        </w:rPr>
      </w:pPr>
      <w:r w:rsidRPr="006E7DBF">
        <w:rPr>
          <w:sz w:val="24"/>
          <w:szCs w:val="24"/>
        </w:rPr>
        <w:t>Massachusetts data show an increase in the proportion of high school students who reported feeling sad or hopeless, from 22% in 2013 to 27% in 2015.</w:t>
      </w:r>
      <w:r w:rsidRPr="006E7DBF">
        <w:rPr>
          <w:rStyle w:val="EndnoteReference"/>
          <w:sz w:val="24"/>
          <w:szCs w:val="24"/>
        </w:rPr>
        <w:endnoteReference w:id="34"/>
      </w:r>
      <w:r w:rsidRPr="006E7DBF">
        <w:rPr>
          <w:sz w:val="24"/>
          <w:szCs w:val="24"/>
        </w:rPr>
        <w:t xml:space="preserve">  </w:t>
      </w:r>
    </w:p>
    <w:p w14:paraId="0D121FF3" w14:textId="7C29D276" w:rsidR="00BA2E13" w:rsidRPr="006E7DBF" w:rsidRDefault="00BA2E13" w:rsidP="006E7DBF">
      <w:pPr>
        <w:spacing w:line="360" w:lineRule="auto"/>
        <w:ind w:right="-360"/>
        <w:rPr>
          <w:sz w:val="24"/>
          <w:szCs w:val="24"/>
        </w:rPr>
      </w:pPr>
      <w:r w:rsidRPr="006E7DBF">
        <w:rPr>
          <w:sz w:val="24"/>
          <w:szCs w:val="24"/>
        </w:rPr>
        <w:t xml:space="preserve">Among Massachusetts high school students, in </w:t>
      </w:r>
      <w:r w:rsidR="003C4565" w:rsidRPr="006E7DBF">
        <w:rPr>
          <w:sz w:val="24"/>
          <w:szCs w:val="24"/>
        </w:rPr>
        <w:t>2015</w:t>
      </w:r>
      <w:r w:rsidRPr="006E7DBF">
        <w:rPr>
          <w:sz w:val="24"/>
          <w:szCs w:val="24"/>
        </w:rPr>
        <w:t xml:space="preserve"> racial, ethnic, and sexual minority students were less likely to report supportive relationships with adults in their family or at school. During the same time period, 65% of high school students who identified as gay, lesbian, or bisexual reported having a parent or adult with whom they could talk about important matters compared with 84% of students who identified as heterosexual.</w:t>
      </w:r>
      <w:r w:rsidRPr="006E7DBF">
        <w:rPr>
          <w:rStyle w:val="EndnoteReference"/>
          <w:sz w:val="24"/>
          <w:szCs w:val="24"/>
        </w:rPr>
        <w:endnoteReference w:id="35"/>
      </w:r>
    </w:p>
    <w:p w14:paraId="0B605238" w14:textId="01F0E9E6" w:rsidR="006E7DBF" w:rsidRDefault="00BA2E13" w:rsidP="006E7DBF">
      <w:pPr>
        <w:spacing w:line="360" w:lineRule="auto"/>
        <w:ind w:right="-360"/>
        <w:rPr>
          <w:rFonts w:ascii="Calibri" w:eastAsia="Calibri" w:hAnsi="Calibri" w:cs="Times New Roman"/>
          <w:sz w:val="24"/>
          <w:szCs w:val="24"/>
        </w:rPr>
      </w:pPr>
      <w:r w:rsidRPr="006E7DBF">
        <w:rPr>
          <w:rFonts w:ascii="Calibri" w:eastAsia="Calibri" w:hAnsi="Calibri" w:cs="Times New Roman"/>
          <w:sz w:val="24"/>
          <w:szCs w:val="24"/>
        </w:rPr>
        <w:t>Children from households with incomes below the federal poverty l</w:t>
      </w:r>
      <w:r w:rsidR="003C4565" w:rsidRPr="006E7DBF">
        <w:rPr>
          <w:rFonts w:ascii="Calibri" w:eastAsia="Calibri" w:hAnsi="Calibri" w:cs="Times New Roman"/>
          <w:sz w:val="24"/>
          <w:szCs w:val="24"/>
        </w:rPr>
        <w:t>evel were 1.9 and 3.8</w:t>
      </w:r>
      <w:r w:rsidRPr="006E7DBF">
        <w:rPr>
          <w:rFonts w:ascii="Calibri" w:eastAsia="Calibri" w:hAnsi="Calibri" w:cs="Times New Roman"/>
          <w:sz w:val="24"/>
          <w:szCs w:val="24"/>
        </w:rPr>
        <w:t xml:space="preserve"> times as likely to experience two or more adverse family experiences as children in households with incomes 200-399% of the federal poverty level and those with household incomes </w:t>
      </w:r>
      <w:r w:rsidRPr="006E7DBF">
        <w:rPr>
          <w:rFonts w:ascii="Calibri" w:eastAsia="Calibri" w:hAnsi="Calibri" w:cs="Times New Roman"/>
          <w:sz w:val="24"/>
          <w:szCs w:val="24"/>
          <w:u w:val="single"/>
        </w:rPr>
        <w:t>&gt;</w:t>
      </w:r>
      <w:r w:rsidRPr="006E7DBF">
        <w:rPr>
          <w:rFonts w:ascii="Calibri" w:eastAsia="Calibri" w:hAnsi="Calibri" w:cs="Times New Roman"/>
          <w:sz w:val="24"/>
          <w:szCs w:val="24"/>
        </w:rPr>
        <w:t xml:space="preserve">400% of the federal poverty level, respectively </w:t>
      </w:r>
      <w:r w:rsidRPr="006E7DBF">
        <w:rPr>
          <w:rFonts w:ascii="Calibri" w:eastAsia="Calibri" w:hAnsi="Calibri" w:cs="Times New Roman"/>
          <w:b/>
          <w:sz w:val="24"/>
          <w:szCs w:val="24"/>
        </w:rPr>
        <w:t>(Figure 2.7)</w:t>
      </w:r>
      <w:r w:rsidRPr="006E7DBF">
        <w:rPr>
          <w:rFonts w:ascii="Calibri" w:eastAsia="Calibri" w:hAnsi="Calibri" w:cs="Times New Roman"/>
          <w:sz w:val="24"/>
          <w:szCs w:val="24"/>
        </w:rPr>
        <w:t>.</w:t>
      </w:r>
    </w:p>
    <w:p w14:paraId="1249D4C1" w14:textId="77777777" w:rsidR="006E7DBF" w:rsidRDefault="006E7DBF">
      <w:pPr>
        <w:spacing w:before="0"/>
        <w:ind w:left="0" w:right="0"/>
        <w:jc w:val="left"/>
        <w:rPr>
          <w:rFonts w:ascii="Calibri" w:eastAsia="Calibri" w:hAnsi="Calibri" w:cs="Times New Roman"/>
          <w:sz w:val="24"/>
          <w:szCs w:val="24"/>
        </w:rPr>
      </w:pPr>
      <w:r>
        <w:rPr>
          <w:rFonts w:ascii="Calibri" w:eastAsia="Calibri" w:hAnsi="Calibri" w:cs="Times New Roman"/>
          <w:sz w:val="24"/>
          <w:szCs w:val="24"/>
        </w:rPr>
        <w:br w:type="page"/>
      </w:r>
    </w:p>
    <w:p w14:paraId="093EF6E1" w14:textId="77777777" w:rsidR="00BA2E13" w:rsidRPr="006E7DBF" w:rsidRDefault="00BA2E13" w:rsidP="006E7DBF">
      <w:pPr>
        <w:pStyle w:val="SHAFigureNumber"/>
        <w:spacing w:line="360" w:lineRule="auto"/>
        <w:rPr>
          <w:sz w:val="24"/>
          <w:szCs w:val="24"/>
        </w:rPr>
      </w:pPr>
      <w:r w:rsidRPr="006E7DBF">
        <w:rPr>
          <w:sz w:val="24"/>
          <w:szCs w:val="24"/>
        </w:rPr>
        <w:lastRenderedPageBreak/>
        <w:t>Figure 2.7</w:t>
      </w:r>
    </w:p>
    <w:p w14:paraId="4F91C29F" w14:textId="5DB4CDAC" w:rsidR="00BA2E13" w:rsidRPr="006E7DBF" w:rsidRDefault="00BA2E13" w:rsidP="006E7DBF">
      <w:pPr>
        <w:pStyle w:val="SHAFigureNumber"/>
        <w:spacing w:line="360" w:lineRule="auto"/>
        <w:rPr>
          <w:sz w:val="24"/>
          <w:szCs w:val="24"/>
        </w:rPr>
      </w:pPr>
      <w:r w:rsidRPr="006E7DBF">
        <w:rPr>
          <w:sz w:val="24"/>
          <w:szCs w:val="24"/>
        </w:rPr>
        <w:t xml:space="preserve">Prevalence of Adverse Family Experiences </w:t>
      </w:r>
      <w:r w:rsidR="00925A89" w:rsidRPr="006E7DBF">
        <w:rPr>
          <w:sz w:val="24"/>
          <w:szCs w:val="24"/>
        </w:rPr>
        <w:t>a</w:t>
      </w:r>
      <w:r w:rsidRPr="006E7DBF">
        <w:rPr>
          <w:sz w:val="24"/>
          <w:szCs w:val="24"/>
        </w:rPr>
        <w:t xml:space="preserve">mong Children 17 Years and Younger, </w:t>
      </w:r>
      <w:r w:rsidR="000B520F" w:rsidRPr="006E7DBF">
        <w:rPr>
          <w:sz w:val="24"/>
          <w:szCs w:val="24"/>
        </w:rPr>
        <w:t>b</w:t>
      </w:r>
      <w:r w:rsidRPr="006E7DBF">
        <w:rPr>
          <w:sz w:val="24"/>
          <w:szCs w:val="24"/>
        </w:rPr>
        <w:t>y Federal Poverty Level, 2011-2012</w:t>
      </w:r>
    </w:p>
    <w:p w14:paraId="25E42009" w14:textId="4D797A57" w:rsidR="00BA2E13" w:rsidRPr="006E7DBF" w:rsidRDefault="00E0349A" w:rsidP="006E7DBF">
      <w:pPr>
        <w:spacing w:line="360" w:lineRule="auto"/>
        <w:ind w:right="-360"/>
        <w:jc w:val="center"/>
        <w:rPr>
          <w:sz w:val="24"/>
          <w:szCs w:val="24"/>
        </w:rPr>
      </w:pPr>
      <w:r w:rsidRPr="006E7DBF">
        <w:rPr>
          <w:sz w:val="24"/>
          <w:szCs w:val="24"/>
        </w:rPr>
        <w:drawing>
          <wp:inline distT="0" distB="0" distL="0" distR="0" wp14:anchorId="485748ED" wp14:editId="6FE52C54">
            <wp:extent cx="4572000" cy="2857500"/>
            <wp:effectExtent l="0" t="0" r="0" b="0"/>
            <wp:docPr id="582" name="Chart 582" descr="The vertical bar graph shows the percent of children 17 years and younger who experienced adverse family events by federal poverty levels.  Among children whose household income was 0-99% of the Federal Poverty Line, 28% had one adverse family experience and 38% had two or more adverse family experiences. Among children whose household income was 100-199% of the Federal Poverty Line, 29% had one adverse family experience and 35% had two or more adverse family experiences. Among children whose household income was 200-399% of the Federal Poverty Line, 31% had one adverse family experience and 20% had two or more adverse family experiences. Among children whose household income was 400% or higher of the Federal Poverty Line, 14% had one adverse family experience and 10% had two or more adverse family experiences. ">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F3D8F67-2B92-4FD7-B1BA-184C009E97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BADBDAE" w14:textId="0B07E636" w:rsidR="00BA2E13" w:rsidRPr="006E7DBF" w:rsidRDefault="00FC64DD" w:rsidP="006E7DBF">
      <w:pPr>
        <w:pStyle w:val="SHAFigureNote"/>
        <w:spacing w:line="360" w:lineRule="auto"/>
        <w:rPr>
          <w:sz w:val="24"/>
          <w:szCs w:val="24"/>
        </w:rPr>
      </w:pPr>
      <w:r w:rsidRPr="006E7DBF">
        <w:rPr>
          <w:sz w:val="24"/>
          <w:szCs w:val="24"/>
        </w:rPr>
        <w:t>SOURCE: NATIONAL SURVEY OF CHILDREN'S HEALTH</w:t>
      </w:r>
    </w:p>
    <w:p w14:paraId="13528FD5" w14:textId="77777777" w:rsidR="00BA2E13" w:rsidRPr="006E7DBF" w:rsidRDefault="00BA2E13" w:rsidP="006E7DBF">
      <w:pPr>
        <w:pStyle w:val="Heading3"/>
        <w:spacing w:line="360" w:lineRule="auto"/>
        <w:rPr>
          <w:sz w:val="24"/>
          <w:szCs w:val="24"/>
        </w:rPr>
      </w:pPr>
      <w:r w:rsidRPr="006E7DBF">
        <w:rPr>
          <w:sz w:val="24"/>
          <w:szCs w:val="24"/>
        </w:rPr>
        <w:t>Immunizations</w:t>
      </w:r>
    </w:p>
    <w:p w14:paraId="2919C279" w14:textId="77777777" w:rsidR="000B520F" w:rsidRPr="006E7DBF" w:rsidRDefault="00BA2E13" w:rsidP="006E7DBF">
      <w:pPr>
        <w:spacing w:line="360" w:lineRule="auto"/>
        <w:ind w:right="-360"/>
        <w:rPr>
          <w:sz w:val="24"/>
          <w:szCs w:val="24"/>
        </w:rPr>
      </w:pPr>
      <w:r w:rsidRPr="006E7DBF">
        <w:rPr>
          <w:sz w:val="24"/>
          <w:szCs w:val="24"/>
        </w:rPr>
        <w:t xml:space="preserve">Immunizations are the cornerstone of communicable disease prevention and have led to the elimination of many diseases in the US.  Immunizing children against diseases such as whooping cough, measles, mumps, and chickenpox before they enter kindergarten remains critical. Human papillomavirus (HPV) vaccination for all pre-teens (11-12 years old) is </w:t>
      </w:r>
      <w:r w:rsidR="00796F79" w:rsidRPr="006E7DBF">
        <w:rPr>
          <w:sz w:val="24"/>
          <w:szCs w:val="24"/>
        </w:rPr>
        <w:t>also</w:t>
      </w:r>
      <w:r w:rsidRPr="006E7DBF">
        <w:rPr>
          <w:sz w:val="24"/>
          <w:szCs w:val="24"/>
        </w:rPr>
        <w:t xml:space="preserve">an important primary prevention strategy against a variety of cancers, particularly cervical cancer. Increasing skepticism about vaccines in certain communities in the US has led to a resurgence of domestic outbreaks of diseases like measles. Social norms surrounding vaccination are important for encouraging parents to vaccinate their children.  </w:t>
      </w:r>
    </w:p>
    <w:p w14:paraId="65F609C8" w14:textId="77777777" w:rsidR="000B520F" w:rsidRPr="006E7DBF" w:rsidRDefault="000B520F" w:rsidP="006E7DBF">
      <w:pPr>
        <w:pStyle w:val="Heading4"/>
        <w:spacing w:line="360" w:lineRule="auto"/>
        <w:rPr>
          <w:i/>
        </w:rPr>
      </w:pPr>
      <w:r w:rsidRPr="006E7DBF">
        <w:t>Trends/Disparities</w:t>
      </w:r>
    </w:p>
    <w:p w14:paraId="72FD5106" w14:textId="77777777" w:rsidR="00BA2E13" w:rsidRPr="006E7DBF" w:rsidRDefault="00BA2E13" w:rsidP="006E7DBF">
      <w:pPr>
        <w:spacing w:line="360" w:lineRule="auto"/>
        <w:ind w:right="-360"/>
        <w:rPr>
          <w:sz w:val="24"/>
          <w:szCs w:val="24"/>
        </w:rPr>
      </w:pPr>
      <w:r w:rsidRPr="006E7DBF">
        <w:rPr>
          <w:sz w:val="24"/>
          <w:szCs w:val="24"/>
        </w:rPr>
        <w:t xml:space="preserve">Since 2011, the proportion of children in Massachusetts meeting vaccination requirements before entering kindergarten has increased. In 2015-2016, Massachusetts met or surpassed the Healthy People 2020 goal of 95% coverage for MMR, DTP/DTaP/DT, varicella, hepatitis B, and polio vaccines. </w:t>
      </w:r>
    </w:p>
    <w:p w14:paraId="7B1A36C2" w14:textId="1D4B95E4" w:rsidR="00BA2E13" w:rsidRPr="006E7DBF" w:rsidRDefault="00BA2E13" w:rsidP="006E7DBF">
      <w:pPr>
        <w:spacing w:line="360" w:lineRule="auto"/>
        <w:ind w:right="-360"/>
        <w:rPr>
          <w:sz w:val="24"/>
          <w:szCs w:val="24"/>
        </w:rPr>
      </w:pPr>
      <w:r w:rsidRPr="006E7DBF">
        <w:rPr>
          <w:sz w:val="24"/>
          <w:szCs w:val="24"/>
        </w:rPr>
        <w:lastRenderedPageBreak/>
        <w:t xml:space="preserve">From 2008 to 2015, HPV vaccination coverage increased among female Massachusetts teenagers 13-17 years old from 53% to 74% receiving at least one dose and from 29% to 53% for those receiving three doses </w:t>
      </w:r>
      <w:r w:rsidRPr="006E7DBF">
        <w:rPr>
          <w:b/>
          <w:sz w:val="24"/>
          <w:szCs w:val="24"/>
        </w:rPr>
        <w:t>(Figure 2.8)</w:t>
      </w:r>
      <w:r w:rsidRPr="006E7DBF">
        <w:rPr>
          <w:sz w:val="24"/>
          <w:szCs w:val="24"/>
        </w:rPr>
        <w:t xml:space="preserve">. As of December 2016, </w:t>
      </w:r>
      <w:r w:rsidR="00AE638A" w:rsidRPr="006E7DBF">
        <w:rPr>
          <w:rFonts w:ascii="Calibri" w:eastAsia="Calibri" w:hAnsi="Calibri" w:cs="Times New Roman"/>
          <w:noProof w:val="0"/>
          <w:sz w:val="24"/>
          <w:szCs w:val="24"/>
        </w:rPr>
        <w:t>Centers for Disease Control and Prevention</w:t>
      </w:r>
      <w:r w:rsidR="00AE638A" w:rsidRPr="006E7DBF">
        <w:rPr>
          <w:sz w:val="24"/>
          <w:szCs w:val="24"/>
        </w:rPr>
        <w:t xml:space="preserve"> (</w:t>
      </w:r>
      <w:r w:rsidRPr="006E7DBF">
        <w:rPr>
          <w:sz w:val="24"/>
          <w:szCs w:val="24"/>
        </w:rPr>
        <w:t>CDC</w:t>
      </w:r>
      <w:r w:rsidR="00AE638A" w:rsidRPr="006E7DBF">
        <w:rPr>
          <w:sz w:val="24"/>
          <w:szCs w:val="24"/>
        </w:rPr>
        <w:t>)</w:t>
      </w:r>
      <w:r w:rsidRPr="006E7DBF">
        <w:rPr>
          <w:sz w:val="24"/>
          <w:szCs w:val="24"/>
        </w:rPr>
        <w:t xml:space="preserve"> recommends two doses of HPV vaccine for 11-12 year-olds who initiate the series between 9 and 14 years of age – rather than the previously recommended three doses.</w:t>
      </w:r>
      <w:r w:rsidRPr="006E7DBF">
        <w:rPr>
          <w:rStyle w:val="EndnoteReference"/>
          <w:sz w:val="24"/>
          <w:szCs w:val="24"/>
        </w:rPr>
        <w:endnoteReference w:id="36"/>
      </w:r>
    </w:p>
    <w:p w14:paraId="37B399C0" w14:textId="77777777" w:rsidR="00BA2E13" w:rsidRPr="006E7DBF" w:rsidRDefault="00BA2E13" w:rsidP="006E7DBF">
      <w:pPr>
        <w:spacing w:line="360" w:lineRule="auto"/>
        <w:ind w:right="-360"/>
        <w:rPr>
          <w:sz w:val="24"/>
          <w:szCs w:val="24"/>
        </w:rPr>
      </w:pPr>
      <w:r w:rsidRPr="006E7DBF">
        <w:rPr>
          <w:sz w:val="24"/>
          <w:szCs w:val="24"/>
        </w:rPr>
        <w:t xml:space="preserve">Male teens have lower HPV vaccination rates compared to female teens. Between 2013 and 2015, HPV vaccination coverage increased among male Massachusetts teenagers 13-17 years old from 50% to 60% receiving at least one dose </w:t>
      </w:r>
      <w:r w:rsidRPr="006E7DBF">
        <w:rPr>
          <w:b/>
          <w:sz w:val="24"/>
          <w:szCs w:val="24"/>
        </w:rPr>
        <w:t>(Figure 2.8)</w:t>
      </w:r>
      <w:r w:rsidRPr="006E7DBF">
        <w:rPr>
          <w:sz w:val="24"/>
          <w:szCs w:val="24"/>
        </w:rPr>
        <w:t xml:space="preserve">. </w:t>
      </w:r>
    </w:p>
    <w:p w14:paraId="001E3C89" w14:textId="77777777" w:rsidR="00BA2E13" w:rsidRPr="006E7DBF" w:rsidRDefault="00BA2E13" w:rsidP="006E7DBF">
      <w:pPr>
        <w:pStyle w:val="SHAFigureNumber"/>
        <w:spacing w:line="360" w:lineRule="auto"/>
        <w:rPr>
          <w:sz w:val="24"/>
          <w:szCs w:val="24"/>
        </w:rPr>
      </w:pPr>
      <w:r w:rsidRPr="006E7DBF">
        <w:rPr>
          <w:sz w:val="24"/>
          <w:szCs w:val="24"/>
        </w:rPr>
        <w:t>Figure 2.8</w:t>
      </w:r>
    </w:p>
    <w:p w14:paraId="230508D2" w14:textId="7B60EF0C" w:rsidR="00BA2E13" w:rsidRPr="006E7DBF" w:rsidRDefault="00BA2E13" w:rsidP="006E7DBF">
      <w:pPr>
        <w:pStyle w:val="SHAFigureNumber"/>
        <w:spacing w:line="360" w:lineRule="auto"/>
        <w:rPr>
          <w:sz w:val="24"/>
          <w:szCs w:val="24"/>
        </w:rPr>
      </w:pPr>
      <w:r w:rsidRPr="006E7DBF">
        <w:rPr>
          <w:sz w:val="24"/>
          <w:szCs w:val="24"/>
        </w:rPr>
        <w:t xml:space="preserve">Human Papillomavirus Vaccination Coverage </w:t>
      </w:r>
      <w:r w:rsidR="00925A89" w:rsidRPr="006E7DBF">
        <w:rPr>
          <w:sz w:val="24"/>
          <w:szCs w:val="24"/>
        </w:rPr>
        <w:t>a</w:t>
      </w:r>
      <w:r w:rsidRPr="006E7DBF">
        <w:rPr>
          <w:sz w:val="24"/>
          <w:szCs w:val="24"/>
        </w:rPr>
        <w:t xml:space="preserve">mong Massachusetts </w:t>
      </w:r>
      <w:r w:rsidR="000B520F" w:rsidRPr="006E7DBF">
        <w:rPr>
          <w:sz w:val="24"/>
          <w:szCs w:val="24"/>
        </w:rPr>
        <w:t>Teenagers Aged 13 to 17 Years, b</w:t>
      </w:r>
      <w:r w:rsidRPr="006E7DBF">
        <w:rPr>
          <w:sz w:val="24"/>
          <w:szCs w:val="24"/>
        </w:rPr>
        <w:t>y Gender, 2008-2015</w:t>
      </w:r>
    </w:p>
    <w:p w14:paraId="13302AD9" w14:textId="58527AB9" w:rsidR="00BA2E13" w:rsidRPr="006E7DBF" w:rsidRDefault="009F30C7" w:rsidP="006E7DBF">
      <w:pPr>
        <w:spacing w:line="360" w:lineRule="auto"/>
        <w:ind w:right="-360"/>
        <w:jc w:val="center"/>
        <w:rPr>
          <w:sz w:val="24"/>
          <w:szCs w:val="24"/>
        </w:rPr>
      </w:pPr>
      <w:r w:rsidRPr="006E7DBF">
        <w:rPr>
          <w:sz w:val="24"/>
          <w:szCs w:val="24"/>
        </w:rPr>
        <w:drawing>
          <wp:inline distT="0" distB="0" distL="0" distR="0" wp14:anchorId="6F3AE472" wp14:editId="34E710A5">
            <wp:extent cx="5878659" cy="2845613"/>
            <wp:effectExtent l="0" t="0" r="8255" b="0"/>
            <wp:docPr id="37" name="Picture 37" descr="This line graph shows the percentage of teens aged 13 to 17 receiving HPV vaccination from 2008 to 2015. The percentage of females receiving one or more doses increased from 53% to 74% and the percentage of females receiving three or more doses increased from 29% to 53%. From 2013 to 2015, the percentage of males receiving one or more doses increased from 50% to 60% and the percentage of males receiving three or more doses increased from 22% to 35%.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28679" t="27571" r="28857" b="35886"/>
                    <a:stretch/>
                  </pic:blipFill>
                  <pic:spPr bwMode="auto">
                    <a:xfrm>
                      <a:off x="0" y="0"/>
                      <a:ext cx="5879060" cy="2845807"/>
                    </a:xfrm>
                    <a:prstGeom prst="rect">
                      <a:avLst/>
                    </a:prstGeom>
                    <a:ln>
                      <a:noFill/>
                    </a:ln>
                    <a:extLst>
                      <a:ext uri="{53640926-AAD7-44D8-BBD7-CCE9431645EC}">
                        <a14:shadowObscured xmlns:a14="http://schemas.microsoft.com/office/drawing/2010/main"/>
                      </a:ext>
                    </a:extLst>
                  </pic:spPr>
                </pic:pic>
              </a:graphicData>
            </a:graphic>
          </wp:inline>
        </w:drawing>
      </w:r>
    </w:p>
    <w:p w14:paraId="39E87E6E" w14:textId="076401FF" w:rsidR="00BA2E13" w:rsidRPr="006E7DBF" w:rsidRDefault="00BD6EC7" w:rsidP="006E7DBF">
      <w:pPr>
        <w:pStyle w:val="SHAFigureNote"/>
        <w:spacing w:line="360" w:lineRule="auto"/>
        <w:rPr>
          <w:sz w:val="24"/>
          <w:szCs w:val="24"/>
        </w:rPr>
      </w:pPr>
      <w:r w:rsidRPr="006E7DBF">
        <w:rPr>
          <w:sz w:val="24"/>
          <w:szCs w:val="24"/>
        </w:rPr>
        <w:t>SOURCE: NATIONAL IMMUNIZATION SURVEY – TEEN</w:t>
      </w:r>
    </w:p>
    <w:p w14:paraId="27471343" w14:textId="100D6B8F" w:rsidR="00BA2E13" w:rsidRPr="006E7DBF" w:rsidRDefault="008A7C66" w:rsidP="006E7DBF">
      <w:pPr>
        <w:pStyle w:val="SHAFigureNote"/>
        <w:spacing w:line="360" w:lineRule="auto"/>
        <w:rPr>
          <w:sz w:val="24"/>
          <w:szCs w:val="24"/>
        </w:rPr>
      </w:pPr>
      <w:r w:rsidRPr="006E7DBF">
        <w:rPr>
          <w:sz w:val="24"/>
          <w:szCs w:val="24"/>
        </w:rPr>
        <w:t>NOTE</w:t>
      </w:r>
      <w:r w:rsidR="00BD6EC7" w:rsidRPr="006E7DBF">
        <w:rPr>
          <w:sz w:val="24"/>
          <w:szCs w:val="24"/>
        </w:rPr>
        <w:t>: THE HPV VACCINE WAS NOT RECOMMENDED FOR MALES UNTIL 2011 AND COVERAGE ESTIMATES PRIOR TO 2013 ARE NOT AVAILABLE FOR MALES. USE OF A 2-DOSE SCHEDULE FOR 11-12 YEAR-OLDS WHO INITIATE THE SERIES BETWEEN 9-14 YEARS OF AGE WAS RECOMMENDED IN DECEMBER 2016, REPLACING THE PREVIOUS 3-DOSE RECOMMENDATION.</w:t>
      </w:r>
    </w:p>
    <w:p w14:paraId="54997BC1" w14:textId="5A344454" w:rsidR="000B520F" w:rsidRPr="006E7DBF" w:rsidRDefault="00BA2E13" w:rsidP="006E7DBF">
      <w:pPr>
        <w:spacing w:line="360" w:lineRule="auto"/>
        <w:ind w:right="-360"/>
        <w:rPr>
          <w:sz w:val="24"/>
          <w:szCs w:val="24"/>
        </w:rPr>
      </w:pPr>
      <w:r w:rsidRPr="006E7DBF">
        <w:rPr>
          <w:sz w:val="24"/>
          <w:szCs w:val="24"/>
        </w:rPr>
        <w:lastRenderedPageBreak/>
        <w:t>Immunizing teenagers against meningococcal disease helps prevent outbreaks in schools, dormitories, and other densely populated settings. Meningococcal vaccine coverage among Massachusetts teenagers (13-17 years old) has increased from 56% in 2008 to 90% in 2015.</w:t>
      </w:r>
      <w:r w:rsidRPr="006E7DBF">
        <w:rPr>
          <w:rStyle w:val="EndnoteReference"/>
          <w:sz w:val="24"/>
          <w:szCs w:val="24"/>
        </w:rPr>
        <w:endnoteReference w:id="37"/>
      </w:r>
      <w:r w:rsidRPr="006E7DBF">
        <w:rPr>
          <w:sz w:val="24"/>
          <w:szCs w:val="24"/>
        </w:rPr>
        <w:t xml:space="preserve"> </w:t>
      </w:r>
    </w:p>
    <w:p w14:paraId="222E3D15" w14:textId="21284BA7" w:rsidR="000B520F" w:rsidRPr="006E7DBF" w:rsidRDefault="000B520F" w:rsidP="006E7DBF">
      <w:pPr>
        <w:spacing w:before="0" w:line="360" w:lineRule="auto"/>
        <w:ind w:left="0" w:right="0"/>
        <w:jc w:val="left"/>
        <w:rPr>
          <w:sz w:val="24"/>
          <w:szCs w:val="24"/>
        </w:rPr>
      </w:pPr>
    </w:p>
    <w:p w14:paraId="4FC7924B" w14:textId="1F2D727B" w:rsidR="00BA2E13" w:rsidRPr="006E7DBF" w:rsidRDefault="00BA2E13" w:rsidP="006E7DBF">
      <w:pPr>
        <w:spacing w:line="360" w:lineRule="auto"/>
        <w:ind w:right="-360"/>
        <w:rPr>
          <w:b/>
          <w:sz w:val="24"/>
          <w:szCs w:val="24"/>
        </w:rPr>
      </w:pPr>
      <w:r w:rsidRPr="006E7DBF">
        <w:rPr>
          <w:b/>
          <w:sz w:val="24"/>
          <w:szCs w:val="24"/>
        </w:rPr>
        <w:t>Children and Youth with Special Health Care Needs</w:t>
      </w:r>
    </w:p>
    <w:p w14:paraId="36443791" w14:textId="77777777" w:rsidR="00BA2E13" w:rsidRPr="006E7DBF" w:rsidRDefault="00BA2E13" w:rsidP="006E7DBF">
      <w:pPr>
        <w:keepNext/>
        <w:keepLines/>
        <w:spacing w:line="360" w:lineRule="auto"/>
        <w:ind w:right="-360"/>
        <w:rPr>
          <w:sz w:val="24"/>
          <w:szCs w:val="24"/>
        </w:rPr>
      </w:pPr>
      <w:r w:rsidRPr="006E7DBF">
        <w:rPr>
          <w:sz w:val="24"/>
          <w:szCs w:val="24"/>
        </w:rPr>
        <w:t>Children and youth with special health care needs (CYSHCN) include those who have or are at increased risk for a chronic physical, developmental, behavioral or emotional condition and who also require health-related and other services beyond that required by children generally.</w:t>
      </w:r>
      <w:r w:rsidRPr="006E7DBF">
        <w:rPr>
          <w:rStyle w:val="EndnoteReference"/>
          <w:rFonts w:ascii="Aileron" w:hAnsi="Aileron"/>
          <w:sz w:val="24"/>
          <w:szCs w:val="24"/>
        </w:rPr>
        <w:endnoteReference w:id="38"/>
      </w:r>
      <w:r w:rsidRPr="006E7DBF">
        <w:rPr>
          <w:sz w:val="24"/>
          <w:szCs w:val="24"/>
        </w:rPr>
        <w:t xml:space="preserve"> </w:t>
      </w:r>
    </w:p>
    <w:p w14:paraId="721473DD" w14:textId="77777777" w:rsidR="00BA2E13" w:rsidRPr="006E7DBF" w:rsidRDefault="00BA2E13" w:rsidP="006E7DBF">
      <w:pPr>
        <w:spacing w:line="360" w:lineRule="auto"/>
        <w:ind w:right="-360"/>
        <w:rPr>
          <w:sz w:val="24"/>
          <w:szCs w:val="24"/>
        </w:rPr>
      </w:pPr>
      <w:r w:rsidRPr="006E7DBF">
        <w:rPr>
          <w:sz w:val="24"/>
          <w:szCs w:val="24"/>
        </w:rPr>
        <w:t>In 2009-2010, the National Survey of Children with Special Health Care Needs (NS-CSHCN) indicated that approximately 18% of Massachusetts children from birth to 17 years have a special health care need.  Among them, 48% had two or more of 18 listed chronic health conditions and 3% had complex conditions that led to 11 or more missed school days and required at least two medications daily.</w:t>
      </w:r>
      <w:r w:rsidRPr="006E7DBF">
        <w:rPr>
          <w:rStyle w:val="EndnoteReference"/>
          <w:sz w:val="24"/>
          <w:szCs w:val="24"/>
        </w:rPr>
        <w:endnoteReference w:id="39"/>
      </w:r>
      <w:r w:rsidRPr="006E7DBF">
        <w:rPr>
          <w:sz w:val="24"/>
          <w:szCs w:val="24"/>
        </w:rPr>
        <w:t xml:space="preserve"> </w:t>
      </w:r>
    </w:p>
    <w:p w14:paraId="15ADDC59" w14:textId="77777777" w:rsidR="00BA2E13" w:rsidRPr="006E7DBF" w:rsidRDefault="00BA2E13" w:rsidP="006E7DBF">
      <w:pPr>
        <w:spacing w:line="360" w:lineRule="auto"/>
        <w:ind w:right="-360"/>
        <w:rPr>
          <w:sz w:val="24"/>
          <w:szCs w:val="24"/>
        </w:rPr>
      </w:pPr>
      <w:r w:rsidRPr="006E7DBF">
        <w:rPr>
          <w:sz w:val="24"/>
          <w:szCs w:val="24"/>
        </w:rPr>
        <w:t xml:space="preserve">In the NS-CSHCN, 28% of parents reported reducing work hours or stopping work altogether to care for their children and youth with special health care needs. Further, one in three (34%) families with health insurance had coverage that was not sufficient to meet their children’s needs and one in four (25%) families had incomes below 200% of the federal poverty level.  </w:t>
      </w:r>
    </w:p>
    <w:p w14:paraId="49EB0DEF" w14:textId="3D7809CC" w:rsidR="00BA2E13" w:rsidRPr="006E7DBF" w:rsidRDefault="00BA2E13" w:rsidP="006E7DBF">
      <w:pPr>
        <w:spacing w:line="360" w:lineRule="auto"/>
        <w:ind w:right="-360"/>
        <w:rPr>
          <w:sz w:val="24"/>
          <w:szCs w:val="24"/>
        </w:rPr>
      </w:pPr>
      <w:r w:rsidRPr="006E7DBF">
        <w:rPr>
          <w:sz w:val="24"/>
          <w:szCs w:val="24"/>
        </w:rPr>
        <w:t xml:space="preserve">Family engagement -- the intentional practice of working with families toward positive outcomes across the life course -- is increasingly recognized as a key strategy to improve systems of care, health care quality, and safety for CYSHCN. Strategic family engagement is at the core of the vision, mission, and activities of the MDPH Division for Children and Youth with Special Health </w:t>
      </w:r>
      <w:r w:rsidR="00796F79" w:rsidRPr="006E7DBF">
        <w:rPr>
          <w:sz w:val="24"/>
          <w:szCs w:val="24"/>
        </w:rPr>
        <w:t xml:space="preserve">Care </w:t>
      </w:r>
      <w:r w:rsidRPr="006E7DBF">
        <w:rPr>
          <w:sz w:val="24"/>
          <w:szCs w:val="24"/>
        </w:rPr>
        <w:t xml:space="preserve">Needs.  </w:t>
      </w:r>
    </w:p>
    <w:p w14:paraId="59826E3A" w14:textId="77777777" w:rsidR="00BA2E13" w:rsidRPr="006E7DBF" w:rsidRDefault="00BA2E13" w:rsidP="006E7DBF">
      <w:pPr>
        <w:pStyle w:val="Heading3"/>
        <w:spacing w:line="360" w:lineRule="auto"/>
        <w:rPr>
          <w:sz w:val="24"/>
          <w:szCs w:val="24"/>
        </w:rPr>
      </w:pPr>
      <w:r w:rsidRPr="006E7DBF">
        <w:rPr>
          <w:sz w:val="24"/>
          <w:szCs w:val="24"/>
        </w:rPr>
        <w:t xml:space="preserve">Care within a Medical Home </w:t>
      </w:r>
    </w:p>
    <w:p w14:paraId="7BCB9031" w14:textId="3494C0D7" w:rsidR="00BA2E13" w:rsidRPr="006E7DBF" w:rsidRDefault="00BA2E13" w:rsidP="006E7DBF">
      <w:pPr>
        <w:spacing w:line="360" w:lineRule="auto"/>
        <w:ind w:right="-360"/>
        <w:rPr>
          <w:rFonts w:ascii="Arial" w:eastAsia="Times New Roman" w:hAnsi="Arial" w:cs="Arial"/>
          <w:b/>
          <w:bCs/>
          <w:sz w:val="24"/>
          <w:szCs w:val="24"/>
          <w:bdr w:val="none" w:sz="0" w:space="0" w:color="auto" w:frame="1"/>
        </w:rPr>
      </w:pPr>
      <w:r w:rsidRPr="006E7DBF">
        <w:rPr>
          <w:rFonts w:cs="Arial"/>
          <w:sz w:val="24"/>
          <w:szCs w:val="24"/>
          <w:shd w:val="clear" w:color="auto" w:fill="FFFFFF"/>
        </w:rPr>
        <w:t>The medical home is a model of delivering primary care that is accessible, continuous, comprehensive, family-centered, coordinated, compassionate, and culturally sensitive to every child and adolescent.</w:t>
      </w:r>
      <w:r w:rsidRPr="006E7DBF">
        <w:rPr>
          <w:rStyle w:val="EndnoteReference"/>
          <w:rFonts w:cs="Arial"/>
          <w:sz w:val="24"/>
          <w:szCs w:val="24"/>
          <w:shd w:val="clear" w:color="auto" w:fill="FFFFFF"/>
        </w:rPr>
        <w:endnoteReference w:id="40"/>
      </w:r>
      <w:r w:rsidRPr="006E7DBF">
        <w:rPr>
          <w:sz w:val="24"/>
          <w:szCs w:val="24"/>
        </w:rPr>
        <w:t xml:space="preserve"> To meet medical home criteria, CYSHCN from birth to age 17 should have a personal doctor or nurse, a usual source of care, and family-centered care, referrals, and care coordination if needed. </w:t>
      </w:r>
      <w:r w:rsidRPr="006E7DBF">
        <w:rPr>
          <w:rFonts w:eastAsia="Times New Roman" w:cs="Times New Roman"/>
          <w:sz w:val="24"/>
          <w:szCs w:val="24"/>
        </w:rPr>
        <w:t xml:space="preserve">Access to a pediatric medical home is associated with increased quality of care, improved health outcomes, and decreased unmet medical </w:t>
      </w:r>
      <w:r w:rsidRPr="006E7DBF">
        <w:rPr>
          <w:rFonts w:eastAsia="Times New Roman" w:cs="Times New Roman"/>
          <w:sz w:val="24"/>
          <w:szCs w:val="24"/>
        </w:rPr>
        <w:lastRenderedPageBreak/>
        <w:t>needs.</w:t>
      </w:r>
      <w:r w:rsidRPr="006E7DBF">
        <w:rPr>
          <w:rStyle w:val="EndnoteReference"/>
          <w:rFonts w:eastAsia="Times New Roman" w:cs="Times New Roman"/>
          <w:sz w:val="24"/>
          <w:szCs w:val="24"/>
        </w:rPr>
        <w:endnoteReference w:id="41"/>
      </w:r>
      <w:r w:rsidRPr="006E7DBF">
        <w:rPr>
          <w:rFonts w:eastAsia="Times New Roman" w:cs="Times New Roman"/>
          <w:sz w:val="24"/>
          <w:szCs w:val="24"/>
        </w:rPr>
        <w:t xml:space="preserve"> </w:t>
      </w:r>
      <w:r w:rsidRPr="006E7DBF">
        <w:rPr>
          <w:rStyle w:val="ms-rtefontface-5"/>
          <w:sz w:val="24"/>
          <w:szCs w:val="24"/>
        </w:rPr>
        <w:t xml:space="preserve">Medical homes for CYSHCN have a positive impact on </w:t>
      </w:r>
      <w:r w:rsidRPr="006E7DBF">
        <w:rPr>
          <w:sz w:val="24"/>
          <w:szCs w:val="24"/>
        </w:rPr>
        <w:t>reducing health care costs through decreased utilization of unnecessary services</w:t>
      </w:r>
      <w:r w:rsidR="002B3A27" w:rsidRPr="006E7DBF">
        <w:rPr>
          <w:sz w:val="24"/>
          <w:szCs w:val="24"/>
        </w:rPr>
        <w:t>,</w:t>
      </w:r>
      <w:r w:rsidRPr="006E7DBF">
        <w:rPr>
          <w:sz w:val="24"/>
          <w:szCs w:val="24"/>
        </w:rPr>
        <w:t xml:space="preserve"> such as visits to </w:t>
      </w:r>
      <w:r w:rsidR="00B97A86" w:rsidRPr="006E7DBF">
        <w:rPr>
          <w:sz w:val="24"/>
          <w:szCs w:val="24"/>
        </w:rPr>
        <w:t>the emergency department and in</w:t>
      </w:r>
      <w:r w:rsidRPr="006E7DBF">
        <w:rPr>
          <w:sz w:val="24"/>
          <w:szCs w:val="24"/>
        </w:rPr>
        <w:t>patient hospitalizations. </w:t>
      </w:r>
      <w:r w:rsidRPr="006E7DBF">
        <w:rPr>
          <w:rFonts w:ascii="Arial" w:eastAsia="Times New Roman" w:hAnsi="Arial" w:cs="Arial"/>
          <w:b/>
          <w:bCs/>
          <w:sz w:val="24"/>
          <w:szCs w:val="24"/>
          <w:bdr w:val="none" w:sz="0" w:space="0" w:color="auto" w:frame="1"/>
        </w:rPr>
        <w:t xml:space="preserve"> </w:t>
      </w:r>
    </w:p>
    <w:p w14:paraId="4B67A1EF" w14:textId="77777777" w:rsidR="00BA2E13" w:rsidRPr="006E7DBF" w:rsidRDefault="00BA2E13" w:rsidP="006E7DBF">
      <w:pPr>
        <w:pStyle w:val="Heading4"/>
        <w:spacing w:line="360" w:lineRule="auto"/>
      </w:pPr>
      <w:r w:rsidRPr="006E7DBF">
        <w:t>Trends/Disparities</w:t>
      </w:r>
    </w:p>
    <w:p w14:paraId="61BC2AA9" w14:textId="11A449B2" w:rsidR="00BA2E13" w:rsidRPr="006E7DBF" w:rsidRDefault="00BA2E13" w:rsidP="006E7DBF">
      <w:pPr>
        <w:spacing w:line="360" w:lineRule="auto"/>
        <w:ind w:right="-360"/>
        <w:rPr>
          <w:sz w:val="24"/>
          <w:szCs w:val="24"/>
        </w:rPr>
      </w:pPr>
      <w:r w:rsidRPr="006E7DBF">
        <w:rPr>
          <w:rFonts w:eastAsia="Times New Roman" w:cs="Times New Roman"/>
          <w:sz w:val="24"/>
          <w:szCs w:val="24"/>
        </w:rPr>
        <w:t xml:space="preserve">The National Survey of Children’s Health (NSCH) has </w:t>
      </w:r>
      <w:r w:rsidRPr="006E7DBF">
        <w:rPr>
          <w:sz w:val="24"/>
          <w:szCs w:val="24"/>
          <w:shd w:val="clear" w:color="auto" w:fill="FFFFFF"/>
        </w:rPr>
        <w:t xml:space="preserve">provided population-based estimates of the proportion of children connected to a medical home since 2003 from three administrations: </w:t>
      </w:r>
      <w:r w:rsidRPr="006E7DBF">
        <w:rPr>
          <w:rFonts w:eastAsia="Times New Roman" w:cs="Times New Roman"/>
          <w:sz w:val="24"/>
          <w:szCs w:val="24"/>
        </w:rPr>
        <w:t>2003, 2007, and 2011/12</w:t>
      </w:r>
      <w:r w:rsidRPr="006E7DBF">
        <w:rPr>
          <w:sz w:val="24"/>
          <w:szCs w:val="24"/>
        </w:rPr>
        <w:t xml:space="preserve">. The newly-revised 2016 NSCH results are similar to medical home estimates from previous years, indicating that only about half (49%) of Massachusetts CYSHCN receive care in a medical home, lower than their counterparts without special health needs (61%) </w:t>
      </w:r>
      <w:r w:rsidRPr="006E7DBF">
        <w:rPr>
          <w:b/>
          <w:sz w:val="24"/>
          <w:szCs w:val="24"/>
        </w:rPr>
        <w:t>(Figure 2.9)</w:t>
      </w:r>
      <w:r w:rsidRPr="006E7DBF">
        <w:rPr>
          <w:sz w:val="24"/>
          <w:szCs w:val="24"/>
        </w:rPr>
        <w:t xml:space="preserve">.  </w:t>
      </w:r>
    </w:p>
    <w:p w14:paraId="6AE15A07" w14:textId="46B761D9" w:rsidR="00BA2E13" w:rsidRPr="006E7DBF" w:rsidRDefault="00BA2E13" w:rsidP="006E7DBF">
      <w:pPr>
        <w:pStyle w:val="SHAFigureNumber"/>
        <w:spacing w:line="360" w:lineRule="auto"/>
        <w:rPr>
          <w:sz w:val="24"/>
          <w:szCs w:val="24"/>
        </w:rPr>
      </w:pPr>
      <w:r w:rsidRPr="006E7DBF">
        <w:rPr>
          <w:sz w:val="24"/>
          <w:szCs w:val="24"/>
        </w:rPr>
        <w:t>Figure 2.9</w:t>
      </w:r>
    </w:p>
    <w:p w14:paraId="6247BD3F" w14:textId="77777777" w:rsidR="00BA2E13" w:rsidRPr="006E7DBF" w:rsidRDefault="00BA2E13" w:rsidP="006E7DBF">
      <w:pPr>
        <w:pStyle w:val="SHAFigureNumber"/>
        <w:spacing w:line="360" w:lineRule="auto"/>
        <w:rPr>
          <w:sz w:val="24"/>
          <w:szCs w:val="24"/>
          <w:highlight w:val="lightGray"/>
        </w:rPr>
      </w:pPr>
      <w:r w:rsidRPr="006E7DBF">
        <w:rPr>
          <w:sz w:val="24"/>
          <w:szCs w:val="24"/>
        </w:rPr>
        <w:t>Percentage of Massachusetts Children Receiving Care in a Medical Home, By Special Health Care Need Status, 2016</w:t>
      </w:r>
    </w:p>
    <w:p w14:paraId="7533F9B8" w14:textId="45A3B44D" w:rsidR="00BA2E13" w:rsidRPr="006E7DBF" w:rsidRDefault="00E0349A" w:rsidP="006E7DBF">
      <w:pPr>
        <w:spacing w:line="360" w:lineRule="auto"/>
        <w:ind w:right="-360"/>
        <w:jc w:val="center"/>
        <w:rPr>
          <w:sz w:val="24"/>
          <w:szCs w:val="24"/>
        </w:rPr>
      </w:pPr>
      <w:r w:rsidRPr="006E7DBF">
        <w:rPr>
          <w:sz w:val="24"/>
          <w:szCs w:val="24"/>
        </w:rPr>
        <w:drawing>
          <wp:inline distT="0" distB="0" distL="0" distR="0" wp14:anchorId="3448BCA6" wp14:editId="1E489043">
            <wp:extent cx="4726305" cy="2956560"/>
            <wp:effectExtent l="0" t="0" r="0" b="0"/>
            <wp:docPr id="584" name="Chart 584" descr="The vertical bar graph compares the percentage of children with and without special health care needs in Massachusetts and the US who received care in a medical home in 2016. Only 49% of children with and 61% of children without special health care needs in Massachusetts received care in a medical home. These percentages were higher than for the US as a whole with 43% and 50% respectively. ">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54CCAEE-0D6D-42B7-B104-38851E9269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5FFEDE5" w14:textId="5BBD5ADE" w:rsidR="00BA2E13" w:rsidRPr="006E7DBF" w:rsidRDefault="00BD6EC7" w:rsidP="006E7DBF">
      <w:pPr>
        <w:pStyle w:val="SHAFigureNote"/>
        <w:spacing w:line="360" w:lineRule="auto"/>
        <w:rPr>
          <w:sz w:val="24"/>
          <w:szCs w:val="24"/>
        </w:rPr>
      </w:pPr>
      <w:r w:rsidRPr="006E7DBF">
        <w:rPr>
          <w:sz w:val="24"/>
          <w:szCs w:val="24"/>
        </w:rPr>
        <w:t>SOURCE: NATIONAL SURVEY OF CHILDREN’S HEALTH</w:t>
      </w:r>
    </w:p>
    <w:p w14:paraId="26565351" w14:textId="77777777" w:rsidR="00BA2E13" w:rsidRPr="006E7DBF" w:rsidRDefault="00BA2E13" w:rsidP="006E7DBF">
      <w:pPr>
        <w:spacing w:line="360" w:lineRule="auto"/>
        <w:ind w:right="-360"/>
        <w:rPr>
          <w:sz w:val="24"/>
          <w:szCs w:val="24"/>
        </w:rPr>
      </w:pPr>
      <w:r w:rsidRPr="006E7DBF">
        <w:rPr>
          <w:sz w:val="24"/>
          <w:szCs w:val="24"/>
        </w:rPr>
        <w:t xml:space="preserve">Future NSCH data for Massachusetts CYSHCN will enable monitoring of statewide estimates of medical home connection according to insurance coverage, income level, and race/ethnicity, using 2016 data as the new baseline. </w:t>
      </w:r>
    </w:p>
    <w:p w14:paraId="58C71E32" w14:textId="77777777" w:rsidR="00BA2E13" w:rsidRPr="006E7DBF" w:rsidRDefault="00BA2E13" w:rsidP="006E7DBF">
      <w:pPr>
        <w:pStyle w:val="Heading3"/>
        <w:spacing w:line="360" w:lineRule="auto"/>
        <w:rPr>
          <w:sz w:val="24"/>
          <w:szCs w:val="24"/>
        </w:rPr>
      </w:pPr>
      <w:r w:rsidRPr="006E7DBF">
        <w:rPr>
          <w:sz w:val="24"/>
          <w:szCs w:val="24"/>
        </w:rPr>
        <w:lastRenderedPageBreak/>
        <w:t>Support for Effective Care Transition</w:t>
      </w:r>
    </w:p>
    <w:p w14:paraId="69DE40D9" w14:textId="77777777" w:rsidR="00BA2E13" w:rsidRPr="006E7DBF" w:rsidRDefault="00BA2E13" w:rsidP="006E7DBF">
      <w:pPr>
        <w:spacing w:line="360" w:lineRule="auto"/>
        <w:ind w:right="-360"/>
        <w:rPr>
          <w:sz w:val="24"/>
          <w:szCs w:val="24"/>
        </w:rPr>
      </w:pPr>
      <w:r w:rsidRPr="006E7DBF">
        <w:rPr>
          <w:sz w:val="24"/>
          <w:szCs w:val="24"/>
        </w:rPr>
        <w:t>The transition of youth between 12 to 17 years of age with special health care needs (YSHCN) to adulthood has become a priority nationwide.</w:t>
      </w:r>
      <w:r w:rsidRPr="006E7DBF">
        <w:rPr>
          <w:rStyle w:val="EndnoteReference"/>
          <w:sz w:val="24"/>
          <w:szCs w:val="24"/>
        </w:rPr>
        <w:endnoteReference w:id="42"/>
      </w:r>
      <w:r w:rsidRPr="006E7DBF">
        <w:rPr>
          <w:sz w:val="24"/>
          <w:szCs w:val="24"/>
        </w:rPr>
        <w:t xml:space="preserve"> More than 90% of YSHCN now live to adulthood but are less likely than non-YSHCN to complete high school, attend college, or be employed. Health and health care are cited as two of the major barriers to successful transitions. </w:t>
      </w:r>
    </w:p>
    <w:p w14:paraId="0E6AB920" w14:textId="77777777" w:rsidR="00BA2E13" w:rsidRPr="006E7DBF" w:rsidRDefault="00BA2E13" w:rsidP="006E7DBF">
      <w:pPr>
        <w:pStyle w:val="Heading4"/>
        <w:spacing w:line="360" w:lineRule="auto"/>
      </w:pPr>
      <w:r w:rsidRPr="006E7DBF">
        <w:t>Trends/Disparities</w:t>
      </w:r>
    </w:p>
    <w:p w14:paraId="0972B061" w14:textId="77777777" w:rsidR="000B520F" w:rsidRPr="006E7DBF" w:rsidRDefault="00BA2E13" w:rsidP="006E7DBF">
      <w:pPr>
        <w:spacing w:line="360" w:lineRule="auto"/>
        <w:ind w:right="-360"/>
        <w:rPr>
          <w:rFonts w:ascii="Calibri" w:hAnsi="Calibri"/>
          <w:sz w:val="24"/>
          <w:szCs w:val="24"/>
        </w:rPr>
      </w:pPr>
      <w:r w:rsidRPr="006E7DBF">
        <w:rPr>
          <w:rFonts w:ascii="Calibri" w:hAnsi="Calibri"/>
          <w:sz w:val="24"/>
          <w:szCs w:val="24"/>
        </w:rPr>
        <w:t xml:space="preserve">The NSCH defines the components of a successful transition as whether the health care provider actively worked with the youth to think about and plan for the future, make positive choices about the future, gain skills to manage health and health care, and understand the changes in health care that happen at age 18. According to 2016 NSCH data, only 16% of Massachusetts YSHCN received the services necessary to transition to adult health care compared to only 17% of US YSHCN </w:t>
      </w:r>
      <w:r w:rsidRPr="006E7DBF">
        <w:rPr>
          <w:rFonts w:ascii="Calibri" w:hAnsi="Calibri"/>
          <w:b/>
          <w:sz w:val="24"/>
          <w:szCs w:val="24"/>
        </w:rPr>
        <w:t>(Figure 2.10)</w:t>
      </w:r>
      <w:r w:rsidRPr="006E7DBF">
        <w:rPr>
          <w:rFonts w:ascii="Calibri" w:hAnsi="Calibri"/>
          <w:sz w:val="24"/>
          <w:szCs w:val="24"/>
        </w:rPr>
        <w:t xml:space="preserve">.  </w:t>
      </w:r>
    </w:p>
    <w:p w14:paraId="5C816C36" w14:textId="21EB1B9D" w:rsidR="00BA2E13" w:rsidRPr="006E7DBF" w:rsidRDefault="00BA2E13" w:rsidP="006E7DBF">
      <w:pPr>
        <w:spacing w:line="360" w:lineRule="auto"/>
        <w:ind w:left="0" w:right="-360"/>
        <w:jc w:val="center"/>
        <w:rPr>
          <w:b/>
          <w:sz w:val="24"/>
          <w:szCs w:val="24"/>
        </w:rPr>
      </w:pPr>
      <w:r w:rsidRPr="006E7DBF">
        <w:rPr>
          <w:b/>
          <w:sz w:val="24"/>
          <w:szCs w:val="24"/>
        </w:rPr>
        <w:t>Figure 2.10</w:t>
      </w:r>
    </w:p>
    <w:p w14:paraId="6C213D90" w14:textId="4BC0128A" w:rsidR="00BA2E13" w:rsidRPr="006E7DBF" w:rsidRDefault="00BA2E13" w:rsidP="006E7DBF">
      <w:pPr>
        <w:pStyle w:val="SHAFigureNumber"/>
        <w:spacing w:line="360" w:lineRule="auto"/>
        <w:rPr>
          <w:sz w:val="24"/>
          <w:szCs w:val="24"/>
        </w:rPr>
      </w:pPr>
      <w:r w:rsidRPr="006E7DBF">
        <w:rPr>
          <w:sz w:val="24"/>
          <w:szCs w:val="24"/>
        </w:rPr>
        <w:t xml:space="preserve">Percentage of Massachusetts Children </w:t>
      </w:r>
      <w:r w:rsidR="008656E4" w:rsidRPr="006E7DBF">
        <w:rPr>
          <w:sz w:val="24"/>
          <w:szCs w:val="24"/>
        </w:rPr>
        <w:t>w</w:t>
      </w:r>
      <w:r w:rsidRPr="006E7DBF">
        <w:rPr>
          <w:sz w:val="24"/>
          <w:szCs w:val="24"/>
        </w:rPr>
        <w:t>ho Received Services Necessary to Make Transitions to Adult Health Care, By Special Health Care Need Status, 2016</w:t>
      </w:r>
    </w:p>
    <w:p w14:paraId="0ADE8D4F" w14:textId="5290F2E5" w:rsidR="00BA2E13" w:rsidRPr="006E7DBF" w:rsidRDefault="00E0349A" w:rsidP="006E7DBF">
      <w:pPr>
        <w:spacing w:line="360" w:lineRule="auto"/>
        <w:ind w:right="-360"/>
        <w:jc w:val="center"/>
        <w:rPr>
          <w:sz w:val="24"/>
          <w:szCs w:val="24"/>
        </w:rPr>
      </w:pPr>
      <w:r w:rsidRPr="006E7DBF">
        <w:rPr>
          <w:sz w:val="24"/>
          <w:szCs w:val="24"/>
        </w:rPr>
        <w:drawing>
          <wp:inline distT="0" distB="0" distL="0" distR="0" wp14:anchorId="1DC32465" wp14:editId="1E3B29A3">
            <wp:extent cx="4783455" cy="2378710"/>
            <wp:effectExtent l="0" t="0" r="0" b="2540"/>
            <wp:docPr id="585" name="Chart 585" descr="The vertical bar graph compares the percentage of children with and without special health care needs in Massachusetts and the US who received services to necessary to transition to adult health care in 2016. The percentages are very low and comparable between groups; only 16% of Massachusetts youth with and 16% of youth without special health care needs received necessary transition services. Similarly, 17% of Massachusetts youth with and 14% of youth without special health care needs received necessary transition services.">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C745768-4B28-4504-AA57-D8907EDCBA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6DFC25B" w14:textId="3D5B81F5" w:rsidR="00BA2E13" w:rsidRPr="006E7DBF" w:rsidRDefault="00BD6EC7" w:rsidP="006E7DBF">
      <w:pPr>
        <w:pStyle w:val="SHAFigureNote"/>
        <w:spacing w:line="360" w:lineRule="auto"/>
        <w:rPr>
          <w:sz w:val="24"/>
          <w:szCs w:val="24"/>
        </w:rPr>
      </w:pPr>
      <w:r w:rsidRPr="006E7DBF">
        <w:rPr>
          <w:sz w:val="24"/>
          <w:szCs w:val="24"/>
        </w:rPr>
        <w:t>SOURCE: NATIONAL SURVEY OF CHILDREN’S HEALTH</w:t>
      </w:r>
    </w:p>
    <w:p w14:paraId="212FC872" w14:textId="77777777" w:rsidR="00BA2E13" w:rsidRPr="006E7DBF" w:rsidRDefault="00BA2E13" w:rsidP="006E7DBF">
      <w:pPr>
        <w:spacing w:line="360" w:lineRule="auto"/>
        <w:ind w:right="-360"/>
        <w:rPr>
          <w:sz w:val="24"/>
          <w:szCs w:val="24"/>
          <w:highlight w:val="yellow"/>
        </w:rPr>
      </w:pPr>
      <w:r w:rsidRPr="006E7DBF">
        <w:rPr>
          <w:sz w:val="24"/>
          <w:szCs w:val="24"/>
        </w:rPr>
        <w:t>As mentioned above for the medical home estimate, future administrations of the NSCH will enable monitoring of statewide estimates of health care transition with 2016 data serving as the new baseline.</w:t>
      </w:r>
    </w:p>
    <w:p w14:paraId="41297769" w14:textId="77777777" w:rsidR="00BA2E13" w:rsidRPr="006E7DBF" w:rsidRDefault="00BA2E13" w:rsidP="006E7DBF">
      <w:pPr>
        <w:pStyle w:val="Heading2"/>
        <w:spacing w:line="360" w:lineRule="auto"/>
        <w:rPr>
          <w:sz w:val="24"/>
          <w:szCs w:val="24"/>
        </w:rPr>
      </w:pPr>
      <w:r w:rsidRPr="006E7DBF">
        <w:rPr>
          <w:sz w:val="24"/>
          <w:szCs w:val="24"/>
        </w:rPr>
        <w:lastRenderedPageBreak/>
        <w:t>Women’s Health</w:t>
      </w:r>
    </w:p>
    <w:p w14:paraId="6ED6C13F" w14:textId="66ABDA59" w:rsidR="00BA2E13" w:rsidRPr="006E7DBF" w:rsidRDefault="00BA2E13" w:rsidP="006E7DBF">
      <w:pPr>
        <w:spacing w:line="360" w:lineRule="auto"/>
        <w:ind w:right="-360"/>
        <w:rPr>
          <w:sz w:val="24"/>
          <w:szCs w:val="24"/>
        </w:rPr>
      </w:pPr>
      <w:r w:rsidRPr="006E7DBF">
        <w:rPr>
          <w:sz w:val="24"/>
          <w:szCs w:val="24"/>
        </w:rPr>
        <w:t>Poor maternal health is associated with adverse child health outcomes with implications for neonatal survival, birth weight, cognitive development, child behavior, school performance, and adult health and productivity.</w:t>
      </w:r>
      <w:r w:rsidRPr="006E7DBF">
        <w:rPr>
          <w:rStyle w:val="EndnoteReference"/>
          <w:sz w:val="24"/>
          <w:szCs w:val="24"/>
        </w:rPr>
        <w:endnoteReference w:id="43"/>
      </w:r>
      <w:r w:rsidRPr="006E7DBF">
        <w:rPr>
          <w:sz w:val="24"/>
          <w:szCs w:val="24"/>
          <w:vertAlign w:val="superscript"/>
        </w:rPr>
        <w:t>,</w:t>
      </w:r>
      <w:r w:rsidRPr="006E7DBF">
        <w:rPr>
          <w:rStyle w:val="EndnoteReference"/>
          <w:sz w:val="24"/>
          <w:szCs w:val="24"/>
        </w:rPr>
        <w:endnoteReference w:id="44"/>
      </w:r>
      <w:r w:rsidRPr="006E7DBF">
        <w:rPr>
          <w:sz w:val="24"/>
          <w:szCs w:val="24"/>
          <w:vertAlign w:val="superscript"/>
        </w:rPr>
        <w:t>,</w:t>
      </w:r>
      <w:r w:rsidRPr="006E7DBF">
        <w:rPr>
          <w:rStyle w:val="EndnoteReference"/>
          <w:sz w:val="24"/>
          <w:szCs w:val="24"/>
        </w:rPr>
        <w:endnoteReference w:id="45"/>
      </w:r>
      <w:r w:rsidRPr="006E7DBF">
        <w:rPr>
          <w:sz w:val="24"/>
          <w:szCs w:val="24"/>
          <w:vertAlign w:val="superscript"/>
        </w:rPr>
        <w:t>,</w:t>
      </w:r>
      <w:r w:rsidRPr="006E7DBF">
        <w:rPr>
          <w:rStyle w:val="EndnoteReference"/>
          <w:sz w:val="24"/>
          <w:szCs w:val="24"/>
        </w:rPr>
        <w:endnoteReference w:id="46"/>
      </w:r>
      <w:r w:rsidRPr="006E7DBF">
        <w:rPr>
          <w:sz w:val="24"/>
          <w:szCs w:val="24"/>
          <w:vertAlign w:val="superscript"/>
        </w:rPr>
        <w:t>,</w:t>
      </w:r>
      <w:r w:rsidRPr="006E7DBF">
        <w:rPr>
          <w:rStyle w:val="EndnoteReference"/>
          <w:sz w:val="24"/>
          <w:szCs w:val="24"/>
        </w:rPr>
        <w:endnoteReference w:id="47"/>
      </w:r>
      <w:r w:rsidRPr="006E7DBF">
        <w:rPr>
          <w:sz w:val="24"/>
          <w:szCs w:val="24"/>
          <w:vertAlign w:val="superscript"/>
        </w:rPr>
        <w:t>,</w:t>
      </w:r>
      <w:r w:rsidRPr="006E7DBF">
        <w:rPr>
          <w:rStyle w:val="EndnoteReference"/>
          <w:sz w:val="24"/>
          <w:szCs w:val="24"/>
        </w:rPr>
        <w:endnoteReference w:id="48"/>
      </w:r>
      <w:r w:rsidR="002B3A27" w:rsidRPr="006E7DBF">
        <w:rPr>
          <w:sz w:val="24"/>
          <w:szCs w:val="24"/>
          <w:vertAlign w:val="superscript"/>
        </w:rPr>
        <w:t xml:space="preserve"> </w:t>
      </w:r>
      <w:r w:rsidRPr="006E7DBF">
        <w:rPr>
          <w:sz w:val="24"/>
          <w:szCs w:val="24"/>
        </w:rPr>
        <w:t xml:space="preserve">It is important to provide opportunities for deliberate family planning and to promote the health of mothers before, during, and after childbirth. </w:t>
      </w:r>
      <w:r w:rsidRPr="006E7DBF">
        <w:rPr>
          <w:rFonts w:cs="Arial"/>
          <w:sz w:val="24"/>
          <w:szCs w:val="24"/>
          <w:shd w:val="clear" w:color="auto" w:fill="FFFFFF"/>
        </w:rPr>
        <w:t>Reducing preventable maternal morbidity and mortality can improve health outcomes for mothers and infants and is critical to the promotion of health across the lifespan.</w:t>
      </w:r>
      <w:r w:rsidRPr="006E7DBF">
        <w:rPr>
          <w:rStyle w:val="EndnoteReference"/>
          <w:rFonts w:cs="Arial"/>
          <w:sz w:val="24"/>
          <w:szCs w:val="24"/>
          <w:shd w:val="clear" w:color="auto" w:fill="FFFFFF"/>
        </w:rPr>
        <w:endnoteReference w:id="49"/>
      </w:r>
      <w:r w:rsidRPr="006E7DBF">
        <w:rPr>
          <w:sz w:val="24"/>
          <w:szCs w:val="24"/>
        </w:rPr>
        <w:t xml:space="preserve">  </w:t>
      </w:r>
    </w:p>
    <w:p w14:paraId="3FC08061" w14:textId="77777777" w:rsidR="00BA2E13" w:rsidRPr="006E7DBF" w:rsidRDefault="00BA2E13" w:rsidP="006E7DBF">
      <w:pPr>
        <w:pStyle w:val="Heading3"/>
        <w:spacing w:line="360" w:lineRule="auto"/>
        <w:rPr>
          <w:sz w:val="24"/>
          <w:szCs w:val="24"/>
        </w:rPr>
      </w:pPr>
      <w:r w:rsidRPr="006E7DBF">
        <w:rPr>
          <w:sz w:val="24"/>
          <w:szCs w:val="24"/>
        </w:rPr>
        <w:t>Access to Routine Preventive Care and Personal Health Care Provider</w:t>
      </w:r>
    </w:p>
    <w:p w14:paraId="5709D1B1" w14:textId="77777777" w:rsidR="00BA2E13" w:rsidRPr="006E7DBF" w:rsidRDefault="00BA2E13" w:rsidP="006E7DBF">
      <w:pPr>
        <w:spacing w:line="360" w:lineRule="auto"/>
        <w:ind w:right="-360"/>
        <w:rPr>
          <w:sz w:val="24"/>
          <w:szCs w:val="24"/>
        </w:rPr>
      </w:pPr>
      <w:r w:rsidRPr="006E7DBF">
        <w:rPr>
          <w:sz w:val="24"/>
          <w:szCs w:val="24"/>
        </w:rPr>
        <w:t>Increasing access to preventive health care remains a longstanding public health goal.</w:t>
      </w:r>
      <w:r w:rsidRPr="006E7DBF">
        <w:rPr>
          <w:rStyle w:val="EndnoteReference"/>
          <w:sz w:val="24"/>
          <w:szCs w:val="24"/>
        </w:rPr>
        <w:endnoteReference w:id="50"/>
      </w:r>
      <w:r w:rsidRPr="006E7DBF">
        <w:rPr>
          <w:sz w:val="24"/>
          <w:szCs w:val="24"/>
          <w:vertAlign w:val="superscript"/>
        </w:rPr>
        <w:t>,</w:t>
      </w:r>
      <w:r w:rsidRPr="006E7DBF">
        <w:rPr>
          <w:rStyle w:val="EndnoteReference"/>
          <w:sz w:val="24"/>
          <w:szCs w:val="24"/>
        </w:rPr>
        <w:endnoteReference w:id="51"/>
      </w:r>
      <w:r w:rsidRPr="006E7DBF">
        <w:rPr>
          <w:sz w:val="24"/>
          <w:szCs w:val="24"/>
        </w:rPr>
        <w:t xml:space="preserve"> Women’s preventive health care services provide an opportunity to screen for high blood pressure; high cholesterol; breast, cervical, and colorectal cancers; depression; gonorrhea and chlamydia; diabetes; HIV and human papilloma virus; substance use and misuse; obesity; and intimate partner violence.</w:t>
      </w:r>
      <w:r w:rsidRPr="006E7DBF">
        <w:rPr>
          <w:rStyle w:val="EndnoteReference"/>
          <w:sz w:val="24"/>
          <w:szCs w:val="24"/>
        </w:rPr>
        <w:endnoteReference w:id="52"/>
      </w:r>
      <w:r w:rsidRPr="006E7DBF">
        <w:rPr>
          <w:sz w:val="24"/>
          <w:szCs w:val="24"/>
        </w:rPr>
        <w:t xml:space="preserve"> </w:t>
      </w:r>
    </w:p>
    <w:p w14:paraId="2EBE65F1" w14:textId="77777777" w:rsidR="00BA2E13" w:rsidRPr="006E7DBF" w:rsidRDefault="00BA2E13" w:rsidP="006E7DBF">
      <w:pPr>
        <w:pStyle w:val="Heading4"/>
        <w:spacing w:line="360" w:lineRule="auto"/>
        <w:rPr>
          <w:i/>
        </w:rPr>
      </w:pPr>
      <w:r w:rsidRPr="006E7DBF">
        <w:t>Trends/Disparities</w:t>
      </w:r>
    </w:p>
    <w:p w14:paraId="5959A4F1" w14:textId="05F6C0D5" w:rsidR="006E7DBF" w:rsidRDefault="00BA2E13" w:rsidP="006E7DBF">
      <w:pPr>
        <w:spacing w:line="360" w:lineRule="auto"/>
        <w:ind w:right="-360"/>
        <w:rPr>
          <w:sz w:val="24"/>
          <w:szCs w:val="24"/>
        </w:rPr>
      </w:pPr>
      <w:r w:rsidRPr="006E7DBF">
        <w:rPr>
          <w:sz w:val="24"/>
          <w:szCs w:val="24"/>
        </w:rPr>
        <w:t xml:space="preserve">From 2011 to 2015, the proportion of women reporting a personal health care provider and a routine check-up in the past year remained stable </w:t>
      </w:r>
      <w:r w:rsidRPr="006E7DBF">
        <w:rPr>
          <w:b/>
          <w:sz w:val="24"/>
          <w:szCs w:val="24"/>
        </w:rPr>
        <w:t>(Figure 2.11)</w:t>
      </w:r>
      <w:r w:rsidRPr="006E7DBF">
        <w:rPr>
          <w:sz w:val="24"/>
          <w:szCs w:val="24"/>
        </w:rPr>
        <w:t xml:space="preserve">. In 2015, 82% of women had a routine check-up in the past year and 92% had a personal health care provider. Hispanic women were significantly less likely than White non-Hispanic women to have a personal health care provider, even after adjusting for age (87% vs. 93%). Black non-Hispanic women were the most likely to receive a routine check-up in the past year, significantly more likely than White non-Hispanic women when adjusting for age (87% vs. 80%).  </w:t>
      </w:r>
    </w:p>
    <w:p w14:paraId="665059E8" w14:textId="77777777" w:rsidR="006E7DBF" w:rsidRDefault="006E7DBF">
      <w:pPr>
        <w:spacing w:before="0"/>
        <w:ind w:left="0" w:right="0"/>
        <w:jc w:val="left"/>
        <w:rPr>
          <w:sz w:val="24"/>
          <w:szCs w:val="24"/>
        </w:rPr>
      </w:pPr>
      <w:r>
        <w:rPr>
          <w:sz w:val="24"/>
          <w:szCs w:val="24"/>
        </w:rPr>
        <w:br w:type="page"/>
      </w:r>
    </w:p>
    <w:p w14:paraId="5F199BF3" w14:textId="77777777" w:rsidR="00BA2E13" w:rsidRPr="006E7DBF" w:rsidRDefault="00BA2E13" w:rsidP="006E7DBF">
      <w:pPr>
        <w:pStyle w:val="SHAFigureNumber"/>
        <w:spacing w:line="360" w:lineRule="auto"/>
        <w:rPr>
          <w:sz w:val="24"/>
          <w:szCs w:val="24"/>
        </w:rPr>
      </w:pPr>
      <w:r w:rsidRPr="006E7DBF">
        <w:rPr>
          <w:sz w:val="24"/>
          <w:szCs w:val="24"/>
        </w:rPr>
        <w:lastRenderedPageBreak/>
        <w:t>Figure 2.11</w:t>
      </w:r>
    </w:p>
    <w:p w14:paraId="4C0CC917" w14:textId="77777777" w:rsidR="006A182C" w:rsidRPr="006E7DBF" w:rsidRDefault="00BA2E13" w:rsidP="006E7DBF">
      <w:pPr>
        <w:pStyle w:val="SHAFigureNumber"/>
        <w:spacing w:line="360" w:lineRule="auto"/>
        <w:rPr>
          <w:sz w:val="24"/>
          <w:szCs w:val="24"/>
        </w:rPr>
      </w:pPr>
      <w:r w:rsidRPr="006E7DBF">
        <w:rPr>
          <w:sz w:val="24"/>
          <w:szCs w:val="24"/>
        </w:rPr>
        <w:t>Women’s Access to a Personal Health Care Provider and Routine Check-Up Visit</w:t>
      </w:r>
      <w:r w:rsidR="00F56E08" w:rsidRPr="006E7DBF">
        <w:rPr>
          <w:sz w:val="24"/>
          <w:szCs w:val="24"/>
        </w:rPr>
        <w:t xml:space="preserve"> b</w:t>
      </w:r>
      <w:r w:rsidRPr="006E7DBF">
        <w:rPr>
          <w:sz w:val="24"/>
          <w:szCs w:val="24"/>
        </w:rPr>
        <w:t xml:space="preserve">y Year, </w:t>
      </w:r>
    </w:p>
    <w:p w14:paraId="7480906B" w14:textId="0227CDBF" w:rsidR="00BA2E13" w:rsidRPr="006E7DBF" w:rsidRDefault="00BA2E13" w:rsidP="006E7DBF">
      <w:pPr>
        <w:pStyle w:val="SHAFigureNumber"/>
        <w:spacing w:line="360" w:lineRule="auto"/>
        <w:rPr>
          <w:sz w:val="24"/>
          <w:szCs w:val="24"/>
        </w:rPr>
      </w:pPr>
      <w:r w:rsidRPr="006E7DBF">
        <w:rPr>
          <w:sz w:val="24"/>
          <w:szCs w:val="24"/>
        </w:rPr>
        <w:t>Massachusetts, 2011-2015</w:t>
      </w:r>
    </w:p>
    <w:p w14:paraId="03313C3B" w14:textId="53F88D49" w:rsidR="00BA2E13" w:rsidRPr="006E7DBF" w:rsidRDefault="003C4565" w:rsidP="006E7DBF">
      <w:pPr>
        <w:spacing w:line="360" w:lineRule="auto"/>
        <w:ind w:right="-360"/>
        <w:jc w:val="center"/>
        <w:rPr>
          <w:rFonts w:ascii="Aileron Light" w:hAnsi="Aileron Light"/>
          <w:color w:val="737173"/>
          <w:sz w:val="24"/>
          <w:szCs w:val="24"/>
        </w:rPr>
      </w:pPr>
      <w:r w:rsidRPr="006E7DBF">
        <w:rPr>
          <w:sz w:val="24"/>
          <w:szCs w:val="24"/>
        </w:rPr>
        <w:drawing>
          <wp:inline distT="0" distB="0" distL="0" distR="0" wp14:anchorId="0150FB7F" wp14:editId="249A44CD">
            <wp:extent cx="4472940" cy="2857500"/>
            <wp:effectExtent l="0" t="0" r="3810" b="0"/>
            <wp:docPr id="35" name="Chart 35" descr="This line graph shows the percent of women aged 16-64 years in Massachusetts who had access to a personal health care provider and had a routine checkup visit from 2011-2015. The percentage of women with access to a personal healthcare provider remained at 92% from 2011 to 2015. The percentage of women that had a routine checkup in the past year also remained stable at 83% in 2011 and 82% in 2015.">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7873250-6A01-4BBA-B662-FE061130DC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2E05185" w14:textId="77777777" w:rsidR="00BA2E13" w:rsidRPr="006E7DBF" w:rsidRDefault="00BA2E13" w:rsidP="006E7DBF">
      <w:pPr>
        <w:pStyle w:val="Heading3"/>
        <w:spacing w:line="360" w:lineRule="auto"/>
        <w:rPr>
          <w:sz w:val="24"/>
          <w:szCs w:val="24"/>
        </w:rPr>
      </w:pPr>
      <w:r w:rsidRPr="006E7DBF">
        <w:rPr>
          <w:sz w:val="24"/>
          <w:szCs w:val="24"/>
        </w:rPr>
        <w:t>Prenatal Care</w:t>
      </w:r>
      <w:r w:rsidRPr="006E7DBF">
        <w:rPr>
          <w:sz w:val="24"/>
          <w:szCs w:val="24"/>
        </w:rPr>
        <w:tab/>
      </w:r>
    </w:p>
    <w:p w14:paraId="42A403A1" w14:textId="77777777" w:rsidR="00BA2E13" w:rsidRPr="006E7DBF" w:rsidRDefault="00BA2E13" w:rsidP="006E7DBF">
      <w:pPr>
        <w:spacing w:line="360" w:lineRule="auto"/>
        <w:ind w:right="-360"/>
        <w:rPr>
          <w:sz w:val="24"/>
          <w:szCs w:val="24"/>
        </w:rPr>
      </w:pPr>
      <w:r w:rsidRPr="006E7DBF">
        <w:rPr>
          <w:sz w:val="24"/>
          <w:szCs w:val="24"/>
        </w:rPr>
        <w:t>Prenatal care is one of the most frequently used preventive health care services in the US.</w:t>
      </w:r>
      <w:r w:rsidRPr="006E7DBF">
        <w:rPr>
          <w:rStyle w:val="EndnoteReference"/>
          <w:rFonts w:ascii="Aileron" w:hAnsi="Aileron"/>
          <w:sz w:val="24"/>
          <w:szCs w:val="24"/>
        </w:rPr>
        <w:endnoteReference w:id="53"/>
      </w:r>
      <w:r w:rsidRPr="006E7DBF">
        <w:rPr>
          <w:sz w:val="24"/>
          <w:szCs w:val="24"/>
        </w:rPr>
        <w:t xml:space="preserve"> Prenatal care is important for preventing maternal mortality and morbidity as well as infant mortality by allowing for detection and management of potential complications. Prenatal care also provides a setting for health education and behavioral interventions. </w:t>
      </w:r>
    </w:p>
    <w:p w14:paraId="292C1DB1" w14:textId="77777777" w:rsidR="00BA2E13" w:rsidRPr="006E7DBF" w:rsidRDefault="00BA2E13" w:rsidP="006E7DBF">
      <w:pPr>
        <w:pStyle w:val="Heading4"/>
        <w:spacing w:line="360" w:lineRule="auto"/>
        <w:rPr>
          <w:i/>
        </w:rPr>
      </w:pPr>
      <w:r w:rsidRPr="006E7DBF">
        <w:t>Trends/Disparities</w:t>
      </w:r>
    </w:p>
    <w:p w14:paraId="1C7BDFDA" w14:textId="77777777" w:rsidR="00BA2E13" w:rsidRPr="006E7DBF" w:rsidRDefault="00BA2E13" w:rsidP="006E7DBF">
      <w:pPr>
        <w:spacing w:line="360" w:lineRule="auto"/>
        <w:ind w:right="-360"/>
        <w:rPr>
          <w:sz w:val="24"/>
          <w:szCs w:val="24"/>
        </w:rPr>
      </w:pPr>
      <w:r w:rsidRPr="006E7DBF">
        <w:rPr>
          <w:sz w:val="24"/>
          <w:szCs w:val="24"/>
        </w:rPr>
        <w:t xml:space="preserve">MDPH measures the adequacy of prenatal care utilization by considering gestational age, number of prenatal health care visits completed, and timing of entry into prenatal care. </w:t>
      </w:r>
    </w:p>
    <w:p w14:paraId="57476BC9" w14:textId="0EB10F8F" w:rsidR="00BA2E13" w:rsidRPr="006E7DBF" w:rsidRDefault="00BA2E13" w:rsidP="006E7DBF">
      <w:pPr>
        <w:spacing w:line="360" w:lineRule="auto"/>
        <w:ind w:right="-360"/>
        <w:rPr>
          <w:sz w:val="24"/>
          <w:szCs w:val="24"/>
        </w:rPr>
      </w:pPr>
      <w:r w:rsidRPr="006E7DBF">
        <w:rPr>
          <w:sz w:val="24"/>
          <w:szCs w:val="24"/>
        </w:rPr>
        <w:t xml:space="preserve">The proportion of Massachusetts mothers receiving </w:t>
      </w:r>
      <w:r w:rsidR="003C4565" w:rsidRPr="006E7DBF">
        <w:rPr>
          <w:sz w:val="24"/>
          <w:szCs w:val="24"/>
        </w:rPr>
        <w:t xml:space="preserve">adequate </w:t>
      </w:r>
      <w:r w:rsidRPr="006E7DBF">
        <w:rPr>
          <w:sz w:val="24"/>
          <w:szCs w:val="24"/>
        </w:rPr>
        <w:t xml:space="preserve">prenatal care has long exceeded the national Healthy People 2020 goal of 78% </w:t>
      </w:r>
      <w:r w:rsidRPr="006E7DBF">
        <w:rPr>
          <w:b/>
          <w:sz w:val="24"/>
          <w:szCs w:val="24"/>
        </w:rPr>
        <w:t>(Figure 2.12)</w:t>
      </w:r>
      <w:r w:rsidRPr="006E7DBF">
        <w:rPr>
          <w:sz w:val="24"/>
          <w:szCs w:val="24"/>
        </w:rPr>
        <w:t xml:space="preserve">. While the prevalence of adequate prenatal care improved from 2006 to 2012, it has declined from 2012 to 2014. </w:t>
      </w:r>
    </w:p>
    <w:p w14:paraId="4B31C5A1" w14:textId="77777777" w:rsidR="00E06303" w:rsidRPr="006E7DBF" w:rsidRDefault="00E06303" w:rsidP="006E7DBF">
      <w:pPr>
        <w:spacing w:before="0" w:line="360" w:lineRule="auto"/>
        <w:ind w:left="0" w:right="0"/>
        <w:jc w:val="left"/>
        <w:rPr>
          <w:b/>
          <w:noProof w:val="0"/>
          <w:sz w:val="24"/>
          <w:szCs w:val="24"/>
        </w:rPr>
      </w:pPr>
      <w:r w:rsidRPr="006E7DBF">
        <w:rPr>
          <w:sz w:val="24"/>
          <w:szCs w:val="24"/>
        </w:rPr>
        <w:br w:type="page"/>
      </w:r>
    </w:p>
    <w:p w14:paraId="69FEE3B2" w14:textId="5B6EF820" w:rsidR="00BA2E13" w:rsidRPr="006E7DBF" w:rsidRDefault="00BA2E13" w:rsidP="006E7DBF">
      <w:pPr>
        <w:pStyle w:val="SHAFigureNumber"/>
        <w:spacing w:line="360" w:lineRule="auto"/>
        <w:rPr>
          <w:sz w:val="24"/>
          <w:szCs w:val="24"/>
        </w:rPr>
      </w:pPr>
      <w:r w:rsidRPr="006E7DBF">
        <w:rPr>
          <w:sz w:val="24"/>
          <w:szCs w:val="24"/>
        </w:rPr>
        <w:lastRenderedPageBreak/>
        <w:t>Figure 2.12</w:t>
      </w:r>
    </w:p>
    <w:p w14:paraId="72721028" w14:textId="77777777" w:rsidR="00BA2E13" w:rsidRPr="006E7DBF" w:rsidRDefault="00BA2E13" w:rsidP="006E7DBF">
      <w:pPr>
        <w:pStyle w:val="SHAFigureNumber"/>
        <w:spacing w:line="360" w:lineRule="auto"/>
        <w:rPr>
          <w:sz w:val="24"/>
          <w:szCs w:val="24"/>
        </w:rPr>
      </w:pPr>
      <w:r w:rsidRPr="006E7DBF">
        <w:rPr>
          <w:sz w:val="24"/>
          <w:szCs w:val="24"/>
        </w:rPr>
        <w:t>Trends in Adequacy of Prenatal Care, by Race/Ethnicity, Massachusetts, 2006-2015</w:t>
      </w:r>
    </w:p>
    <w:p w14:paraId="1CE2CF56" w14:textId="6AF48A79" w:rsidR="00BA2E13" w:rsidRPr="006E7DBF" w:rsidRDefault="008A7C66" w:rsidP="006E7DBF">
      <w:pPr>
        <w:spacing w:line="360" w:lineRule="auto"/>
        <w:ind w:right="-360"/>
        <w:jc w:val="center"/>
        <w:rPr>
          <w:sz w:val="24"/>
          <w:szCs w:val="24"/>
        </w:rPr>
      </w:pPr>
      <w:r w:rsidRPr="006E7DBF">
        <w:rPr>
          <w:sz w:val="24"/>
          <w:szCs w:val="24"/>
        </w:rPr>
        <w:drawing>
          <wp:inline distT="0" distB="0" distL="0" distR="0" wp14:anchorId="427143B6" wp14:editId="07288CF7">
            <wp:extent cx="5815584" cy="3553967"/>
            <wp:effectExtent l="0" t="0" r="0" b="8890"/>
            <wp:docPr id="47" name="Picture 47" descr="This line graph shows the percentage of mothers in Massachusetts receiving adequate prenatal care from 2006-2015 by race and ethnicity. From 2006-2012, the percentage of White non-Hispanics receiving adequate prenatal care increased from 86% to 87%, Black non-Hispanics increased from 75% to 78%, Hispanics increased from 76% to 82%, and Asian non-Hispanics increased from 82% to 87%. From 2012-2015, the percentage of White non-Hispanics receiving adequate prenatal care decreased from 87% to 85%, Black non-Hispanics decreased from 78% to 69%, Hispanics decreased from 82% to 78%, and  Asian non-Hispanics decreased from 87% to 8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31263" t="32604" r="28857" b="24070"/>
                    <a:stretch/>
                  </pic:blipFill>
                  <pic:spPr bwMode="auto">
                    <a:xfrm>
                      <a:off x="0" y="0"/>
                      <a:ext cx="5832979" cy="3564597"/>
                    </a:xfrm>
                    <a:prstGeom prst="rect">
                      <a:avLst/>
                    </a:prstGeom>
                    <a:ln>
                      <a:noFill/>
                    </a:ln>
                    <a:extLst>
                      <a:ext uri="{53640926-AAD7-44D8-BBD7-CCE9431645EC}">
                        <a14:shadowObscured xmlns:a14="http://schemas.microsoft.com/office/drawing/2010/main"/>
                      </a:ext>
                    </a:extLst>
                  </pic:spPr>
                </pic:pic>
              </a:graphicData>
            </a:graphic>
          </wp:inline>
        </w:drawing>
      </w:r>
    </w:p>
    <w:p w14:paraId="4438D302" w14:textId="77777777" w:rsidR="00BA2E13" w:rsidRPr="006E7DBF" w:rsidRDefault="00BA2E13" w:rsidP="006E7DBF">
      <w:pPr>
        <w:spacing w:line="360" w:lineRule="auto"/>
        <w:ind w:right="-360"/>
        <w:rPr>
          <w:sz w:val="24"/>
          <w:szCs w:val="24"/>
        </w:rPr>
      </w:pPr>
      <w:r w:rsidRPr="006E7DBF">
        <w:rPr>
          <w:sz w:val="24"/>
          <w:szCs w:val="24"/>
        </w:rPr>
        <w:t>Persistent disparities remain in the percentage of mothers receiving adequate prenatal care by race/ethnicity. While the percentage declined during 2012-2014 in all racial and ethnic groups, the largest decline occurred among Black non-Hispanic mothers. The underlying causes are complex and multifactorial.</w:t>
      </w:r>
    </w:p>
    <w:p w14:paraId="5303D97A" w14:textId="77777777" w:rsidR="00BA2E13" w:rsidRPr="006E7DBF" w:rsidRDefault="00BA2E13" w:rsidP="006E7DBF">
      <w:pPr>
        <w:spacing w:line="360" w:lineRule="auto"/>
        <w:ind w:right="-360"/>
        <w:rPr>
          <w:sz w:val="24"/>
          <w:szCs w:val="24"/>
        </w:rPr>
      </w:pPr>
      <w:r w:rsidRPr="006E7DBF">
        <w:rPr>
          <w:sz w:val="24"/>
          <w:szCs w:val="24"/>
        </w:rPr>
        <w:t>Initiation of prenatal care services during the first trimester has declined over the last decade in Massachusetts. Findings from the 2011 PRAMS survey indicate that about 10% of mothers reported not receiving prenatal care as early as they had wanted. Among those who did not receive prenatal care as early as wanted and entered prenatal care after the first trimester of pregnancy, the top four reasons included: not knowing about the pregnancy (24%); not having a MassHealth card (14%); lack of money or insurance (14%); and lack of transportation, childcare, or inability to take time off from work or school (13%).</w:t>
      </w:r>
    </w:p>
    <w:p w14:paraId="55BB10C9" w14:textId="77777777" w:rsidR="00BA2E13" w:rsidRPr="006E7DBF" w:rsidRDefault="00BA2E13" w:rsidP="006E7DBF">
      <w:pPr>
        <w:pStyle w:val="Heading3"/>
        <w:spacing w:line="360" w:lineRule="auto"/>
        <w:rPr>
          <w:sz w:val="24"/>
          <w:szCs w:val="24"/>
        </w:rPr>
      </w:pPr>
      <w:r w:rsidRPr="006E7DBF">
        <w:rPr>
          <w:sz w:val="24"/>
          <w:szCs w:val="24"/>
        </w:rPr>
        <w:lastRenderedPageBreak/>
        <w:t>Pregnancy Intention</w:t>
      </w:r>
    </w:p>
    <w:p w14:paraId="047FC557" w14:textId="77777777" w:rsidR="00BA2E13" w:rsidRPr="006E7DBF" w:rsidRDefault="00BA2E13" w:rsidP="006E7DBF">
      <w:pPr>
        <w:spacing w:line="360" w:lineRule="auto"/>
        <w:ind w:right="-360"/>
        <w:rPr>
          <w:sz w:val="24"/>
          <w:szCs w:val="24"/>
        </w:rPr>
      </w:pPr>
      <w:r w:rsidRPr="006E7DBF">
        <w:rPr>
          <w:sz w:val="24"/>
          <w:szCs w:val="24"/>
        </w:rPr>
        <w:t>Women’s control over their own fertility, through access to contraception and family planning, is crucial for advancing their opportunities for higher education and employment.</w:t>
      </w:r>
      <w:r w:rsidRPr="006E7DBF">
        <w:rPr>
          <w:rStyle w:val="EndnoteReference"/>
          <w:sz w:val="24"/>
          <w:szCs w:val="24"/>
        </w:rPr>
        <w:endnoteReference w:id="54"/>
      </w:r>
      <w:r w:rsidRPr="006E7DBF">
        <w:rPr>
          <w:sz w:val="24"/>
          <w:szCs w:val="24"/>
        </w:rPr>
        <w:t xml:space="preserve"> Unintended pregnancy is associated with inadequate prenatal care, substance use during pregnancy, and low birth weight.</w:t>
      </w:r>
      <w:r w:rsidRPr="006E7DBF">
        <w:rPr>
          <w:rStyle w:val="EndnoteReference"/>
          <w:sz w:val="24"/>
          <w:szCs w:val="24"/>
        </w:rPr>
        <w:endnoteReference w:id="55"/>
      </w:r>
      <w:r w:rsidRPr="006E7DBF">
        <w:rPr>
          <w:sz w:val="24"/>
          <w:szCs w:val="24"/>
          <w:vertAlign w:val="superscript"/>
        </w:rPr>
        <w:t>,</w:t>
      </w:r>
      <w:r w:rsidRPr="006E7DBF">
        <w:rPr>
          <w:rStyle w:val="EndnoteReference"/>
          <w:sz w:val="24"/>
          <w:szCs w:val="24"/>
        </w:rPr>
        <w:endnoteReference w:id="56"/>
      </w:r>
      <w:r w:rsidRPr="006E7DBF">
        <w:rPr>
          <w:sz w:val="24"/>
          <w:szCs w:val="24"/>
          <w:vertAlign w:val="superscript"/>
        </w:rPr>
        <w:t>,</w:t>
      </w:r>
      <w:r w:rsidRPr="006E7DBF">
        <w:rPr>
          <w:rStyle w:val="EndnoteReference"/>
          <w:sz w:val="24"/>
          <w:szCs w:val="24"/>
        </w:rPr>
        <w:endnoteReference w:id="57"/>
      </w:r>
      <w:r w:rsidRPr="006E7DBF">
        <w:rPr>
          <w:sz w:val="24"/>
          <w:szCs w:val="24"/>
          <w:vertAlign w:val="superscript"/>
        </w:rPr>
        <w:t>,</w:t>
      </w:r>
      <w:r w:rsidRPr="006E7DBF">
        <w:rPr>
          <w:rStyle w:val="EndnoteReference"/>
          <w:sz w:val="24"/>
          <w:szCs w:val="24"/>
        </w:rPr>
        <w:endnoteReference w:id="58"/>
      </w:r>
      <w:r w:rsidRPr="006E7DBF">
        <w:rPr>
          <w:sz w:val="24"/>
          <w:szCs w:val="24"/>
        </w:rPr>
        <w:t xml:space="preserve"> </w:t>
      </w:r>
    </w:p>
    <w:p w14:paraId="34C257AC" w14:textId="77777777" w:rsidR="00BA2E13" w:rsidRPr="006E7DBF" w:rsidRDefault="00BA2E13" w:rsidP="006E7DBF">
      <w:pPr>
        <w:pStyle w:val="Heading4"/>
        <w:spacing w:line="360" w:lineRule="auto"/>
        <w:rPr>
          <w:i/>
        </w:rPr>
      </w:pPr>
      <w:r w:rsidRPr="006E7DBF">
        <w:t>Trends/Disparities</w:t>
      </w:r>
    </w:p>
    <w:p w14:paraId="1F34690B" w14:textId="77777777" w:rsidR="006E7DBF" w:rsidRDefault="00BA2E13" w:rsidP="006E7DBF">
      <w:pPr>
        <w:spacing w:line="360" w:lineRule="auto"/>
        <w:ind w:right="-360"/>
        <w:rPr>
          <w:sz w:val="24"/>
          <w:szCs w:val="24"/>
        </w:rPr>
      </w:pPr>
      <w:r w:rsidRPr="006E7DBF">
        <w:rPr>
          <w:sz w:val="24"/>
          <w:szCs w:val="24"/>
        </w:rPr>
        <w:t xml:space="preserve">Massachusetts Behavioral Risk Factor Surveillance System (BRFSS) data indicate that during 2012-2014, 21% of women 18 to 44 years of age had an unintended pregnancy. Trends in unintended pregnancy have remained relatively stable over this period. Among women who had a live birth from 2012 to 2014, women less than 20 years of age had a higher prevalence of unintended pregnancy than older women </w:t>
      </w:r>
      <w:r w:rsidRPr="006E7DBF">
        <w:rPr>
          <w:b/>
          <w:sz w:val="24"/>
          <w:szCs w:val="24"/>
        </w:rPr>
        <w:t>(Figure 2.13)</w:t>
      </w:r>
      <w:r w:rsidRPr="006E7DBF">
        <w:rPr>
          <w:sz w:val="24"/>
          <w:szCs w:val="24"/>
        </w:rPr>
        <w:t xml:space="preserve">. </w:t>
      </w:r>
    </w:p>
    <w:p w14:paraId="03E94E5F" w14:textId="38AE807F" w:rsidR="00BA2E13" w:rsidRPr="006E7DBF" w:rsidRDefault="00E06303" w:rsidP="006E7DBF">
      <w:pPr>
        <w:spacing w:line="360" w:lineRule="auto"/>
        <w:ind w:right="-360"/>
        <w:jc w:val="center"/>
        <w:rPr>
          <w:sz w:val="24"/>
          <w:szCs w:val="24"/>
        </w:rPr>
      </w:pPr>
      <w:r w:rsidRPr="006E7DBF">
        <w:rPr>
          <w:sz w:val="24"/>
          <w:szCs w:val="24"/>
        </w:rPr>
        <w:br w:type="page"/>
      </w:r>
      <w:r w:rsidR="00BA2E13" w:rsidRPr="006E7DBF">
        <w:rPr>
          <w:b/>
          <w:sz w:val="24"/>
          <w:szCs w:val="24"/>
        </w:rPr>
        <w:lastRenderedPageBreak/>
        <w:t>Figure 2.13</w:t>
      </w:r>
    </w:p>
    <w:p w14:paraId="287043F7" w14:textId="77777777" w:rsidR="00BA2E13" w:rsidRPr="006E7DBF" w:rsidRDefault="00BA2E13" w:rsidP="006E7DBF">
      <w:pPr>
        <w:pStyle w:val="SHAFigureNumber"/>
        <w:spacing w:line="360" w:lineRule="auto"/>
        <w:rPr>
          <w:rFonts w:ascii="Aileron Heavy" w:hAnsi="Aileron Heavy"/>
          <w:sz w:val="24"/>
          <w:szCs w:val="24"/>
        </w:rPr>
      </w:pPr>
      <w:r w:rsidRPr="006E7DBF">
        <w:rPr>
          <w:sz w:val="24"/>
          <w:szCs w:val="24"/>
        </w:rPr>
        <w:t>Trends in Unintended Pregnancies Resulting in a Live Birth by Maternal Age, Massachusetts, 2012-2014</w:t>
      </w:r>
    </w:p>
    <w:p w14:paraId="75EC3012" w14:textId="2307F80B" w:rsidR="00BA2E13" w:rsidRPr="006E7DBF" w:rsidRDefault="008A7C66" w:rsidP="006E7DBF">
      <w:pPr>
        <w:spacing w:line="360" w:lineRule="auto"/>
        <w:ind w:right="-360"/>
        <w:jc w:val="center"/>
        <w:rPr>
          <w:rFonts w:ascii="Aileron Light" w:hAnsi="Aileron Light"/>
          <w:color w:val="737173"/>
          <w:sz w:val="24"/>
          <w:szCs w:val="24"/>
        </w:rPr>
      </w:pPr>
      <w:r w:rsidRPr="006E7DBF">
        <w:rPr>
          <w:sz w:val="24"/>
          <w:szCs w:val="24"/>
        </w:rPr>
        <w:drawing>
          <wp:inline distT="0" distB="0" distL="0" distR="0" wp14:anchorId="03C39464" wp14:editId="5CE827CC">
            <wp:extent cx="5435194" cy="3758573"/>
            <wp:effectExtent l="0" t="0" r="0" b="0"/>
            <wp:docPr id="48" name="Picture 48" descr="This line graph shows the percentage of live births in Massachusetts resulting from unintended pregnancies from 2012-2014 by maternal age. Among women aged less than 20 years, the percentage remained the same at 64%. Among women aged 20 to 29 years old, the percentage decreased from 34% to 29%. Among women aged 30 to 39 years and 40 years or older the percentage increased slightly from 14% to 16% and from 10% to 15% respective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30033" t="39825" r="33657" b="15536"/>
                    <a:stretch/>
                  </pic:blipFill>
                  <pic:spPr bwMode="auto">
                    <a:xfrm>
                      <a:off x="0" y="0"/>
                      <a:ext cx="5449597" cy="3768533"/>
                    </a:xfrm>
                    <a:prstGeom prst="rect">
                      <a:avLst/>
                    </a:prstGeom>
                    <a:ln>
                      <a:noFill/>
                    </a:ln>
                    <a:extLst>
                      <a:ext uri="{53640926-AAD7-44D8-BBD7-CCE9431645EC}">
                        <a14:shadowObscured xmlns:a14="http://schemas.microsoft.com/office/drawing/2010/main"/>
                      </a:ext>
                    </a:extLst>
                  </pic:spPr>
                </pic:pic>
              </a:graphicData>
            </a:graphic>
          </wp:inline>
        </w:drawing>
      </w:r>
    </w:p>
    <w:p w14:paraId="00FD1E7A" w14:textId="77777777" w:rsidR="00BA2E13" w:rsidRPr="006E7DBF" w:rsidRDefault="00BA2E13" w:rsidP="006E7DBF">
      <w:pPr>
        <w:spacing w:line="360" w:lineRule="auto"/>
        <w:ind w:right="-360"/>
        <w:rPr>
          <w:sz w:val="24"/>
          <w:szCs w:val="24"/>
        </w:rPr>
      </w:pPr>
      <w:r w:rsidRPr="006E7DBF">
        <w:rPr>
          <w:sz w:val="24"/>
          <w:szCs w:val="24"/>
        </w:rPr>
        <w:t xml:space="preserve">Additionally, in 2014 women with MassHealth coverage (32%) were twice as likely as women with private health insurance (16%) to have an unintended pregnancy that resulted in a live birth. In 2014, Black non-Hispanic and Hispanic women were 2.3 and 1.7 times as likely as White non-Hispanic women to have an unintended pregnancy resulting in a live birth, respectively. </w:t>
      </w:r>
    </w:p>
    <w:p w14:paraId="0986CC38" w14:textId="77777777" w:rsidR="00BA2E13" w:rsidRPr="006E7DBF" w:rsidRDefault="00BA2E13" w:rsidP="006E7DBF">
      <w:pPr>
        <w:pStyle w:val="Heading3"/>
        <w:spacing w:line="360" w:lineRule="auto"/>
        <w:rPr>
          <w:sz w:val="24"/>
          <w:szCs w:val="24"/>
        </w:rPr>
      </w:pPr>
      <w:r w:rsidRPr="006E7DBF">
        <w:rPr>
          <w:sz w:val="24"/>
          <w:szCs w:val="24"/>
        </w:rPr>
        <w:t>Teen Pregnancy</w:t>
      </w:r>
    </w:p>
    <w:p w14:paraId="13554608" w14:textId="77777777" w:rsidR="00BA2E13" w:rsidRDefault="00BA2E13" w:rsidP="006E7DBF">
      <w:pPr>
        <w:spacing w:line="360" w:lineRule="auto"/>
        <w:ind w:right="-360"/>
        <w:rPr>
          <w:sz w:val="24"/>
          <w:szCs w:val="24"/>
        </w:rPr>
      </w:pPr>
      <w:r w:rsidRPr="006E7DBF">
        <w:rPr>
          <w:sz w:val="24"/>
          <w:szCs w:val="24"/>
        </w:rPr>
        <w:t>Adolescent childbearing is associated with lower educational attainment for teen mothers and fathers.</w:t>
      </w:r>
      <w:r w:rsidRPr="006E7DBF">
        <w:rPr>
          <w:rStyle w:val="EndnoteReference"/>
          <w:sz w:val="24"/>
          <w:szCs w:val="24"/>
        </w:rPr>
        <w:endnoteReference w:id="59"/>
      </w:r>
      <w:r w:rsidRPr="006E7DBF">
        <w:rPr>
          <w:sz w:val="24"/>
          <w:szCs w:val="24"/>
          <w:vertAlign w:val="superscript"/>
        </w:rPr>
        <w:t>,</w:t>
      </w:r>
      <w:r w:rsidRPr="006E7DBF">
        <w:rPr>
          <w:rStyle w:val="EndnoteReference"/>
          <w:sz w:val="24"/>
          <w:szCs w:val="24"/>
        </w:rPr>
        <w:endnoteReference w:id="60"/>
      </w:r>
      <w:r w:rsidRPr="006E7DBF">
        <w:rPr>
          <w:sz w:val="24"/>
          <w:szCs w:val="24"/>
        </w:rPr>
        <w:t xml:space="preserve"> Children of teen parents are also more likely to experience a range of adverse health outcomes, including low birth weight, infant mortality, and barriers to educational attainment and employment.</w:t>
      </w:r>
      <w:r w:rsidRPr="006E7DBF">
        <w:rPr>
          <w:rStyle w:val="EndnoteReference"/>
          <w:sz w:val="24"/>
          <w:szCs w:val="24"/>
        </w:rPr>
        <w:endnoteReference w:id="61"/>
      </w:r>
      <w:r w:rsidRPr="006E7DBF">
        <w:rPr>
          <w:sz w:val="24"/>
          <w:szCs w:val="24"/>
        </w:rPr>
        <w:t xml:space="preserve"> With appropriate support and access to services, teen parents can complete their education, successfully achieve employment, and provide for their children.</w:t>
      </w:r>
      <w:r w:rsidRPr="006E7DBF">
        <w:rPr>
          <w:rStyle w:val="EndnoteReference"/>
          <w:sz w:val="24"/>
          <w:szCs w:val="24"/>
        </w:rPr>
        <w:endnoteReference w:id="62"/>
      </w:r>
    </w:p>
    <w:p w14:paraId="19845624" w14:textId="77777777" w:rsidR="006E7DBF" w:rsidRPr="006E7DBF" w:rsidRDefault="006E7DBF" w:rsidP="006E7DBF">
      <w:pPr>
        <w:spacing w:line="360" w:lineRule="auto"/>
        <w:ind w:right="-360"/>
        <w:rPr>
          <w:sz w:val="24"/>
          <w:szCs w:val="24"/>
        </w:rPr>
      </w:pPr>
    </w:p>
    <w:p w14:paraId="496C5D09" w14:textId="77777777" w:rsidR="00BA2E13" w:rsidRPr="006E7DBF" w:rsidRDefault="00BA2E13" w:rsidP="006E7DBF">
      <w:pPr>
        <w:pStyle w:val="Heading4"/>
        <w:spacing w:line="360" w:lineRule="auto"/>
        <w:rPr>
          <w:i/>
        </w:rPr>
      </w:pPr>
      <w:r w:rsidRPr="006E7DBF">
        <w:lastRenderedPageBreak/>
        <w:t>Trends/Disparities</w:t>
      </w:r>
    </w:p>
    <w:p w14:paraId="5D3A0656" w14:textId="77777777" w:rsidR="00BA2E13" w:rsidRPr="006E7DBF" w:rsidRDefault="00BA2E13" w:rsidP="006E7DBF">
      <w:pPr>
        <w:spacing w:line="360" w:lineRule="auto"/>
        <w:ind w:right="-360"/>
        <w:rPr>
          <w:sz w:val="24"/>
          <w:szCs w:val="24"/>
        </w:rPr>
      </w:pPr>
      <w:r w:rsidRPr="006E7DBF">
        <w:rPr>
          <w:sz w:val="24"/>
          <w:szCs w:val="24"/>
        </w:rPr>
        <w:t xml:space="preserve">Teen birth rates have been declining across the US and in Massachusetts. </w:t>
      </w:r>
      <w:r w:rsidRPr="006E7DBF">
        <w:rPr>
          <w:rFonts w:ascii="Calibri" w:hAnsi="Calibri"/>
          <w:color w:val="212121"/>
          <w:sz w:val="24"/>
          <w:szCs w:val="24"/>
          <w:shd w:val="clear" w:color="auto" w:fill="FFFFFF"/>
        </w:rPr>
        <w:t>While teen birth rates have been declining in all racial/ethnic groups</w:t>
      </w:r>
      <w:r w:rsidRPr="006E7DBF">
        <w:rPr>
          <w:sz w:val="24"/>
          <w:szCs w:val="24"/>
        </w:rPr>
        <w:t xml:space="preserve">, in 2015 Hispanic teens 15-19 years of age were still seven times as likely to give birth as White non-Hispanic teens </w:t>
      </w:r>
      <w:r w:rsidRPr="006E7DBF">
        <w:rPr>
          <w:b/>
          <w:sz w:val="24"/>
          <w:szCs w:val="24"/>
        </w:rPr>
        <w:t>(Figure 2.14)</w:t>
      </w:r>
      <w:r w:rsidRPr="006E7DBF">
        <w:rPr>
          <w:sz w:val="24"/>
          <w:szCs w:val="24"/>
        </w:rPr>
        <w:t>.</w:t>
      </w:r>
    </w:p>
    <w:p w14:paraId="072BB171" w14:textId="77777777" w:rsidR="006E7DBF" w:rsidRDefault="00BA2E13" w:rsidP="006E7DBF">
      <w:pPr>
        <w:spacing w:line="360" w:lineRule="auto"/>
        <w:ind w:right="-360"/>
        <w:rPr>
          <w:sz w:val="24"/>
          <w:szCs w:val="24"/>
        </w:rPr>
      </w:pPr>
      <w:r w:rsidRPr="006E7DBF">
        <w:rPr>
          <w:sz w:val="24"/>
          <w:szCs w:val="24"/>
        </w:rPr>
        <w:t>In 2015, lesbian, gay, and bisexual high school students were three times as likely to report ever having been pregnant or gotten someone pregnant, compared to heterosexual students.</w:t>
      </w:r>
      <w:r w:rsidRPr="006E7DBF">
        <w:rPr>
          <w:rStyle w:val="EndnoteReference"/>
          <w:sz w:val="24"/>
          <w:szCs w:val="24"/>
        </w:rPr>
        <w:endnoteReference w:id="63"/>
      </w:r>
      <w:r w:rsidRPr="006E7DBF">
        <w:rPr>
          <w:sz w:val="24"/>
          <w:szCs w:val="24"/>
        </w:rPr>
        <w:t xml:space="preserve"> In 2015, the communities of Holyoke, Southbridge, Chelsea, Lawrence, Lynn, New Bedford, Springfield, Fall River, Fitchburg, West Springfield, and Brockton had teen birth rates that exceeded the state average.</w:t>
      </w:r>
    </w:p>
    <w:p w14:paraId="48EA3100" w14:textId="4DCEF57F" w:rsidR="00BA2E13" w:rsidRPr="006E7DBF" w:rsidRDefault="00BA2E13" w:rsidP="006E7DBF">
      <w:pPr>
        <w:spacing w:line="360" w:lineRule="auto"/>
        <w:ind w:right="-360"/>
        <w:jc w:val="center"/>
        <w:rPr>
          <w:sz w:val="24"/>
          <w:szCs w:val="24"/>
        </w:rPr>
      </w:pPr>
      <w:r w:rsidRPr="006E7DBF">
        <w:rPr>
          <w:b/>
          <w:sz w:val="24"/>
          <w:szCs w:val="24"/>
        </w:rPr>
        <w:t>Figure 2.14</w:t>
      </w:r>
    </w:p>
    <w:p w14:paraId="5B6696E1" w14:textId="77777777" w:rsidR="00BA2E13" w:rsidRPr="006E7DBF" w:rsidRDefault="00BA2E13" w:rsidP="006E7DBF">
      <w:pPr>
        <w:pStyle w:val="SHAFigureNumber"/>
        <w:spacing w:line="360" w:lineRule="auto"/>
        <w:rPr>
          <w:sz w:val="24"/>
          <w:szCs w:val="24"/>
        </w:rPr>
      </w:pPr>
      <w:r w:rsidRPr="006E7DBF">
        <w:rPr>
          <w:sz w:val="24"/>
          <w:szCs w:val="24"/>
        </w:rPr>
        <w:t>Teen Birth Rates, by Race/Ethnicity, US and Massachusetts, 2015</w:t>
      </w:r>
    </w:p>
    <w:p w14:paraId="09B71354" w14:textId="57E4EC55" w:rsidR="00BA2E13" w:rsidRPr="006E7DBF" w:rsidRDefault="00E0349A" w:rsidP="006E7DBF">
      <w:pPr>
        <w:spacing w:line="360" w:lineRule="auto"/>
        <w:ind w:right="-360"/>
        <w:jc w:val="center"/>
        <w:rPr>
          <w:rFonts w:ascii="Aileron Light" w:hAnsi="Aileron Light"/>
          <w:color w:val="737173"/>
          <w:sz w:val="24"/>
          <w:szCs w:val="24"/>
        </w:rPr>
      </w:pPr>
      <w:r w:rsidRPr="006E7DBF">
        <w:rPr>
          <w:sz w:val="24"/>
          <w:szCs w:val="24"/>
        </w:rPr>
        <w:drawing>
          <wp:inline distT="0" distB="0" distL="0" distR="0" wp14:anchorId="044B4B61" wp14:editId="575C45E5">
            <wp:extent cx="4572000" cy="2914650"/>
            <wp:effectExtent l="0" t="0" r="0" b="0"/>
            <wp:docPr id="590" name="Chart 590" descr="This bar graph shows teen birth rates per 1,000 females aged 15-19 by race and ethnicity in Massachusetts and the US in 2015. White non-Hispanics in MA had a birth rate of 4.5 per 1,000 females aged 15-19, compared with 16 per 1,000 nationally. Black non-Hispanics in MA had a birth rate of 14.3 per 1,000 females aged 15-19, compared with 32 per 1,000 nationally. Hispanics in MA had a birth rate of 32.7 per 1,000 females aged 15-19, compared with 35 per 1,000 nationally. Asians in MA had a birth rate of 2.9 per 1,000 females aged 15-19, compared with 8 per 1,000 nationally. ">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A0F9139-F2E4-4DF5-ABC8-2C853D8A2C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F6D2BF8" w14:textId="77777777" w:rsidR="00BA2E13" w:rsidRPr="006E7DBF" w:rsidRDefault="00BA2E13" w:rsidP="006E7DBF">
      <w:pPr>
        <w:pStyle w:val="Heading3"/>
        <w:spacing w:line="360" w:lineRule="auto"/>
        <w:rPr>
          <w:sz w:val="24"/>
          <w:szCs w:val="24"/>
        </w:rPr>
      </w:pPr>
      <w:r w:rsidRPr="006E7DBF">
        <w:rPr>
          <w:sz w:val="24"/>
          <w:szCs w:val="24"/>
        </w:rPr>
        <w:t>Postpartum Depression</w:t>
      </w:r>
    </w:p>
    <w:p w14:paraId="2A3CBA9D" w14:textId="77777777" w:rsidR="00BA2E13" w:rsidRPr="006E7DBF" w:rsidRDefault="00BA2E13" w:rsidP="006E7DBF">
      <w:pPr>
        <w:spacing w:line="360" w:lineRule="auto"/>
        <w:ind w:right="-360"/>
        <w:rPr>
          <w:sz w:val="24"/>
          <w:szCs w:val="24"/>
        </w:rPr>
      </w:pPr>
      <w:r w:rsidRPr="006E7DBF">
        <w:rPr>
          <w:color w:val="000000"/>
          <w:sz w:val="24"/>
          <w:szCs w:val="24"/>
          <w:shd w:val="clear" w:color="auto" w:fill="FFFFFF"/>
        </w:rPr>
        <w:t>Postpartum depression is a mood disorder that can affect women after childbirth. Mothers with postpartum depression experience feelings of extreme sadness, anxiety, and exhaustion that may make it difficult for them to complete their daily activities.</w:t>
      </w:r>
      <w:r w:rsidRPr="006E7DBF">
        <w:rPr>
          <w:rStyle w:val="EndnoteReference"/>
          <w:color w:val="000000"/>
          <w:sz w:val="24"/>
          <w:szCs w:val="24"/>
          <w:shd w:val="clear" w:color="auto" w:fill="FFFFFF"/>
        </w:rPr>
        <w:endnoteReference w:id="64"/>
      </w:r>
      <w:r w:rsidRPr="006E7DBF">
        <w:rPr>
          <w:color w:val="000000"/>
          <w:sz w:val="24"/>
          <w:szCs w:val="24"/>
          <w:shd w:val="clear" w:color="auto" w:fill="FFFFFF"/>
        </w:rPr>
        <w:t xml:space="preserve"> </w:t>
      </w:r>
      <w:r w:rsidRPr="006E7DBF">
        <w:rPr>
          <w:sz w:val="24"/>
          <w:szCs w:val="24"/>
        </w:rPr>
        <w:t xml:space="preserve">Postpartum depression can be a serious and debilitating condition for new mothers, affecting both maternal and infant health, and potentially interfering with infant development </w:t>
      </w:r>
      <w:r w:rsidRPr="006E7DBF">
        <w:rPr>
          <w:sz w:val="24"/>
          <w:szCs w:val="24"/>
        </w:rPr>
        <w:lastRenderedPageBreak/>
        <w:t>and mother-child bonding.</w:t>
      </w:r>
      <w:r w:rsidRPr="006E7DBF">
        <w:rPr>
          <w:rStyle w:val="EndnoteReference"/>
          <w:sz w:val="24"/>
          <w:szCs w:val="24"/>
        </w:rPr>
        <w:endnoteReference w:id="65"/>
      </w:r>
      <w:r w:rsidRPr="006E7DBF">
        <w:rPr>
          <w:sz w:val="24"/>
          <w:szCs w:val="24"/>
          <w:vertAlign w:val="superscript"/>
        </w:rPr>
        <w:t>,</w:t>
      </w:r>
      <w:r w:rsidRPr="006E7DBF">
        <w:rPr>
          <w:rStyle w:val="EndnoteReference"/>
          <w:sz w:val="24"/>
          <w:szCs w:val="24"/>
        </w:rPr>
        <w:endnoteReference w:id="66"/>
      </w:r>
      <w:r w:rsidRPr="006E7DBF">
        <w:rPr>
          <w:sz w:val="24"/>
          <w:szCs w:val="24"/>
          <w:vertAlign w:val="superscript"/>
        </w:rPr>
        <w:t xml:space="preserve"> </w:t>
      </w:r>
      <w:r w:rsidRPr="006E7DBF">
        <w:rPr>
          <w:sz w:val="24"/>
          <w:szCs w:val="24"/>
        </w:rPr>
        <w:t>Screening for and early detection of depression are important to ensure women receive timely and appropriate treatment.</w:t>
      </w:r>
    </w:p>
    <w:p w14:paraId="76CFD3A0" w14:textId="77777777" w:rsidR="00BA2E13" w:rsidRPr="006E7DBF" w:rsidRDefault="00BA2E13" w:rsidP="006E7DBF">
      <w:pPr>
        <w:pStyle w:val="Heading4"/>
        <w:spacing w:line="360" w:lineRule="auto"/>
        <w:rPr>
          <w:i/>
        </w:rPr>
      </w:pPr>
      <w:r w:rsidRPr="006E7DBF">
        <w:t>Trends/Disparities</w:t>
      </w:r>
    </w:p>
    <w:p w14:paraId="509C75C2" w14:textId="616F2141" w:rsidR="00E06303" w:rsidRPr="006E7DBF" w:rsidRDefault="00BA2E13" w:rsidP="006E7DBF">
      <w:pPr>
        <w:spacing w:line="360" w:lineRule="auto"/>
        <w:ind w:right="-360"/>
        <w:rPr>
          <w:sz w:val="24"/>
          <w:szCs w:val="24"/>
        </w:rPr>
      </w:pPr>
      <w:r w:rsidRPr="006E7DBF">
        <w:rPr>
          <w:sz w:val="24"/>
          <w:szCs w:val="24"/>
        </w:rPr>
        <w:t xml:space="preserve">Data from Massachusetts PRAMS indicate that the percentage of new mothers reporting depressive symptoms in the postpartum period decreased from 12% in 2012 to 10% in 2014. However, racial and ethnic disparities in the prevalence of postpartum depressive symptoms exist.  Mothers who are non-Hispanic black (20%), Asian (16%) or Hispanic (15%) had higher prevalence of postpartum depressive symptomology than non-Hispanic white mothers (7%) </w:t>
      </w:r>
      <w:r w:rsidRPr="006E7DBF">
        <w:rPr>
          <w:b/>
          <w:sz w:val="24"/>
          <w:szCs w:val="24"/>
        </w:rPr>
        <w:t>(Figure 2.15)</w:t>
      </w:r>
      <w:r w:rsidRPr="006E7DBF">
        <w:rPr>
          <w:sz w:val="24"/>
          <w:szCs w:val="24"/>
        </w:rPr>
        <w:t>. Women with household incomes at 100% of the federal poverty level or lower were twice as likely to report postpartum depressive symptoms (16%) as women with incomes above 100% of the federal poverty level (8%).</w:t>
      </w:r>
    </w:p>
    <w:p w14:paraId="19D7226B" w14:textId="7C187063" w:rsidR="00BA2E13" w:rsidRPr="006E7DBF" w:rsidRDefault="00BA2E13" w:rsidP="006E7DBF">
      <w:pPr>
        <w:pStyle w:val="SHAFigureNumber"/>
        <w:spacing w:line="360" w:lineRule="auto"/>
        <w:rPr>
          <w:sz w:val="24"/>
          <w:szCs w:val="24"/>
        </w:rPr>
      </w:pPr>
      <w:r w:rsidRPr="006E7DBF">
        <w:rPr>
          <w:sz w:val="24"/>
          <w:szCs w:val="24"/>
        </w:rPr>
        <w:t>Figure 2.15</w:t>
      </w:r>
    </w:p>
    <w:p w14:paraId="6D50354A" w14:textId="77777777" w:rsidR="00BA2E13" w:rsidRPr="006E7DBF" w:rsidRDefault="00BA2E13" w:rsidP="006E7DBF">
      <w:pPr>
        <w:pStyle w:val="SHAFigureNumber"/>
        <w:spacing w:line="360" w:lineRule="auto"/>
        <w:rPr>
          <w:sz w:val="24"/>
          <w:szCs w:val="24"/>
        </w:rPr>
      </w:pPr>
      <w:r w:rsidRPr="006E7DBF">
        <w:rPr>
          <w:sz w:val="24"/>
          <w:szCs w:val="24"/>
        </w:rPr>
        <w:t>Postpartum Depression Symptoms, by Race/Ethnicity, Massachusetts, 2014</w:t>
      </w:r>
    </w:p>
    <w:p w14:paraId="39195098" w14:textId="6F1F3D6D" w:rsidR="00BA2E13" w:rsidRPr="006E7DBF" w:rsidRDefault="00DD7385" w:rsidP="006E7DBF">
      <w:pPr>
        <w:spacing w:line="360" w:lineRule="auto"/>
        <w:ind w:right="-360"/>
        <w:jc w:val="center"/>
        <w:rPr>
          <w:sz w:val="24"/>
          <w:szCs w:val="24"/>
        </w:rPr>
      </w:pPr>
      <w:r w:rsidRPr="006E7DBF">
        <w:rPr>
          <w:sz w:val="24"/>
          <w:szCs w:val="24"/>
        </w:rPr>
        <w:drawing>
          <wp:inline distT="0" distB="0" distL="0" distR="0" wp14:anchorId="1C8469D3" wp14:editId="187D70BD">
            <wp:extent cx="5224145" cy="2849880"/>
            <wp:effectExtent l="0" t="0" r="0" b="7620"/>
            <wp:docPr id="591" name="Chart 591" descr="This horizontal bar graph shows the percentage of mothers with postpartum depression symptoms in 2014 by race/ethnicity. Ten percent of all mothers in Massachusetts, 16% of Asians, 15% of Hispanics, 20% of Black non-Hispanics, and 7% of White non-Hispanics experience postpartum depression symptoms. ">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2578C8C-05D6-4240-819C-9934133D2A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B35A2AD" w14:textId="77777777" w:rsidR="00BA2E13" w:rsidRPr="006E7DBF" w:rsidRDefault="00BA2E13" w:rsidP="006E7DBF">
      <w:pPr>
        <w:pStyle w:val="Heading3"/>
        <w:spacing w:line="360" w:lineRule="auto"/>
        <w:rPr>
          <w:sz w:val="24"/>
          <w:szCs w:val="24"/>
        </w:rPr>
      </w:pPr>
      <w:bookmarkStart w:id="0" w:name="_Hlk487136848"/>
      <w:r w:rsidRPr="006E7DBF">
        <w:rPr>
          <w:sz w:val="24"/>
          <w:szCs w:val="24"/>
        </w:rPr>
        <w:t>Severe Maternal Morbidity</w:t>
      </w:r>
    </w:p>
    <w:p w14:paraId="73AE76F3" w14:textId="2ACBB0F6" w:rsidR="00BA2E13" w:rsidRPr="006E7DBF" w:rsidRDefault="00BA2E13" w:rsidP="006E7DBF">
      <w:pPr>
        <w:spacing w:line="360" w:lineRule="auto"/>
        <w:ind w:right="-360"/>
        <w:rPr>
          <w:sz w:val="24"/>
          <w:szCs w:val="24"/>
        </w:rPr>
      </w:pPr>
      <w:r w:rsidRPr="006E7DBF">
        <w:rPr>
          <w:sz w:val="24"/>
          <w:szCs w:val="24"/>
        </w:rPr>
        <w:t xml:space="preserve">Severe maternal morbidity (SMM) includes unexpected outcomes of labor and delivery that result in significant </w:t>
      </w:r>
      <w:r w:rsidR="006A182C" w:rsidRPr="006E7DBF">
        <w:rPr>
          <w:sz w:val="24"/>
          <w:szCs w:val="24"/>
        </w:rPr>
        <w:t xml:space="preserve">short </w:t>
      </w:r>
      <w:r w:rsidRPr="006E7DBF">
        <w:rPr>
          <w:sz w:val="24"/>
          <w:szCs w:val="24"/>
        </w:rPr>
        <w:t xml:space="preserve">or long-term consequences to a woman’s health. While maternal deaths are extremely rare in </w:t>
      </w:r>
      <w:r w:rsidRPr="006E7DBF">
        <w:rPr>
          <w:sz w:val="24"/>
          <w:szCs w:val="24"/>
        </w:rPr>
        <w:lastRenderedPageBreak/>
        <w:t xml:space="preserve">Massachusetts, SMM events are more common and, similar to the national trend, the rate of SMM is on the rise. Studying SMM events is crucial for identifying close calls and improving obstetric care.   </w:t>
      </w:r>
    </w:p>
    <w:p w14:paraId="071639A6" w14:textId="77777777" w:rsidR="00BA2E13" w:rsidRPr="006E7DBF" w:rsidRDefault="00BA2E13" w:rsidP="006E7DBF">
      <w:pPr>
        <w:spacing w:line="360" w:lineRule="auto"/>
        <w:ind w:right="-360"/>
        <w:rPr>
          <w:sz w:val="24"/>
          <w:szCs w:val="24"/>
        </w:rPr>
      </w:pPr>
      <w:r w:rsidRPr="006E7DBF">
        <w:rPr>
          <w:sz w:val="24"/>
          <w:szCs w:val="24"/>
        </w:rPr>
        <w:t>Several co-morbidities including obesity, diabetes, and heart disease are associated with increased risk for delivery complications.</w:t>
      </w:r>
      <w:r w:rsidRPr="006E7DBF">
        <w:rPr>
          <w:rStyle w:val="EndnoteReference"/>
          <w:sz w:val="24"/>
          <w:szCs w:val="24"/>
        </w:rPr>
        <w:endnoteReference w:id="67"/>
      </w:r>
      <w:r w:rsidRPr="006E7DBF">
        <w:rPr>
          <w:sz w:val="24"/>
          <w:szCs w:val="24"/>
        </w:rPr>
        <w:t xml:space="preserve"> These chronic conditions are intimately linked with the built environment and social and economic factors. </w:t>
      </w:r>
    </w:p>
    <w:p w14:paraId="7AAE4209" w14:textId="77777777" w:rsidR="00BA2E13" w:rsidRPr="006E7DBF" w:rsidRDefault="00BA2E13" w:rsidP="006E7DBF">
      <w:pPr>
        <w:pStyle w:val="Heading4"/>
        <w:spacing w:line="360" w:lineRule="auto"/>
        <w:rPr>
          <w:i/>
        </w:rPr>
      </w:pPr>
      <w:r w:rsidRPr="006E7DBF">
        <w:t>Trends/Disparities</w:t>
      </w:r>
    </w:p>
    <w:p w14:paraId="0A283DF9" w14:textId="77777777" w:rsidR="00BA2E13" w:rsidRPr="006E7DBF" w:rsidRDefault="00BA2E13" w:rsidP="006E7DBF">
      <w:pPr>
        <w:spacing w:line="360" w:lineRule="auto"/>
        <w:ind w:right="-360"/>
        <w:rPr>
          <w:sz w:val="24"/>
          <w:szCs w:val="24"/>
        </w:rPr>
      </w:pPr>
      <w:r w:rsidRPr="006E7DBF">
        <w:rPr>
          <w:sz w:val="24"/>
          <w:szCs w:val="24"/>
        </w:rPr>
        <w:t xml:space="preserve">Massachusetts monitors SMM using hospital discharge data to identify 25 indicators associated with life-threatening events or life-saving procedures. Women who received blood transfusions account for the greatest percentage of women with SMM. Because the procedure code for blood transfusion does not include information on the number of units transfused, it is difficult to judge the severity of hospitalizations with only that indication. Therefore rates of SMM are typically examined both with and without transfusion codes to better assess trends over time. </w:t>
      </w:r>
    </w:p>
    <w:p w14:paraId="44DE1FBF" w14:textId="7CBCD186" w:rsidR="00BA2E13" w:rsidRPr="006E7DBF" w:rsidRDefault="00BA2E13" w:rsidP="006E7DBF">
      <w:pPr>
        <w:spacing w:line="360" w:lineRule="auto"/>
        <w:ind w:right="-360"/>
        <w:rPr>
          <w:sz w:val="24"/>
          <w:szCs w:val="24"/>
        </w:rPr>
      </w:pPr>
      <w:r w:rsidRPr="006E7DBF">
        <w:rPr>
          <w:sz w:val="24"/>
          <w:szCs w:val="24"/>
        </w:rPr>
        <w:t>The rate of SMM including blood transfusion increased 1</w:t>
      </w:r>
      <w:r w:rsidR="003C4565" w:rsidRPr="006E7DBF">
        <w:rPr>
          <w:sz w:val="24"/>
          <w:szCs w:val="24"/>
        </w:rPr>
        <w:t>79</w:t>
      </w:r>
      <w:r w:rsidRPr="006E7DBF">
        <w:rPr>
          <w:sz w:val="24"/>
          <w:szCs w:val="24"/>
        </w:rPr>
        <w:t xml:space="preserve">%, from 57 per 10,000 delivery hospitalizations in 1998 to 159 per 10,000 delivery hospitalizations in 2013 </w:t>
      </w:r>
      <w:r w:rsidRPr="006E7DBF">
        <w:rPr>
          <w:b/>
          <w:sz w:val="24"/>
          <w:szCs w:val="24"/>
        </w:rPr>
        <w:t>(Figure 2.16)</w:t>
      </w:r>
      <w:r w:rsidRPr="006E7DBF">
        <w:rPr>
          <w:sz w:val="24"/>
          <w:szCs w:val="24"/>
        </w:rPr>
        <w:t xml:space="preserve">. </w:t>
      </w:r>
    </w:p>
    <w:p w14:paraId="1874B543" w14:textId="21739269" w:rsidR="00BA2E13" w:rsidRPr="006E7DBF" w:rsidRDefault="00BA2E13" w:rsidP="006E7DBF">
      <w:pPr>
        <w:spacing w:line="360" w:lineRule="auto"/>
        <w:ind w:right="-360"/>
        <w:rPr>
          <w:sz w:val="24"/>
          <w:szCs w:val="24"/>
        </w:rPr>
      </w:pPr>
      <w:r w:rsidRPr="006E7DBF">
        <w:rPr>
          <w:sz w:val="24"/>
          <w:szCs w:val="24"/>
        </w:rPr>
        <w:t>The rate of SMM not includin</w:t>
      </w:r>
      <w:r w:rsidR="003C4565" w:rsidRPr="006E7DBF">
        <w:rPr>
          <w:sz w:val="24"/>
          <w:szCs w:val="24"/>
        </w:rPr>
        <w:t>g blood transfusion increased 81</w:t>
      </w:r>
      <w:r w:rsidRPr="006E7DBF">
        <w:rPr>
          <w:sz w:val="24"/>
          <w:szCs w:val="24"/>
        </w:rPr>
        <w:t>%, from 36 per 10,000 delivery hospitalizations in 1998 to 65 per 10,000 delivery hospitalizations in 2013.</w:t>
      </w:r>
    </w:p>
    <w:p w14:paraId="740AD44A" w14:textId="77777777" w:rsidR="00E06303" w:rsidRPr="006E7DBF" w:rsidRDefault="00E06303" w:rsidP="006E7DBF">
      <w:pPr>
        <w:spacing w:before="0" w:line="360" w:lineRule="auto"/>
        <w:ind w:left="0" w:right="0"/>
        <w:jc w:val="left"/>
        <w:rPr>
          <w:b/>
          <w:noProof w:val="0"/>
          <w:sz w:val="24"/>
          <w:szCs w:val="24"/>
        </w:rPr>
      </w:pPr>
      <w:r w:rsidRPr="006E7DBF">
        <w:rPr>
          <w:sz w:val="24"/>
          <w:szCs w:val="24"/>
        </w:rPr>
        <w:br w:type="page"/>
      </w:r>
    </w:p>
    <w:p w14:paraId="2C9715E1" w14:textId="48C621C8" w:rsidR="00BA2E13" w:rsidRPr="006E7DBF" w:rsidRDefault="00BA2E13" w:rsidP="006E7DBF">
      <w:pPr>
        <w:pStyle w:val="SHAFigureNumber"/>
        <w:spacing w:line="360" w:lineRule="auto"/>
        <w:rPr>
          <w:sz w:val="24"/>
          <w:szCs w:val="24"/>
        </w:rPr>
      </w:pPr>
      <w:r w:rsidRPr="006E7DBF">
        <w:rPr>
          <w:sz w:val="24"/>
          <w:szCs w:val="24"/>
        </w:rPr>
        <w:lastRenderedPageBreak/>
        <w:t>Figure 2.16</w:t>
      </w:r>
    </w:p>
    <w:p w14:paraId="3B2F12BC" w14:textId="77777777" w:rsidR="00BA2E13" w:rsidRPr="006E7DBF" w:rsidRDefault="00BA2E13" w:rsidP="006E7DBF">
      <w:pPr>
        <w:pStyle w:val="SHAFigureNumber"/>
        <w:spacing w:line="360" w:lineRule="auto"/>
        <w:rPr>
          <w:sz w:val="24"/>
          <w:szCs w:val="24"/>
        </w:rPr>
      </w:pPr>
      <w:r w:rsidRPr="006E7DBF">
        <w:rPr>
          <w:sz w:val="24"/>
          <w:szCs w:val="24"/>
        </w:rPr>
        <w:t>Severe Maternal Morbidity (SMM) Rate, With and Without Blood Transfusion, By Year, 1998-2013</w:t>
      </w:r>
    </w:p>
    <w:p w14:paraId="17EE8067" w14:textId="57CB6305" w:rsidR="00BA2E13" w:rsidRPr="006E7DBF" w:rsidRDefault="00DD7385" w:rsidP="006E7DBF">
      <w:pPr>
        <w:spacing w:line="360" w:lineRule="auto"/>
        <w:ind w:right="-360"/>
        <w:jc w:val="center"/>
        <w:rPr>
          <w:rFonts w:ascii="Aileron Light" w:hAnsi="Aileron Light"/>
          <w:color w:val="737173"/>
          <w:sz w:val="24"/>
          <w:szCs w:val="24"/>
        </w:rPr>
      </w:pPr>
      <w:r w:rsidRPr="006E7DBF">
        <w:rPr>
          <w:sz w:val="24"/>
          <w:szCs w:val="24"/>
        </w:rPr>
        <w:drawing>
          <wp:inline distT="0" distB="0" distL="0" distR="0" wp14:anchorId="30A28DCF" wp14:editId="0AA73100">
            <wp:extent cx="4514850" cy="2857500"/>
            <wp:effectExtent l="0" t="0" r="0" b="0"/>
            <wp:docPr id="592" name="Chart 592" descr="This line graph shows the rate of severe maternal morbidity (SMM) per 10,000 delivery hospitalization in Massachusetts from 1998 to 2013, calculated both with and without blood transfusion. SMM rates with blood transfusion were higher for all years and both rates increased over time; the SMM rate with blood transfusion increased from 57 to 159 per 10,000 hospitalizations and the SMM rate without blood transfusion increased from 36 to 65 per 10,000 hospitalizations from 1998–2013.">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B87D0AC-DD79-4CFB-8109-DC8F66503A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3C0BB8C" w14:textId="77777777" w:rsidR="00BA2E13" w:rsidRPr="006E7DBF" w:rsidRDefault="00BA2E13" w:rsidP="006E7DBF">
      <w:pPr>
        <w:spacing w:line="360" w:lineRule="auto"/>
        <w:ind w:right="-360"/>
        <w:rPr>
          <w:sz w:val="24"/>
          <w:szCs w:val="24"/>
        </w:rPr>
      </w:pPr>
      <w:r w:rsidRPr="006E7DBF">
        <w:rPr>
          <w:sz w:val="24"/>
          <w:szCs w:val="24"/>
        </w:rPr>
        <w:t xml:space="preserve">From 1998-2013, Black non-Hispanic women (175 per 10,000 hospitalizations) had twice the rate of SMM including blood transfusion during delivery hospitalization as White non-Hispanic women (83 per 10,000 hospitalizations). Over this same period, SMM rates were higher among older women (40-44 years of age: 163 per 10,000 hospitalizations) than younger women (20-24 years of age: 93 per 10,000 hospitalizations) and for women with MassHealth (122 per 10,000 hospitalizations) compared with women with private health insurance (84 per 10,000 hospitalizations). These patterns were similar when comparing women without blood transfusions.  </w:t>
      </w:r>
    </w:p>
    <w:p w14:paraId="03E7B252" w14:textId="77777777" w:rsidR="00BA2E13" w:rsidRPr="006E7DBF" w:rsidRDefault="00BA2E13" w:rsidP="006E7DBF">
      <w:pPr>
        <w:pStyle w:val="Heading3"/>
        <w:spacing w:line="360" w:lineRule="auto"/>
        <w:rPr>
          <w:sz w:val="24"/>
          <w:szCs w:val="24"/>
        </w:rPr>
      </w:pPr>
      <w:r w:rsidRPr="006E7DBF">
        <w:rPr>
          <w:sz w:val="24"/>
          <w:szCs w:val="24"/>
        </w:rPr>
        <w:t>Pregnancy-Associated Mortality</w:t>
      </w:r>
    </w:p>
    <w:p w14:paraId="6AB099B3" w14:textId="77777777" w:rsidR="00BA2E13" w:rsidRDefault="00BA2E13" w:rsidP="006E7DBF">
      <w:pPr>
        <w:spacing w:line="360" w:lineRule="auto"/>
        <w:ind w:right="-360"/>
        <w:rPr>
          <w:sz w:val="24"/>
          <w:szCs w:val="24"/>
        </w:rPr>
      </w:pPr>
      <w:r w:rsidRPr="006E7DBF">
        <w:rPr>
          <w:sz w:val="24"/>
          <w:szCs w:val="24"/>
        </w:rPr>
        <w:t>A pregnancy-associated death is the death of a woman while pregnant or within a year of the end of pregnancy from any cause, including obstetric causes (e.g., postpartum hemorrhage), non-traditional obstetric causes (e.g., suicide in the setting of postpartum depression), and accidental or injury-related causes such as opioid overdose months after delivery.</w:t>
      </w:r>
    </w:p>
    <w:p w14:paraId="7F5BA30F" w14:textId="77777777" w:rsidR="006E7DBF" w:rsidRDefault="006E7DBF" w:rsidP="006E7DBF">
      <w:pPr>
        <w:spacing w:line="360" w:lineRule="auto"/>
        <w:ind w:right="-360"/>
        <w:rPr>
          <w:sz w:val="24"/>
          <w:szCs w:val="24"/>
        </w:rPr>
      </w:pPr>
    </w:p>
    <w:p w14:paraId="798B7E97" w14:textId="77777777" w:rsidR="006E7DBF" w:rsidRPr="006E7DBF" w:rsidRDefault="006E7DBF" w:rsidP="006E7DBF">
      <w:pPr>
        <w:spacing w:line="360" w:lineRule="auto"/>
        <w:ind w:right="-360"/>
        <w:rPr>
          <w:sz w:val="24"/>
          <w:szCs w:val="24"/>
        </w:rPr>
      </w:pPr>
    </w:p>
    <w:p w14:paraId="140564C9" w14:textId="77777777" w:rsidR="00BA2E13" w:rsidRPr="006E7DBF" w:rsidRDefault="00BA2E13" w:rsidP="006E7DBF">
      <w:pPr>
        <w:pStyle w:val="Heading4"/>
        <w:spacing w:line="360" w:lineRule="auto"/>
        <w:rPr>
          <w:i/>
        </w:rPr>
      </w:pPr>
      <w:r w:rsidRPr="006E7DBF">
        <w:lastRenderedPageBreak/>
        <w:t>Trends/Disparities</w:t>
      </w:r>
    </w:p>
    <w:p w14:paraId="6F84ED8F" w14:textId="4FD534DB" w:rsidR="006A182C" w:rsidRPr="006E7DBF" w:rsidRDefault="00BA2E13" w:rsidP="006E7DBF">
      <w:pPr>
        <w:spacing w:line="360" w:lineRule="auto"/>
        <w:ind w:right="-360"/>
        <w:rPr>
          <w:sz w:val="24"/>
          <w:szCs w:val="24"/>
        </w:rPr>
      </w:pPr>
      <w:r w:rsidRPr="006E7DBF">
        <w:rPr>
          <w:sz w:val="24"/>
          <w:szCs w:val="24"/>
        </w:rPr>
        <w:t xml:space="preserve">The biennial proportion of pregnancy-associated deaths with any indication of substance use has increased from 13.3% in 2005/2006 to 35.4% in 2013/2014, reflecting the effects of the growing opioid epidemic in Massachusetts and nationwide </w:t>
      </w:r>
      <w:r w:rsidRPr="006E7DBF">
        <w:rPr>
          <w:b/>
          <w:sz w:val="24"/>
          <w:szCs w:val="24"/>
        </w:rPr>
        <w:t>(Figure 2.17)</w:t>
      </w:r>
      <w:r w:rsidRPr="006E7DBF">
        <w:rPr>
          <w:sz w:val="24"/>
          <w:szCs w:val="24"/>
        </w:rPr>
        <w:t>.</w:t>
      </w:r>
      <w:r w:rsidR="006A182C" w:rsidRPr="006E7DBF">
        <w:rPr>
          <w:sz w:val="24"/>
          <w:szCs w:val="24"/>
        </w:rPr>
        <w:t xml:space="preserve"> During 2000-2007, Black non-Hispanic women were twice as likely to experience pregnancy-associated death compared to White non-Hispanic women.</w:t>
      </w:r>
      <w:r w:rsidR="006A182C" w:rsidRPr="006E7DBF">
        <w:rPr>
          <w:rStyle w:val="EndnoteReference"/>
          <w:sz w:val="24"/>
          <w:szCs w:val="24"/>
        </w:rPr>
        <w:endnoteReference w:id="68"/>
      </w:r>
      <w:r w:rsidR="006A182C" w:rsidRPr="006E7DBF">
        <w:rPr>
          <w:sz w:val="24"/>
          <w:szCs w:val="24"/>
        </w:rPr>
        <w:t xml:space="preserve"> Additionally, compared to women who had private health insurance, those with MassHealth were almost three times as likely to experience a pregnancy-associated death.</w:t>
      </w:r>
      <w:r w:rsidR="006A182C" w:rsidRPr="006E7DBF">
        <w:rPr>
          <w:rStyle w:val="EndnoteReference"/>
          <w:sz w:val="24"/>
          <w:szCs w:val="24"/>
        </w:rPr>
        <w:endnoteReference w:id="69"/>
      </w:r>
    </w:p>
    <w:p w14:paraId="21136576" w14:textId="30D98565" w:rsidR="00807737" w:rsidRPr="006E7DBF" w:rsidRDefault="00807737" w:rsidP="006E7DBF">
      <w:pPr>
        <w:spacing w:before="0" w:line="360" w:lineRule="auto"/>
        <w:ind w:left="0" w:right="0"/>
        <w:jc w:val="left"/>
        <w:rPr>
          <w:b/>
          <w:noProof w:val="0"/>
          <w:sz w:val="24"/>
          <w:szCs w:val="24"/>
        </w:rPr>
      </w:pPr>
    </w:p>
    <w:p w14:paraId="3D3ADCC9" w14:textId="4F83D3C5" w:rsidR="00BA2E13" w:rsidRPr="006E7DBF" w:rsidRDefault="00BA2E13" w:rsidP="006E7DBF">
      <w:pPr>
        <w:pStyle w:val="SHAFigureNumber"/>
        <w:spacing w:line="360" w:lineRule="auto"/>
        <w:rPr>
          <w:sz w:val="24"/>
          <w:szCs w:val="24"/>
        </w:rPr>
      </w:pPr>
      <w:r w:rsidRPr="006E7DBF">
        <w:rPr>
          <w:sz w:val="24"/>
          <w:szCs w:val="24"/>
        </w:rPr>
        <w:t>Figure 2.17</w:t>
      </w:r>
    </w:p>
    <w:p w14:paraId="1634CED5" w14:textId="77777777" w:rsidR="00BA2E13" w:rsidRPr="006E7DBF" w:rsidRDefault="00BA2E13" w:rsidP="006E7DBF">
      <w:pPr>
        <w:pStyle w:val="SHAFigureNumber"/>
        <w:spacing w:line="360" w:lineRule="auto"/>
        <w:rPr>
          <w:sz w:val="24"/>
          <w:szCs w:val="24"/>
        </w:rPr>
      </w:pPr>
      <w:r w:rsidRPr="006E7DBF">
        <w:rPr>
          <w:sz w:val="24"/>
          <w:szCs w:val="24"/>
        </w:rPr>
        <w:t>Pregnancy-Associated Deaths with Any Indication of Substance Use in Massachusetts, 2005-2014</w:t>
      </w:r>
    </w:p>
    <w:p w14:paraId="02EF839F" w14:textId="3C7BEE15" w:rsidR="00BA2E13" w:rsidRPr="006E7DBF" w:rsidRDefault="003F5322" w:rsidP="006E7DBF">
      <w:pPr>
        <w:pStyle w:val="figtitle0"/>
        <w:spacing w:line="360" w:lineRule="auto"/>
        <w:ind w:left="-360" w:right="-360"/>
        <w:jc w:val="center"/>
        <w:rPr>
          <w:sz w:val="24"/>
          <w:szCs w:val="24"/>
        </w:rPr>
      </w:pPr>
      <w:r w:rsidRPr="006E7DBF">
        <w:rPr>
          <w:noProof/>
          <w:sz w:val="24"/>
          <w:szCs w:val="24"/>
        </w:rPr>
        <w:drawing>
          <wp:inline distT="0" distB="0" distL="0" distR="0" wp14:anchorId="79695D30" wp14:editId="0BCB3565">
            <wp:extent cx="5229225" cy="2971800"/>
            <wp:effectExtent l="0" t="0" r="0" b="0"/>
            <wp:docPr id="220" name="Chart 220" descr="This bar graph shows pregnancy-associated deaths in Massachusetts in two year groups, comparing deaths with and without indication of substance use. In 2005/2006, 6 of 45 pregnancy-associated deaths had an indication of substance use; in 2007/2008, 7 of 45 pregnancy-associated deaths had an indication of substance use; in 2009/2010, 5 of 26 pregnancy-associated deaths had an indication of substance use; in 2011/2012, 6 of 35 pregnancy-associated deaths had an indication of substance use; and in 2013/2014, 17 of 48 pregnancy-associated deaths had an indication of substance use. ">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03E3528-53E0-4F36-9EDE-1477DC26A4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9990DC1" w14:textId="0BF9B5DC" w:rsidR="00BA2E13" w:rsidRPr="006E7DBF" w:rsidRDefault="00BD6EC7" w:rsidP="006E7DBF">
      <w:pPr>
        <w:pStyle w:val="SHAFigureNote"/>
        <w:spacing w:line="360" w:lineRule="auto"/>
        <w:rPr>
          <w:sz w:val="24"/>
          <w:szCs w:val="24"/>
        </w:rPr>
      </w:pPr>
      <w:r w:rsidRPr="006E7DBF">
        <w:rPr>
          <w:sz w:val="24"/>
          <w:szCs w:val="24"/>
        </w:rPr>
        <w:t>NOTE: INDICATION OF SUBSTANCE USE INCLUDES ANY MENTION OF SUBSTANCE USE ON THE DEATH CERTIFICATE AND IS NOT LIMITED TO OVERDOSE DEATHS</w:t>
      </w:r>
    </w:p>
    <w:bookmarkEnd w:id="0"/>
    <w:p w14:paraId="0BEF067C" w14:textId="4700EC06" w:rsidR="00BA2E13" w:rsidRPr="006E7DBF" w:rsidRDefault="00BA2E13" w:rsidP="006E7DBF">
      <w:pPr>
        <w:pStyle w:val="Heading1"/>
        <w:spacing w:line="360" w:lineRule="auto"/>
        <w:rPr>
          <w:sz w:val="24"/>
          <w:szCs w:val="24"/>
        </w:rPr>
      </w:pPr>
      <w:r w:rsidRPr="006E7DBF">
        <w:rPr>
          <w:sz w:val="24"/>
          <w:szCs w:val="24"/>
        </w:rPr>
        <w:lastRenderedPageBreak/>
        <w:t>Selected Resources, Services</w:t>
      </w:r>
      <w:r w:rsidR="00B746B4" w:rsidRPr="006E7DBF">
        <w:rPr>
          <w:sz w:val="24"/>
          <w:szCs w:val="24"/>
        </w:rPr>
        <w:t>,</w:t>
      </w:r>
      <w:r w:rsidRPr="006E7DBF">
        <w:rPr>
          <w:sz w:val="24"/>
          <w:szCs w:val="24"/>
        </w:rPr>
        <w:t xml:space="preserve"> and Programs</w:t>
      </w:r>
    </w:p>
    <w:p w14:paraId="6BD870C0" w14:textId="77777777" w:rsidR="00BA2E13" w:rsidRPr="006E7DBF" w:rsidRDefault="00BA2E13" w:rsidP="006E7DBF">
      <w:pPr>
        <w:keepNext/>
        <w:keepLines/>
        <w:spacing w:line="360" w:lineRule="auto"/>
        <w:ind w:right="-360"/>
        <w:rPr>
          <w:sz w:val="24"/>
          <w:szCs w:val="24"/>
        </w:rPr>
      </w:pPr>
      <w:r w:rsidRPr="006E7DBF">
        <w:rPr>
          <w:sz w:val="24"/>
          <w:szCs w:val="24"/>
        </w:rPr>
        <w:t>Following are selected resources, services, and programs that support the topics discussed in this chapter.</w:t>
      </w:r>
    </w:p>
    <w:p w14:paraId="696A6E4F" w14:textId="19ECA637" w:rsidR="00BA2E13" w:rsidRPr="006E7DBF" w:rsidRDefault="00BA2E13" w:rsidP="006E7DBF">
      <w:pPr>
        <w:keepNext/>
        <w:keepLines/>
        <w:spacing w:line="360" w:lineRule="auto"/>
        <w:ind w:right="-360"/>
        <w:rPr>
          <w:b/>
          <w:color w:val="203864"/>
          <w:sz w:val="24"/>
          <w:szCs w:val="24"/>
        </w:rPr>
      </w:pPr>
      <w:r w:rsidRPr="006E7DBF">
        <w:rPr>
          <w:b/>
          <w:color w:val="203864"/>
          <w:sz w:val="24"/>
          <w:szCs w:val="24"/>
        </w:rPr>
        <w:t xml:space="preserve">Infant Health </w:t>
      </w:r>
    </w:p>
    <w:p w14:paraId="3316B094" w14:textId="375D79DD" w:rsidR="00BA2E13" w:rsidRPr="006E7DBF" w:rsidRDefault="00BA2E13" w:rsidP="006E7DBF">
      <w:pPr>
        <w:pStyle w:val="ListParagraph"/>
        <w:keepNext/>
        <w:keepLines/>
        <w:numPr>
          <w:ilvl w:val="0"/>
          <w:numId w:val="43"/>
        </w:numPr>
        <w:spacing w:line="360" w:lineRule="auto"/>
        <w:ind w:right="-360"/>
        <w:rPr>
          <w:sz w:val="24"/>
          <w:szCs w:val="24"/>
        </w:rPr>
      </w:pPr>
      <w:r w:rsidRPr="006E7DBF">
        <w:rPr>
          <w:sz w:val="24"/>
          <w:szCs w:val="24"/>
        </w:rPr>
        <w:t>The Neonatal Quality Improvement Collaborative (NeoQIC) of Massachusetts is an organization of health care providers and institutions to support quality improvement in the health care of newborns through the open sharing of information and practices</w:t>
      </w:r>
    </w:p>
    <w:p w14:paraId="0880FC7B" w14:textId="1818D6A6" w:rsidR="00BA2E13" w:rsidRPr="006E7DBF" w:rsidRDefault="00BA2E13" w:rsidP="006E7DBF">
      <w:pPr>
        <w:pStyle w:val="ListParagraph"/>
        <w:keepNext/>
        <w:keepLines/>
        <w:numPr>
          <w:ilvl w:val="0"/>
          <w:numId w:val="43"/>
        </w:numPr>
        <w:spacing w:line="360" w:lineRule="auto"/>
        <w:ind w:right="-360"/>
        <w:rPr>
          <w:sz w:val="24"/>
          <w:szCs w:val="24"/>
        </w:rPr>
      </w:pPr>
      <w:r w:rsidRPr="006E7DBF">
        <w:rPr>
          <w:sz w:val="24"/>
          <w:szCs w:val="24"/>
        </w:rPr>
        <w:t>The Infant Mortality Collaborative Improvement and Innovation Network (IM CoIIN) is a national movement of federal, state and local leaders, public and private agencies, professionals, and communities to employ quality improvement, innovation, and collaborative learning to reduce infant mortality and improve birth outcomes</w:t>
      </w:r>
    </w:p>
    <w:p w14:paraId="7D6A4776" w14:textId="2FB13081" w:rsidR="00BA2E13" w:rsidRPr="006E7DBF" w:rsidRDefault="00BA2E13" w:rsidP="006E7DBF">
      <w:pPr>
        <w:pStyle w:val="ListParagraph"/>
        <w:keepNext/>
        <w:keepLines/>
        <w:numPr>
          <w:ilvl w:val="0"/>
          <w:numId w:val="44"/>
        </w:numPr>
        <w:spacing w:line="360" w:lineRule="auto"/>
        <w:ind w:right="-360"/>
        <w:rPr>
          <w:sz w:val="24"/>
          <w:szCs w:val="24"/>
        </w:rPr>
      </w:pPr>
      <w:r w:rsidRPr="006E7DBF">
        <w:rPr>
          <w:sz w:val="24"/>
          <w:szCs w:val="24"/>
        </w:rPr>
        <w:t>The Massachusetts WIC Program provides prenatal nutrition counseling, breastfeeding support and education</w:t>
      </w:r>
      <w:r w:rsidR="006A182C" w:rsidRPr="006E7DBF">
        <w:rPr>
          <w:sz w:val="24"/>
          <w:szCs w:val="24"/>
        </w:rPr>
        <w:t>,</w:t>
      </w:r>
      <w:r w:rsidRPr="006E7DBF">
        <w:rPr>
          <w:sz w:val="24"/>
          <w:szCs w:val="24"/>
        </w:rPr>
        <w:t xml:space="preserve"> and advances the professional development of WIC staff to increase availability of expert </w:t>
      </w:r>
      <w:r w:rsidR="006334EC" w:rsidRPr="006E7DBF">
        <w:rPr>
          <w:sz w:val="24"/>
          <w:szCs w:val="24"/>
        </w:rPr>
        <w:t>lactation care for participants</w:t>
      </w:r>
    </w:p>
    <w:p w14:paraId="714486CE" w14:textId="5A90653C" w:rsidR="00BA2E13" w:rsidRPr="006E7DBF" w:rsidRDefault="00BA2E13" w:rsidP="006E7DBF">
      <w:pPr>
        <w:pStyle w:val="ListParagraph"/>
        <w:keepNext/>
        <w:keepLines/>
        <w:numPr>
          <w:ilvl w:val="0"/>
          <w:numId w:val="44"/>
        </w:numPr>
        <w:spacing w:line="360" w:lineRule="auto"/>
        <w:ind w:right="-360"/>
        <w:rPr>
          <w:sz w:val="24"/>
          <w:szCs w:val="24"/>
        </w:rPr>
      </w:pPr>
      <w:r w:rsidRPr="006E7DBF">
        <w:rPr>
          <w:sz w:val="24"/>
          <w:szCs w:val="24"/>
        </w:rPr>
        <w:t xml:space="preserve">The Massachusetts Maternal, Infant and Early Childhood Home Visiting (MA MIECHV) </w:t>
      </w:r>
      <w:r w:rsidR="005B3F14" w:rsidRPr="006E7DBF">
        <w:rPr>
          <w:sz w:val="24"/>
          <w:szCs w:val="24"/>
        </w:rPr>
        <w:t>P</w:t>
      </w:r>
      <w:r w:rsidRPr="006E7DBF">
        <w:rPr>
          <w:sz w:val="24"/>
          <w:szCs w:val="24"/>
        </w:rPr>
        <w:t>rogram and the E</w:t>
      </w:r>
      <w:r w:rsidR="005B3F14" w:rsidRPr="006E7DBF">
        <w:rPr>
          <w:sz w:val="24"/>
          <w:szCs w:val="24"/>
        </w:rPr>
        <w:t>arly Intervention Partnerships P</w:t>
      </w:r>
      <w:r w:rsidRPr="006E7DBF">
        <w:rPr>
          <w:sz w:val="24"/>
          <w:szCs w:val="24"/>
        </w:rPr>
        <w:t>rogram (EIPP) provide education, intervention, and referrals to improve breastfeeding initiation and duration rat</w:t>
      </w:r>
      <w:r w:rsidR="006334EC" w:rsidRPr="006E7DBF">
        <w:rPr>
          <w:sz w:val="24"/>
          <w:szCs w:val="24"/>
        </w:rPr>
        <w:t>es to high risk mothers/infants</w:t>
      </w:r>
    </w:p>
    <w:p w14:paraId="6CF4804C" w14:textId="5A06FE36" w:rsidR="00BA2E13" w:rsidRPr="006E7DBF" w:rsidRDefault="006A182C" w:rsidP="006E7DBF">
      <w:pPr>
        <w:pStyle w:val="ListParagraph"/>
        <w:keepNext/>
        <w:keepLines/>
        <w:numPr>
          <w:ilvl w:val="0"/>
          <w:numId w:val="44"/>
        </w:numPr>
        <w:spacing w:line="360" w:lineRule="auto"/>
        <w:ind w:right="-360"/>
        <w:rPr>
          <w:sz w:val="24"/>
          <w:szCs w:val="24"/>
        </w:rPr>
      </w:pPr>
      <w:r w:rsidRPr="006E7DBF">
        <w:rPr>
          <w:sz w:val="24"/>
          <w:szCs w:val="24"/>
        </w:rPr>
        <w:t>The Welcome Family P</w:t>
      </w:r>
      <w:r w:rsidR="00BA2E13" w:rsidRPr="006E7DBF">
        <w:rPr>
          <w:sz w:val="24"/>
          <w:szCs w:val="24"/>
        </w:rPr>
        <w:t>rogram provides a universal, one-time nurse home visit to caregivers with newborns in five Massachusetts communities (Boston, Fall River, Lowell, Holyoke and Springfield), including breastfeeding education and related referrals as needed</w:t>
      </w:r>
    </w:p>
    <w:p w14:paraId="7AEAE05D" w14:textId="3C3B0209" w:rsidR="00BA2E13" w:rsidRPr="006E7DBF" w:rsidRDefault="00BA2E13" w:rsidP="006E7DBF">
      <w:pPr>
        <w:pStyle w:val="ListParagraph"/>
        <w:keepNext/>
        <w:keepLines/>
        <w:numPr>
          <w:ilvl w:val="0"/>
          <w:numId w:val="44"/>
        </w:numPr>
        <w:spacing w:line="360" w:lineRule="auto"/>
        <w:ind w:right="-360"/>
        <w:rPr>
          <w:sz w:val="24"/>
          <w:szCs w:val="24"/>
        </w:rPr>
      </w:pPr>
      <w:r w:rsidRPr="006E7DBF">
        <w:rPr>
          <w:sz w:val="24"/>
          <w:szCs w:val="24"/>
        </w:rPr>
        <w:t>The Massachusetts Breastfeeding Coalition supports hospitals that promote breastfeeding and assists hospitals to become Baby Friendly based on a core set of evidence-based maternity care practices that support positive breastfeeding outcomes</w:t>
      </w:r>
    </w:p>
    <w:p w14:paraId="1FAE3A43" w14:textId="4C907027" w:rsidR="00BA2E13" w:rsidRPr="006E7DBF" w:rsidRDefault="00BA2E13" w:rsidP="006E7DBF">
      <w:pPr>
        <w:pStyle w:val="ListParagraph"/>
        <w:keepNext/>
        <w:keepLines/>
        <w:numPr>
          <w:ilvl w:val="0"/>
          <w:numId w:val="44"/>
        </w:numPr>
        <w:spacing w:line="360" w:lineRule="auto"/>
        <w:ind w:right="-360"/>
        <w:rPr>
          <w:sz w:val="24"/>
          <w:szCs w:val="24"/>
        </w:rPr>
      </w:pPr>
      <w:r w:rsidRPr="006E7DBF">
        <w:rPr>
          <w:sz w:val="24"/>
          <w:szCs w:val="24"/>
        </w:rPr>
        <w:t>The NeoQIC Human Milk Quality Improvement Collaborative project brings together Massachusetts Neonatal Intensive Care Units</w:t>
      </w:r>
      <w:r w:rsidR="006A182C" w:rsidRPr="006E7DBF">
        <w:rPr>
          <w:sz w:val="24"/>
          <w:szCs w:val="24"/>
        </w:rPr>
        <w:t xml:space="preserve"> (NICU)</w:t>
      </w:r>
      <w:r w:rsidRPr="006E7DBF">
        <w:rPr>
          <w:sz w:val="24"/>
          <w:szCs w:val="24"/>
        </w:rPr>
        <w:t xml:space="preserve"> to increase the percentage of very low birth weight infants that receive their mother’s own milk throughout their hospitalization </w:t>
      </w:r>
    </w:p>
    <w:p w14:paraId="79FDD429" w14:textId="3EB9F45C" w:rsidR="00BA2E13" w:rsidRPr="006E7DBF" w:rsidRDefault="00BA2E13" w:rsidP="006E7DBF">
      <w:pPr>
        <w:pStyle w:val="ListParagraph"/>
        <w:keepNext/>
        <w:keepLines/>
        <w:numPr>
          <w:ilvl w:val="0"/>
          <w:numId w:val="44"/>
        </w:numPr>
        <w:spacing w:line="360" w:lineRule="auto"/>
        <w:ind w:right="-360"/>
        <w:rPr>
          <w:sz w:val="24"/>
          <w:szCs w:val="24"/>
        </w:rPr>
      </w:pPr>
      <w:r w:rsidRPr="006E7DBF">
        <w:rPr>
          <w:sz w:val="24"/>
          <w:szCs w:val="24"/>
        </w:rPr>
        <w:t>Baby Cafes are a free drop-in resource for pregnant and breastfeeding mothers to get support from International Board Certified Lactation Consultants (I</w:t>
      </w:r>
      <w:r w:rsidR="006A182C" w:rsidRPr="006E7DBF">
        <w:rPr>
          <w:sz w:val="24"/>
          <w:szCs w:val="24"/>
        </w:rPr>
        <w:t>BCLCs) and Certified Lactation C</w:t>
      </w:r>
      <w:r w:rsidRPr="006E7DBF">
        <w:rPr>
          <w:sz w:val="24"/>
          <w:szCs w:val="24"/>
        </w:rPr>
        <w:t xml:space="preserve">ounselors (CLCs) and to </w:t>
      </w:r>
      <w:r w:rsidR="006A182C" w:rsidRPr="006E7DBF">
        <w:rPr>
          <w:sz w:val="24"/>
          <w:szCs w:val="24"/>
        </w:rPr>
        <w:t>share experiences with other mothers</w:t>
      </w:r>
      <w:r w:rsidRPr="006E7DBF">
        <w:rPr>
          <w:sz w:val="24"/>
          <w:szCs w:val="24"/>
        </w:rPr>
        <w:t xml:space="preserve"> </w:t>
      </w:r>
    </w:p>
    <w:p w14:paraId="1E6D02A2" w14:textId="77777777" w:rsidR="00BA2E13" w:rsidRPr="006E7DBF" w:rsidRDefault="00BA2E13" w:rsidP="006E7DBF">
      <w:pPr>
        <w:pStyle w:val="ListParagraph"/>
        <w:numPr>
          <w:ilvl w:val="0"/>
          <w:numId w:val="45"/>
        </w:numPr>
        <w:spacing w:line="360" w:lineRule="auto"/>
        <w:ind w:right="-360"/>
        <w:jc w:val="left"/>
        <w:rPr>
          <w:sz w:val="24"/>
          <w:szCs w:val="24"/>
        </w:rPr>
      </w:pPr>
      <w:r w:rsidRPr="006E7DBF">
        <w:rPr>
          <w:sz w:val="24"/>
          <w:szCs w:val="24"/>
        </w:rPr>
        <w:lastRenderedPageBreak/>
        <w:t>MDPH and other state agencies are working together to address the current opioid crisis and its impact on perinatal populations. Current activities include:</w:t>
      </w:r>
    </w:p>
    <w:p w14:paraId="570ABE71" w14:textId="373F285D" w:rsidR="00BA2E13" w:rsidRPr="006E7DBF" w:rsidRDefault="00BA2E13" w:rsidP="006E7DBF">
      <w:pPr>
        <w:pStyle w:val="ListParagraph"/>
        <w:numPr>
          <w:ilvl w:val="1"/>
          <w:numId w:val="45"/>
        </w:numPr>
        <w:spacing w:line="360" w:lineRule="auto"/>
        <w:ind w:right="-360"/>
        <w:jc w:val="left"/>
        <w:rPr>
          <w:sz w:val="24"/>
          <w:szCs w:val="24"/>
        </w:rPr>
      </w:pPr>
      <w:r w:rsidRPr="006E7DBF">
        <w:rPr>
          <w:sz w:val="24"/>
          <w:szCs w:val="24"/>
        </w:rPr>
        <w:t xml:space="preserve">Forming the Massachusetts Interagency Task Force on Newborns with </w:t>
      </w:r>
      <w:r w:rsidR="00796139" w:rsidRPr="006E7DBF">
        <w:rPr>
          <w:sz w:val="24"/>
          <w:szCs w:val="24"/>
        </w:rPr>
        <w:t>neonatal abstinence syndrome (</w:t>
      </w:r>
      <w:r w:rsidRPr="006E7DBF">
        <w:rPr>
          <w:sz w:val="24"/>
          <w:szCs w:val="24"/>
        </w:rPr>
        <w:t>NAS</w:t>
      </w:r>
      <w:r w:rsidR="00796139" w:rsidRPr="006E7DBF">
        <w:rPr>
          <w:sz w:val="24"/>
          <w:szCs w:val="24"/>
        </w:rPr>
        <w:t>)</w:t>
      </w:r>
      <w:r w:rsidRPr="006E7DBF">
        <w:rPr>
          <w:sz w:val="24"/>
          <w:szCs w:val="24"/>
        </w:rPr>
        <w:t xml:space="preserve"> and Substance-Exposed Newborns to inventory services</w:t>
      </w:r>
      <w:r w:rsidR="006A182C" w:rsidRPr="006E7DBF">
        <w:rPr>
          <w:sz w:val="24"/>
          <w:szCs w:val="24"/>
        </w:rPr>
        <w:t xml:space="preserve">, </w:t>
      </w:r>
      <w:r w:rsidRPr="006E7DBF">
        <w:rPr>
          <w:sz w:val="24"/>
          <w:szCs w:val="24"/>
        </w:rPr>
        <w:t>identify</w:t>
      </w:r>
      <w:r w:rsidR="006A182C" w:rsidRPr="006E7DBF">
        <w:rPr>
          <w:sz w:val="24"/>
          <w:szCs w:val="24"/>
        </w:rPr>
        <w:t>,</w:t>
      </w:r>
      <w:r w:rsidRPr="006E7DBF">
        <w:rPr>
          <w:sz w:val="24"/>
          <w:szCs w:val="24"/>
        </w:rPr>
        <w:t xml:space="preserve"> and address gaps</w:t>
      </w:r>
    </w:p>
    <w:p w14:paraId="5238DABA" w14:textId="77777777" w:rsidR="00BA2E13" w:rsidRPr="006E7DBF" w:rsidRDefault="00BA2E13" w:rsidP="006E7DBF">
      <w:pPr>
        <w:pStyle w:val="ListParagraph"/>
        <w:numPr>
          <w:ilvl w:val="1"/>
          <w:numId w:val="45"/>
        </w:numPr>
        <w:spacing w:line="360" w:lineRule="auto"/>
        <w:ind w:right="-360"/>
        <w:jc w:val="left"/>
        <w:rPr>
          <w:sz w:val="24"/>
          <w:szCs w:val="24"/>
        </w:rPr>
      </w:pPr>
      <w:r w:rsidRPr="006E7DBF">
        <w:rPr>
          <w:rFonts w:cs="Arial"/>
          <w:color w:val="000000"/>
          <w:sz w:val="24"/>
          <w:szCs w:val="24"/>
        </w:rPr>
        <w:t xml:space="preserve">Participating in </w:t>
      </w:r>
      <w:r w:rsidRPr="006E7DBF">
        <w:rPr>
          <w:sz w:val="24"/>
          <w:szCs w:val="24"/>
        </w:rPr>
        <w:t>the Policy Academy to Improve Outcomes for Pregnant and Postpartum Women with Opioid Use Disorders, and their Infants, Families and Caregivers sponsored by SAMHSA and led by the National Center on Substance Abuse and Child Welfare</w:t>
      </w:r>
      <w:r w:rsidRPr="006E7DBF">
        <w:rPr>
          <w:rStyle w:val="EndnoteReference"/>
          <w:sz w:val="24"/>
          <w:szCs w:val="24"/>
        </w:rPr>
        <w:endnoteReference w:id="70"/>
      </w:r>
    </w:p>
    <w:p w14:paraId="6A2BFE10" w14:textId="77777777" w:rsidR="00BA2E13" w:rsidRPr="006E7DBF" w:rsidRDefault="00BA2E13" w:rsidP="006E7DBF">
      <w:pPr>
        <w:pStyle w:val="ListParagraph"/>
        <w:numPr>
          <w:ilvl w:val="1"/>
          <w:numId w:val="45"/>
        </w:numPr>
        <w:spacing w:line="360" w:lineRule="auto"/>
        <w:ind w:right="-360"/>
        <w:jc w:val="left"/>
        <w:rPr>
          <w:sz w:val="24"/>
          <w:szCs w:val="24"/>
        </w:rPr>
      </w:pPr>
      <w:r w:rsidRPr="006E7DBF">
        <w:rPr>
          <w:sz w:val="24"/>
          <w:szCs w:val="24"/>
        </w:rPr>
        <w:t xml:space="preserve">Committing </w:t>
      </w:r>
      <w:r w:rsidRPr="006E7DBF">
        <w:rPr>
          <w:sz w:val="24"/>
          <w:szCs w:val="24"/>
          <w:shd w:val="clear" w:color="auto" w:fill="FFFFFF"/>
        </w:rPr>
        <w:t>$3.5 million for eligible birthing hospitals to develop and/or enhance programs designed to improve care for infants with NAS and for women in treatment for opioid use disorder during and after pregnancy</w:t>
      </w:r>
    </w:p>
    <w:p w14:paraId="34BEAC9E" w14:textId="77777777" w:rsidR="00BA2E13" w:rsidRPr="006E7DBF" w:rsidRDefault="00BA2E13" w:rsidP="006E7DBF">
      <w:pPr>
        <w:pStyle w:val="ListParagraph"/>
        <w:numPr>
          <w:ilvl w:val="1"/>
          <w:numId w:val="45"/>
        </w:numPr>
        <w:spacing w:line="360" w:lineRule="auto"/>
        <w:ind w:right="-360"/>
        <w:jc w:val="left"/>
        <w:rPr>
          <w:sz w:val="24"/>
          <w:szCs w:val="24"/>
        </w:rPr>
      </w:pPr>
      <w:r w:rsidRPr="006E7DBF">
        <w:rPr>
          <w:sz w:val="24"/>
          <w:szCs w:val="24"/>
          <w:shd w:val="clear" w:color="auto" w:fill="FFFFFF"/>
        </w:rPr>
        <w:t xml:space="preserve">Selecting substance use as a priority for Title V, the major federal block grant that funds maternal and child health programs, and selecting as the state performance measure </w:t>
      </w:r>
      <w:r w:rsidRPr="006E7DBF">
        <w:rPr>
          <w:sz w:val="24"/>
          <w:szCs w:val="24"/>
        </w:rPr>
        <w:t xml:space="preserve">the percentage of infants diagnosed with NAS in Massachusetts hospitals who are receiving </w:t>
      </w:r>
      <w:r w:rsidRPr="006E7DBF">
        <w:rPr>
          <w:rFonts w:cs="Arial"/>
          <w:sz w:val="24"/>
          <w:szCs w:val="24"/>
          <w:shd w:val="clear" w:color="auto" w:fill="FFFFFF"/>
        </w:rPr>
        <w:t xml:space="preserve">EI services   </w:t>
      </w:r>
    </w:p>
    <w:p w14:paraId="11F0E618" w14:textId="77777777" w:rsidR="00BA2E13" w:rsidRPr="006E7DBF" w:rsidRDefault="00BA2E13" w:rsidP="006E7DBF">
      <w:pPr>
        <w:pStyle w:val="ListParagraph"/>
        <w:numPr>
          <w:ilvl w:val="1"/>
          <w:numId w:val="45"/>
        </w:numPr>
        <w:spacing w:before="0" w:after="200" w:line="360" w:lineRule="auto"/>
        <w:ind w:right="-360"/>
        <w:rPr>
          <w:sz w:val="24"/>
          <w:szCs w:val="24"/>
        </w:rPr>
      </w:pPr>
      <w:r w:rsidRPr="006E7DBF">
        <w:rPr>
          <w:sz w:val="24"/>
          <w:szCs w:val="24"/>
        </w:rPr>
        <w:t xml:space="preserve">SAMHSA continues to fund grant programs to expand medication-assisted treatment and peer support for pregnant women with opioid use disorder, and to provide peer and clinical parenting support through recovery centers in the Commonwealth </w:t>
      </w:r>
    </w:p>
    <w:p w14:paraId="65F8394C" w14:textId="77777777" w:rsidR="00BA2E13" w:rsidRPr="006E7DBF" w:rsidRDefault="00BA2E13" w:rsidP="006E7DBF">
      <w:pPr>
        <w:pStyle w:val="ListParagraph"/>
        <w:numPr>
          <w:ilvl w:val="0"/>
          <w:numId w:val="46"/>
        </w:numPr>
        <w:spacing w:before="0" w:after="200" w:line="360" w:lineRule="auto"/>
        <w:ind w:right="-360"/>
        <w:rPr>
          <w:sz w:val="24"/>
          <w:szCs w:val="24"/>
        </w:rPr>
      </w:pPr>
      <w:r w:rsidRPr="006E7DBF">
        <w:rPr>
          <w:sz w:val="24"/>
          <w:szCs w:val="24"/>
        </w:rPr>
        <w:t xml:space="preserve">MDPH collaborated with numerous stakeholders to develop an Infant Safe Sleep Policy aligned with the American Academy of Pediatrics (AAP) 2011 safe sleep guidelines  </w:t>
      </w:r>
    </w:p>
    <w:p w14:paraId="7EBB14E9" w14:textId="13FFE2E1" w:rsidR="00BA2E13" w:rsidRPr="006E7DBF" w:rsidRDefault="00BA2E13" w:rsidP="006E7DBF">
      <w:pPr>
        <w:pStyle w:val="ListParagraph"/>
        <w:numPr>
          <w:ilvl w:val="0"/>
          <w:numId w:val="46"/>
        </w:numPr>
        <w:spacing w:before="0" w:after="200" w:line="360" w:lineRule="auto"/>
        <w:ind w:right="-360"/>
        <w:rPr>
          <w:sz w:val="24"/>
          <w:szCs w:val="24"/>
        </w:rPr>
      </w:pPr>
      <w:r w:rsidRPr="006E7DBF">
        <w:rPr>
          <w:sz w:val="24"/>
          <w:szCs w:val="24"/>
        </w:rPr>
        <w:t>Massachusetts IM CoIIN team has worked to improve infant safe sleep practices through modeling safe sleep at Massachusetts birthing hospitals; training home visitors to counsel their clients on safe s</w:t>
      </w:r>
      <w:r w:rsidR="00796139" w:rsidRPr="006E7DBF">
        <w:rPr>
          <w:sz w:val="24"/>
          <w:szCs w:val="24"/>
        </w:rPr>
        <w:t>leep; training local WIC office staff</w:t>
      </w:r>
      <w:r w:rsidRPr="006E7DBF">
        <w:rPr>
          <w:sz w:val="24"/>
          <w:szCs w:val="24"/>
        </w:rPr>
        <w:t xml:space="preserve">; revising the Department of Early Education and Care’s safe sleep training for child care providers; and training NICU staff to implement safe sleep practices in NICUs </w:t>
      </w:r>
    </w:p>
    <w:p w14:paraId="6A1E3BF5" w14:textId="77777777" w:rsidR="00BA2E13" w:rsidRPr="006E7DBF" w:rsidRDefault="00BA2E13" w:rsidP="006E7DBF">
      <w:pPr>
        <w:pStyle w:val="ListParagraph"/>
        <w:numPr>
          <w:ilvl w:val="0"/>
          <w:numId w:val="46"/>
        </w:numPr>
        <w:spacing w:before="0" w:after="200" w:line="360" w:lineRule="auto"/>
        <w:ind w:right="-360"/>
        <w:rPr>
          <w:sz w:val="24"/>
          <w:szCs w:val="24"/>
        </w:rPr>
      </w:pPr>
      <w:r w:rsidRPr="006E7DBF">
        <w:rPr>
          <w:sz w:val="24"/>
          <w:szCs w:val="24"/>
        </w:rPr>
        <w:t xml:space="preserve">Birthing Hospital Safe Sleep Forums were held with the goal of increasing awareness of SUID and infant safe sleep among labor and delivery staff </w:t>
      </w:r>
    </w:p>
    <w:p w14:paraId="24EF1606" w14:textId="77777777" w:rsidR="00BA2E13" w:rsidRPr="006E7DBF" w:rsidRDefault="00BA2E13" w:rsidP="006E7DBF">
      <w:pPr>
        <w:pStyle w:val="ListParagraph"/>
        <w:numPr>
          <w:ilvl w:val="0"/>
          <w:numId w:val="46"/>
        </w:numPr>
        <w:spacing w:before="0" w:after="200" w:line="360" w:lineRule="auto"/>
        <w:ind w:right="-360"/>
        <w:rPr>
          <w:sz w:val="24"/>
          <w:szCs w:val="24"/>
        </w:rPr>
      </w:pPr>
      <w:r w:rsidRPr="006E7DBF">
        <w:rPr>
          <w:sz w:val="24"/>
          <w:szCs w:val="24"/>
        </w:rPr>
        <w:t>A Sudden Unexplained Infant Death investigation database is used by state and municipal police officers to collect information on the circumstances of sudden unexpected deaths among children less than 3 years of age</w:t>
      </w:r>
    </w:p>
    <w:p w14:paraId="10B0AE7F" w14:textId="77777777" w:rsidR="00BA2E13" w:rsidRPr="006E7DBF" w:rsidRDefault="00BA2E13" w:rsidP="006E7DBF">
      <w:pPr>
        <w:spacing w:before="0" w:after="200" w:line="360" w:lineRule="auto"/>
        <w:ind w:right="-360"/>
        <w:rPr>
          <w:b/>
          <w:color w:val="203864"/>
          <w:sz w:val="24"/>
          <w:szCs w:val="24"/>
        </w:rPr>
      </w:pPr>
      <w:r w:rsidRPr="006E7DBF">
        <w:rPr>
          <w:b/>
          <w:color w:val="203864"/>
          <w:sz w:val="24"/>
          <w:szCs w:val="24"/>
        </w:rPr>
        <w:lastRenderedPageBreak/>
        <w:t xml:space="preserve">Child Health </w:t>
      </w:r>
    </w:p>
    <w:p w14:paraId="400B342A" w14:textId="77777777" w:rsidR="006334EC" w:rsidRPr="006E7DBF" w:rsidRDefault="00BA2E13" w:rsidP="006E7DBF">
      <w:pPr>
        <w:pStyle w:val="NoSpacing"/>
        <w:numPr>
          <w:ilvl w:val="0"/>
          <w:numId w:val="207"/>
        </w:numPr>
        <w:spacing w:line="360" w:lineRule="auto"/>
        <w:rPr>
          <w:rFonts w:asciiTheme="minorHAnsi" w:hAnsiTheme="minorHAnsi"/>
          <w:b/>
          <w:sz w:val="24"/>
          <w:szCs w:val="24"/>
        </w:rPr>
      </w:pPr>
      <w:r w:rsidRPr="006E7DBF">
        <w:rPr>
          <w:rFonts w:asciiTheme="minorHAnsi" w:hAnsiTheme="minorHAnsi"/>
          <w:sz w:val="24"/>
          <w:szCs w:val="24"/>
        </w:rPr>
        <w:t>The Massachusetts WIC Nutrition Program offers children a healthy food package containing whole grains, low-fat dairy, fruits, and vegetables and provides caregivers with nutrition counseling and education to help them choose and prepare healthy foods. WIC also promotes the Farmers' Market Coupon Program, through which approximately 20,000 WIC participants receive $20 in Farmers’ Market coupons to use through the growing season</w:t>
      </w:r>
    </w:p>
    <w:p w14:paraId="0C3F4406" w14:textId="77777777" w:rsidR="006334EC" w:rsidRPr="006E7DBF" w:rsidRDefault="00BA2E13" w:rsidP="006E7DBF">
      <w:pPr>
        <w:pStyle w:val="NoSpacing"/>
        <w:numPr>
          <w:ilvl w:val="0"/>
          <w:numId w:val="207"/>
        </w:numPr>
        <w:spacing w:line="360" w:lineRule="auto"/>
        <w:rPr>
          <w:rFonts w:asciiTheme="minorHAnsi" w:hAnsiTheme="minorHAnsi"/>
          <w:b/>
          <w:sz w:val="24"/>
          <w:szCs w:val="24"/>
        </w:rPr>
      </w:pPr>
      <w:r w:rsidRPr="006E7DBF">
        <w:rPr>
          <w:rFonts w:asciiTheme="minorHAnsi" w:hAnsiTheme="minorHAnsi"/>
          <w:sz w:val="24"/>
          <w:szCs w:val="24"/>
        </w:rPr>
        <w:t>Massachusetts school nurses are required to screen students in grades, 2, 4, 7 and 10 for healthy weight</w:t>
      </w:r>
    </w:p>
    <w:p w14:paraId="66EBB0AD" w14:textId="77777777" w:rsidR="006334EC" w:rsidRPr="006E7DBF" w:rsidRDefault="00BA2E13" w:rsidP="006E7DBF">
      <w:pPr>
        <w:pStyle w:val="NoSpacing"/>
        <w:numPr>
          <w:ilvl w:val="0"/>
          <w:numId w:val="207"/>
        </w:numPr>
        <w:spacing w:line="360" w:lineRule="auto"/>
        <w:rPr>
          <w:rFonts w:asciiTheme="minorHAnsi" w:hAnsiTheme="minorHAnsi"/>
          <w:b/>
          <w:sz w:val="24"/>
          <w:szCs w:val="24"/>
        </w:rPr>
      </w:pPr>
      <w:r w:rsidRPr="006E7DBF">
        <w:rPr>
          <w:rFonts w:asciiTheme="minorHAnsi" w:hAnsiTheme="minorHAnsi"/>
          <w:sz w:val="24"/>
          <w:szCs w:val="24"/>
        </w:rPr>
        <w:t>Massachusetts Project LAUNCH is a program to ensure early childhood mental health prevention practices are integrated into pediatric primary care practices to support families with children identified by primary care providers as showing early signs of social and emotional difficulties or who experience risk factors known to lead to poor social and emotional development outcomes (located in Springfield, Worcester, and Chelsea)</w:t>
      </w:r>
    </w:p>
    <w:p w14:paraId="2D1555D3" w14:textId="77777777" w:rsidR="006334EC" w:rsidRPr="006E7DBF" w:rsidRDefault="00BA2E13" w:rsidP="006E7DBF">
      <w:pPr>
        <w:pStyle w:val="NoSpacing"/>
        <w:numPr>
          <w:ilvl w:val="0"/>
          <w:numId w:val="207"/>
        </w:numPr>
        <w:spacing w:line="360" w:lineRule="auto"/>
        <w:rPr>
          <w:rFonts w:asciiTheme="minorHAnsi" w:hAnsiTheme="minorHAnsi"/>
          <w:b/>
          <w:sz w:val="24"/>
          <w:szCs w:val="24"/>
        </w:rPr>
      </w:pPr>
      <w:r w:rsidRPr="006E7DBF">
        <w:rPr>
          <w:rFonts w:asciiTheme="minorHAnsi" w:hAnsiTheme="minorHAnsi"/>
          <w:sz w:val="24"/>
          <w:szCs w:val="24"/>
        </w:rPr>
        <w:t xml:space="preserve">Massachusetts Early Childhood Comprehensive Systems (MECCS) develops systems-level approaches to promote young children’s emotional wellness </w:t>
      </w:r>
    </w:p>
    <w:p w14:paraId="7A797795" w14:textId="594E1A6F" w:rsidR="006334EC" w:rsidRPr="006E7DBF" w:rsidRDefault="00BA2E13" w:rsidP="006E7DBF">
      <w:pPr>
        <w:pStyle w:val="NoSpacing"/>
        <w:numPr>
          <w:ilvl w:val="0"/>
          <w:numId w:val="207"/>
        </w:numPr>
        <w:spacing w:line="360" w:lineRule="auto"/>
        <w:rPr>
          <w:rFonts w:asciiTheme="minorHAnsi" w:hAnsiTheme="minorHAnsi"/>
          <w:b/>
          <w:sz w:val="24"/>
          <w:szCs w:val="24"/>
        </w:rPr>
      </w:pPr>
      <w:r w:rsidRPr="006E7DBF">
        <w:rPr>
          <w:rFonts w:asciiTheme="minorHAnsi" w:hAnsiTheme="minorHAnsi"/>
          <w:sz w:val="24"/>
          <w:szCs w:val="24"/>
        </w:rPr>
        <w:t>Ma</w:t>
      </w:r>
      <w:r w:rsidR="00796139" w:rsidRPr="006E7DBF">
        <w:rPr>
          <w:rFonts w:asciiTheme="minorHAnsi" w:hAnsiTheme="minorHAnsi"/>
          <w:sz w:val="24"/>
          <w:szCs w:val="24"/>
        </w:rPr>
        <w:t>ssachusetts Early Intervention P</w:t>
      </w:r>
      <w:r w:rsidRPr="006E7DBF">
        <w:rPr>
          <w:rFonts w:asciiTheme="minorHAnsi" w:hAnsiTheme="minorHAnsi"/>
          <w:sz w:val="24"/>
          <w:szCs w:val="24"/>
        </w:rPr>
        <w:t>rogram provides screening and services from bi</w:t>
      </w:r>
      <w:r w:rsidR="006A0689" w:rsidRPr="006E7DBF">
        <w:rPr>
          <w:rFonts w:asciiTheme="minorHAnsi" w:hAnsiTheme="minorHAnsi"/>
          <w:sz w:val="24"/>
          <w:szCs w:val="24"/>
        </w:rPr>
        <w:t xml:space="preserve">rth to age three years to </w:t>
      </w:r>
      <w:r w:rsidRPr="006E7DBF">
        <w:rPr>
          <w:rFonts w:asciiTheme="minorHAnsi" w:hAnsiTheme="minorHAnsi"/>
          <w:sz w:val="24"/>
          <w:szCs w:val="24"/>
        </w:rPr>
        <w:t>improve social emotional skills (including social relationships)</w:t>
      </w:r>
    </w:p>
    <w:p w14:paraId="3DDAEF5A" w14:textId="20ED981A" w:rsidR="00BA2E13" w:rsidRPr="006E7DBF" w:rsidRDefault="00BA2E13" w:rsidP="006E7DBF">
      <w:pPr>
        <w:pStyle w:val="NoSpacing"/>
        <w:numPr>
          <w:ilvl w:val="0"/>
          <w:numId w:val="207"/>
        </w:numPr>
        <w:spacing w:line="360" w:lineRule="auto"/>
        <w:rPr>
          <w:rFonts w:asciiTheme="minorHAnsi" w:hAnsiTheme="minorHAnsi"/>
          <w:b/>
          <w:sz w:val="24"/>
          <w:szCs w:val="24"/>
        </w:rPr>
      </w:pPr>
      <w:r w:rsidRPr="006E7DBF">
        <w:rPr>
          <w:rFonts w:asciiTheme="minorHAnsi" w:hAnsiTheme="minorHAnsi"/>
          <w:sz w:val="24"/>
          <w:szCs w:val="24"/>
        </w:rPr>
        <w:t>The Vaccines for Children (VFC) Program is a federal program that provides vaccines free of cost for children whose parents cannot afford them</w:t>
      </w:r>
    </w:p>
    <w:p w14:paraId="55F0D26B" w14:textId="77777777" w:rsidR="006334EC" w:rsidRPr="006E7DBF" w:rsidRDefault="006334EC" w:rsidP="006E7DBF">
      <w:pPr>
        <w:pStyle w:val="NoSpacing"/>
        <w:spacing w:line="360" w:lineRule="auto"/>
        <w:ind w:left="360"/>
        <w:rPr>
          <w:rFonts w:asciiTheme="minorHAnsi" w:hAnsiTheme="minorHAnsi"/>
          <w:b/>
          <w:sz w:val="24"/>
          <w:szCs w:val="24"/>
        </w:rPr>
      </w:pPr>
    </w:p>
    <w:p w14:paraId="131D30BB" w14:textId="77777777" w:rsidR="00BA2E13" w:rsidRPr="006E7DBF" w:rsidRDefault="00BA2E13" w:rsidP="006E7DBF">
      <w:pPr>
        <w:spacing w:before="0" w:after="200" w:line="360" w:lineRule="auto"/>
        <w:ind w:right="-360"/>
        <w:rPr>
          <w:b/>
          <w:color w:val="203864"/>
          <w:sz w:val="24"/>
          <w:szCs w:val="24"/>
        </w:rPr>
      </w:pPr>
      <w:r w:rsidRPr="006E7DBF">
        <w:rPr>
          <w:b/>
          <w:color w:val="203864"/>
          <w:sz w:val="24"/>
          <w:szCs w:val="24"/>
        </w:rPr>
        <w:t>Children and Youth with Special Health Care Needs</w:t>
      </w:r>
    </w:p>
    <w:p w14:paraId="61E33206" w14:textId="77777777" w:rsidR="00BA2E13" w:rsidRPr="006E7DBF" w:rsidRDefault="00BA2E13" w:rsidP="006E7DBF">
      <w:pPr>
        <w:pStyle w:val="ListParagraph"/>
        <w:numPr>
          <w:ilvl w:val="0"/>
          <w:numId w:val="48"/>
        </w:numPr>
        <w:spacing w:before="0" w:after="200" w:line="360" w:lineRule="auto"/>
        <w:ind w:right="-360"/>
        <w:rPr>
          <w:sz w:val="24"/>
          <w:szCs w:val="24"/>
        </w:rPr>
      </w:pPr>
      <w:r w:rsidRPr="006E7DBF">
        <w:rPr>
          <w:sz w:val="24"/>
          <w:szCs w:val="24"/>
        </w:rPr>
        <w:t>The Massachusetts Title V Division for Children and Youth with Special Health Needs (DCYSHN) Community Support Line at 1-800-882-1435 provides information, technical assistance and resources to families of CYSHN and providers serving them</w:t>
      </w:r>
    </w:p>
    <w:p w14:paraId="640303F1" w14:textId="2940D6D2" w:rsidR="00BA2E13" w:rsidRPr="006E7DBF" w:rsidRDefault="00BA2E13" w:rsidP="006E7DBF">
      <w:pPr>
        <w:pStyle w:val="ListParagraph"/>
        <w:numPr>
          <w:ilvl w:val="0"/>
          <w:numId w:val="48"/>
        </w:numPr>
        <w:spacing w:before="0" w:after="200" w:line="360" w:lineRule="auto"/>
        <w:ind w:right="-360"/>
        <w:rPr>
          <w:sz w:val="24"/>
          <w:szCs w:val="24"/>
        </w:rPr>
      </w:pPr>
      <w:r w:rsidRPr="006E7DBF">
        <w:rPr>
          <w:sz w:val="24"/>
          <w:szCs w:val="24"/>
        </w:rPr>
        <w:t>The Division of Children and Youth with Special Health Care Needs offers a variety of programs to support CYSHN and their familie</w:t>
      </w:r>
      <w:r w:rsidR="005B3F14" w:rsidRPr="006E7DBF">
        <w:rPr>
          <w:sz w:val="24"/>
          <w:szCs w:val="24"/>
        </w:rPr>
        <w:t>s such as Care Coordination, the</w:t>
      </w:r>
      <w:r w:rsidRPr="006E7DBF">
        <w:rPr>
          <w:sz w:val="24"/>
          <w:szCs w:val="24"/>
        </w:rPr>
        <w:t xml:space="preserve"> Catastrophic Illness in Children’s Relief Fund, Family TIES, MassCARE, MASSTART, Pediatric Palliative Care Network, Universal Newborn Hearing Screening, and several others </w:t>
      </w:r>
    </w:p>
    <w:p w14:paraId="62BB26BD" w14:textId="571D9F0F" w:rsidR="00BA2E13" w:rsidRPr="006E7DBF" w:rsidRDefault="00BA2E13" w:rsidP="006E7DBF">
      <w:pPr>
        <w:pStyle w:val="ListParagraph"/>
        <w:numPr>
          <w:ilvl w:val="0"/>
          <w:numId w:val="48"/>
        </w:numPr>
        <w:spacing w:before="0" w:after="200" w:line="360" w:lineRule="auto"/>
        <w:ind w:right="-360"/>
        <w:jc w:val="left"/>
        <w:rPr>
          <w:sz w:val="24"/>
          <w:szCs w:val="24"/>
        </w:rPr>
      </w:pPr>
      <w:r w:rsidRPr="006E7DBF">
        <w:rPr>
          <w:sz w:val="24"/>
          <w:szCs w:val="24"/>
        </w:rPr>
        <w:lastRenderedPageBreak/>
        <w:t>Through a federally-funded Systems Integration Project, MDPH has developed an interactive searchable onlin</w:t>
      </w:r>
      <w:r w:rsidR="007227ED" w:rsidRPr="006E7DBF">
        <w:rPr>
          <w:sz w:val="24"/>
          <w:szCs w:val="24"/>
        </w:rPr>
        <w:t>e platform for families of CYSH</w:t>
      </w:r>
      <w:r w:rsidRPr="006E7DBF">
        <w:rPr>
          <w:sz w:val="24"/>
          <w:szCs w:val="24"/>
        </w:rPr>
        <w:t xml:space="preserve">N and professionals to access reliable </w:t>
      </w:r>
      <w:r w:rsidR="007227ED" w:rsidRPr="006E7DBF">
        <w:rPr>
          <w:sz w:val="24"/>
          <w:szCs w:val="24"/>
        </w:rPr>
        <w:t>resources and services for CYSH</w:t>
      </w:r>
      <w:r w:rsidRPr="006E7DBF">
        <w:rPr>
          <w:sz w:val="24"/>
          <w:szCs w:val="24"/>
        </w:rPr>
        <w:t>N and their families</w:t>
      </w:r>
    </w:p>
    <w:p w14:paraId="24531BDB" w14:textId="7B443BEE" w:rsidR="00BA2E13" w:rsidRPr="006E7DBF" w:rsidRDefault="00BA2E13" w:rsidP="006E7DBF">
      <w:pPr>
        <w:pStyle w:val="ListParagraph"/>
        <w:numPr>
          <w:ilvl w:val="0"/>
          <w:numId w:val="48"/>
        </w:numPr>
        <w:spacing w:before="0" w:after="200" w:line="360" w:lineRule="auto"/>
        <w:ind w:right="-360"/>
        <w:rPr>
          <w:sz w:val="24"/>
          <w:szCs w:val="24"/>
        </w:rPr>
      </w:pPr>
      <w:r w:rsidRPr="006E7DBF">
        <w:rPr>
          <w:sz w:val="24"/>
          <w:szCs w:val="24"/>
        </w:rPr>
        <w:t xml:space="preserve">Since 2010, MassHealth requires behavioral health screening for children and youth less than 21 years of age as part of the Early and Periodic Screening, Diagnosis, and Treatment </w:t>
      </w:r>
      <w:r w:rsidR="005B3F14" w:rsidRPr="006E7DBF">
        <w:rPr>
          <w:sz w:val="24"/>
          <w:szCs w:val="24"/>
        </w:rPr>
        <w:t>P</w:t>
      </w:r>
      <w:r w:rsidRPr="006E7DBF">
        <w:rPr>
          <w:sz w:val="24"/>
          <w:szCs w:val="24"/>
        </w:rPr>
        <w:t xml:space="preserve">rogram </w:t>
      </w:r>
    </w:p>
    <w:p w14:paraId="23607574" w14:textId="77777777" w:rsidR="00BA2E13" w:rsidRPr="006E7DBF" w:rsidRDefault="00BA2E13" w:rsidP="006E7DBF">
      <w:pPr>
        <w:pStyle w:val="ListParagraph"/>
        <w:numPr>
          <w:ilvl w:val="0"/>
          <w:numId w:val="48"/>
        </w:numPr>
        <w:spacing w:before="0" w:after="200" w:line="360" w:lineRule="auto"/>
        <w:ind w:right="-360"/>
        <w:rPr>
          <w:sz w:val="24"/>
          <w:szCs w:val="24"/>
        </w:rPr>
      </w:pPr>
      <w:r w:rsidRPr="006E7DBF">
        <w:rPr>
          <w:sz w:val="24"/>
          <w:szCs w:val="24"/>
        </w:rPr>
        <w:t>Massachusetts has mandatory private health insurance coverage for the diagnosis and treatment of Autism Spectrum Disorder (ASD)</w:t>
      </w:r>
    </w:p>
    <w:p w14:paraId="4686B543" w14:textId="77777777" w:rsidR="00BA2E13" w:rsidRPr="006E7DBF" w:rsidRDefault="00BA2E13" w:rsidP="006E7DBF">
      <w:pPr>
        <w:pStyle w:val="ListParagraph"/>
        <w:numPr>
          <w:ilvl w:val="0"/>
          <w:numId w:val="48"/>
        </w:numPr>
        <w:spacing w:before="0" w:after="200" w:line="360" w:lineRule="auto"/>
        <w:ind w:right="-360"/>
        <w:jc w:val="left"/>
        <w:rPr>
          <w:sz w:val="24"/>
          <w:szCs w:val="24"/>
        </w:rPr>
      </w:pPr>
      <w:r w:rsidRPr="006E7DBF">
        <w:rPr>
          <w:sz w:val="24"/>
          <w:szCs w:val="24"/>
        </w:rPr>
        <w:t>The 2016 Massachusetts Healthy People 2020 Autism Roadmap report serves as a blueprint for better data collection and monitoring across the system of care serving children and youth with ASD and other developmental disabilities and their families in Massachusetts</w:t>
      </w:r>
      <w:r w:rsidRPr="006E7DBF">
        <w:rPr>
          <w:rStyle w:val="EndnoteReference"/>
          <w:sz w:val="24"/>
          <w:szCs w:val="24"/>
        </w:rPr>
        <w:endnoteReference w:id="71"/>
      </w:r>
      <w:r w:rsidRPr="006E7DBF">
        <w:rPr>
          <w:sz w:val="24"/>
          <w:szCs w:val="24"/>
        </w:rPr>
        <w:t xml:space="preserve"> </w:t>
      </w:r>
    </w:p>
    <w:p w14:paraId="38E4A82D" w14:textId="34964BBC" w:rsidR="00BA2E13" w:rsidRPr="006E7DBF" w:rsidRDefault="003C4565" w:rsidP="006E7DBF">
      <w:pPr>
        <w:spacing w:before="0" w:after="200" w:line="360" w:lineRule="auto"/>
        <w:ind w:right="-360"/>
        <w:rPr>
          <w:b/>
          <w:color w:val="203864"/>
          <w:sz w:val="24"/>
          <w:szCs w:val="24"/>
        </w:rPr>
      </w:pPr>
      <w:r w:rsidRPr="006E7DBF">
        <w:rPr>
          <w:b/>
          <w:color w:val="203864"/>
          <w:sz w:val="24"/>
          <w:szCs w:val="24"/>
        </w:rPr>
        <w:t>Women’s</w:t>
      </w:r>
      <w:r w:rsidR="00BA2E13" w:rsidRPr="006E7DBF">
        <w:rPr>
          <w:b/>
          <w:color w:val="203864"/>
          <w:sz w:val="24"/>
          <w:szCs w:val="24"/>
        </w:rPr>
        <w:t xml:space="preserve"> Health</w:t>
      </w:r>
    </w:p>
    <w:p w14:paraId="6B2E6F06" w14:textId="77777777" w:rsidR="00796139" w:rsidRPr="006E7DBF" w:rsidRDefault="00796139" w:rsidP="006E7DBF">
      <w:pPr>
        <w:pStyle w:val="ListParagraph"/>
        <w:numPr>
          <w:ilvl w:val="0"/>
          <w:numId w:val="47"/>
        </w:numPr>
        <w:spacing w:before="0" w:after="200" w:line="360" w:lineRule="auto"/>
        <w:ind w:left="360" w:right="-360"/>
        <w:rPr>
          <w:b/>
          <w:sz w:val="24"/>
          <w:szCs w:val="24"/>
        </w:rPr>
      </w:pPr>
      <w:r w:rsidRPr="006E7DBF">
        <w:rPr>
          <w:rFonts w:eastAsia="Times New Roman" w:cs="Times New Roman"/>
          <w:sz w:val="24"/>
          <w:szCs w:val="24"/>
        </w:rPr>
        <w:t>The Massachusetts Maternal Mortality and Morbidity Review Committee reviews all pregnancy-associated deaths and makes recommendations to improve clinical practice, health care systems, and public health in Massachusetts</w:t>
      </w:r>
    </w:p>
    <w:p w14:paraId="6F661736" w14:textId="77777777" w:rsidR="00796139" w:rsidRPr="006E7DBF" w:rsidRDefault="00796139" w:rsidP="006E7DBF">
      <w:pPr>
        <w:pStyle w:val="ListParagraph"/>
        <w:numPr>
          <w:ilvl w:val="0"/>
          <w:numId w:val="47"/>
        </w:numPr>
        <w:spacing w:before="0" w:after="200" w:line="360" w:lineRule="auto"/>
        <w:ind w:left="360" w:right="-360"/>
        <w:rPr>
          <w:b/>
          <w:sz w:val="24"/>
          <w:szCs w:val="24"/>
        </w:rPr>
      </w:pPr>
      <w:r w:rsidRPr="006E7DBF">
        <w:rPr>
          <w:sz w:val="24"/>
          <w:szCs w:val="24"/>
        </w:rPr>
        <w:t xml:space="preserve">The Massachusetts Perinatal Quality Collaborative is a voluntary organization of Massachusetts birthing hospitals and key perinatal stakeholders that focuses on quality improvement initiatives to reduce pregnancy-related mortality by reducing obstetric complications </w:t>
      </w:r>
    </w:p>
    <w:p w14:paraId="3714A236" w14:textId="56B10CFB" w:rsidR="00BA2E13" w:rsidRPr="006E7DBF" w:rsidRDefault="00BA2E13" w:rsidP="006E7DBF">
      <w:pPr>
        <w:pStyle w:val="ListParagraph"/>
        <w:numPr>
          <w:ilvl w:val="0"/>
          <w:numId w:val="49"/>
        </w:numPr>
        <w:spacing w:before="0" w:after="200" w:line="360" w:lineRule="auto"/>
        <w:ind w:right="-360"/>
        <w:rPr>
          <w:sz w:val="24"/>
          <w:szCs w:val="24"/>
        </w:rPr>
      </w:pPr>
      <w:r w:rsidRPr="006E7DBF">
        <w:rPr>
          <w:sz w:val="24"/>
          <w:szCs w:val="24"/>
        </w:rPr>
        <w:t>Massachusetts WIC Program conducts screening of all pregnant and postpartum participants by nutrition staff to assess utilization of prenatal care and provides referrals to health care providers</w:t>
      </w:r>
    </w:p>
    <w:p w14:paraId="2D9FBF9E" w14:textId="77777777" w:rsidR="00BA2E13" w:rsidRPr="006E7DBF" w:rsidRDefault="00BA2E13" w:rsidP="006E7DBF">
      <w:pPr>
        <w:pStyle w:val="ListParagraph"/>
        <w:numPr>
          <w:ilvl w:val="0"/>
          <w:numId w:val="49"/>
        </w:numPr>
        <w:spacing w:before="0" w:after="200" w:line="360" w:lineRule="auto"/>
        <w:ind w:right="-360"/>
        <w:rPr>
          <w:sz w:val="24"/>
          <w:szCs w:val="24"/>
        </w:rPr>
      </w:pPr>
      <w:r w:rsidRPr="006E7DBF">
        <w:rPr>
          <w:sz w:val="24"/>
          <w:szCs w:val="24"/>
        </w:rPr>
        <w:t>The Massachusetts Maternal, Infant, and Early Childhood Home Visiting Program and the Early Intervention Partnerships Program contract with local agencies to conduct community outreach to pregnant women to encourage early enrollment into programs for women at risk of late entry to prenatal care</w:t>
      </w:r>
    </w:p>
    <w:p w14:paraId="6486ED9B" w14:textId="77777777" w:rsidR="00BA2E13" w:rsidRPr="006E7DBF" w:rsidRDefault="00BA2E13" w:rsidP="006E7DBF">
      <w:pPr>
        <w:pStyle w:val="ListParagraph"/>
        <w:numPr>
          <w:ilvl w:val="0"/>
          <w:numId w:val="49"/>
        </w:numPr>
        <w:spacing w:before="0" w:after="200" w:line="360" w:lineRule="auto"/>
        <w:ind w:right="-360"/>
        <w:rPr>
          <w:sz w:val="24"/>
          <w:szCs w:val="24"/>
        </w:rPr>
      </w:pPr>
      <w:r w:rsidRPr="006E7DBF">
        <w:rPr>
          <w:sz w:val="24"/>
          <w:szCs w:val="24"/>
        </w:rPr>
        <w:t xml:space="preserve">The Boston Healthy Start Initiative provides services to self-identifying Black non-Hispanic and Hispanic women in three Boston neighborhoods in which disparities in birth outcomes are most pronounced </w:t>
      </w:r>
    </w:p>
    <w:p w14:paraId="27565204" w14:textId="77777777" w:rsidR="00BA2E13" w:rsidRPr="006E7DBF" w:rsidRDefault="00BA2E13" w:rsidP="006E7DBF">
      <w:pPr>
        <w:pStyle w:val="ListParagraph"/>
        <w:numPr>
          <w:ilvl w:val="0"/>
          <w:numId w:val="49"/>
        </w:numPr>
        <w:spacing w:before="0" w:after="200" w:line="360" w:lineRule="auto"/>
        <w:ind w:right="-360"/>
        <w:rPr>
          <w:sz w:val="24"/>
          <w:szCs w:val="24"/>
        </w:rPr>
      </w:pPr>
      <w:r w:rsidRPr="006E7DBF">
        <w:rPr>
          <w:sz w:val="24"/>
          <w:szCs w:val="24"/>
        </w:rPr>
        <w:t xml:space="preserve">The Sexual and Reproductive Health Program provides counseling on reproductive life planning and promotes access to all FDA-approved contraceptive methods while focusing on geographic areas with adverse reproductive health outcomes </w:t>
      </w:r>
    </w:p>
    <w:p w14:paraId="35951CD9" w14:textId="28D459FB" w:rsidR="00BA2E13" w:rsidRPr="006E7DBF" w:rsidRDefault="00B24A81" w:rsidP="006E7DBF">
      <w:pPr>
        <w:pStyle w:val="ListParagraph"/>
        <w:numPr>
          <w:ilvl w:val="0"/>
          <w:numId w:val="49"/>
        </w:numPr>
        <w:spacing w:before="0" w:after="200" w:line="360" w:lineRule="auto"/>
        <w:ind w:right="-360"/>
        <w:rPr>
          <w:sz w:val="24"/>
          <w:szCs w:val="24"/>
        </w:rPr>
      </w:pPr>
      <w:r w:rsidRPr="006E7DBF">
        <w:rPr>
          <w:sz w:val="24"/>
          <w:szCs w:val="24"/>
        </w:rPr>
        <w:lastRenderedPageBreak/>
        <w:t>Through in and out of school settings t</w:t>
      </w:r>
      <w:r w:rsidR="00BA2E13" w:rsidRPr="006E7DBF">
        <w:rPr>
          <w:sz w:val="24"/>
          <w:szCs w:val="24"/>
        </w:rPr>
        <w:t>he MDPH Adoles</w:t>
      </w:r>
      <w:r w:rsidR="005B3F14" w:rsidRPr="006E7DBF">
        <w:rPr>
          <w:sz w:val="24"/>
          <w:szCs w:val="24"/>
        </w:rPr>
        <w:t>cent Sexuality Education (ASE) P</w:t>
      </w:r>
      <w:r w:rsidR="00BA2E13" w:rsidRPr="006E7DBF">
        <w:rPr>
          <w:sz w:val="24"/>
          <w:szCs w:val="24"/>
        </w:rPr>
        <w:t>rogram partners with community-based organizations to deliver evidence-based sexuality education, educational programming backed by preliminary research, and youth development prog</w:t>
      </w:r>
      <w:r w:rsidRPr="006E7DBF">
        <w:rPr>
          <w:sz w:val="24"/>
          <w:szCs w:val="24"/>
        </w:rPr>
        <w:t>ramming for youth age</w:t>
      </w:r>
      <w:r w:rsidR="003D1BF3" w:rsidRPr="006E7DBF">
        <w:rPr>
          <w:sz w:val="24"/>
          <w:szCs w:val="24"/>
        </w:rPr>
        <w:t>d</w:t>
      </w:r>
      <w:r w:rsidRPr="006E7DBF">
        <w:rPr>
          <w:sz w:val="24"/>
          <w:szCs w:val="24"/>
        </w:rPr>
        <w:t xml:space="preserve"> 11-19 build connectedness with a trusted adult</w:t>
      </w:r>
    </w:p>
    <w:p w14:paraId="34808FEB" w14:textId="0CB97631" w:rsidR="00BA2E13" w:rsidRPr="006E7DBF" w:rsidRDefault="00BA2E13" w:rsidP="006E7DBF">
      <w:pPr>
        <w:pStyle w:val="ListParagraph"/>
        <w:numPr>
          <w:ilvl w:val="0"/>
          <w:numId w:val="49"/>
        </w:numPr>
        <w:spacing w:before="0" w:after="200" w:line="360" w:lineRule="auto"/>
        <w:ind w:right="-360"/>
        <w:rPr>
          <w:sz w:val="24"/>
          <w:szCs w:val="24"/>
        </w:rPr>
      </w:pPr>
      <w:r w:rsidRPr="006E7DBF">
        <w:rPr>
          <w:sz w:val="24"/>
          <w:szCs w:val="24"/>
        </w:rPr>
        <w:t>The Personal Responsibility Education Program (PREP) works with community-based organizations to deliver evidence-based sexuality education in middle school, high school</w:t>
      </w:r>
      <w:r w:rsidR="005B3F14" w:rsidRPr="006E7DBF">
        <w:rPr>
          <w:sz w:val="24"/>
          <w:szCs w:val="24"/>
        </w:rPr>
        <w:t>,</w:t>
      </w:r>
      <w:r w:rsidRPr="006E7DBF">
        <w:rPr>
          <w:sz w:val="24"/>
          <w:szCs w:val="24"/>
        </w:rPr>
        <w:t xml:space="preserve"> and out of school settings</w:t>
      </w:r>
    </w:p>
    <w:p w14:paraId="431DF11B" w14:textId="77777777" w:rsidR="00BA2E13" w:rsidRPr="006E7DBF" w:rsidRDefault="00BA2E13" w:rsidP="006E7DBF">
      <w:pPr>
        <w:pStyle w:val="ListParagraph"/>
        <w:numPr>
          <w:ilvl w:val="0"/>
          <w:numId w:val="49"/>
        </w:numPr>
        <w:spacing w:before="0" w:after="200" w:line="360" w:lineRule="auto"/>
        <w:ind w:right="-360"/>
        <w:rPr>
          <w:sz w:val="24"/>
          <w:szCs w:val="24"/>
        </w:rPr>
      </w:pPr>
      <w:r w:rsidRPr="006E7DBF">
        <w:rPr>
          <w:sz w:val="24"/>
          <w:szCs w:val="24"/>
        </w:rPr>
        <w:t xml:space="preserve">The Massachusetts Pregnant and Parenting Teens Initiative (MPPTI) supports multidisciplinary teams to provide wrap-around services for pregnant and parenting teens  </w:t>
      </w:r>
    </w:p>
    <w:p w14:paraId="6EB75E44" w14:textId="40A08DDC" w:rsidR="00BA2E13" w:rsidRPr="006E7DBF" w:rsidRDefault="00BA2E13" w:rsidP="006E7DBF">
      <w:pPr>
        <w:pStyle w:val="ListParagraph"/>
        <w:numPr>
          <w:ilvl w:val="0"/>
          <w:numId w:val="49"/>
        </w:numPr>
        <w:spacing w:before="0" w:after="200" w:line="360" w:lineRule="auto"/>
        <w:ind w:right="-360"/>
        <w:rPr>
          <w:sz w:val="24"/>
          <w:szCs w:val="24"/>
        </w:rPr>
      </w:pPr>
      <w:r w:rsidRPr="006E7DBF">
        <w:rPr>
          <w:rFonts w:cs="Times New Roman"/>
          <w:sz w:val="24"/>
          <w:szCs w:val="24"/>
        </w:rPr>
        <w:t xml:space="preserve">Postpartum Depression </w:t>
      </w:r>
      <w:r w:rsidR="005B3F14" w:rsidRPr="006E7DBF">
        <w:rPr>
          <w:rFonts w:cs="Times New Roman"/>
          <w:sz w:val="24"/>
          <w:szCs w:val="24"/>
        </w:rPr>
        <w:t xml:space="preserve">(PPD) </w:t>
      </w:r>
      <w:r w:rsidRPr="006E7DBF">
        <w:rPr>
          <w:rFonts w:cs="Times New Roman"/>
          <w:sz w:val="24"/>
          <w:szCs w:val="24"/>
        </w:rPr>
        <w:t>regulations require health care providers to report their data to MDPH annually if they conduct a PPD screen using a validated screening tool during a clinical encounter with a postpartum woman</w:t>
      </w:r>
    </w:p>
    <w:p w14:paraId="0BA83F28" w14:textId="77777777" w:rsidR="00BA2E13" w:rsidRPr="006E7DBF" w:rsidRDefault="00BA2E13" w:rsidP="006E7DBF">
      <w:pPr>
        <w:pStyle w:val="ListParagraph"/>
        <w:numPr>
          <w:ilvl w:val="0"/>
          <w:numId w:val="49"/>
        </w:numPr>
        <w:spacing w:before="0" w:after="200" w:line="360" w:lineRule="auto"/>
        <w:ind w:right="-360"/>
        <w:rPr>
          <w:sz w:val="24"/>
          <w:szCs w:val="24"/>
        </w:rPr>
      </w:pPr>
      <w:r w:rsidRPr="006E7DBF">
        <w:rPr>
          <w:rFonts w:cs="Times New Roman"/>
          <w:sz w:val="24"/>
          <w:szCs w:val="24"/>
        </w:rPr>
        <w:t>MDPH home visiting programs screen women prenatally and postpartum for depression utilizing a validated screening tool and provide education, brief intervention, and referral to treatment as needed</w:t>
      </w:r>
    </w:p>
    <w:p w14:paraId="2C7BDC6C" w14:textId="623D04C4" w:rsidR="00DD519D" w:rsidRPr="006E7DBF" w:rsidRDefault="00BA2E13" w:rsidP="006E7DBF">
      <w:pPr>
        <w:pStyle w:val="ListParagraph"/>
        <w:numPr>
          <w:ilvl w:val="0"/>
          <w:numId w:val="49"/>
        </w:numPr>
        <w:spacing w:before="0" w:after="200" w:line="360" w:lineRule="auto"/>
        <w:ind w:right="-360"/>
        <w:rPr>
          <w:sz w:val="24"/>
          <w:szCs w:val="24"/>
        </w:rPr>
      </w:pPr>
      <w:r w:rsidRPr="006E7DBF">
        <w:rPr>
          <w:rFonts w:cs="Times New Roman"/>
          <w:sz w:val="24"/>
          <w:szCs w:val="24"/>
        </w:rPr>
        <w:t>Effective May 16, 2016, MassHealth began paying for the administration of standardized depression screening during pregnancy and the postpartum period</w:t>
      </w:r>
    </w:p>
    <w:p w14:paraId="51C8970D" w14:textId="77777777" w:rsidR="00873159" w:rsidRPr="006E7DBF" w:rsidRDefault="00873159" w:rsidP="006E7DBF">
      <w:pPr>
        <w:spacing w:before="0" w:after="200" w:line="360" w:lineRule="auto"/>
        <w:ind w:left="0" w:right="-360"/>
        <w:rPr>
          <w:sz w:val="24"/>
          <w:szCs w:val="24"/>
        </w:rPr>
      </w:pPr>
    </w:p>
    <w:p w14:paraId="6C1FDB61" w14:textId="77777777" w:rsidR="00873159" w:rsidRPr="006E7DBF" w:rsidRDefault="00873159" w:rsidP="006E7DBF">
      <w:pPr>
        <w:spacing w:before="0" w:after="200" w:line="360" w:lineRule="auto"/>
        <w:ind w:left="0" w:right="-360"/>
        <w:rPr>
          <w:sz w:val="24"/>
          <w:szCs w:val="24"/>
        </w:rPr>
      </w:pPr>
    </w:p>
    <w:p w14:paraId="1D2FF96C" w14:textId="77777777" w:rsidR="00873159" w:rsidRPr="006E7DBF" w:rsidRDefault="00873159" w:rsidP="006E7DBF">
      <w:pPr>
        <w:spacing w:before="0" w:after="200" w:line="360" w:lineRule="auto"/>
        <w:ind w:left="0" w:right="-360"/>
        <w:rPr>
          <w:sz w:val="24"/>
          <w:szCs w:val="24"/>
        </w:rPr>
      </w:pPr>
    </w:p>
    <w:p w14:paraId="54806E56" w14:textId="778468B4" w:rsidR="006E7DBF" w:rsidRDefault="006E7DBF">
      <w:pPr>
        <w:spacing w:before="0"/>
        <w:ind w:left="0" w:right="0"/>
        <w:jc w:val="left"/>
        <w:rPr>
          <w:sz w:val="24"/>
          <w:szCs w:val="24"/>
        </w:rPr>
      </w:pPr>
      <w:r>
        <w:rPr>
          <w:sz w:val="24"/>
          <w:szCs w:val="24"/>
        </w:rPr>
        <w:br w:type="page"/>
      </w:r>
    </w:p>
    <w:p w14:paraId="1C500DCD" w14:textId="08F7FB99" w:rsidR="00DA58F7" w:rsidRPr="006E7DBF" w:rsidRDefault="00BA2E13" w:rsidP="00FC64DD">
      <w:pPr>
        <w:pStyle w:val="Heading1"/>
        <w:sectPr w:rsidR="00DA58F7" w:rsidRPr="006E7DBF" w:rsidSect="000B520F">
          <w:footerReference w:type="default" r:id="rId28"/>
          <w:endnotePr>
            <w:numFmt w:val="decimal"/>
          </w:endnotePr>
          <w:type w:val="continuous"/>
          <w:pgSz w:w="12240" w:h="15840"/>
          <w:pgMar w:top="1440" w:right="1080" w:bottom="1440" w:left="1080" w:header="720" w:footer="720" w:gutter="0"/>
          <w:cols w:space="720"/>
          <w:docGrid w:linePitch="360"/>
        </w:sectPr>
      </w:pPr>
      <w:bookmarkStart w:id="1" w:name="_GoBack"/>
      <w:r w:rsidRPr="006E7DBF">
        <w:lastRenderedPageBreak/>
        <w:t>References</w:t>
      </w:r>
    </w:p>
    <w:bookmarkEnd w:id="1"/>
    <w:p w14:paraId="53652FFA" w14:textId="781D4817" w:rsidR="00367354" w:rsidRPr="006E7DBF" w:rsidRDefault="00367354" w:rsidP="006E3904">
      <w:pPr>
        <w:pStyle w:val="Title"/>
        <w:rPr>
          <w:sz w:val="24"/>
          <w:szCs w:val="24"/>
        </w:rPr>
      </w:pPr>
    </w:p>
    <w:p w14:paraId="6BEE6D79" w14:textId="77777777" w:rsidR="00367354" w:rsidRPr="006E7DBF" w:rsidRDefault="00367354" w:rsidP="006E3904">
      <w:pPr>
        <w:pStyle w:val="Title"/>
        <w:rPr>
          <w:sz w:val="24"/>
          <w:szCs w:val="24"/>
        </w:rPr>
      </w:pPr>
    </w:p>
    <w:p w14:paraId="34EAAB20" w14:textId="40DC2CB8" w:rsidR="00367354" w:rsidRPr="006E7DBF" w:rsidRDefault="00367354" w:rsidP="006E3904">
      <w:pPr>
        <w:pStyle w:val="Title"/>
        <w:rPr>
          <w:sz w:val="24"/>
          <w:szCs w:val="24"/>
        </w:rPr>
      </w:pPr>
    </w:p>
    <w:p w14:paraId="5414868C" w14:textId="0A427F65" w:rsidR="00492AB1" w:rsidRPr="006E7DBF" w:rsidRDefault="000D3215">
      <w:pPr>
        <w:spacing w:before="0"/>
        <w:ind w:left="0" w:right="0"/>
        <w:jc w:val="left"/>
        <w:rPr>
          <w:sz w:val="24"/>
          <w:szCs w:val="24"/>
        </w:rPr>
      </w:pPr>
      <w:r w:rsidRPr="006E7DBF">
        <w:rPr>
          <w:sz w:val="24"/>
          <w:szCs w:val="24"/>
        </w:rPr>
        <w:drawing>
          <wp:anchor distT="0" distB="0" distL="114300" distR="114300" simplePos="0" relativeHeight="252061696" behindDoc="1" locked="0" layoutInCell="1" allowOverlap="1" wp14:anchorId="667BD145" wp14:editId="65A74652">
            <wp:simplePos x="0" y="0"/>
            <wp:positionH relativeFrom="column">
              <wp:posOffset>-892175</wp:posOffset>
            </wp:positionH>
            <wp:positionV relativeFrom="paragraph">
              <wp:posOffset>5106035</wp:posOffset>
            </wp:positionV>
            <wp:extent cx="7882255" cy="4259580"/>
            <wp:effectExtent l="0" t="0" r="4445" b="762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iStock-585773902.jpg"/>
                    <pic:cNvPicPr/>
                  </pic:nvPicPr>
                  <pic:blipFill rotWithShape="1">
                    <a:blip r:embed="rId29" cstate="print">
                      <a:extLst>
                        <a:ext uri="{28A0092B-C50C-407E-A947-70E740481C1C}">
                          <a14:useLocalDpi xmlns:a14="http://schemas.microsoft.com/office/drawing/2010/main" val="0"/>
                        </a:ext>
                      </a:extLst>
                    </a:blip>
                    <a:srcRect b="18767"/>
                    <a:stretch/>
                  </pic:blipFill>
                  <pic:spPr bwMode="auto">
                    <a:xfrm>
                      <a:off x="0" y="0"/>
                      <a:ext cx="7882255" cy="4259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492AB1" w:rsidRPr="006E7DBF" w:rsidSect="00EF0801">
      <w:endnotePr>
        <w:numFmt w:val="decimal"/>
      </w:endnotePr>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532D66" w14:textId="77777777" w:rsidR="00E735CB" w:rsidRPr="00EC73EF" w:rsidRDefault="00E735CB" w:rsidP="00EC73EF">
      <w:pPr>
        <w:pStyle w:val="Footer"/>
      </w:pPr>
    </w:p>
  </w:endnote>
  <w:endnote w:type="continuationSeparator" w:id="0">
    <w:p w14:paraId="66841D9D" w14:textId="77777777" w:rsidR="00E735CB" w:rsidRPr="00EC73EF" w:rsidRDefault="00E735CB" w:rsidP="00EC73EF">
      <w:pPr>
        <w:pStyle w:val="Footer"/>
      </w:pPr>
    </w:p>
  </w:endnote>
  <w:endnote w:type="continuationNotice" w:id="1">
    <w:p w14:paraId="0B2D20FE" w14:textId="77777777" w:rsidR="00E735CB" w:rsidRPr="00EC73EF" w:rsidRDefault="00E735CB" w:rsidP="00EC73EF">
      <w:pPr>
        <w:pStyle w:val="Footer"/>
      </w:pPr>
    </w:p>
  </w:endnote>
  <w:endnote w:id="2">
    <w:p w14:paraId="3F831B83"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Callaghan WM, </w:t>
      </w:r>
      <w:proofErr w:type="spellStart"/>
      <w:r w:rsidRPr="00FE4FD3">
        <w:rPr>
          <w:rFonts w:cstheme="minorHAnsi"/>
        </w:rPr>
        <w:t>MacDorman</w:t>
      </w:r>
      <w:proofErr w:type="spellEnd"/>
      <w:r w:rsidRPr="00FE4FD3">
        <w:rPr>
          <w:rFonts w:cstheme="minorHAnsi"/>
        </w:rPr>
        <w:t xml:space="preserve"> MF, Shapiro-Mendoza CK, </w:t>
      </w:r>
      <w:proofErr w:type="gramStart"/>
      <w:r w:rsidRPr="00FE4FD3">
        <w:rPr>
          <w:rFonts w:cstheme="minorHAnsi"/>
        </w:rPr>
        <w:t>Barfield</w:t>
      </w:r>
      <w:proofErr w:type="gramEnd"/>
      <w:r w:rsidRPr="00FE4FD3">
        <w:rPr>
          <w:rFonts w:cstheme="minorHAnsi"/>
        </w:rPr>
        <w:t xml:space="preserve"> WD. Explaining the recent decrease in US infant mortality rate, 2007-2013. </w:t>
      </w:r>
      <w:r w:rsidRPr="00FE4FD3">
        <w:rPr>
          <w:rFonts w:cstheme="minorHAnsi"/>
          <w:i/>
        </w:rPr>
        <w:t xml:space="preserve">Am J </w:t>
      </w:r>
      <w:proofErr w:type="spellStart"/>
      <w:r w:rsidRPr="00FE4FD3">
        <w:rPr>
          <w:rFonts w:cstheme="minorHAnsi"/>
          <w:i/>
        </w:rPr>
        <w:t>Obstet</w:t>
      </w:r>
      <w:proofErr w:type="spellEnd"/>
      <w:r w:rsidRPr="00FE4FD3">
        <w:rPr>
          <w:rFonts w:cstheme="minorHAnsi"/>
          <w:i/>
        </w:rPr>
        <w:t xml:space="preserve"> Gynecol.</w:t>
      </w:r>
      <w:r w:rsidRPr="00FE4FD3">
        <w:rPr>
          <w:rFonts w:cstheme="minorHAnsi"/>
        </w:rPr>
        <w:t xml:space="preserve"> 2017 Jan</w:t>
      </w:r>
      <w:proofErr w:type="gramStart"/>
      <w:r w:rsidRPr="00FE4FD3">
        <w:rPr>
          <w:rFonts w:cstheme="minorHAnsi"/>
        </w:rPr>
        <w:t>;216</w:t>
      </w:r>
      <w:proofErr w:type="gramEnd"/>
      <w:r w:rsidRPr="00FE4FD3">
        <w:rPr>
          <w:rFonts w:cstheme="minorHAnsi"/>
        </w:rPr>
        <w:t xml:space="preserve">(1):73.e1-73.e8. </w:t>
      </w:r>
    </w:p>
  </w:endnote>
  <w:endnote w:id="3">
    <w:p w14:paraId="23C34363"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Behrman RE, Butler AS, Institute of Medicine, US Committee on Understanding Premature Birth and Assuring Healthy Outcomes. </w:t>
      </w:r>
      <w:r w:rsidRPr="00FE4FD3">
        <w:rPr>
          <w:rFonts w:cstheme="minorHAnsi"/>
          <w:i/>
        </w:rPr>
        <w:t>Preterm Birth: Causes, Consequences, and Prevention.</w:t>
      </w:r>
      <w:r w:rsidRPr="00FE4FD3">
        <w:rPr>
          <w:rFonts w:cstheme="minorHAnsi"/>
        </w:rPr>
        <w:t xml:space="preserve"> Washington, DC: National Academies Press; 2007.</w:t>
      </w:r>
    </w:p>
  </w:endnote>
  <w:endnote w:id="4">
    <w:p w14:paraId="14FCFBCB"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Ray KN, </w:t>
      </w:r>
      <w:proofErr w:type="spellStart"/>
      <w:r w:rsidRPr="00FE4FD3">
        <w:rPr>
          <w:rFonts w:cstheme="minorHAnsi"/>
        </w:rPr>
        <w:t>Lorch</w:t>
      </w:r>
      <w:proofErr w:type="spellEnd"/>
      <w:r w:rsidRPr="00FE4FD3">
        <w:rPr>
          <w:rFonts w:cstheme="minorHAnsi"/>
        </w:rPr>
        <w:t xml:space="preserve"> SA. </w:t>
      </w:r>
      <w:proofErr w:type="gramStart"/>
      <w:r w:rsidRPr="00FE4FD3">
        <w:rPr>
          <w:rFonts w:cstheme="minorHAnsi"/>
        </w:rPr>
        <w:t>Hospitalization of early preterm, late preterm, and term infants during the first year of life by gestational age.</w:t>
      </w:r>
      <w:proofErr w:type="gramEnd"/>
      <w:r w:rsidRPr="00FE4FD3">
        <w:rPr>
          <w:rFonts w:cstheme="minorHAnsi"/>
        </w:rPr>
        <w:t xml:space="preserve"> </w:t>
      </w:r>
      <w:proofErr w:type="spellStart"/>
      <w:r w:rsidRPr="00FE4FD3">
        <w:rPr>
          <w:rFonts w:cstheme="minorHAnsi"/>
          <w:i/>
        </w:rPr>
        <w:t>Hosp</w:t>
      </w:r>
      <w:proofErr w:type="spellEnd"/>
      <w:r w:rsidRPr="00FE4FD3">
        <w:rPr>
          <w:rFonts w:cstheme="minorHAnsi"/>
          <w:i/>
        </w:rPr>
        <w:t xml:space="preserve"> </w:t>
      </w:r>
      <w:proofErr w:type="spellStart"/>
      <w:r w:rsidRPr="00FE4FD3">
        <w:rPr>
          <w:rFonts w:cstheme="minorHAnsi"/>
          <w:i/>
        </w:rPr>
        <w:t>Pediatr</w:t>
      </w:r>
      <w:proofErr w:type="spellEnd"/>
      <w:r w:rsidRPr="00FE4FD3">
        <w:rPr>
          <w:rFonts w:cstheme="minorHAnsi"/>
        </w:rPr>
        <w:t>. 2013</w:t>
      </w:r>
      <w:proofErr w:type="gramStart"/>
      <w:r w:rsidRPr="00FE4FD3">
        <w:rPr>
          <w:rFonts w:cstheme="minorHAnsi"/>
        </w:rPr>
        <w:t>;3</w:t>
      </w:r>
      <w:proofErr w:type="gramEnd"/>
      <w:r w:rsidRPr="00FE4FD3">
        <w:rPr>
          <w:rFonts w:cstheme="minorHAnsi"/>
        </w:rPr>
        <w:t xml:space="preserve">(3):194-203. </w:t>
      </w:r>
    </w:p>
  </w:endnote>
  <w:endnote w:id="5">
    <w:p w14:paraId="4B673FD1"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Hoffman MC, </w:t>
      </w:r>
      <w:proofErr w:type="spellStart"/>
      <w:r w:rsidRPr="00FE4FD3">
        <w:rPr>
          <w:rFonts w:cstheme="minorHAnsi"/>
        </w:rPr>
        <w:t>Mazzoni</w:t>
      </w:r>
      <w:proofErr w:type="spellEnd"/>
      <w:r w:rsidRPr="00FE4FD3">
        <w:rPr>
          <w:rFonts w:cstheme="minorHAnsi"/>
        </w:rPr>
        <w:t xml:space="preserve"> SE, Wagner BD, </w:t>
      </w:r>
      <w:proofErr w:type="spellStart"/>
      <w:r w:rsidRPr="00FE4FD3">
        <w:rPr>
          <w:rFonts w:cstheme="minorHAnsi"/>
        </w:rPr>
        <w:t>Laudenslager</w:t>
      </w:r>
      <w:proofErr w:type="spellEnd"/>
      <w:r w:rsidRPr="00FE4FD3">
        <w:rPr>
          <w:rFonts w:cstheme="minorHAnsi"/>
        </w:rPr>
        <w:t xml:space="preserve"> ML, Ross RG. </w:t>
      </w:r>
      <w:proofErr w:type="gramStart"/>
      <w:r w:rsidRPr="00FE4FD3">
        <w:rPr>
          <w:rFonts w:cstheme="minorHAnsi"/>
        </w:rPr>
        <w:t>Measures of Maternal Stress and Mood in Relation to Preterm Birth.</w:t>
      </w:r>
      <w:proofErr w:type="gramEnd"/>
      <w:r w:rsidRPr="00FE4FD3">
        <w:rPr>
          <w:rFonts w:cstheme="minorHAnsi"/>
        </w:rPr>
        <w:t xml:space="preserve"> </w:t>
      </w:r>
      <w:proofErr w:type="spellStart"/>
      <w:r w:rsidRPr="00FE4FD3">
        <w:rPr>
          <w:rFonts w:cstheme="minorHAnsi"/>
          <w:i/>
        </w:rPr>
        <w:t>Obstet</w:t>
      </w:r>
      <w:proofErr w:type="spellEnd"/>
      <w:r w:rsidRPr="00FE4FD3">
        <w:rPr>
          <w:rFonts w:cstheme="minorHAnsi"/>
          <w:i/>
        </w:rPr>
        <w:t xml:space="preserve"> Gynecol</w:t>
      </w:r>
      <w:r w:rsidRPr="00FE4FD3">
        <w:rPr>
          <w:rFonts w:cstheme="minorHAnsi"/>
        </w:rPr>
        <w:t>. 2016</w:t>
      </w:r>
      <w:proofErr w:type="gramStart"/>
      <w:r w:rsidRPr="00FE4FD3">
        <w:rPr>
          <w:rFonts w:cstheme="minorHAnsi"/>
        </w:rPr>
        <w:t>;127</w:t>
      </w:r>
      <w:proofErr w:type="gramEnd"/>
      <w:r w:rsidRPr="00FE4FD3">
        <w:rPr>
          <w:rFonts w:cstheme="minorHAnsi"/>
        </w:rPr>
        <w:t xml:space="preserve">(3):545-552. </w:t>
      </w:r>
    </w:p>
  </w:endnote>
  <w:endnote w:id="6">
    <w:p w14:paraId="530813A2" w14:textId="77777777" w:rsidR="003F257A" w:rsidRPr="00FE4FD3" w:rsidRDefault="003F257A" w:rsidP="00FE4FD3">
      <w:pPr>
        <w:pStyle w:val="REFERENCES"/>
        <w:rPr>
          <w:rFonts w:cstheme="minorHAnsi"/>
        </w:rPr>
      </w:pPr>
      <w:r w:rsidRPr="00FE4FD3">
        <w:rPr>
          <w:rStyle w:val="EndnoteReference"/>
          <w:rFonts w:cstheme="minorHAnsi"/>
        </w:rPr>
        <w:endnoteRef/>
      </w:r>
      <w:proofErr w:type="spellStart"/>
      <w:r w:rsidRPr="00FE4FD3">
        <w:rPr>
          <w:rFonts w:cstheme="minorHAnsi"/>
          <w:lang w:val="fr-FR"/>
        </w:rPr>
        <w:t>Esplin</w:t>
      </w:r>
      <w:proofErr w:type="spellEnd"/>
      <w:r w:rsidRPr="00FE4FD3">
        <w:rPr>
          <w:rFonts w:cstheme="minorHAnsi"/>
          <w:lang w:val="fr-FR"/>
        </w:rPr>
        <w:t xml:space="preserve"> MS, O'Brien E, Fraser A, et al. </w:t>
      </w:r>
      <w:proofErr w:type="gramStart"/>
      <w:r w:rsidRPr="00FE4FD3">
        <w:rPr>
          <w:rFonts w:cstheme="minorHAnsi"/>
        </w:rPr>
        <w:t>Estimating recurrence of spontaneous preterm delivery.</w:t>
      </w:r>
      <w:proofErr w:type="gramEnd"/>
      <w:r w:rsidRPr="00FE4FD3">
        <w:rPr>
          <w:rFonts w:cstheme="minorHAnsi"/>
        </w:rPr>
        <w:t xml:space="preserve"> </w:t>
      </w:r>
      <w:proofErr w:type="spellStart"/>
      <w:r w:rsidRPr="00FE4FD3">
        <w:rPr>
          <w:rFonts w:cstheme="minorHAnsi"/>
          <w:i/>
        </w:rPr>
        <w:t>Obstet</w:t>
      </w:r>
      <w:proofErr w:type="spellEnd"/>
      <w:r w:rsidRPr="00FE4FD3">
        <w:rPr>
          <w:rFonts w:cstheme="minorHAnsi"/>
          <w:i/>
        </w:rPr>
        <w:t xml:space="preserve"> Gynecol</w:t>
      </w:r>
      <w:r w:rsidRPr="00FE4FD3">
        <w:rPr>
          <w:rFonts w:cstheme="minorHAnsi"/>
        </w:rPr>
        <w:t>. 2008</w:t>
      </w:r>
      <w:proofErr w:type="gramStart"/>
      <w:r w:rsidRPr="00FE4FD3">
        <w:rPr>
          <w:rFonts w:cstheme="minorHAnsi"/>
        </w:rPr>
        <w:t>;112</w:t>
      </w:r>
      <w:proofErr w:type="gramEnd"/>
      <w:r w:rsidRPr="00FE4FD3">
        <w:rPr>
          <w:rFonts w:cstheme="minorHAnsi"/>
        </w:rPr>
        <w:t>(3):516-523.</w:t>
      </w:r>
    </w:p>
  </w:endnote>
  <w:endnote w:id="7">
    <w:p w14:paraId="77E61E77"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 xml:space="preserve">Dekker GA, Lee SY, North RA, </w:t>
      </w:r>
      <w:proofErr w:type="spellStart"/>
      <w:r w:rsidRPr="00FE4FD3">
        <w:rPr>
          <w:rFonts w:cstheme="minorHAnsi"/>
        </w:rPr>
        <w:t>McCowan</w:t>
      </w:r>
      <w:proofErr w:type="spellEnd"/>
      <w:r w:rsidRPr="00FE4FD3">
        <w:rPr>
          <w:rFonts w:cstheme="minorHAnsi"/>
        </w:rPr>
        <w:t xml:space="preserve"> LM, Simpson NA, Roberts CT. Risk factors for preterm birth in an international prospective cohort of nulliparous women.</w:t>
      </w:r>
      <w:proofErr w:type="gramEnd"/>
      <w:r w:rsidRPr="00FE4FD3">
        <w:rPr>
          <w:rFonts w:cstheme="minorHAnsi"/>
        </w:rPr>
        <w:t xml:space="preserve"> </w:t>
      </w:r>
      <w:proofErr w:type="spellStart"/>
      <w:proofErr w:type="gramStart"/>
      <w:r w:rsidRPr="00FE4FD3">
        <w:rPr>
          <w:rFonts w:cstheme="minorHAnsi"/>
          <w:i/>
        </w:rPr>
        <w:t>PLoS</w:t>
      </w:r>
      <w:proofErr w:type="spellEnd"/>
      <w:r w:rsidRPr="00FE4FD3">
        <w:rPr>
          <w:rFonts w:cstheme="minorHAnsi"/>
          <w:i/>
        </w:rPr>
        <w:t xml:space="preserve"> One</w:t>
      </w:r>
      <w:r w:rsidRPr="00FE4FD3">
        <w:rPr>
          <w:rFonts w:cstheme="minorHAnsi"/>
        </w:rPr>
        <w:t>.</w:t>
      </w:r>
      <w:proofErr w:type="gramEnd"/>
      <w:r w:rsidRPr="00FE4FD3">
        <w:rPr>
          <w:rFonts w:cstheme="minorHAnsi"/>
        </w:rPr>
        <w:t xml:space="preserve"> 2012</w:t>
      </w:r>
      <w:proofErr w:type="gramStart"/>
      <w:r w:rsidRPr="00FE4FD3">
        <w:rPr>
          <w:rFonts w:cstheme="minorHAnsi"/>
        </w:rPr>
        <w:t>;7</w:t>
      </w:r>
      <w:proofErr w:type="gramEnd"/>
      <w:r w:rsidRPr="00FE4FD3">
        <w:rPr>
          <w:rFonts w:cstheme="minorHAnsi"/>
        </w:rPr>
        <w:t>(7):e39154.</w:t>
      </w:r>
    </w:p>
  </w:endnote>
  <w:endnote w:id="8">
    <w:p w14:paraId="522BBBA8"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Greco E, Gupta R, </w:t>
      </w:r>
      <w:proofErr w:type="spellStart"/>
      <w:r w:rsidRPr="00FE4FD3">
        <w:rPr>
          <w:rFonts w:cstheme="minorHAnsi"/>
        </w:rPr>
        <w:t>Syngelaki</w:t>
      </w:r>
      <w:proofErr w:type="spellEnd"/>
      <w:r w:rsidRPr="00FE4FD3">
        <w:rPr>
          <w:rFonts w:cstheme="minorHAnsi"/>
        </w:rPr>
        <w:t xml:space="preserve"> A, Poon LC, </w:t>
      </w:r>
      <w:proofErr w:type="spellStart"/>
      <w:r w:rsidRPr="00FE4FD3">
        <w:rPr>
          <w:rFonts w:cstheme="minorHAnsi"/>
        </w:rPr>
        <w:t>Nicolaides</w:t>
      </w:r>
      <w:proofErr w:type="spellEnd"/>
      <w:r w:rsidRPr="00FE4FD3">
        <w:rPr>
          <w:rFonts w:cstheme="minorHAnsi"/>
        </w:rPr>
        <w:t xml:space="preserve"> KH. </w:t>
      </w:r>
      <w:proofErr w:type="gramStart"/>
      <w:r w:rsidRPr="00FE4FD3">
        <w:rPr>
          <w:rFonts w:cstheme="minorHAnsi"/>
        </w:rPr>
        <w:t>First-trimester screening for spontaneous preterm delivery with maternal characteristics and cervical length.</w:t>
      </w:r>
      <w:proofErr w:type="gramEnd"/>
      <w:r w:rsidRPr="00FE4FD3">
        <w:rPr>
          <w:rFonts w:cstheme="minorHAnsi"/>
        </w:rPr>
        <w:t xml:space="preserve"> </w:t>
      </w:r>
      <w:proofErr w:type="gramStart"/>
      <w:r w:rsidRPr="00FE4FD3">
        <w:rPr>
          <w:rFonts w:cstheme="minorHAnsi"/>
          <w:i/>
        </w:rPr>
        <w:t xml:space="preserve">Fetal </w:t>
      </w:r>
      <w:proofErr w:type="spellStart"/>
      <w:r w:rsidRPr="00FE4FD3">
        <w:rPr>
          <w:rFonts w:cstheme="minorHAnsi"/>
          <w:i/>
        </w:rPr>
        <w:t>Diagn</w:t>
      </w:r>
      <w:proofErr w:type="spellEnd"/>
      <w:r w:rsidRPr="00FE4FD3">
        <w:rPr>
          <w:rFonts w:cstheme="minorHAnsi"/>
          <w:i/>
        </w:rPr>
        <w:t xml:space="preserve"> </w:t>
      </w:r>
      <w:proofErr w:type="spellStart"/>
      <w:r w:rsidRPr="00FE4FD3">
        <w:rPr>
          <w:rFonts w:cstheme="minorHAnsi"/>
          <w:i/>
        </w:rPr>
        <w:t>Ther</w:t>
      </w:r>
      <w:proofErr w:type="spellEnd"/>
      <w:r w:rsidRPr="00FE4FD3">
        <w:rPr>
          <w:rFonts w:cstheme="minorHAnsi"/>
        </w:rPr>
        <w:t>.</w:t>
      </w:r>
      <w:proofErr w:type="gramEnd"/>
      <w:r w:rsidRPr="00FE4FD3">
        <w:rPr>
          <w:rFonts w:cstheme="minorHAnsi"/>
        </w:rPr>
        <w:t xml:space="preserve"> 2012</w:t>
      </w:r>
      <w:proofErr w:type="gramStart"/>
      <w:r w:rsidRPr="00FE4FD3">
        <w:rPr>
          <w:rFonts w:cstheme="minorHAnsi"/>
        </w:rPr>
        <w:t>;31</w:t>
      </w:r>
      <w:proofErr w:type="gramEnd"/>
      <w:r w:rsidRPr="00FE4FD3">
        <w:rPr>
          <w:rFonts w:cstheme="minorHAnsi"/>
        </w:rPr>
        <w:t xml:space="preserve">(3):154-161. </w:t>
      </w:r>
    </w:p>
  </w:endnote>
  <w:endnote w:id="9">
    <w:p w14:paraId="72CB02C1"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spellStart"/>
      <w:r w:rsidRPr="00FE4FD3">
        <w:rPr>
          <w:rFonts w:cstheme="minorHAnsi"/>
        </w:rPr>
        <w:t>Bartick</w:t>
      </w:r>
      <w:proofErr w:type="spellEnd"/>
      <w:r w:rsidRPr="00FE4FD3">
        <w:rPr>
          <w:rFonts w:cstheme="minorHAnsi"/>
        </w:rPr>
        <w:t xml:space="preserve"> MC, Schwarz EB, Green BD, et al. Suboptimal breastfeeding in the United States: Maternal and pediatric health outcomes and costs. </w:t>
      </w:r>
      <w:r w:rsidRPr="00FE4FD3">
        <w:rPr>
          <w:rFonts w:cstheme="minorHAnsi"/>
          <w:i/>
        </w:rPr>
        <w:t xml:space="preserve">Maternal &amp; Child Nutrition </w:t>
      </w:r>
      <w:r w:rsidRPr="00FE4FD3">
        <w:rPr>
          <w:rFonts w:cstheme="minorHAnsi"/>
        </w:rPr>
        <w:t>[serial online]. 2017:13</w:t>
      </w:r>
      <w:proofErr w:type="gramStart"/>
      <w:r w:rsidRPr="00FE4FD3">
        <w:rPr>
          <w:rFonts w:cstheme="minorHAnsi"/>
        </w:rPr>
        <w:t>;e12366</w:t>
      </w:r>
      <w:proofErr w:type="gramEnd"/>
      <w:r w:rsidRPr="00FE4FD3">
        <w:rPr>
          <w:rFonts w:cstheme="minorHAnsi"/>
        </w:rPr>
        <w:t>. Available from: Wiley Online Library Accessed June 19, 2017.</w:t>
      </w:r>
    </w:p>
  </w:endnote>
  <w:endnote w:id="10">
    <w:p w14:paraId="7135A770"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spellStart"/>
      <w:r w:rsidRPr="00FE4FD3">
        <w:rPr>
          <w:rFonts w:cstheme="minorHAnsi"/>
        </w:rPr>
        <w:t>Stuebe</w:t>
      </w:r>
      <w:proofErr w:type="spellEnd"/>
      <w:r w:rsidRPr="00FE4FD3">
        <w:rPr>
          <w:rFonts w:cstheme="minorHAnsi"/>
        </w:rPr>
        <w:t xml:space="preserve"> A. </w:t>
      </w:r>
      <w:proofErr w:type="gramStart"/>
      <w:r w:rsidRPr="00FE4FD3">
        <w:rPr>
          <w:rFonts w:cstheme="minorHAnsi"/>
        </w:rPr>
        <w:t>The Risks of Not Breastfeeding for Mothers and Infants.</w:t>
      </w:r>
      <w:proofErr w:type="gramEnd"/>
      <w:r w:rsidRPr="00FE4FD3">
        <w:rPr>
          <w:rFonts w:cstheme="minorHAnsi"/>
        </w:rPr>
        <w:t xml:space="preserve"> </w:t>
      </w:r>
      <w:r w:rsidRPr="00FE4FD3">
        <w:rPr>
          <w:rFonts w:cstheme="minorHAnsi"/>
          <w:i/>
        </w:rPr>
        <w:t xml:space="preserve">Reviews of Obstetrics &amp; </w:t>
      </w:r>
      <w:proofErr w:type="gramStart"/>
      <w:r w:rsidRPr="00FE4FD3">
        <w:rPr>
          <w:rFonts w:cstheme="minorHAnsi"/>
          <w:i/>
        </w:rPr>
        <w:t>Gynecology[</w:t>
      </w:r>
      <w:proofErr w:type="gramEnd"/>
      <w:r w:rsidRPr="00FE4FD3">
        <w:rPr>
          <w:rFonts w:cstheme="minorHAnsi"/>
          <w:i/>
        </w:rPr>
        <w:t>serial online]</w:t>
      </w:r>
      <w:r w:rsidRPr="00FE4FD3">
        <w:rPr>
          <w:rFonts w:cstheme="minorHAnsi"/>
        </w:rPr>
        <w:t xml:space="preserve">. 2009; 2(4): 222–231. </w:t>
      </w:r>
      <w:proofErr w:type="gramStart"/>
      <w:r w:rsidRPr="00FE4FD3">
        <w:rPr>
          <w:rFonts w:cstheme="minorHAnsi"/>
        </w:rPr>
        <w:t>Available from NCBI PMC.</w:t>
      </w:r>
      <w:proofErr w:type="gramEnd"/>
      <w:r w:rsidRPr="00FE4FD3">
        <w:rPr>
          <w:rFonts w:cstheme="minorHAnsi"/>
        </w:rPr>
        <w:t xml:space="preserve"> </w:t>
      </w:r>
      <w:proofErr w:type="gramStart"/>
      <w:r w:rsidRPr="00FE4FD3">
        <w:rPr>
          <w:rFonts w:cstheme="minorHAnsi"/>
        </w:rPr>
        <w:t>Accessed June 19, 2017.</w:t>
      </w:r>
      <w:proofErr w:type="gramEnd"/>
    </w:p>
  </w:endnote>
  <w:endnote w:id="11">
    <w:p w14:paraId="3265614F"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spellStart"/>
      <w:r w:rsidRPr="00FE4FD3">
        <w:rPr>
          <w:rFonts w:cstheme="minorHAnsi"/>
        </w:rPr>
        <w:t>MacDorman</w:t>
      </w:r>
      <w:proofErr w:type="spellEnd"/>
      <w:r w:rsidRPr="00FE4FD3">
        <w:rPr>
          <w:rFonts w:cstheme="minorHAnsi"/>
        </w:rPr>
        <w:t xml:space="preserve"> MF, Matthews TJ, </w:t>
      </w:r>
      <w:proofErr w:type="spellStart"/>
      <w:r w:rsidRPr="00FE4FD3">
        <w:rPr>
          <w:rFonts w:cstheme="minorHAnsi"/>
        </w:rPr>
        <w:t>Mohangoo</w:t>
      </w:r>
      <w:proofErr w:type="spellEnd"/>
      <w:r w:rsidRPr="00FE4FD3">
        <w:rPr>
          <w:rFonts w:cstheme="minorHAnsi"/>
        </w:rPr>
        <w:t xml:space="preserve"> AD, Zeitlin J. International comparisons of infant mortality and related factors: United States and Europe, 2010. </w:t>
      </w:r>
      <w:r w:rsidRPr="00FE4FD3">
        <w:rPr>
          <w:rFonts w:cstheme="minorHAnsi"/>
          <w:i/>
        </w:rPr>
        <w:t>Natl Vital Stat Rep</w:t>
      </w:r>
      <w:r w:rsidRPr="00FE4FD3">
        <w:rPr>
          <w:rFonts w:cstheme="minorHAnsi"/>
        </w:rPr>
        <w:t>. 2014</w:t>
      </w:r>
      <w:proofErr w:type="gramStart"/>
      <w:r w:rsidRPr="00FE4FD3">
        <w:rPr>
          <w:rFonts w:cstheme="minorHAnsi"/>
        </w:rPr>
        <w:t>;63</w:t>
      </w:r>
      <w:proofErr w:type="gramEnd"/>
      <w:r w:rsidRPr="00FE4FD3">
        <w:rPr>
          <w:rFonts w:cstheme="minorHAnsi"/>
        </w:rPr>
        <w:t>(5):1-6.</w:t>
      </w:r>
    </w:p>
  </w:endnote>
  <w:endnote w:id="12">
    <w:p w14:paraId="7652E3A5"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Lorenz JM, </w:t>
      </w:r>
      <w:proofErr w:type="spellStart"/>
      <w:r w:rsidRPr="00FE4FD3">
        <w:rPr>
          <w:rFonts w:cstheme="minorHAnsi"/>
        </w:rPr>
        <w:t>Ananth</w:t>
      </w:r>
      <w:proofErr w:type="spellEnd"/>
      <w:r w:rsidRPr="00FE4FD3">
        <w:rPr>
          <w:rFonts w:cstheme="minorHAnsi"/>
        </w:rPr>
        <w:t xml:space="preserve"> CV, </w:t>
      </w:r>
      <w:proofErr w:type="spellStart"/>
      <w:r w:rsidRPr="00FE4FD3">
        <w:rPr>
          <w:rFonts w:cstheme="minorHAnsi"/>
        </w:rPr>
        <w:t>Polin</w:t>
      </w:r>
      <w:proofErr w:type="spellEnd"/>
      <w:r w:rsidRPr="00FE4FD3">
        <w:rPr>
          <w:rFonts w:cstheme="minorHAnsi"/>
        </w:rPr>
        <w:t xml:space="preserve"> RA, </w:t>
      </w:r>
      <w:proofErr w:type="spellStart"/>
      <w:r w:rsidRPr="00FE4FD3">
        <w:rPr>
          <w:rFonts w:cstheme="minorHAnsi"/>
        </w:rPr>
        <w:t>D'Alton</w:t>
      </w:r>
      <w:proofErr w:type="spellEnd"/>
      <w:r w:rsidRPr="00FE4FD3">
        <w:rPr>
          <w:rFonts w:cstheme="minorHAnsi"/>
        </w:rPr>
        <w:t xml:space="preserve"> ME. </w:t>
      </w:r>
      <w:proofErr w:type="gramStart"/>
      <w:r w:rsidRPr="00FE4FD3">
        <w:rPr>
          <w:rFonts w:cstheme="minorHAnsi"/>
        </w:rPr>
        <w:t>Infant mortality in the United States.</w:t>
      </w:r>
      <w:proofErr w:type="gramEnd"/>
      <w:r w:rsidRPr="00FE4FD3">
        <w:rPr>
          <w:rFonts w:cstheme="minorHAnsi"/>
        </w:rPr>
        <w:t xml:space="preserve"> </w:t>
      </w:r>
      <w:proofErr w:type="gramStart"/>
      <w:r w:rsidRPr="00FE4FD3">
        <w:rPr>
          <w:rFonts w:cstheme="minorHAnsi"/>
          <w:i/>
        </w:rPr>
        <w:t xml:space="preserve">J </w:t>
      </w:r>
      <w:proofErr w:type="spellStart"/>
      <w:r w:rsidRPr="00FE4FD3">
        <w:rPr>
          <w:rFonts w:cstheme="minorHAnsi"/>
          <w:i/>
        </w:rPr>
        <w:t>Perinatol</w:t>
      </w:r>
      <w:proofErr w:type="spellEnd"/>
      <w:r w:rsidRPr="00FE4FD3">
        <w:rPr>
          <w:rFonts w:cstheme="minorHAnsi"/>
          <w:i/>
        </w:rPr>
        <w:t>.</w:t>
      </w:r>
      <w:proofErr w:type="gramEnd"/>
      <w:r w:rsidRPr="00FE4FD3">
        <w:rPr>
          <w:rFonts w:cstheme="minorHAnsi"/>
        </w:rPr>
        <w:t xml:space="preserve"> 2016</w:t>
      </w:r>
      <w:proofErr w:type="gramStart"/>
      <w:r w:rsidRPr="00FE4FD3">
        <w:rPr>
          <w:rFonts w:cstheme="minorHAnsi"/>
        </w:rPr>
        <w:t>;36</w:t>
      </w:r>
      <w:proofErr w:type="gramEnd"/>
      <w:r w:rsidRPr="00FE4FD3">
        <w:rPr>
          <w:rFonts w:cstheme="minorHAnsi"/>
        </w:rPr>
        <w:t>(10):797-801.</w:t>
      </w:r>
    </w:p>
  </w:endnote>
  <w:endnote w:id="13">
    <w:p w14:paraId="64F429E0"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Smith VC, Wilson CR. Families Affected by Parental Substance Use. </w:t>
      </w:r>
      <w:proofErr w:type="gramStart"/>
      <w:r w:rsidRPr="00FE4FD3">
        <w:rPr>
          <w:rFonts w:cstheme="minorHAnsi"/>
          <w:i/>
        </w:rPr>
        <w:t>Pediatrics[</w:t>
      </w:r>
      <w:proofErr w:type="gramEnd"/>
      <w:r w:rsidRPr="00FE4FD3">
        <w:rPr>
          <w:rFonts w:cstheme="minorHAnsi"/>
          <w:i/>
        </w:rPr>
        <w:t>serial online]</w:t>
      </w:r>
      <w:r w:rsidRPr="00FE4FD3">
        <w:rPr>
          <w:rFonts w:cstheme="minorHAnsi"/>
        </w:rPr>
        <w:t xml:space="preserve">. </w:t>
      </w:r>
      <w:proofErr w:type="gramStart"/>
      <w:r w:rsidRPr="00FE4FD3">
        <w:rPr>
          <w:rFonts w:cstheme="minorHAnsi"/>
        </w:rPr>
        <w:t>2016; 138(2).</w:t>
      </w:r>
      <w:proofErr w:type="gramEnd"/>
      <w:r w:rsidRPr="00FE4FD3">
        <w:rPr>
          <w:rFonts w:cstheme="minorHAnsi"/>
        </w:rPr>
        <w:t xml:space="preserve"> </w:t>
      </w:r>
      <w:proofErr w:type="gramStart"/>
      <w:r w:rsidRPr="00FE4FD3">
        <w:rPr>
          <w:rFonts w:cstheme="minorHAnsi"/>
        </w:rPr>
        <w:t>Available from AAP Publications.</w:t>
      </w:r>
      <w:proofErr w:type="gramEnd"/>
      <w:r w:rsidRPr="00FE4FD3">
        <w:rPr>
          <w:rFonts w:cstheme="minorHAnsi"/>
        </w:rPr>
        <w:t xml:space="preserve"> </w:t>
      </w:r>
      <w:proofErr w:type="gramStart"/>
      <w:r w:rsidRPr="00FE4FD3">
        <w:rPr>
          <w:rFonts w:cstheme="minorHAnsi"/>
        </w:rPr>
        <w:t>Accessed June 26, 2017.</w:t>
      </w:r>
      <w:proofErr w:type="gramEnd"/>
    </w:p>
  </w:endnote>
  <w:endnote w:id="14">
    <w:p w14:paraId="05F756D0"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Bishop D, et al. Pregnant Women and Substance Use: Overview of Research &amp; Policy in the United States</w:t>
      </w:r>
      <w:r w:rsidRPr="00FE4FD3">
        <w:rPr>
          <w:rFonts w:cstheme="minorHAnsi"/>
          <w:i/>
        </w:rPr>
        <w:t xml:space="preserve">. </w:t>
      </w:r>
      <w:proofErr w:type="gramStart"/>
      <w:r w:rsidRPr="00FE4FD3">
        <w:rPr>
          <w:rFonts w:cstheme="minorHAnsi"/>
        </w:rPr>
        <w:t>Bridging the Divide: A Project of the Jacobs Institute of Women’s Health.</w:t>
      </w:r>
      <w:proofErr w:type="gramEnd"/>
      <w:r w:rsidRPr="00FE4FD3">
        <w:rPr>
          <w:rFonts w:cstheme="minorHAnsi"/>
        </w:rPr>
        <w:t xml:space="preserve"> Feb. 2017. Available at: http://hsrc.himmelfarb.gwu.edu/cgi/viewcontent.cgi?article=1004&amp;context=sphhs_centers_jacobs. </w:t>
      </w:r>
      <w:proofErr w:type="gramStart"/>
      <w:r w:rsidRPr="00FE4FD3">
        <w:rPr>
          <w:rFonts w:cstheme="minorHAnsi"/>
        </w:rPr>
        <w:t>Accessed June 26, 2017.</w:t>
      </w:r>
      <w:proofErr w:type="gramEnd"/>
      <w:r w:rsidRPr="00FE4FD3">
        <w:rPr>
          <w:rFonts w:cstheme="minorHAnsi"/>
        </w:rPr>
        <w:t xml:space="preserve">  </w:t>
      </w:r>
    </w:p>
  </w:endnote>
  <w:endnote w:id="15">
    <w:p w14:paraId="7CCA1445" w14:textId="660EA6BF"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Commonwealth of Massachusetts Health Policy Commission.</w:t>
      </w:r>
      <w:proofErr w:type="gramEnd"/>
      <w:r w:rsidRPr="00FE4FD3">
        <w:rPr>
          <w:rFonts w:cstheme="minorHAnsi"/>
        </w:rPr>
        <w:t xml:space="preserve"> </w:t>
      </w:r>
      <w:proofErr w:type="gramStart"/>
      <w:r w:rsidRPr="00FE4FD3">
        <w:rPr>
          <w:rFonts w:cstheme="minorHAnsi"/>
        </w:rPr>
        <w:t>Opioid Use Disorder in Massachusetts.</w:t>
      </w:r>
      <w:proofErr w:type="gramEnd"/>
      <w:r w:rsidRPr="00FE4FD3">
        <w:rPr>
          <w:rFonts w:cstheme="minorHAnsi"/>
        </w:rPr>
        <w:t xml:space="preserve"> Available at: http://www.mass.gov/anf/budget-taxes-and-procurement/oversight-agencies/health-policy-commission/publications/opioid-use-disorder-report.pdf. </w:t>
      </w:r>
      <w:proofErr w:type="gramStart"/>
      <w:r w:rsidRPr="00FE4FD3">
        <w:rPr>
          <w:rFonts w:cstheme="minorHAnsi"/>
        </w:rPr>
        <w:t>Accessed June 26, 2017.</w:t>
      </w:r>
      <w:proofErr w:type="gramEnd"/>
      <w:r w:rsidRPr="00FE4FD3">
        <w:rPr>
          <w:rFonts w:cstheme="minorHAnsi"/>
        </w:rPr>
        <w:t xml:space="preserve">  </w:t>
      </w:r>
    </w:p>
  </w:endnote>
  <w:endnote w:id="16">
    <w:p w14:paraId="6F78896F" w14:textId="5663A73A"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MDPH.</w:t>
      </w:r>
      <w:proofErr w:type="gramEnd"/>
      <w:r w:rsidRPr="00FE4FD3">
        <w:rPr>
          <w:rFonts w:cstheme="minorHAnsi"/>
        </w:rPr>
        <w:t xml:space="preserve"> An Assessment of Fatal and Nonfatal Opioid Overdoses in Massachusetts (2011 – 2015). Available at: </w:t>
      </w:r>
      <w:hyperlink r:id="rId1" w:history="1">
        <w:r w:rsidRPr="00FE4FD3">
          <w:rPr>
            <w:rStyle w:val="Hyperlink"/>
            <w:color w:val="auto"/>
          </w:rPr>
          <w:t>http://www.mass.gov/eohhs/docs/dph/stop-addiction/legislative-report-chapter-55-aug-2017.pdf</w:t>
        </w:r>
      </w:hyperlink>
      <w:r w:rsidRPr="00FE4FD3">
        <w:rPr>
          <w:rFonts w:cstheme="minorHAnsi"/>
        </w:rPr>
        <w:t xml:space="preserve">. </w:t>
      </w:r>
      <w:proofErr w:type="gramStart"/>
      <w:r w:rsidRPr="00FE4FD3">
        <w:rPr>
          <w:rFonts w:cstheme="minorHAnsi"/>
        </w:rPr>
        <w:t>Accessed August 18, 2017.</w:t>
      </w:r>
      <w:proofErr w:type="gramEnd"/>
      <w:r w:rsidRPr="00FE4FD3">
        <w:rPr>
          <w:rFonts w:cstheme="minorHAnsi"/>
        </w:rPr>
        <w:t xml:space="preserve"> </w:t>
      </w:r>
    </w:p>
  </w:endnote>
  <w:endnote w:id="17">
    <w:p w14:paraId="7E3D5697"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Changing concepts of sudden infant death syndrome: implications for infant sleeping environment and sleep position. </w:t>
      </w:r>
      <w:proofErr w:type="gramStart"/>
      <w:r w:rsidRPr="00FE4FD3">
        <w:rPr>
          <w:rFonts w:cstheme="minorHAnsi"/>
        </w:rPr>
        <w:t>American Academy of Pediatrics.</w:t>
      </w:r>
      <w:proofErr w:type="gramEnd"/>
      <w:r w:rsidRPr="00FE4FD3">
        <w:rPr>
          <w:rFonts w:cstheme="minorHAnsi"/>
        </w:rPr>
        <w:t xml:space="preserve"> </w:t>
      </w:r>
      <w:proofErr w:type="gramStart"/>
      <w:r w:rsidRPr="00FE4FD3">
        <w:rPr>
          <w:rFonts w:cstheme="minorHAnsi"/>
        </w:rPr>
        <w:t>Task Force on Infant Sleep Position and Sudden Infant Death Syndrome.</w:t>
      </w:r>
      <w:proofErr w:type="gramEnd"/>
      <w:r w:rsidRPr="00FE4FD3">
        <w:rPr>
          <w:rFonts w:cstheme="minorHAnsi"/>
        </w:rPr>
        <w:t xml:space="preserve"> </w:t>
      </w:r>
      <w:proofErr w:type="gramStart"/>
      <w:r w:rsidRPr="00FE4FD3">
        <w:rPr>
          <w:rFonts w:cstheme="minorHAnsi"/>
          <w:i/>
        </w:rPr>
        <w:t>Pediatrics</w:t>
      </w:r>
      <w:r w:rsidRPr="00FE4FD3">
        <w:rPr>
          <w:rFonts w:cstheme="minorHAnsi"/>
        </w:rPr>
        <w:t>.</w:t>
      </w:r>
      <w:proofErr w:type="gramEnd"/>
      <w:r w:rsidRPr="00FE4FD3">
        <w:rPr>
          <w:rFonts w:cstheme="minorHAnsi"/>
        </w:rPr>
        <w:t xml:space="preserve"> 2000 Mar</w:t>
      </w:r>
      <w:proofErr w:type="gramStart"/>
      <w:r w:rsidRPr="00FE4FD3">
        <w:rPr>
          <w:rFonts w:cstheme="minorHAnsi"/>
        </w:rPr>
        <w:t>;105</w:t>
      </w:r>
      <w:proofErr w:type="gramEnd"/>
      <w:r w:rsidRPr="00FE4FD3">
        <w:rPr>
          <w:rFonts w:cstheme="minorHAnsi"/>
        </w:rPr>
        <w:t>(3 Pt 1):650-656.</w:t>
      </w:r>
    </w:p>
  </w:endnote>
  <w:endnote w:id="18">
    <w:p w14:paraId="122FD505"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Halloran DR, Alexander GR. Preterm delivery and age of SIDS death. </w:t>
      </w:r>
      <w:r w:rsidRPr="00FE4FD3">
        <w:rPr>
          <w:rFonts w:cstheme="minorHAnsi"/>
          <w:i/>
        </w:rPr>
        <w:t xml:space="preserve">Ann </w:t>
      </w:r>
      <w:proofErr w:type="spellStart"/>
      <w:r w:rsidRPr="00FE4FD3">
        <w:rPr>
          <w:rFonts w:cstheme="minorHAnsi"/>
          <w:i/>
        </w:rPr>
        <w:t>Epidemiol</w:t>
      </w:r>
      <w:proofErr w:type="spellEnd"/>
      <w:r w:rsidRPr="00FE4FD3">
        <w:rPr>
          <w:rFonts w:cstheme="minorHAnsi"/>
        </w:rPr>
        <w:t>. 2006</w:t>
      </w:r>
      <w:proofErr w:type="gramStart"/>
      <w:r w:rsidRPr="00FE4FD3">
        <w:rPr>
          <w:rFonts w:cstheme="minorHAnsi"/>
        </w:rPr>
        <w:t>;16</w:t>
      </w:r>
      <w:proofErr w:type="gramEnd"/>
      <w:r w:rsidRPr="00FE4FD3">
        <w:rPr>
          <w:rFonts w:cstheme="minorHAnsi"/>
        </w:rPr>
        <w:t>(8):600-606.</w:t>
      </w:r>
    </w:p>
  </w:endnote>
  <w:endnote w:id="19">
    <w:p w14:paraId="500BE586" w14:textId="48133CCD" w:rsidR="003F257A" w:rsidRPr="00FE4FD3" w:rsidRDefault="003F257A" w:rsidP="00FE4FD3">
      <w:pPr>
        <w:pStyle w:val="REFERENCES"/>
        <w:rPr>
          <w:rFonts w:eastAsia="Times New Roman" w:cstheme="minorHAnsi"/>
        </w:rPr>
      </w:pPr>
      <w:r w:rsidRPr="00FE4FD3">
        <w:rPr>
          <w:rStyle w:val="EndnoteReference"/>
          <w:rFonts w:cstheme="minorHAnsi"/>
        </w:rPr>
        <w:endnoteRef/>
      </w:r>
      <w:r w:rsidRPr="00FE4FD3">
        <w:rPr>
          <w:rFonts w:cstheme="minorHAnsi"/>
        </w:rPr>
        <w:t xml:space="preserve"> </w:t>
      </w:r>
      <w:proofErr w:type="gramStart"/>
      <w:r w:rsidRPr="00FE4FD3">
        <w:rPr>
          <w:rFonts w:eastAsia="Times New Roman" w:cstheme="minorHAnsi"/>
          <w:bdr w:val="none" w:sz="0" w:space="0" w:color="auto" w:frame="1"/>
        </w:rPr>
        <w:t>Blair PS</w:t>
      </w:r>
      <w:r w:rsidRPr="00FE4FD3">
        <w:rPr>
          <w:rFonts w:eastAsia="Times New Roman" w:cstheme="minorHAnsi"/>
        </w:rPr>
        <w:t>, </w:t>
      </w:r>
      <w:r w:rsidRPr="00FE4FD3">
        <w:rPr>
          <w:rFonts w:eastAsia="Times New Roman" w:cstheme="minorHAnsi"/>
          <w:bdr w:val="none" w:sz="0" w:space="0" w:color="auto" w:frame="1"/>
        </w:rPr>
        <w:t>Fleming PJ</w:t>
      </w:r>
      <w:r w:rsidRPr="00FE4FD3">
        <w:rPr>
          <w:rFonts w:eastAsia="Times New Roman" w:cstheme="minorHAnsi"/>
        </w:rPr>
        <w:t>, </w:t>
      </w:r>
      <w:r w:rsidRPr="00FE4FD3">
        <w:rPr>
          <w:rFonts w:eastAsia="Times New Roman" w:cstheme="minorHAnsi"/>
          <w:bdr w:val="none" w:sz="0" w:space="0" w:color="auto" w:frame="1"/>
        </w:rPr>
        <w:t>Smith IJ</w:t>
      </w:r>
      <w:r w:rsidRPr="00FE4FD3">
        <w:rPr>
          <w:rFonts w:eastAsia="Times New Roman" w:cstheme="minorHAnsi"/>
        </w:rPr>
        <w:t>, </w:t>
      </w:r>
      <w:r w:rsidRPr="00FE4FD3">
        <w:rPr>
          <w:rFonts w:eastAsia="Times New Roman" w:cstheme="minorHAnsi"/>
          <w:bdr w:val="none" w:sz="0" w:space="0" w:color="auto" w:frame="1"/>
        </w:rPr>
        <w:t>et al</w:t>
      </w:r>
      <w:r w:rsidRPr="00FE4FD3">
        <w:rPr>
          <w:rFonts w:eastAsia="Times New Roman" w:cstheme="minorHAnsi"/>
          <w:bdr w:val="none" w:sz="0" w:space="0" w:color="auto" w:frame="1"/>
          <w:shd w:val="clear" w:color="auto" w:fill="FFFFFF"/>
        </w:rPr>
        <w:t>; CESDI SUDI Research Group.</w:t>
      </w:r>
      <w:proofErr w:type="gramEnd"/>
      <w:r w:rsidRPr="00FE4FD3">
        <w:rPr>
          <w:rFonts w:eastAsia="Times New Roman" w:cstheme="minorHAnsi"/>
          <w:bdr w:val="none" w:sz="0" w:space="0" w:color="auto" w:frame="1"/>
          <w:shd w:val="clear" w:color="auto" w:fill="FFFFFF"/>
        </w:rPr>
        <w:t> Babies sleeping with parents: case-control study of factors influencing the risk of the sudden infant death syndrome. </w:t>
      </w:r>
      <w:r w:rsidRPr="00FE4FD3">
        <w:rPr>
          <w:rFonts w:eastAsia="Times New Roman" w:cstheme="minorHAnsi"/>
          <w:i/>
          <w:bdr w:val="none" w:sz="0" w:space="0" w:color="auto" w:frame="1"/>
          <w:shd w:val="clear" w:color="auto" w:fill="FFFFFF"/>
        </w:rPr>
        <w:t>BMJ</w:t>
      </w:r>
      <w:r w:rsidRPr="00FE4FD3">
        <w:rPr>
          <w:rFonts w:eastAsia="Times New Roman" w:cstheme="minorHAnsi"/>
          <w:bdr w:val="none" w:sz="0" w:space="0" w:color="auto" w:frame="1"/>
          <w:shd w:val="clear" w:color="auto" w:fill="FFFFFF"/>
        </w:rPr>
        <w:t>.1999</w:t>
      </w:r>
      <w:proofErr w:type="gramStart"/>
      <w:r w:rsidRPr="00FE4FD3">
        <w:rPr>
          <w:rFonts w:eastAsia="Times New Roman" w:cstheme="minorHAnsi"/>
          <w:bdr w:val="none" w:sz="0" w:space="0" w:color="auto" w:frame="1"/>
          <w:shd w:val="clear" w:color="auto" w:fill="FFFFFF"/>
        </w:rPr>
        <w:t>;319</w:t>
      </w:r>
      <w:proofErr w:type="gramEnd"/>
      <w:r w:rsidRPr="00FE4FD3">
        <w:rPr>
          <w:rFonts w:eastAsia="Times New Roman" w:cstheme="minorHAnsi"/>
          <w:bdr w:val="none" w:sz="0" w:space="0" w:color="auto" w:frame="1"/>
          <w:shd w:val="clear" w:color="auto" w:fill="FFFFFF"/>
        </w:rPr>
        <w:t>(7223):1457–1461pmid:10582925.</w:t>
      </w:r>
    </w:p>
  </w:endnote>
  <w:endnote w:id="20">
    <w:p w14:paraId="7371352C" w14:textId="2510716C"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spellStart"/>
      <w:r w:rsidRPr="00FE4FD3">
        <w:rPr>
          <w:rFonts w:eastAsia="Times New Roman" w:cstheme="minorHAnsi"/>
          <w:bdr w:val="none" w:sz="0" w:space="0" w:color="auto" w:frame="1"/>
        </w:rPr>
        <w:t>Getahun</w:t>
      </w:r>
      <w:proofErr w:type="spellEnd"/>
      <w:r w:rsidRPr="00FE4FD3">
        <w:rPr>
          <w:rFonts w:eastAsia="Times New Roman" w:cstheme="minorHAnsi"/>
          <w:bdr w:val="none" w:sz="0" w:space="0" w:color="auto" w:frame="1"/>
        </w:rPr>
        <w:t> D</w:t>
      </w:r>
      <w:r w:rsidRPr="00FE4FD3">
        <w:rPr>
          <w:rFonts w:eastAsia="Times New Roman" w:cstheme="minorHAnsi"/>
        </w:rPr>
        <w:t>, </w:t>
      </w:r>
      <w:proofErr w:type="spellStart"/>
      <w:r w:rsidRPr="00FE4FD3">
        <w:rPr>
          <w:rFonts w:eastAsia="Times New Roman" w:cstheme="minorHAnsi"/>
          <w:bdr w:val="none" w:sz="0" w:space="0" w:color="auto" w:frame="1"/>
        </w:rPr>
        <w:t>Amre</w:t>
      </w:r>
      <w:proofErr w:type="spellEnd"/>
      <w:r w:rsidRPr="00FE4FD3">
        <w:rPr>
          <w:rFonts w:eastAsia="Times New Roman" w:cstheme="minorHAnsi"/>
          <w:bdr w:val="none" w:sz="0" w:space="0" w:color="auto" w:frame="1"/>
        </w:rPr>
        <w:t> D</w:t>
      </w:r>
      <w:r w:rsidRPr="00FE4FD3">
        <w:rPr>
          <w:rFonts w:eastAsia="Times New Roman" w:cstheme="minorHAnsi"/>
        </w:rPr>
        <w:t>, </w:t>
      </w:r>
      <w:r w:rsidRPr="00FE4FD3">
        <w:rPr>
          <w:rFonts w:eastAsia="Times New Roman" w:cstheme="minorHAnsi"/>
          <w:bdr w:val="none" w:sz="0" w:space="0" w:color="auto" w:frame="1"/>
        </w:rPr>
        <w:t>Rhoads GG</w:t>
      </w:r>
      <w:r w:rsidRPr="00FE4FD3">
        <w:rPr>
          <w:rFonts w:eastAsia="Times New Roman" w:cstheme="minorHAnsi"/>
        </w:rPr>
        <w:t>, </w:t>
      </w:r>
      <w:proofErr w:type="spellStart"/>
      <w:r w:rsidRPr="00FE4FD3">
        <w:rPr>
          <w:rFonts w:eastAsia="Times New Roman" w:cstheme="minorHAnsi"/>
          <w:bdr w:val="none" w:sz="0" w:space="0" w:color="auto" w:frame="1"/>
        </w:rPr>
        <w:t>Demissie</w:t>
      </w:r>
      <w:proofErr w:type="spellEnd"/>
      <w:r w:rsidRPr="00FE4FD3">
        <w:rPr>
          <w:rFonts w:eastAsia="Times New Roman" w:cstheme="minorHAnsi"/>
          <w:bdr w:val="none" w:sz="0" w:space="0" w:color="auto" w:frame="1"/>
        </w:rPr>
        <w:t> K</w:t>
      </w:r>
      <w:r w:rsidRPr="00FE4FD3">
        <w:rPr>
          <w:rFonts w:eastAsia="Times New Roman" w:cstheme="minorHAnsi"/>
          <w:bdr w:val="none" w:sz="0" w:space="0" w:color="auto" w:frame="1"/>
          <w:shd w:val="clear" w:color="auto" w:fill="FFFFFF"/>
        </w:rPr>
        <w:t> Maternal and obstetric risk factors for sudden infant death syndrome in the United States. </w:t>
      </w:r>
      <w:proofErr w:type="spellStart"/>
      <w:r w:rsidRPr="00FE4FD3">
        <w:rPr>
          <w:rFonts w:eastAsia="Times New Roman" w:cstheme="minorHAnsi"/>
          <w:i/>
          <w:bdr w:val="none" w:sz="0" w:space="0" w:color="auto" w:frame="1"/>
          <w:shd w:val="clear" w:color="auto" w:fill="FFFFFF"/>
        </w:rPr>
        <w:t>Obstet</w:t>
      </w:r>
      <w:proofErr w:type="spellEnd"/>
      <w:r w:rsidRPr="00FE4FD3">
        <w:rPr>
          <w:rFonts w:eastAsia="Times New Roman" w:cstheme="minorHAnsi"/>
          <w:i/>
          <w:bdr w:val="none" w:sz="0" w:space="0" w:color="auto" w:frame="1"/>
          <w:shd w:val="clear" w:color="auto" w:fill="FFFFFF"/>
        </w:rPr>
        <w:t xml:space="preserve"> Gynecol</w:t>
      </w:r>
      <w:r w:rsidRPr="00FE4FD3">
        <w:rPr>
          <w:rFonts w:eastAsia="Times New Roman" w:cstheme="minorHAnsi"/>
          <w:bdr w:val="none" w:sz="0" w:space="0" w:color="auto" w:frame="1"/>
          <w:shd w:val="clear" w:color="auto" w:fill="FFFFFF"/>
        </w:rPr>
        <w:t>. 2004</w:t>
      </w:r>
      <w:proofErr w:type="gramStart"/>
      <w:r w:rsidRPr="00FE4FD3">
        <w:rPr>
          <w:rFonts w:eastAsia="Times New Roman" w:cstheme="minorHAnsi"/>
          <w:bdr w:val="none" w:sz="0" w:space="0" w:color="auto" w:frame="1"/>
          <w:shd w:val="clear" w:color="auto" w:fill="FFFFFF"/>
        </w:rPr>
        <w:t>;103</w:t>
      </w:r>
      <w:proofErr w:type="gramEnd"/>
      <w:r w:rsidRPr="00FE4FD3">
        <w:rPr>
          <w:rFonts w:eastAsia="Times New Roman" w:cstheme="minorHAnsi"/>
          <w:bdr w:val="none" w:sz="0" w:space="0" w:color="auto" w:frame="1"/>
          <w:shd w:val="clear" w:color="auto" w:fill="FFFFFF"/>
        </w:rPr>
        <w:t>(4):646–652pmid:15051553.</w:t>
      </w:r>
    </w:p>
  </w:endnote>
  <w:endnote w:id="21">
    <w:p w14:paraId="5911BD9D" w14:textId="02DBF3C3" w:rsidR="003F257A" w:rsidRPr="00FE4FD3" w:rsidRDefault="003F257A" w:rsidP="00FE4FD3">
      <w:pPr>
        <w:pStyle w:val="REFERENCES"/>
        <w:rPr>
          <w:rFonts w:eastAsia="Times New Roman" w:cstheme="minorHAnsi"/>
        </w:rPr>
      </w:pPr>
      <w:r w:rsidRPr="00FE4FD3">
        <w:rPr>
          <w:rStyle w:val="EndnoteReference"/>
          <w:rFonts w:cstheme="minorHAnsi"/>
        </w:rPr>
        <w:endnoteRef/>
      </w:r>
      <w:r w:rsidRPr="00FE4FD3">
        <w:rPr>
          <w:rFonts w:cstheme="minorHAnsi"/>
        </w:rPr>
        <w:t xml:space="preserve"> </w:t>
      </w:r>
      <w:r w:rsidRPr="00FE4FD3">
        <w:rPr>
          <w:rFonts w:eastAsia="Times New Roman" w:cstheme="minorHAnsi"/>
          <w:bdr w:val="none" w:sz="0" w:space="0" w:color="auto" w:frame="1"/>
        </w:rPr>
        <w:t>Kandall SR</w:t>
      </w:r>
      <w:r w:rsidRPr="00FE4FD3">
        <w:rPr>
          <w:rFonts w:eastAsia="Times New Roman" w:cstheme="minorHAnsi"/>
        </w:rPr>
        <w:t>, </w:t>
      </w:r>
      <w:r w:rsidRPr="00FE4FD3">
        <w:rPr>
          <w:rFonts w:eastAsia="Times New Roman" w:cstheme="minorHAnsi"/>
          <w:bdr w:val="none" w:sz="0" w:space="0" w:color="auto" w:frame="1"/>
        </w:rPr>
        <w:t>Gaines J</w:t>
      </w:r>
      <w:r w:rsidRPr="00FE4FD3">
        <w:rPr>
          <w:rFonts w:eastAsia="Times New Roman" w:cstheme="minorHAnsi"/>
        </w:rPr>
        <w:t>, </w:t>
      </w:r>
      <w:r w:rsidRPr="00FE4FD3">
        <w:rPr>
          <w:rFonts w:eastAsia="Times New Roman" w:cstheme="minorHAnsi"/>
          <w:bdr w:val="none" w:sz="0" w:space="0" w:color="auto" w:frame="1"/>
        </w:rPr>
        <w:t>Habel L</w:t>
      </w:r>
      <w:r w:rsidRPr="00FE4FD3">
        <w:rPr>
          <w:rFonts w:eastAsia="Times New Roman" w:cstheme="minorHAnsi"/>
        </w:rPr>
        <w:t>, </w:t>
      </w:r>
      <w:r w:rsidRPr="00FE4FD3">
        <w:rPr>
          <w:rFonts w:eastAsia="Times New Roman" w:cstheme="minorHAnsi"/>
          <w:bdr w:val="none" w:sz="0" w:space="0" w:color="auto" w:frame="1"/>
        </w:rPr>
        <w:t>Davidson G</w:t>
      </w:r>
      <w:r w:rsidRPr="00FE4FD3">
        <w:rPr>
          <w:rFonts w:eastAsia="Times New Roman" w:cstheme="minorHAnsi"/>
        </w:rPr>
        <w:t>, </w:t>
      </w:r>
      <w:r w:rsidRPr="00FE4FD3">
        <w:rPr>
          <w:rFonts w:eastAsia="Times New Roman" w:cstheme="minorHAnsi"/>
          <w:bdr w:val="none" w:sz="0" w:space="0" w:color="auto" w:frame="1"/>
        </w:rPr>
        <w:t>Jessop D</w:t>
      </w:r>
      <w:r w:rsidRPr="00FE4FD3">
        <w:rPr>
          <w:rFonts w:eastAsia="Times New Roman" w:cstheme="minorHAnsi"/>
          <w:bdr w:val="none" w:sz="0" w:space="0" w:color="auto" w:frame="1"/>
          <w:shd w:val="clear" w:color="auto" w:fill="FFFFFF"/>
        </w:rPr>
        <w:t>. Relationship of maternal substance abuse to subsequent sudden infant death syndrome in offspring. </w:t>
      </w:r>
      <w:proofErr w:type="gramStart"/>
      <w:r w:rsidRPr="00FE4FD3">
        <w:rPr>
          <w:rFonts w:eastAsia="Times New Roman" w:cstheme="minorHAnsi"/>
          <w:i/>
          <w:bdr w:val="none" w:sz="0" w:space="0" w:color="auto" w:frame="1"/>
          <w:shd w:val="clear" w:color="auto" w:fill="FFFFFF"/>
        </w:rPr>
        <w:t xml:space="preserve">J </w:t>
      </w:r>
      <w:proofErr w:type="spellStart"/>
      <w:r w:rsidRPr="00FE4FD3">
        <w:rPr>
          <w:rFonts w:eastAsia="Times New Roman" w:cstheme="minorHAnsi"/>
          <w:i/>
          <w:bdr w:val="none" w:sz="0" w:space="0" w:color="auto" w:frame="1"/>
          <w:shd w:val="clear" w:color="auto" w:fill="FFFFFF"/>
        </w:rPr>
        <w:t>Pediatr</w:t>
      </w:r>
      <w:proofErr w:type="spellEnd"/>
      <w:r w:rsidRPr="00FE4FD3">
        <w:rPr>
          <w:rFonts w:eastAsia="Times New Roman" w:cstheme="minorHAnsi"/>
          <w:bdr w:val="none" w:sz="0" w:space="0" w:color="auto" w:frame="1"/>
          <w:shd w:val="clear" w:color="auto" w:fill="FFFFFF"/>
        </w:rPr>
        <w:t>.</w:t>
      </w:r>
      <w:proofErr w:type="gramEnd"/>
      <w:r w:rsidRPr="00FE4FD3">
        <w:rPr>
          <w:rFonts w:eastAsia="Times New Roman" w:cstheme="minorHAnsi"/>
          <w:bdr w:val="none" w:sz="0" w:space="0" w:color="auto" w:frame="1"/>
          <w:shd w:val="clear" w:color="auto" w:fill="FFFFFF"/>
        </w:rPr>
        <w:t> 1993</w:t>
      </w:r>
      <w:proofErr w:type="gramStart"/>
      <w:r w:rsidRPr="00FE4FD3">
        <w:rPr>
          <w:rFonts w:eastAsia="Times New Roman" w:cstheme="minorHAnsi"/>
          <w:bdr w:val="none" w:sz="0" w:space="0" w:color="auto" w:frame="1"/>
          <w:shd w:val="clear" w:color="auto" w:fill="FFFFFF"/>
        </w:rPr>
        <w:t>;123</w:t>
      </w:r>
      <w:proofErr w:type="gramEnd"/>
      <w:r w:rsidRPr="00FE4FD3">
        <w:rPr>
          <w:rFonts w:eastAsia="Times New Roman" w:cstheme="minorHAnsi"/>
          <w:bdr w:val="none" w:sz="0" w:space="0" w:color="auto" w:frame="1"/>
          <w:shd w:val="clear" w:color="auto" w:fill="FFFFFF"/>
        </w:rPr>
        <w:t>(1):120–126pmid:8320605.</w:t>
      </w:r>
    </w:p>
  </w:endnote>
  <w:endnote w:id="22">
    <w:p w14:paraId="18A407C7" w14:textId="4B2323CE" w:rsidR="003F257A" w:rsidRPr="00FE4FD3" w:rsidRDefault="003F257A" w:rsidP="00FE4FD3">
      <w:pPr>
        <w:pStyle w:val="REFERENCES"/>
        <w:rPr>
          <w:rFonts w:eastAsia="Times New Roman" w:cstheme="minorHAnsi"/>
        </w:rPr>
      </w:pPr>
      <w:r w:rsidRPr="00FE4FD3">
        <w:rPr>
          <w:rStyle w:val="EndnoteReference"/>
          <w:rFonts w:cstheme="minorHAnsi"/>
        </w:rPr>
        <w:endnoteRef/>
      </w:r>
      <w:r w:rsidRPr="00FE4FD3">
        <w:rPr>
          <w:rFonts w:cstheme="minorHAnsi"/>
        </w:rPr>
        <w:t xml:space="preserve"> </w:t>
      </w:r>
      <w:r w:rsidRPr="00FE4FD3">
        <w:rPr>
          <w:rFonts w:eastAsia="Times New Roman" w:cstheme="minorHAnsi"/>
          <w:bdr w:val="none" w:sz="0" w:space="0" w:color="auto" w:frame="1"/>
        </w:rPr>
        <w:t>Hauck FR</w:t>
      </w:r>
      <w:r w:rsidRPr="00FE4FD3">
        <w:rPr>
          <w:rFonts w:eastAsia="Times New Roman" w:cstheme="minorHAnsi"/>
        </w:rPr>
        <w:t>, </w:t>
      </w:r>
      <w:r w:rsidRPr="00FE4FD3">
        <w:rPr>
          <w:rFonts w:eastAsia="Times New Roman" w:cstheme="minorHAnsi"/>
          <w:bdr w:val="none" w:sz="0" w:space="0" w:color="auto" w:frame="1"/>
        </w:rPr>
        <w:t>Herman SM</w:t>
      </w:r>
      <w:r w:rsidRPr="00FE4FD3">
        <w:rPr>
          <w:rFonts w:eastAsia="Times New Roman" w:cstheme="minorHAnsi"/>
        </w:rPr>
        <w:t>, </w:t>
      </w:r>
      <w:r w:rsidRPr="00FE4FD3">
        <w:rPr>
          <w:rFonts w:eastAsia="Times New Roman" w:cstheme="minorHAnsi"/>
          <w:bdr w:val="none" w:sz="0" w:space="0" w:color="auto" w:frame="1"/>
        </w:rPr>
        <w:t>Donovan M</w:t>
      </w:r>
      <w:r w:rsidRPr="00FE4FD3">
        <w:rPr>
          <w:rFonts w:eastAsia="Times New Roman" w:cstheme="minorHAnsi"/>
        </w:rPr>
        <w:t>, </w:t>
      </w:r>
      <w:r w:rsidRPr="00FE4FD3">
        <w:rPr>
          <w:rFonts w:eastAsia="Times New Roman" w:cstheme="minorHAnsi"/>
          <w:bdr w:val="none" w:sz="0" w:space="0" w:color="auto" w:frame="1"/>
        </w:rPr>
        <w:t>et al</w:t>
      </w:r>
      <w:r w:rsidRPr="00FE4FD3">
        <w:rPr>
          <w:rFonts w:eastAsia="Times New Roman" w:cstheme="minorHAnsi"/>
          <w:bdr w:val="none" w:sz="0" w:space="0" w:color="auto" w:frame="1"/>
          <w:shd w:val="clear" w:color="auto" w:fill="FFFFFF"/>
        </w:rPr>
        <w:t>. Sleep environment and the risk of sudden infant death syndrome in an urban population: the Chicago Infant Mortality Study. </w:t>
      </w:r>
      <w:proofErr w:type="gramStart"/>
      <w:r w:rsidRPr="00FE4FD3">
        <w:rPr>
          <w:rFonts w:eastAsia="Times New Roman" w:cstheme="minorHAnsi"/>
          <w:i/>
          <w:bdr w:val="none" w:sz="0" w:space="0" w:color="auto" w:frame="1"/>
          <w:shd w:val="clear" w:color="auto" w:fill="FFFFFF"/>
        </w:rPr>
        <w:t>Pediatrics</w:t>
      </w:r>
      <w:r w:rsidRPr="00FE4FD3">
        <w:rPr>
          <w:rFonts w:eastAsia="Times New Roman" w:cstheme="minorHAnsi"/>
          <w:bdr w:val="none" w:sz="0" w:space="0" w:color="auto" w:frame="1"/>
          <w:shd w:val="clear" w:color="auto" w:fill="FFFFFF"/>
        </w:rPr>
        <w:t>.</w:t>
      </w:r>
      <w:proofErr w:type="gramEnd"/>
      <w:r w:rsidRPr="00FE4FD3">
        <w:rPr>
          <w:rFonts w:eastAsia="Times New Roman" w:cstheme="minorHAnsi"/>
          <w:bdr w:val="none" w:sz="0" w:space="0" w:color="auto" w:frame="1"/>
          <w:shd w:val="clear" w:color="auto" w:fill="FFFFFF"/>
        </w:rPr>
        <w:t> 2003</w:t>
      </w:r>
      <w:proofErr w:type="gramStart"/>
      <w:r w:rsidRPr="00FE4FD3">
        <w:rPr>
          <w:rFonts w:eastAsia="Times New Roman" w:cstheme="minorHAnsi"/>
          <w:bdr w:val="none" w:sz="0" w:space="0" w:color="auto" w:frame="1"/>
          <w:shd w:val="clear" w:color="auto" w:fill="FFFFFF"/>
        </w:rPr>
        <w:t>;111</w:t>
      </w:r>
      <w:proofErr w:type="gramEnd"/>
      <w:r w:rsidRPr="00FE4FD3">
        <w:rPr>
          <w:rFonts w:eastAsia="Times New Roman" w:cstheme="minorHAnsi"/>
          <w:bdr w:val="none" w:sz="0" w:space="0" w:color="auto" w:frame="1"/>
          <w:shd w:val="clear" w:color="auto" w:fill="FFFFFF"/>
        </w:rPr>
        <w:t xml:space="preserve">(5 </w:t>
      </w:r>
      <w:proofErr w:type="spellStart"/>
      <w:r w:rsidRPr="00FE4FD3">
        <w:rPr>
          <w:rFonts w:eastAsia="Times New Roman" w:cstheme="minorHAnsi"/>
          <w:bdr w:val="none" w:sz="0" w:space="0" w:color="auto" w:frame="1"/>
          <w:shd w:val="clear" w:color="auto" w:fill="FFFFFF"/>
        </w:rPr>
        <w:t>pt</w:t>
      </w:r>
      <w:proofErr w:type="spellEnd"/>
      <w:r w:rsidRPr="00FE4FD3">
        <w:rPr>
          <w:rFonts w:eastAsia="Times New Roman" w:cstheme="minorHAnsi"/>
          <w:bdr w:val="none" w:sz="0" w:space="0" w:color="auto" w:frame="1"/>
          <w:shd w:val="clear" w:color="auto" w:fill="FFFFFF"/>
        </w:rPr>
        <w:t xml:space="preserve"> 2):1207–1214pmid:12728140.</w:t>
      </w:r>
    </w:p>
  </w:endnote>
  <w:endnote w:id="23">
    <w:p w14:paraId="67CB2BAA" w14:textId="1E2176DF"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r w:rsidRPr="00FE4FD3">
        <w:rPr>
          <w:rFonts w:eastAsia="Times New Roman" w:cstheme="minorHAnsi"/>
          <w:bdr w:val="none" w:sz="0" w:space="0" w:color="auto" w:frame="1"/>
        </w:rPr>
        <w:t>Strandberg-Larsen K</w:t>
      </w:r>
      <w:r w:rsidRPr="00FE4FD3">
        <w:rPr>
          <w:rFonts w:eastAsia="Times New Roman" w:cstheme="minorHAnsi"/>
        </w:rPr>
        <w:t>, </w:t>
      </w:r>
      <w:r w:rsidRPr="00FE4FD3">
        <w:rPr>
          <w:rFonts w:eastAsia="Times New Roman" w:cstheme="minorHAnsi"/>
          <w:bdr w:val="none" w:sz="0" w:space="0" w:color="auto" w:frame="1"/>
        </w:rPr>
        <w:t>Grønboek M</w:t>
      </w:r>
      <w:r w:rsidRPr="00FE4FD3">
        <w:rPr>
          <w:rFonts w:eastAsia="Times New Roman" w:cstheme="minorHAnsi"/>
        </w:rPr>
        <w:t>, </w:t>
      </w:r>
      <w:r w:rsidRPr="00FE4FD3">
        <w:rPr>
          <w:rFonts w:eastAsia="Times New Roman" w:cstheme="minorHAnsi"/>
          <w:bdr w:val="none" w:sz="0" w:space="0" w:color="auto" w:frame="1"/>
        </w:rPr>
        <w:t>Andersen AM</w:t>
      </w:r>
      <w:r w:rsidRPr="00FE4FD3">
        <w:rPr>
          <w:rFonts w:eastAsia="Times New Roman" w:cstheme="minorHAnsi"/>
        </w:rPr>
        <w:t>, </w:t>
      </w:r>
      <w:r w:rsidRPr="00FE4FD3">
        <w:rPr>
          <w:rFonts w:eastAsia="Times New Roman" w:cstheme="minorHAnsi"/>
          <w:bdr w:val="none" w:sz="0" w:space="0" w:color="auto" w:frame="1"/>
        </w:rPr>
        <w:t>Andersen PK</w:t>
      </w:r>
      <w:r w:rsidRPr="00FE4FD3">
        <w:rPr>
          <w:rFonts w:eastAsia="Times New Roman" w:cstheme="minorHAnsi"/>
        </w:rPr>
        <w:t>, </w:t>
      </w:r>
      <w:r w:rsidRPr="00FE4FD3">
        <w:rPr>
          <w:rFonts w:eastAsia="Times New Roman" w:cstheme="minorHAnsi"/>
          <w:bdr w:val="none" w:sz="0" w:space="0" w:color="auto" w:frame="1"/>
        </w:rPr>
        <w:t>Olsen J</w:t>
      </w:r>
      <w:r w:rsidRPr="00FE4FD3">
        <w:rPr>
          <w:rFonts w:eastAsia="Times New Roman" w:cstheme="minorHAnsi"/>
          <w:bdr w:val="none" w:sz="0" w:space="0" w:color="auto" w:frame="1"/>
          <w:shd w:val="clear" w:color="auto" w:fill="FFFFFF"/>
        </w:rPr>
        <w:t>. Alcohol drinking pattern during pregnancy and risk of infant mortality. </w:t>
      </w:r>
      <w:proofErr w:type="gramStart"/>
      <w:r w:rsidRPr="00FE4FD3">
        <w:rPr>
          <w:rFonts w:eastAsia="Times New Roman" w:cstheme="minorHAnsi"/>
          <w:i/>
          <w:bdr w:val="none" w:sz="0" w:space="0" w:color="auto" w:frame="1"/>
          <w:shd w:val="clear" w:color="auto" w:fill="FFFFFF"/>
        </w:rPr>
        <w:t>Epidemiology</w:t>
      </w:r>
      <w:r w:rsidRPr="00FE4FD3">
        <w:rPr>
          <w:rFonts w:eastAsia="Times New Roman" w:cstheme="minorHAnsi"/>
          <w:bdr w:val="none" w:sz="0" w:space="0" w:color="auto" w:frame="1"/>
          <w:shd w:val="clear" w:color="auto" w:fill="FFFFFF"/>
        </w:rPr>
        <w:t>.</w:t>
      </w:r>
      <w:proofErr w:type="gramEnd"/>
      <w:r w:rsidRPr="00FE4FD3">
        <w:rPr>
          <w:rFonts w:eastAsia="Times New Roman" w:cstheme="minorHAnsi"/>
          <w:bdr w:val="none" w:sz="0" w:space="0" w:color="auto" w:frame="1"/>
          <w:shd w:val="clear" w:color="auto" w:fill="FFFFFF"/>
        </w:rPr>
        <w:t> 2009</w:t>
      </w:r>
      <w:proofErr w:type="gramStart"/>
      <w:r w:rsidRPr="00FE4FD3">
        <w:rPr>
          <w:rFonts w:eastAsia="Times New Roman" w:cstheme="minorHAnsi"/>
          <w:bdr w:val="none" w:sz="0" w:space="0" w:color="auto" w:frame="1"/>
          <w:shd w:val="clear" w:color="auto" w:fill="FFFFFF"/>
        </w:rPr>
        <w:t>;20</w:t>
      </w:r>
      <w:proofErr w:type="gramEnd"/>
      <w:r w:rsidRPr="00FE4FD3">
        <w:rPr>
          <w:rFonts w:eastAsia="Times New Roman" w:cstheme="minorHAnsi"/>
          <w:bdr w:val="none" w:sz="0" w:space="0" w:color="auto" w:frame="1"/>
          <w:shd w:val="clear" w:color="auto" w:fill="FFFFFF"/>
        </w:rPr>
        <w:t>(6):884–891pmid:19797967.</w:t>
      </w:r>
    </w:p>
  </w:endnote>
  <w:endnote w:id="24">
    <w:p w14:paraId="785718CF" w14:textId="04DA1C1C"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r w:rsidRPr="00FE4FD3">
        <w:rPr>
          <w:rFonts w:eastAsia="Times New Roman" w:cstheme="minorHAnsi"/>
          <w:bdr w:val="none" w:sz="0" w:space="0" w:color="auto" w:frame="1"/>
        </w:rPr>
        <w:t>Ponsonby A-L</w:t>
      </w:r>
      <w:r w:rsidRPr="00FE4FD3">
        <w:rPr>
          <w:rFonts w:eastAsia="Times New Roman" w:cstheme="minorHAnsi"/>
        </w:rPr>
        <w:t>, </w:t>
      </w:r>
      <w:r w:rsidRPr="00FE4FD3">
        <w:rPr>
          <w:rFonts w:eastAsia="Times New Roman" w:cstheme="minorHAnsi"/>
          <w:bdr w:val="none" w:sz="0" w:space="0" w:color="auto" w:frame="1"/>
        </w:rPr>
        <w:t>Dwyer T</w:t>
      </w:r>
      <w:r w:rsidRPr="00FE4FD3">
        <w:rPr>
          <w:rFonts w:eastAsia="Times New Roman" w:cstheme="minorHAnsi"/>
        </w:rPr>
        <w:t>, </w:t>
      </w:r>
      <w:r w:rsidRPr="00FE4FD3">
        <w:rPr>
          <w:rFonts w:eastAsia="Times New Roman" w:cstheme="minorHAnsi"/>
          <w:bdr w:val="none" w:sz="0" w:space="0" w:color="auto" w:frame="1"/>
        </w:rPr>
        <w:t>Gibbons LE</w:t>
      </w:r>
      <w:r w:rsidRPr="00FE4FD3">
        <w:rPr>
          <w:rFonts w:eastAsia="Times New Roman" w:cstheme="minorHAnsi"/>
        </w:rPr>
        <w:t>, </w:t>
      </w:r>
      <w:r w:rsidRPr="00FE4FD3">
        <w:rPr>
          <w:rFonts w:eastAsia="Times New Roman" w:cstheme="minorHAnsi"/>
          <w:bdr w:val="none" w:sz="0" w:space="0" w:color="auto" w:frame="1"/>
        </w:rPr>
        <w:t>Cochrane JA</w:t>
      </w:r>
      <w:r w:rsidRPr="00FE4FD3">
        <w:rPr>
          <w:rFonts w:eastAsia="Times New Roman" w:cstheme="minorHAnsi"/>
        </w:rPr>
        <w:t>, </w:t>
      </w:r>
      <w:r w:rsidRPr="00FE4FD3">
        <w:rPr>
          <w:rFonts w:eastAsia="Times New Roman" w:cstheme="minorHAnsi"/>
          <w:bdr w:val="none" w:sz="0" w:space="0" w:color="auto" w:frame="1"/>
        </w:rPr>
        <w:t>Jones ME</w:t>
      </w:r>
      <w:r w:rsidRPr="00FE4FD3">
        <w:rPr>
          <w:rFonts w:eastAsia="Times New Roman" w:cstheme="minorHAnsi"/>
        </w:rPr>
        <w:t>, </w:t>
      </w:r>
      <w:r w:rsidRPr="00FE4FD3">
        <w:rPr>
          <w:rFonts w:eastAsia="Times New Roman" w:cstheme="minorHAnsi"/>
          <w:bdr w:val="none" w:sz="0" w:space="0" w:color="auto" w:frame="1"/>
        </w:rPr>
        <w:t>McCall MJ</w:t>
      </w:r>
      <w:r w:rsidRPr="00FE4FD3">
        <w:rPr>
          <w:rFonts w:eastAsia="Times New Roman" w:cstheme="minorHAnsi"/>
          <w:bdr w:val="none" w:sz="0" w:space="0" w:color="auto" w:frame="1"/>
          <w:shd w:val="clear" w:color="auto" w:fill="FFFFFF"/>
        </w:rPr>
        <w:t>. Thermal environment and sudden infant death syndrome: case-control study. </w:t>
      </w:r>
      <w:proofErr w:type="gramStart"/>
      <w:r w:rsidRPr="00FE4FD3">
        <w:rPr>
          <w:rFonts w:eastAsia="Times New Roman" w:cstheme="minorHAnsi"/>
          <w:i/>
          <w:bdr w:val="none" w:sz="0" w:space="0" w:color="auto" w:frame="1"/>
          <w:shd w:val="clear" w:color="auto" w:fill="FFFFFF"/>
        </w:rPr>
        <w:t>BMJ</w:t>
      </w:r>
      <w:r w:rsidRPr="00FE4FD3">
        <w:rPr>
          <w:rFonts w:eastAsia="Times New Roman" w:cstheme="minorHAnsi"/>
          <w:bdr w:val="none" w:sz="0" w:space="0" w:color="auto" w:frame="1"/>
          <w:shd w:val="clear" w:color="auto" w:fill="FFFFFF"/>
        </w:rPr>
        <w:t>.</w:t>
      </w:r>
      <w:proofErr w:type="gramEnd"/>
      <w:r w:rsidRPr="00FE4FD3">
        <w:rPr>
          <w:rFonts w:eastAsia="Times New Roman" w:cstheme="minorHAnsi"/>
          <w:bdr w:val="none" w:sz="0" w:space="0" w:color="auto" w:frame="1"/>
          <w:shd w:val="clear" w:color="auto" w:fill="FFFFFF"/>
        </w:rPr>
        <w:t> 1992</w:t>
      </w:r>
      <w:proofErr w:type="gramStart"/>
      <w:r w:rsidRPr="00FE4FD3">
        <w:rPr>
          <w:rFonts w:eastAsia="Times New Roman" w:cstheme="minorHAnsi"/>
          <w:bdr w:val="none" w:sz="0" w:space="0" w:color="auto" w:frame="1"/>
          <w:shd w:val="clear" w:color="auto" w:fill="FFFFFF"/>
        </w:rPr>
        <w:t>;304</w:t>
      </w:r>
      <w:proofErr w:type="gramEnd"/>
      <w:r w:rsidRPr="00FE4FD3">
        <w:rPr>
          <w:rFonts w:eastAsia="Times New Roman" w:cstheme="minorHAnsi"/>
          <w:bdr w:val="none" w:sz="0" w:space="0" w:color="auto" w:frame="1"/>
          <w:shd w:val="clear" w:color="auto" w:fill="FFFFFF"/>
        </w:rPr>
        <w:t>(6822):277–282pmid:1739826.</w:t>
      </w:r>
    </w:p>
  </w:endnote>
  <w:endnote w:id="25">
    <w:p w14:paraId="405FA74C" w14:textId="3E752282"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spellStart"/>
      <w:proofErr w:type="gramStart"/>
      <w:r w:rsidRPr="00FE4FD3">
        <w:rPr>
          <w:rStyle w:val="cit-name-surname"/>
          <w:rFonts w:cstheme="minorHAnsi"/>
          <w:bdr w:val="none" w:sz="0" w:space="0" w:color="auto" w:frame="1"/>
        </w:rPr>
        <w:t>Vennemann</w:t>
      </w:r>
      <w:proofErr w:type="spellEnd"/>
      <w:r w:rsidRPr="00FE4FD3">
        <w:rPr>
          <w:rStyle w:val="cit-auth"/>
          <w:rFonts w:cstheme="minorHAnsi"/>
          <w:bdr w:val="none" w:sz="0" w:space="0" w:color="auto" w:frame="1"/>
        </w:rPr>
        <w:t> </w:t>
      </w:r>
      <w:r w:rsidRPr="00FE4FD3">
        <w:rPr>
          <w:rStyle w:val="cit-name-given-names"/>
          <w:rFonts w:cstheme="minorHAnsi"/>
          <w:bdr w:val="none" w:sz="0" w:space="0" w:color="auto" w:frame="1"/>
        </w:rPr>
        <w:t>MM</w:t>
      </w:r>
      <w:r w:rsidRPr="00FE4FD3">
        <w:rPr>
          <w:rFonts w:cstheme="minorHAnsi"/>
        </w:rPr>
        <w:t>, </w:t>
      </w:r>
      <w:proofErr w:type="spellStart"/>
      <w:r w:rsidRPr="00FE4FD3">
        <w:rPr>
          <w:rStyle w:val="cit-name-surname"/>
          <w:rFonts w:cstheme="minorHAnsi"/>
          <w:bdr w:val="none" w:sz="0" w:space="0" w:color="auto" w:frame="1"/>
        </w:rPr>
        <w:t>Bajanowski</w:t>
      </w:r>
      <w:proofErr w:type="spellEnd"/>
      <w:r w:rsidRPr="00FE4FD3">
        <w:rPr>
          <w:rStyle w:val="cit-auth"/>
          <w:rFonts w:cstheme="minorHAnsi"/>
          <w:bdr w:val="none" w:sz="0" w:space="0" w:color="auto" w:frame="1"/>
        </w:rPr>
        <w:t> </w:t>
      </w:r>
      <w:r w:rsidRPr="00FE4FD3">
        <w:rPr>
          <w:rStyle w:val="cit-name-given-names"/>
          <w:rFonts w:cstheme="minorHAnsi"/>
          <w:bdr w:val="none" w:sz="0" w:space="0" w:color="auto" w:frame="1"/>
        </w:rPr>
        <w:t>T</w:t>
      </w:r>
      <w:r w:rsidRPr="00FE4FD3">
        <w:rPr>
          <w:rFonts w:cstheme="minorHAnsi"/>
        </w:rPr>
        <w:t>, </w:t>
      </w:r>
      <w:proofErr w:type="spellStart"/>
      <w:r w:rsidRPr="00FE4FD3">
        <w:rPr>
          <w:rStyle w:val="cit-name-surname"/>
          <w:rFonts w:cstheme="minorHAnsi"/>
          <w:bdr w:val="none" w:sz="0" w:space="0" w:color="auto" w:frame="1"/>
        </w:rPr>
        <w:t>Brinkmann</w:t>
      </w:r>
      <w:proofErr w:type="spellEnd"/>
      <w:r w:rsidRPr="00FE4FD3">
        <w:rPr>
          <w:rStyle w:val="cit-auth"/>
          <w:rFonts w:cstheme="minorHAnsi"/>
          <w:bdr w:val="none" w:sz="0" w:space="0" w:color="auto" w:frame="1"/>
        </w:rPr>
        <w:t> </w:t>
      </w:r>
      <w:r w:rsidRPr="00FE4FD3">
        <w:rPr>
          <w:rStyle w:val="cit-name-given-names"/>
          <w:rFonts w:cstheme="minorHAnsi"/>
          <w:bdr w:val="none" w:sz="0" w:space="0" w:color="auto" w:frame="1"/>
        </w:rPr>
        <w:t>B</w:t>
      </w:r>
      <w:r w:rsidRPr="00FE4FD3">
        <w:rPr>
          <w:rFonts w:cstheme="minorHAnsi"/>
        </w:rPr>
        <w:t>, </w:t>
      </w:r>
      <w:r w:rsidRPr="00FE4FD3">
        <w:rPr>
          <w:rStyle w:val="cit-etal"/>
          <w:rFonts w:cstheme="minorHAnsi"/>
          <w:bdr w:val="none" w:sz="0" w:space="0" w:color="auto" w:frame="1"/>
        </w:rPr>
        <w:t>et al</w:t>
      </w:r>
      <w:r w:rsidRPr="00FE4FD3">
        <w:rPr>
          <w:rFonts w:cstheme="minorHAnsi"/>
        </w:rPr>
        <w:t>; </w:t>
      </w:r>
      <w:proofErr w:type="spellStart"/>
      <w:r w:rsidRPr="00FE4FD3">
        <w:rPr>
          <w:rStyle w:val="cit-auth"/>
          <w:rFonts w:cstheme="minorHAnsi"/>
          <w:bdr w:val="none" w:sz="0" w:space="0" w:color="auto" w:frame="1"/>
        </w:rPr>
        <w:t>GeSID</w:t>
      </w:r>
      <w:proofErr w:type="spellEnd"/>
      <w:r w:rsidRPr="00FE4FD3">
        <w:rPr>
          <w:rStyle w:val="cit-auth"/>
          <w:rFonts w:cstheme="minorHAnsi"/>
          <w:bdr w:val="none" w:sz="0" w:space="0" w:color="auto" w:frame="1"/>
        </w:rPr>
        <w:t xml:space="preserve"> Study Group</w:t>
      </w:r>
      <w:r w:rsidRPr="00FE4FD3">
        <w:rPr>
          <w:rStyle w:val="HTMLCite"/>
          <w:rFonts w:cstheme="minorHAnsi"/>
          <w:bdr w:val="none" w:sz="0" w:space="0" w:color="auto" w:frame="1"/>
          <w:shd w:val="clear" w:color="auto" w:fill="FFFFFF"/>
        </w:rPr>
        <w:t>.</w:t>
      </w:r>
      <w:proofErr w:type="gramEnd"/>
      <w:r w:rsidRPr="00FE4FD3">
        <w:rPr>
          <w:rStyle w:val="HTMLCite"/>
          <w:rFonts w:cstheme="minorHAnsi"/>
          <w:bdr w:val="none" w:sz="0" w:space="0" w:color="auto" w:frame="1"/>
          <w:shd w:val="clear" w:color="auto" w:fill="FFFFFF"/>
        </w:rPr>
        <w:t> </w:t>
      </w:r>
      <w:r w:rsidRPr="00FE4FD3">
        <w:rPr>
          <w:rStyle w:val="cit-article-title"/>
          <w:rFonts w:cstheme="minorHAnsi"/>
          <w:bdr w:val="none" w:sz="0" w:space="0" w:color="auto" w:frame="1"/>
          <w:shd w:val="clear" w:color="auto" w:fill="FFFFFF"/>
        </w:rPr>
        <w:t>Does breastfeeding reduce the risk of sudden infant death syndrome?</w:t>
      </w:r>
      <w:r w:rsidRPr="00FE4FD3">
        <w:rPr>
          <w:rStyle w:val="HTMLCite"/>
          <w:rFonts w:cstheme="minorHAnsi"/>
          <w:bdr w:val="none" w:sz="0" w:space="0" w:color="auto" w:frame="1"/>
          <w:shd w:val="clear" w:color="auto" w:fill="FFFFFF"/>
        </w:rPr>
        <w:t> </w:t>
      </w:r>
      <w:proofErr w:type="gramStart"/>
      <w:r w:rsidRPr="00FE4FD3">
        <w:rPr>
          <w:rStyle w:val="HTMLCite"/>
          <w:rFonts w:cstheme="minorHAnsi"/>
          <w:bdr w:val="none" w:sz="0" w:space="0" w:color="auto" w:frame="1"/>
          <w:shd w:val="clear" w:color="auto" w:fill="FFFFFF"/>
        </w:rPr>
        <w:t>Pediatrics.</w:t>
      </w:r>
      <w:proofErr w:type="gramEnd"/>
      <w:r w:rsidRPr="00FE4FD3">
        <w:rPr>
          <w:rStyle w:val="HTMLCite"/>
          <w:rFonts w:cstheme="minorHAnsi"/>
          <w:bdr w:val="none" w:sz="0" w:space="0" w:color="auto" w:frame="1"/>
          <w:shd w:val="clear" w:color="auto" w:fill="FFFFFF"/>
        </w:rPr>
        <w:t> </w:t>
      </w:r>
      <w:r w:rsidRPr="00FE4FD3">
        <w:rPr>
          <w:rStyle w:val="cit-pub-date"/>
          <w:rFonts w:cstheme="minorHAnsi"/>
          <w:bdr w:val="none" w:sz="0" w:space="0" w:color="auto" w:frame="1"/>
          <w:shd w:val="clear" w:color="auto" w:fill="FFFFFF"/>
        </w:rPr>
        <w:t>2009</w:t>
      </w:r>
      <w:proofErr w:type="gramStart"/>
      <w:r w:rsidRPr="00FE4FD3">
        <w:rPr>
          <w:rStyle w:val="HTMLCite"/>
          <w:rFonts w:cstheme="minorHAnsi"/>
          <w:bdr w:val="none" w:sz="0" w:space="0" w:color="auto" w:frame="1"/>
          <w:shd w:val="clear" w:color="auto" w:fill="FFFFFF"/>
        </w:rPr>
        <w:t>;</w:t>
      </w:r>
      <w:r w:rsidRPr="00FE4FD3">
        <w:rPr>
          <w:rStyle w:val="cit-vol"/>
          <w:rFonts w:cstheme="minorHAnsi"/>
          <w:bdr w:val="none" w:sz="0" w:space="0" w:color="auto" w:frame="1"/>
          <w:shd w:val="clear" w:color="auto" w:fill="FFFFFF"/>
        </w:rPr>
        <w:t>123</w:t>
      </w:r>
      <w:proofErr w:type="gramEnd"/>
      <w:r w:rsidRPr="00FE4FD3">
        <w:rPr>
          <w:rStyle w:val="HTMLCite"/>
          <w:rFonts w:cstheme="minorHAnsi"/>
          <w:bdr w:val="none" w:sz="0" w:space="0" w:color="auto" w:frame="1"/>
          <w:shd w:val="clear" w:color="auto" w:fill="FFFFFF"/>
        </w:rPr>
        <w:t>(</w:t>
      </w:r>
      <w:r w:rsidRPr="00FE4FD3">
        <w:rPr>
          <w:rStyle w:val="cit-issue"/>
          <w:rFonts w:cstheme="minorHAnsi"/>
          <w:bdr w:val="none" w:sz="0" w:space="0" w:color="auto" w:frame="1"/>
          <w:shd w:val="clear" w:color="auto" w:fill="FFFFFF"/>
        </w:rPr>
        <w:t>3</w:t>
      </w:r>
      <w:r w:rsidRPr="00FE4FD3">
        <w:rPr>
          <w:rStyle w:val="HTMLCite"/>
          <w:rFonts w:cstheme="minorHAnsi"/>
          <w:bdr w:val="none" w:sz="0" w:space="0" w:color="auto" w:frame="1"/>
          <w:shd w:val="clear" w:color="auto" w:fill="FFFFFF"/>
        </w:rPr>
        <w:t xml:space="preserve">). </w:t>
      </w:r>
      <w:r w:rsidRPr="00FE4FD3">
        <w:rPr>
          <w:rStyle w:val="HTMLCite"/>
          <w:rFonts w:cstheme="minorHAnsi"/>
          <w:i w:val="0"/>
          <w:bdr w:val="none" w:sz="0" w:space="0" w:color="auto" w:frame="1"/>
          <w:shd w:val="clear" w:color="auto" w:fill="FFFFFF"/>
        </w:rPr>
        <w:t>Available at:</w:t>
      </w:r>
      <w:r w:rsidRPr="00FE4FD3">
        <w:rPr>
          <w:rStyle w:val="HTMLCite"/>
          <w:rFonts w:cstheme="minorHAnsi"/>
          <w:bdr w:val="none" w:sz="0" w:space="0" w:color="auto" w:frame="1"/>
          <w:shd w:val="clear" w:color="auto" w:fill="FFFFFF"/>
        </w:rPr>
        <w:t xml:space="preserve"> </w:t>
      </w:r>
      <w:hyperlink r:id="rId2" w:history="1">
        <w:r w:rsidRPr="00FE4FD3">
          <w:rPr>
            <w:rStyle w:val="Hyperlink"/>
            <w:color w:val="auto"/>
            <w:bdr w:val="none" w:sz="0" w:space="0" w:color="auto" w:frame="1"/>
          </w:rPr>
          <w:t>www.pediatrics.org/cgi/content/full/123/3/e406</w:t>
        </w:r>
      </w:hyperlink>
      <w:r w:rsidRPr="00FE4FD3">
        <w:rPr>
          <w:rStyle w:val="cit-pub-id-scheme-pmid"/>
          <w:rFonts w:cstheme="minorHAnsi"/>
          <w:bdr w:val="none" w:sz="0" w:space="0" w:color="auto" w:frame="1"/>
          <w:shd w:val="clear" w:color="auto" w:fill="FFFFFF"/>
        </w:rPr>
        <w:t>pmid</w:t>
      </w:r>
      <w:proofErr w:type="gramStart"/>
      <w:r w:rsidRPr="00FE4FD3">
        <w:rPr>
          <w:rStyle w:val="cit-pub-id-scheme-pmid"/>
          <w:rFonts w:cstheme="minorHAnsi"/>
          <w:bdr w:val="none" w:sz="0" w:space="0" w:color="auto" w:frame="1"/>
          <w:shd w:val="clear" w:color="auto" w:fill="FFFFFF"/>
        </w:rPr>
        <w:t>:</w:t>
      </w:r>
      <w:r w:rsidRPr="00FE4FD3">
        <w:rPr>
          <w:rStyle w:val="cit-pub-id"/>
          <w:rFonts w:cstheme="minorHAnsi"/>
          <w:bdr w:val="none" w:sz="0" w:space="0" w:color="auto" w:frame="1"/>
          <w:shd w:val="clear" w:color="auto" w:fill="FFFFFF"/>
        </w:rPr>
        <w:t>19254976</w:t>
      </w:r>
      <w:proofErr w:type="gramEnd"/>
      <w:r w:rsidRPr="00FE4FD3">
        <w:rPr>
          <w:rStyle w:val="cit-pub-id"/>
          <w:rFonts w:cstheme="minorHAnsi"/>
          <w:bdr w:val="none" w:sz="0" w:space="0" w:color="auto" w:frame="1"/>
          <w:shd w:val="clear" w:color="auto" w:fill="FFFFFF"/>
        </w:rPr>
        <w:t>.</w:t>
      </w:r>
    </w:p>
  </w:endnote>
  <w:endnote w:id="26">
    <w:p w14:paraId="30A1F03E" w14:textId="2ECB412D" w:rsidR="003F257A" w:rsidRPr="00FE4FD3" w:rsidRDefault="003F257A" w:rsidP="00F67A4A">
      <w:pPr>
        <w:pStyle w:val="REFERENCES"/>
        <w:ind w:right="-432"/>
        <w:rPr>
          <w:rFonts w:eastAsia="Times New Roman" w:cstheme="minorHAnsi"/>
        </w:rPr>
      </w:pPr>
      <w:r w:rsidRPr="00FE4FD3">
        <w:rPr>
          <w:rStyle w:val="EndnoteReference"/>
          <w:rFonts w:cstheme="minorHAnsi"/>
        </w:rPr>
        <w:endnoteRef/>
      </w:r>
      <w:r w:rsidRPr="00FE4FD3">
        <w:rPr>
          <w:rFonts w:cstheme="minorHAnsi"/>
        </w:rPr>
        <w:t xml:space="preserve"> </w:t>
      </w:r>
      <w:r w:rsidRPr="00FE4FD3">
        <w:rPr>
          <w:rFonts w:eastAsia="Times New Roman" w:cstheme="minorHAnsi"/>
          <w:bdr w:val="none" w:sz="0" w:space="0" w:color="auto" w:frame="1"/>
        </w:rPr>
        <w:t>Mitchell EA</w:t>
      </w:r>
      <w:r w:rsidRPr="00FE4FD3">
        <w:rPr>
          <w:rFonts w:eastAsia="Times New Roman" w:cstheme="minorHAnsi"/>
        </w:rPr>
        <w:t>, </w:t>
      </w:r>
      <w:r w:rsidRPr="00FE4FD3">
        <w:rPr>
          <w:rFonts w:eastAsia="Times New Roman" w:cstheme="minorHAnsi"/>
          <w:bdr w:val="none" w:sz="0" w:space="0" w:color="auto" w:frame="1"/>
        </w:rPr>
        <w:t>Blair PS</w:t>
      </w:r>
      <w:r w:rsidRPr="00FE4FD3">
        <w:rPr>
          <w:rFonts w:eastAsia="Times New Roman" w:cstheme="minorHAnsi"/>
        </w:rPr>
        <w:t>, </w:t>
      </w:r>
      <w:proofErr w:type="spellStart"/>
      <w:r w:rsidRPr="00FE4FD3">
        <w:rPr>
          <w:rFonts w:eastAsia="Times New Roman" w:cstheme="minorHAnsi"/>
          <w:bdr w:val="none" w:sz="0" w:space="0" w:color="auto" w:frame="1"/>
        </w:rPr>
        <w:t>L’Hoir</w:t>
      </w:r>
      <w:proofErr w:type="spellEnd"/>
      <w:r w:rsidRPr="00FE4FD3">
        <w:rPr>
          <w:rFonts w:eastAsia="Times New Roman" w:cstheme="minorHAnsi"/>
          <w:bdr w:val="none" w:sz="0" w:space="0" w:color="auto" w:frame="1"/>
        </w:rPr>
        <w:t> MP</w:t>
      </w:r>
      <w:r w:rsidRPr="00FE4FD3">
        <w:rPr>
          <w:rFonts w:eastAsia="Times New Roman" w:cstheme="minorHAnsi"/>
          <w:bdr w:val="none" w:sz="0" w:space="0" w:color="auto" w:frame="1"/>
          <w:shd w:val="clear" w:color="auto" w:fill="FFFFFF"/>
        </w:rPr>
        <w:t xml:space="preserve">. Should pacifiers be recommended to prevent sudden infant death </w:t>
      </w:r>
      <w:r>
        <w:rPr>
          <w:rFonts w:eastAsia="Times New Roman" w:cstheme="minorHAnsi"/>
          <w:bdr w:val="none" w:sz="0" w:space="0" w:color="auto" w:frame="1"/>
          <w:shd w:val="clear" w:color="auto" w:fill="FFFFFF"/>
        </w:rPr>
        <w:t>s</w:t>
      </w:r>
      <w:r w:rsidRPr="00FE4FD3">
        <w:rPr>
          <w:rFonts w:eastAsia="Times New Roman" w:cstheme="minorHAnsi"/>
          <w:bdr w:val="none" w:sz="0" w:space="0" w:color="auto" w:frame="1"/>
          <w:shd w:val="clear" w:color="auto" w:fill="FFFFFF"/>
        </w:rPr>
        <w:t>yndrome? </w:t>
      </w:r>
      <w:proofErr w:type="gramStart"/>
      <w:r w:rsidRPr="00FE4FD3">
        <w:rPr>
          <w:rFonts w:eastAsia="Times New Roman" w:cstheme="minorHAnsi"/>
          <w:i/>
          <w:bdr w:val="none" w:sz="0" w:space="0" w:color="auto" w:frame="1"/>
          <w:shd w:val="clear" w:color="auto" w:fill="FFFFFF"/>
        </w:rPr>
        <w:t>Pediatrics</w:t>
      </w:r>
      <w:r w:rsidRPr="00FE4FD3">
        <w:rPr>
          <w:rFonts w:eastAsia="Times New Roman" w:cstheme="minorHAnsi"/>
          <w:bdr w:val="none" w:sz="0" w:space="0" w:color="auto" w:frame="1"/>
          <w:shd w:val="clear" w:color="auto" w:fill="FFFFFF"/>
        </w:rPr>
        <w:t>.</w:t>
      </w:r>
      <w:proofErr w:type="gramEnd"/>
      <w:r w:rsidRPr="00FE4FD3">
        <w:rPr>
          <w:rFonts w:eastAsia="Times New Roman" w:cstheme="minorHAnsi"/>
          <w:bdr w:val="none" w:sz="0" w:space="0" w:color="auto" w:frame="1"/>
          <w:shd w:val="clear" w:color="auto" w:fill="FFFFFF"/>
        </w:rPr>
        <w:t> 2006</w:t>
      </w:r>
      <w:proofErr w:type="gramStart"/>
      <w:r w:rsidRPr="00FE4FD3">
        <w:rPr>
          <w:rFonts w:eastAsia="Times New Roman" w:cstheme="minorHAnsi"/>
          <w:bdr w:val="none" w:sz="0" w:space="0" w:color="auto" w:frame="1"/>
          <w:shd w:val="clear" w:color="auto" w:fill="FFFFFF"/>
        </w:rPr>
        <w:t>;117</w:t>
      </w:r>
      <w:proofErr w:type="gramEnd"/>
      <w:r w:rsidRPr="00FE4FD3">
        <w:rPr>
          <w:rFonts w:eastAsia="Times New Roman" w:cstheme="minorHAnsi"/>
          <w:bdr w:val="none" w:sz="0" w:space="0" w:color="auto" w:frame="1"/>
          <w:shd w:val="clear" w:color="auto" w:fill="FFFFFF"/>
        </w:rPr>
        <w:t>(5):1755–1758pmid:16651334.</w:t>
      </w:r>
    </w:p>
  </w:endnote>
  <w:endnote w:id="27">
    <w:p w14:paraId="4F8A4800" w14:textId="2284079C" w:rsidR="003F257A" w:rsidRPr="00FE4FD3" w:rsidRDefault="003F257A" w:rsidP="00FE4FD3">
      <w:pPr>
        <w:pStyle w:val="REFERENCES"/>
        <w:rPr>
          <w:rFonts w:eastAsia="Times New Roman" w:cstheme="minorHAnsi"/>
        </w:rPr>
      </w:pPr>
      <w:r w:rsidRPr="00FE4FD3">
        <w:rPr>
          <w:rStyle w:val="EndnoteReference"/>
          <w:rFonts w:cstheme="minorHAnsi"/>
        </w:rPr>
        <w:endnoteRef/>
      </w:r>
      <w:r w:rsidRPr="00FE4FD3">
        <w:rPr>
          <w:rFonts w:cstheme="minorHAnsi"/>
        </w:rPr>
        <w:t xml:space="preserve"> </w:t>
      </w:r>
      <w:r w:rsidRPr="00FE4FD3">
        <w:rPr>
          <w:rFonts w:eastAsia="Times New Roman" w:cstheme="minorHAnsi"/>
          <w:bdr w:val="none" w:sz="0" w:space="0" w:color="auto" w:frame="1"/>
        </w:rPr>
        <w:t>Hauck FR</w:t>
      </w:r>
      <w:r w:rsidRPr="00FE4FD3">
        <w:rPr>
          <w:rFonts w:eastAsia="Times New Roman" w:cstheme="minorHAnsi"/>
        </w:rPr>
        <w:t>, </w:t>
      </w:r>
      <w:r w:rsidRPr="00FE4FD3">
        <w:rPr>
          <w:rFonts w:eastAsia="Times New Roman" w:cstheme="minorHAnsi"/>
          <w:bdr w:val="none" w:sz="0" w:space="0" w:color="auto" w:frame="1"/>
        </w:rPr>
        <w:t>Tanabe KO</w:t>
      </w:r>
      <w:r w:rsidRPr="00FE4FD3">
        <w:rPr>
          <w:rFonts w:eastAsia="Times New Roman" w:cstheme="minorHAnsi"/>
          <w:bdr w:val="none" w:sz="0" w:space="0" w:color="auto" w:frame="1"/>
          <w:shd w:val="clear" w:color="auto" w:fill="FFFFFF"/>
        </w:rPr>
        <w:t>. </w:t>
      </w:r>
      <w:proofErr w:type="spellStart"/>
      <w:proofErr w:type="gramStart"/>
      <w:r w:rsidRPr="00FE4FD3">
        <w:rPr>
          <w:rFonts w:eastAsia="Times New Roman" w:cstheme="minorHAnsi"/>
          <w:bdr w:val="none" w:sz="0" w:space="0" w:color="auto" w:frame="1"/>
          <w:shd w:val="clear" w:color="auto" w:fill="FFFFFF"/>
        </w:rPr>
        <w:t>Sids</w:t>
      </w:r>
      <w:proofErr w:type="spellEnd"/>
      <w:proofErr w:type="gramEnd"/>
      <w:r w:rsidRPr="00FE4FD3">
        <w:rPr>
          <w:rFonts w:eastAsia="Times New Roman" w:cstheme="minorHAnsi"/>
          <w:bdr w:val="none" w:sz="0" w:space="0" w:color="auto" w:frame="1"/>
          <w:shd w:val="clear" w:color="auto" w:fill="FFFFFF"/>
        </w:rPr>
        <w:t>. </w:t>
      </w:r>
      <w:proofErr w:type="gramStart"/>
      <w:r w:rsidRPr="00FE4FD3">
        <w:rPr>
          <w:rFonts w:eastAsia="Times New Roman" w:cstheme="minorHAnsi"/>
          <w:i/>
          <w:bdr w:val="none" w:sz="0" w:space="0" w:color="auto" w:frame="1"/>
          <w:shd w:val="clear" w:color="auto" w:fill="FFFFFF"/>
        </w:rPr>
        <w:t xml:space="preserve">BMJ </w:t>
      </w:r>
      <w:proofErr w:type="spellStart"/>
      <w:r w:rsidRPr="00FE4FD3">
        <w:rPr>
          <w:rFonts w:eastAsia="Times New Roman" w:cstheme="minorHAnsi"/>
          <w:i/>
          <w:bdr w:val="none" w:sz="0" w:space="0" w:color="auto" w:frame="1"/>
          <w:shd w:val="clear" w:color="auto" w:fill="FFFFFF"/>
        </w:rPr>
        <w:t>Clin</w:t>
      </w:r>
      <w:proofErr w:type="spellEnd"/>
      <w:r w:rsidRPr="00FE4FD3">
        <w:rPr>
          <w:rFonts w:eastAsia="Times New Roman" w:cstheme="minorHAnsi"/>
          <w:i/>
          <w:bdr w:val="none" w:sz="0" w:space="0" w:color="auto" w:frame="1"/>
          <w:shd w:val="clear" w:color="auto" w:fill="FFFFFF"/>
        </w:rPr>
        <w:t xml:space="preserve"> </w:t>
      </w:r>
      <w:proofErr w:type="spellStart"/>
      <w:r w:rsidRPr="00FE4FD3">
        <w:rPr>
          <w:rFonts w:eastAsia="Times New Roman" w:cstheme="minorHAnsi"/>
          <w:i/>
          <w:bdr w:val="none" w:sz="0" w:space="0" w:color="auto" w:frame="1"/>
          <w:shd w:val="clear" w:color="auto" w:fill="FFFFFF"/>
        </w:rPr>
        <w:t>Evid</w:t>
      </w:r>
      <w:proofErr w:type="spellEnd"/>
      <w:r w:rsidRPr="00FE4FD3">
        <w:rPr>
          <w:rFonts w:eastAsia="Times New Roman" w:cstheme="minorHAnsi"/>
          <w:bdr w:val="none" w:sz="0" w:space="0" w:color="auto" w:frame="1"/>
          <w:shd w:val="clear" w:color="auto" w:fill="FFFFFF"/>
        </w:rPr>
        <w:t>.</w:t>
      </w:r>
      <w:proofErr w:type="gramEnd"/>
      <w:r w:rsidRPr="00FE4FD3">
        <w:rPr>
          <w:rFonts w:eastAsia="Times New Roman" w:cstheme="minorHAnsi"/>
          <w:bdr w:val="none" w:sz="0" w:space="0" w:color="auto" w:frame="1"/>
          <w:shd w:val="clear" w:color="auto" w:fill="FFFFFF"/>
        </w:rPr>
        <w:t> 2009</w:t>
      </w:r>
      <w:proofErr w:type="gramStart"/>
      <w:r w:rsidRPr="00FE4FD3">
        <w:rPr>
          <w:rFonts w:eastAsia="Times New Roman" w:cstheme="minorHAnsi"/>
          <w:bdr w:val="none" w:sz="0" w:space="0" w:color="auto" w:frame="1"/>
          <w:shd w:val="clear" w:color="auto" w:fill="FFFFFF"/>
        </w:rPr>
        <w:t>;2009</w:t>
      </w:r>
      <w:proofErr w:type="gramEnd"/>
      <w:r w:rsidRPr="00FE4FD3">
        <w:rPr>
          <w:rFonts w:eastAsia="Times New Roman" w:cstheme="minorHAnsi"/>
          <w:bdr w:val="none" w:sz="0" w:space="0" w:color="auto" w:frame="1"/>
          <w:shd w:val="clear" w:color="auto" w:fill="FFFFFF"/>
        </w:rPr>
        <w:t>(315):1–13.</w:t>
      </w:r>
    </w:p>
  </w:endnote>
  <w:endnote w:id="28">
    <w:p w14:paraId="06F8FACD"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Lu MC, Kotelchuck M, Hogan V, Jones L, Wright K, </w:t>
      </w:r>
      <w:proofErr w:type="spellStart"/>
      <w:r w:rsidRPr="00FE4FD3">
        <w:rPr>
          <w:rFonts w:cstheme="minorHAnsi"/>
        </w:rPr>
        <w:t>Halfon</w:t>
      </w:r>
      <w:proofErr w:type="spellEnd"/>
      <w:r w:rsidRPr="00FE4FD3">
        <w:rPr>
          <w:rFonts w:cstheme="minorHAnsi"/>
        </w:rPr>
        <w:t xml:space="preserve"> N. Closing the Black-White gap in birth outcomes: a life-course approach. </w:t>
      </w:r>
      <w:proofErr w:type="spellStart"/>
      <w:r w:rsidRPr="00FE4FD3">
        <w:rPr>
          <w:rFonts w:cstheme="minorHAnsi"/>
        </w:rPr>
        <w:t>Ethn</w:t>
      </w:r>
      <w:proofErr w:type="spellEnd"/>
      <w:r w:rsidRPr="00FE4FD3">
        <w:rPr>
          <w:rFonts w:cstheme="minorHAnsi"/>
        </w:rPr>
        <w:t xml:space="preserve"> Dis 2010</w:t>
      </w:r>
      <w:proofErr w:type="gramStart"/>
      <w:r w:rsidRPr="00FE4FD3">
        <w:rPr>
          <w:rFonts w:cstheme="minorHAnsi"/>
        </w:rPr>
        <w:t>;20</w:t>
      </w:r>
      <w:proofErr w:type="gramEnd"/>
      <w:r w:rsidRPr="00FE4FD3">
        <w:rPr>
          <w:rFonts w:cstheme="minorHAnsi"/>
        </w:rPr>
        <w:t xml:space="preserve">(1 </w:t>
      </w:r>
      <w:proofErr w:type="spellStart"/>
      <w:r w:rsidRPr="00FE4FD3">
        <w:rPr>
          <w:rFonts w:cstheme="minorHAnsi"/>
        </w:rPr>
        <w:t>Suppl</w:t>
      </w:r>
      <w:proofErr w:type="spellEnd"/>
      <w:r w:rsidRPr="00FE4FD3">
        <w:rPr>
          <w:rFonts w:cstheme="minorHAnsi"/>
        </w:rPr>
        <w:t xml:space="preserve"> 2):S2-62-76.</w:t>
      </w:r>
    </w:p>
  </w:endnote>
  <w:endnote w:id="29">
    <w:p w14:paraId="18BA32F0"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Dietary Guidelines Advisory Committee.</w:t>
      </w:r>
      <w:proofErr w:type="gramEnd"/>
      <w:r w:rsidRPr="00FE4FD3">
        <w:rPr>
          <w:rFonts w:cstheme="minorHAnsi"/>
        </w:rPr>
        <w:t xml:space="preserve"> </w:t>
      </w:r>
      <w:r w:rsidRPr="00FE4FD3">
        <w:rPr>
          <w:rStyle w:val="Emphasis"/>
          <w:rFonts w:cstheme="minorHAnsi"/>
        </w:rPr>
        <w:t>Scientific Report of the 2015 Dietary Guidelines Advisory Committee: Advisory Report to the Secretary Health and Human Services and the Secretary of Agriculture</w:t>
      </w:r>
      <w:r w:rsidRPr="00FE4FD3">
        <w:rPr>
          <w:rFonts w:cstheme="minorHAnsi"/>
        </w:rPr>
        <w:t>. Washington, DC: US Department of Health and Human Services; 2015.</w:t>
      </w:r>
    </w:p>
  </w:endnote>
  <w:endnote w:id="30">
    <w:p w14:paraId="3A40D7F6"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US Department of Health and Human Services and US Department of Agriculture.</w:t>
      </w:r>
      <w:proofErr w:type="gramEnd"/>
      <w:r w:rsidRPr="00FE4FD3">
        <w:rPr>
          <w:rFonts w:cstheme="minorHAnsi"/>
        </w:rPr>
        <w:t xml:space="preserve"> </w:t>
      </w:r>
      <w:proofErr w:type="gramStart"/>
      <w:r w:rsidRPr="00FE4FD3">
        <w:rPr>
          <w:rStyle w:val="Emphasis"/>
          <w:rFonts w:cstheme="minorHAnsi"/>
        </w:rPr>
        <w:t>2015–2020 Dietary Guidelines for Americans</w:t>
      </w:r>
      <w:r w:rsidRPr="00FE4FD3">
        <w:rPr>
          <w:rFonts w:cstheme="minorHAnsi"/>
        </w:rPr>
        <w:t>.</w:t>
      </w:r>
      <w:proofErr w:type="gramEnd"/>
      <w:r w:rsidRPr="00FE4FD3">
        <w:rPr>
          <w:rFonts w:cstheme="minorHAnsi"/>
        </w:rPr>
        <w:t xml:space="preserve"> </w:t>
      </w:r>
      <w:proofErr w:type="gramStart"/>
      <w:r w:rsidRPr="00FE4FD3">
        <w:rPr>
          <w:rFonts w:cstheme="minorHAnsi"/>
        </w:rPr>
        <w:t>8th Edition.</w:t>
      </w:r>
      <w:proofErr w:type="gramEnd"/>
      <w:r w:rsidRPr="00FE4FD3">
        <w:rPr>
          <w:rFonts w:cstheme="minorHAnsi"/>
        </w:rPr>
        <w:t xml:space="preserve"> December 2015. Available at: http://health.gov/dietaryguidelines/2015/guidelines/. </w:t>
      </w:r>
      <w:proofErr w:type="gramStart"/>
      <w:r w:rsidRPr="00FE4FD3">
        <w:rPr>
          <w:rFonts w:cstheme="minorHAnsi"/>
        </w:rPr>
        <w:t>Accessed June 27, 2017.</w:t>
      </w:r>
      <w:proofErr w:type="gramEnd"/>
    </w:p>
  </w:endnote>
  <w:endnote w:id="31">
    <w:p w14:paraId="64A9C9BD"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lang w:val="fr-FR"/>
        </w:rPr>
        <w:t xml:space="preserve"> </w:t>
      </w:r>
      <w:proofErr w:type="spellStart"/>
      <w:r w:rsidRPr="00FE4FD3">
        <w:rPr>
          <w:rFonts w:cstheme="minorHAnsi"/>
          <w:lang w:val="fr-FR"/>
        </w:rPr>
        <w:t>Kushi</w:t>
      </w:r>
      <w:proofErr w:type="spellEnd"/>
      <w:r w:rsidRPr="00FE4FD3">
        <w:rPr>
          <w:rFonts w:cstheme="minorHAnsi"/>
          <w:lang w:val="fr-FR"/>
        </w:rPr>
        <w:t xml:space="preserve"> LH, </w:t>
      </w:r>
      <w:proofErr w:type="spellStart"/>
      <w:r w:rsidRPr="00FE4FD3">
        <w:rPr>
          <w:rFonts w:cstheme="minorHAnsi"/>
          <w:lang w:val="fr-FR"/>
        </w:rPr>
        <w:t>Byers</w:t>
      </w:r>
      <w:proofErr w:type="spellEnd"/>
      <w:r w:rsidRPr="00FE4FD3">
        <w:rPr>
          <w:rFonts w:cstheme="minorHAnsi"/>
          <w:lang w:val="fr-FR"/>
        </w:rPr>
        <w:t xml:space="preserve"> T, Doyle C, et al. </w:t>
      </w:r>
      <w:r w:rsidRPr="00FE4FD3">
        <w:rPr>
          <w:rFonts w:cstheme="minorHAnsi"/>
        </w:rPr>
        <w:t xml:space="preserve">American Cancer Society Guidelines on Nutrition and Physical Activity for Cancer Prevention: Reducing the Risk of Cancer with Healthy Food Choices and Physical Activity. </w:t>
      </w:r>
      <w:proofErr w:type="gramStart"/>
      <w:r w:rsidRPr="00FE4FD3">
        <w:rPr>
          <w:rStyle w:val="Emphasis"/>
          <w:rFonts w:cstheme="minorHAnsi"/>
        </w:rPr>
        <w:t>A Cancer Journal for Clinicians.</w:t>
      </w:r>
      <w:proofErr w:type="gramEnd"/>
      <w:r w:rsidRPr="00FE4FD3">
        <w:rPr>
          <w:rFonts w:cstheme="minorHAnsi"/>
        </w:rPr>
        <w:t xml:space="preserve"> 2006</w:t>
      </w:r>
      <w:proofErr w:type="gramStart"/>
      <w:r w:rsidRPr="00FE4FD3">
        <w:rPr>
          <w:rFonts w:cstheme="minorHAnsi"/>
        </w:rPr>
        <w:t>;56:254</w:t>
      </w:r>
      <w:proofErr w:type="gramEnd"/>
      <w:r w:rsidRPr="00FE4FD3">
        <w:rPr>
          <w:rFonts w:cstheme="minorHAnsi"/>
        </w:rPr>
        <w:t>–281.</w:t>
      </w:r>
    </w:p>
  </w:endnote>
  <w:endnote w:id="32">
    <w:p w14:paraId="60AD3B8A"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r w:rsidRPr="00FE4FD3">
        <w:rPr>
          <w:rStyle w:val="A15"/>
          <w:rFonts w:cstheme="minorHAnsi"/>
          <w:color w:val="auto"/>
          <w:sz w:val="22"/>
          <w:szCs w:val="22"/>
        </w:rPr>
        <w:t xml:space="preserve">Trust for America’s Health and the Robert Wood Johnson Foundation. F as in fat: how obesity threatens America's future 2012. </w:t>
      </w:r>
      <w:proofErr w:type="gramStart"/>
      <w:r w:rsidRPr="00FE4FD3">
        <w:rPr>
          <w:rStyle w:val="A15"/>
          <w:rFonts w:cstheme="minorHAnsi"/>
          <w:color w:val="auto"/>
          <w:sz w:val="22"/>
          <w:szCs w:val="22"/>
        </w:rPr>
        <w:t>Available at http://www.healthyamericans.org/ report/100/2012.</w:t>
      </w:r>
      <w:proofErr w:type="gramEnd"/>
      <w:r w:rsidRPr="00FE4FD3">
        <w:rPr>
          <w:rStyle w:val="A15"/>
          <w:rFonts w:cstheme="minorHAnsi"/>
          <w:color w:val="auto"/>
          <w:sz w:val="22"/>
          <w:szCs w:val="22"/>
        </w:rPr>
        <w:t xml:space="preserve"> </w:t>
      </w:r>
      <w:proofErr w:type="gramStart"/>
      <w:r w:rsidRPr="00FE4FD3">
        <w:rPr>
          <w:rStyle w:val="A15"/>
          <w:rFonts w:cstheme="minorHAnsi"/>
          <w:color w:val="auto"/>
          <w:sz w:val="22"/>
          <w:szCs w:val="22"/>
        </w:rPr>
        <w:t>Accessed June 27, 2017.</w:t>
      </w:r>
      <w:proofErr w:type="gramEnd"/>
    </w:p>
  </w:endnote>
  <w:endnote w:id="33">
    <w:p w14:paraId="70D1FBD7"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Robert Wood Johnson Foundation.</w:t>
      </w:r>
      <w:proofErr w:type="gramEnd"/>
      <w:r w:rsidRPr="00FE4FD3">
        <w:rPr>
          <w:rFonts w:cstheme="minorHAnsi"/>
        </w:rPr>
        <w:t xml:space="preserve"> How Social Factors Shape Health: The Role of Stress. Issue Brief Series: Exploring the Social Determinants of Health. Available at: </w:t>
      </w:r>
    </w:p>
    <w:p w14:paraId="42B757B9" w14:textId="77777777" w:rsidR="003F257A" w:rsidRPr="00FE4FD3" w:rsidRDefault="003F257A" w:rsidP="00FE4FD3">
      <w:pPr>
        <w:pStyle w:val="REFERENCES"/>
        <w:rPr>
          <w:rFonts w:cstheme="minorHAnsi"/>
        </w:rPr>
      </w:pPr>
      <w:r w:rsidRPr="00FE4FD3">
        <w:rPr>
          <w:rFonts w:cstheme="minorHAnsi"/>
        </w:rPr>
        <w:t xml:space="preserve">http://www.nmpha.org/Resources/Documents/RWJF%20Issue%20Brief%20-%20Stress%20_%20Health.pdf. </w:t>
      </w:r>
      <w:proofErr w:type="gramStart"/>
      <w:r w:rsidRPr="00FE4FD3">
        <w:rPr>
          <w:rFonts w:cstheme="minorHAnsi"/>
        </w:rPr>
        <w:t>Accessed June 27, 2017.</w:t>
      </w:r>
      <w:proofErr w:type="gramEnd"/>
    </w:p>
  </w:endnote>
  <w:endnote w:id="34">
    <w:p w14:paraId="0EAD2E59"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Massachusetts Department of Public Health.</w:t>
      </w:r>
      <w:proofErr w:type="gramEnd"/>
      <w:r w:rsidRPr="00FE4FD3">
        <w:rPr>
          <w:rFonts w:cstheme="minorHAnsi"/>
        </w:rPr>
        <w:t xml:space="preserve"> </w:t>
      </w:r>
      <w:proofErr w:type="gramStart"/>
      <w:r w:rsidRPr="00FE4FD3">
        <w:rPr>
          <w:rFonts w:cstheme="minorHAnsi"/>
        </w:rPr>
        <w:t>Health and Risk Behaviors of Massachusetts Youth, 2015.</w:t>
      </w:r>
      <w:proofErr w:type="gramEnd"/>
      <w:r w:rsidRPr="00FE4FD3">
        <w:rPr>
          <w:rFonts w:cstheme="minorHAnsi"/>
        </w:rPr>
        <w:t xml:space="preserve"> Available at: http://www.mass.gov/eohhs/docs/dph/behavioral-risk/youth-health-risk-report-2015.pdf. </w:t>
      </w:r>
      <w:proofErr w:type="gramStart"/>
      <w:r w:rsidRPr="00FE4FD3">
        <w:rPr>
          <w:rFonts w:cstheme="minorHAnsi"/>
        </w:rPr>
        <w:t>Accessed June 27, 2017.</w:t>
      </w:r>
      <w:proofErr w:type="gramEnd"/>
    </w:p>
  </w:endnote>
  <w:endnote w:id="35">
    <w:p w14:paraId="24D7D384" w14:textId="64A3F7D8"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Massachusetts Department of Public Health.</w:t>
      </w:r>
      <w:proofErr w:type="gramEnd"/>
      <w:r w:rsidRPr="00FE4FD3">
        <w:rPr>
          <w:rFonts w:cstheme="minorHAnsi"/>
        </w:rPr>
        <w:t xml:space="preserve"> </w:t>
      </w:r>
      <w:proofErr w:type="gramStart"/>
      <w:r w:rsidRPr="00FE4FD3">
        <w:rPr>
          <w:rFonts w:cstheme="minorHAnsi"/>
        </w:rPr>
        <w:t>Health and Risk Behaviors of Massachusetts Youth, 2015.</w:t>
      </w:r>
      <w:proofErr w:type="gramEnd"/>
      <w:r w:rsidRPr="00FE4FD3">
        <w:rPr>
          <w:rFonts w:cstheme="minorHAnsi"/>
        </w:rPr>
        <w:t xml:space="preserve"> Available at: http://www.mass.gov/eohhs/docs/dph/behavioral-risk/youth-health-risk-report-2015.pdf. </w:t>
      </w:r>
      <w:proofErr w:type="gramStart"/>
      <w:r w:rsidRPr="00FE4FD3">
        <w:rPr>
          <w:rFonts w:cstheme="minorHAnsi"/>
        </w:rPr>
        <w:t>Accessed June 27, 2017.</w:t>
      </w:r>
      <w:proofErr w:type="gramEnd"/>
    </w:p>
  </w:endnote>
  <w:endnote w:id="36">
    <w:p w14:paraId="06DA37DD"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CDC. Use of a 2-Dose Schedule for Human Papillomavirus Vaccination — Updated Recommendations of the Advisory Committee on Immunization Practices.  </w:t>
      </w:r>
      <w:r w:rsidRPr="00FE4FD3">
        <w:rPr>
          <w:rFonts w:cstheme="minorHAnsi"/>
          <w:i/>
        </w:rPr>
        <w:t>MMWR</w:t>
      </w:r>
      <w:r w:rsidRPr="00FE4FD3">
        <w:rPr>
          <w:rFonts w:cstheme="minorHAnsi"/>
        </w:rPr>
        <w:t xml:space="preserve"> December 2016</w:t>
      </w:r>
      <w:proofErr w:type="gramStart"/>
      <w:r w:rsidRPr="00FE4FD3">
        <w:rPr>
          <w:rFonts w:cstheme="minorHAnsi"/>
        </w:rPr>
        <w:t xml:space="preserve">; </w:t>
      </w:r>
      <w:r w:rsidRPr="00FE4FD3">
        <w:rPr>
          <w:rFonts w:cstheme="minorHAnsi"/>
          <w:shd w:val="clear" w:color="auto" w:fill="FFFFFF"/>
        </w:rPr>
        <w:t> 65</w:t>
      </w:r>
      <w:proofErr w:type="gramEnd"/>
      <w:r w:rsidRPr="00FE4FD3">
        <w:rPr>
          <w:rFonts w:cstheme="minorHAnsi"/>
          <w:shd w:val="clear" w:color="auto" w:fill="FFFFFF"/>
        </w:rPr>
        <w:t xml:space="preserve">(49);1405–1408. </w:t>
      </w:r>
    </w:p>
  </w:endnote>
  <w:endnote w:id="37">
    <w:p w14:paraId="7C9DC2A4"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National Center for Immunization and Respiratory Disease, CDC.</w:t>
      </w:r>
      <w:proofErr w:type="gramEnd"/>
      <w:r w:rsidRPr="00FE4FD3">
        <w:rPr>
          <w:rFonts w:cstheme="minorHAnsi"/>
        </w:rPr>
        <w:t xml:space="preserve"> </w:t>
      </w:r>
      <w:proofErr w:type="spellStart"/>
      <w:proofErr w:type="gramStart"/>
      <w:r w:rsidRPr="00FE4FD3">
        <w:rPr>
          <w:rFonts w:cstheme="minorHAnsi"/>
        </w:rPr>
        <w:t>TeenVaxView</w:t>
      </w:r>
      <w:proofErr w:type="spellEnd"/>
      <w:r w:rsidRPr="00FE4FD3">
        <w:rPr>
          <w:rFonts w:cstheme="minorHAnsi"/>
        </w:rPr>
        <w:t>.</w:t>
      </w:r>
      <w:proofErr w:type="gramEnd"/>
      <w:r w:rsidRPr="00FE4FD3">
        <w:rPr>
          <w:rFonts w:cstheme="minorHAnsi"/>
        </w:rPr>
        <w:t xml:space="preserve"> Available at: https://www.cdc.gov/vaccines/imz-managers/coverage/teenvaxview/index.html. </w:t>
      </w:r>
      <w:proofErr w:type="gramStart"/>
      <w:r w:rsidRPr="00FE4FD3">
        <w:rPr>
          <w:rFonts w:cstheme="minorHAnsi"/>
        </w:rPr>
        <w:t>Accessed June 16, 2017.</w:t>
      </w:r>
      <w:proofErr w:type="gramEnd"/>
      <w:r w:rsidRPr="00FE4FD3">
        <w:rPr>
          <w:rFonts w:cstheme="minorHAnsi"/>
        </w:rPr>
        <w:t xml:space="preserve"> </w:t>
      </w:r>
    </w:p>
  </w:endnote>
  <w:endnote w:id="38">
    <w:p w14:paraId="4B4117F8"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lang w:val="fr-FR"/>
        </w:rPr>
        <w:t xml:space="preserve"> McPherson M, </w:t>
      </w:r>
      <w:proofErr w:type="spellStart"/>
      <w:r w:rsidRPr="00FE4FD3">
        <w:rPr>
          <w:rFonts w:cstheme="minorHAnsi"/>
          <w:lang w:val="fr-FR"/>
        </w:rPr>
        <w:t>Arango</w:t>
      </w:r>
      <w:proofErr w:type="spellEnd"/>
      <w:r w:rsidRPr="00FE4FD3">
        <w:rPr>
          <w:rFonts w:cstheme="minorHAnsi"/>
          <w:lang w:val="fr-FR"/>
        </w:rPr>
        <w:t xml:space="preserve"> P, Fox H, et al. </w:t>
      </w:r>
      <w:r w:rsidRPr="00FE4FD3">
        <w:rPr>
          <w:rFonts w:cstheme="minorHAnsi"/>
        </w:rPr>
        <w:t xml:space="preserve">A new definition of children with special health care needs. </w:t>
      </w:r>
      <w:proofErr w:type="gramStart"/>
      <w:r w:rsidRPr="00FE4FD3">
        <w:rPr>
          <w:rFonts w:cstheme="minorHAnsi"/>
          <w:i/>
        </w:rPr>
        <w:t>Pediatrics</w:t>
      </w:r>
      <w:r w:rsidRPr="00FE4FD3">
        <w:rPr>
          <w:rFonts w:cstheme="minorHAnsi"/>
        </w:rPr>
        <w:t>.</w:t>
      </w:r>
      <w:proofErr w:type="gramEnd"/>
      <w:r w:rsidRPr="00FE4FD3">
        <w:rPr>
          <w:rFonts w:cstheme="minorHAnsi"/>
        </w:rPr>
        <w:t xml:space="preserve"> 1998; 102(1 </w:t>
      </w:r>
      <w:proofErr w:type="spellStart"/>
      <w:r w:rsidRPr="00FE4FD3">
        <w:rPr>
          <w:rFonts w:cstheme="minorHAnsi"/>
        </w:rPr>
        <w:t>pt</w:t>
      </w:r>
      <w:proofErr w:type="spellEnd"/>
      <w:r w:rsidRPr="00FE4FD3">
        <w:rPr>
          <w:rFonts w:cstheme="minorHAnsi"/>
        </w:rPr>
        <w:t xml:space="preserve"> 1): 137-140.</w:t>
      </w:r>
    </w:p>
  </w:endnote>
  <w:endnote w:id="39">
    <w:p w14:paraId="1B4171D1"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spellStart"/>
      <w:r w:rsidRPr="00FE4FD3">
        <w:rPr>
          <w:rFonts w:cstheme="minorHAnsi"/>
        </w:rPr>
        <w:t>Kuo</w:t>
      </w:r>
      <w:proofErr w:type="spellEnd"/>
      <w:r w:rsidRPr="00FE4FD3">
        <w:rPr>
          <w:rStyle w:val="apple-converted-space"/>
          <w:rFonts w:cstheme="minorHAnsi"/>
          <w:shd w:val="clear" w:color="auto" w:fill="FFFFFF"/>
        </w:rPr>
        <w:t xml:space="preserve"> </w:t>
      </w:r>
      <w:r w:rsidRPr="00FE4FD3">
        <w:rPr>
          <w:rFonts w:cstheme="minorHAnsi"/>
        </w:rPr>
        <w:t>DZ,</w:t>
      </w:r>
      <w:r w:rsidRPr="00FE4FD3">
        <w:rPr>
          <w:rStyle w:val="apple-converted-space"/>
          <w:rFonts w:cstheme="minorHAnsi"/>
          <w:shd w:val="clear" w:color="auto" w:fill="FFFFFF"/>
        </w:rPr>
        <w:t> </w:t>
      </w:r>
      <w:r w:rsidRPr="00FE4FD3">
        <w:rPr>
          <w:rStyle w:val="wi-fullname"/>
          <w:rFonts w:cstheme="minorHAnsi"/>
          <w:shd w:val="clear" w:color="auto" w:fill="FFFFFF"/>
        </w:rPr>
        <w:t>Cohen E, Agrawal R.</w:t>
      </w:r>
      <w:r w:rsidRPr="00FE4FD3">
        <w:rPr>
          <w:rFonts w:cstheme="minorHAnsi"/>
          <w:shd w:val="clear" w:color="auto" w:fill="FFFFFF"/>
        </w:rPr>
        <w:t> et al.</w:t>
      </w:r>
      <w:r w:rsidRPr="00FE4FD3">
        <w:rPr>
          <w:rStyle w:val="apple-converted-space"/>
          <w:rFonts w:cstheme="minorHAnsi"/>
          <w:shd w:val="clear" w:color="auto" w:fill="FFFFFF"/>
        </w:rPr>
        <w:t xml:space="preserve"> A national profile of caregiver challenges among more medically complex children with special health care needs. </w:t>
      </w:r>
      <w:r w:rsidRPr="00FE4FD3">
        <w:rPr>
          <w:rStyle w:val="meta-citation-journal-name"/>
          <w:rFonts w:cstheme="minorHAnsi"/>
          <w:i/>
          <w:iCs/>
          <w:shd w:val="clear" w:color="auto" w:fill="FFFFFF"/>
        </w:rPr>
        <w:t xml:space="preserve">Arch </w:t>
      </w:r>
      <w:proofErr w:type="spellStart"/>
      <w:r w:rsidRPr="00FE4FD3">
        <w:rPr>
          <w:rStyle w:val="meta-citation-journal-name"/>
          <w:rFonts w:cstheme="minorHAnsi"/>
          <w:i/>
          <w:iCs/>
          <w:shd w:val="clear" w:color="auto" w:fill="FFFFFF"/>
        </w:rPr>
        <w:t>Pediatr</w:t>
      </w:r>
      <w:proofErr w:type="spellEnd"/>
      <w:r w:rsidRPr="00FE4FD3">
        <w:rPr>
          <w:rStyle w:val="meta-citation-journal-name"/>
          <w:rFonts w:cstheme="minorHAnsi"/>
          <w:i/>
          <w:iCs/>
          <w:shd w:val="clear" w:color="auto" w:fill="FFFFFF"/>
        </w:rPr>
        <w:t xml:space="preserve"> </w:t>
      </w:r>
      <w:proofErr w:type="spellStart"/>
      <w:r w:rsidRPr="00FE4FD3">
        <w:rPr>
          <w:rStyle w:val="meta-citation-journal-name"/>
          <w:rFonts w:cstheme="minorHAnsi"/>
          <w:i/>
          <w:iCs/>
          <w:shd w:val="clear" w:color="auto" w:fill="FFFFFF"/>
        </w:rPr>
        <w:t>Adolesc</w:t>
      </w:r>
      <w:proofErr w:type="spellEnd"/>
      <w:r w:rsidRPr="00FE4FD3">
        <w:rPr>
          <w:rStyle w:val="meta-citation-journal-name"/>
          <w:rFonts w:cstheme="minorHAnsi"/>
          <w:i/>
          <w:iCs/>
          <w:shd w:val="clear" w:color="auto" w:fill="FFFFFF"/>
        </w:rPr>
        <w:t xml:space="preserve"> Med. </w:t>
      </w:r>
      <w:r w:rsidRPr="00FE4FD3">
        <w:rPr>
          <w:rStyle w:val="meta-citation"/>
          <w:rFonts w:cstheme="minorHAnsi"/>
          <w:shd w:val="clear" w:color="auto" w:fill="FFFFFF"/>
        </w:rPr>
        <w:t>2011; 165(11):1020-1026. </w:t>
      </w:r>
    </w:p>
  </w:endnote>
  <w:endnote w:id="40">
    <w:p w14:paraId="38B827E8" w14:textId="77777777" w:rsidR="003F257A" w:rsidRPr="00FE4FD3" w:rsidRDefault="003F257A" w:rsidP="00FE4FD3">
      <w:pPr>
        <w:pStyle w:val="REFERENCES"/>
        <w:rPr>
          <w:rFonts w:cstheme="minorHAnsi"/>
          <w:u w:val="single"/>
        </w:rPr>
      </w:pPr>
      <w:r w:rsidRPr="00FE4FD3">
        <w:rPr>
          <w:rStyle w:val="EndnoteReference"/>
          <w:rFonts w:cstheme="minorHAnsi"/>
        </w:rPr>
        <w:endnoteRef/>
      </w:r>
      <w:r w:rsidRPr="00FE4FD3">
        <w:rPr>
          <w:rFonts w:cstheme="minorHAnsi"/>
        </w:rPr>
        <w:t xml:space="preserve"> </w:t>
      </w:r>
      <w:proofErr w:type="gramStart"/>
      <w:r w:rsidRPr="00FE4FD3">
        <w:rPr>
          <w:rFonts w:cstheme="minorHAnsi"/>
        </w:rPr>
        <w:t>American Academy of Pediatrics.</w:t>
      </w:r>
      <w:proofErr w:type="gramEnd"/>
      <w:r w:rsidRPr="00FE4FD3">
        <w:rPr>
          <w:rFonts w:cstheme="minorHAnsi"/>
        </w:rPr>
        <w:t xml:space="preserve"> AAP Agenda for Children: Medical Home. Available at: https://www.aap.org/en-us/about-the-aap/aap-facts/AAP-Agenda-for-Children-Strategic-Plan/pages/AAP-Agenda-for-Children-Strategic-Plan-Medical-Home.aspx</w:t>
      </w:r>
      <w:r w:rsidRPr="00FE4FD3">
        <w:rPr>
          <w:rStyle w:val="Hyperlink"/>
          <w:color w:val="auto"/>
        </w:rPr>
        <w:t>. Accessed on June 30</w:t>
      </w:r>
      <w:proofErr w:type="gramStart"/>
      <w:r w:rsidRPr="00FE4FD3">
        <w:rPr>
          <w:rStyle w:val="Hyperlink"/>
          <w:color w:val="auto"/>
        </w:rPr>
        <w:t>,2017</w:t>
      </w:r>
      <w:proofErr w:type="gramEnd"/>
      <w:r w:rsidRPr="00FE4FD3">
        <w:rPr>
          <w:rStyle w:val="Hyperlink"/>
          <w:color w:val="auto"/>
        </w:rPr>
        <w:t>.</w:t>
      </w:r>
    </w:p>
  </w:endnote>
  <w:endnote w:id="41">
    <w:p w14:paraId="0BDFC5FA" w14:textId="3E24C1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National Center for Medical Home Implementation.</w:t>
      </w:r>
      <w:proofErr w:type="gramEnd"/>
      <w:r w:rsidRPr="00FE4FD3">
        <w:rPr>
          <w:rFonts w:cstheme="minorHAnsi"/>
        </w:rPr>
        <w:t xml:space="preserve"> Why is Medical Home Important? Available at: https://medicalhomeinfo.aap.org/overview/Pages/Evidence.aspx.</w:t>
      </w:r>
    </w:p>
  </w:endnote>
  <w:endnote w:id="42">
    <w:p w14:paraId="22BAC15E"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American Academy of Pediatrics, American Academy of Family Physicians, and American College of Physicians, Transitions Clinical Report Authoring Group. Supporting the Health Care Transition </w:t>
      </w:r>
      <w:proofErr w:type="gramStart"/>
      <w:r w:rsidRPr="00FE4FD3">
        <w:rPr>
          <w:rFonts w:cstheme="minorHAnsi"/>
        </w:rPr>
        <w:t>From</w:t>
      </w:r>
      <w:proofErr w:type="gramEnd"/>
      <w:r w:rsidRPr="00FE4FD3">
        <w:rPr>
          <w:rFonts w:cstheme="minorHAnsi"/>
        </w:rPr>
        <w:t xml:space="preserve"> Adolescence to Adulthood in the Medical Home. </w:t>
      </w:r>
      <w:proofErr w:type="gramStart"/>
      <w:r w:rsidRPr="00FE4FD3">
        <w:rPr>
          <w:rFonts w:cstheme="minorHAnsi"/>
          <w:i/>
        </w:rPr>
        <w:t>Pediatrics</w:t>
      </w:r>
      <w:r w:rsidRPr="00FE4FD3">
        <w:rPr>
          <w:rFonts w:cstheme="minorHAnsi"/>
        </w:rPr>
        <w:t>.</w:t>
      </w:r>
      <w:proofErr w:type="gramEnd"/>
      <w:r w:rsidRPr="00FE4FD3">
        <w:rPr>
          <w:rFonts w:cstheme="minorHAnsi"/>
        </w:rPr>
        <w:t xml:space="preserve"> Jul 2011; 128 (1): 182-200.</w:t>
      </w:r>
    </w:p>
  </w:endnote>
  <w:endnote w:id="43">
    <w:p w14:paraId="7198F9CE"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Almond D, Currie J, Herrmann M.</w:t>
      </w:r>
      <w:proofErr w:type="gramEnd"/>
      <w:r w:rsidRPr="00FE4FD3">
        <w:rPr>
          <w:rFonts w:cstheme="minorHAnsi"/>
        </w:rPr>
        <w:t> From infant to mother: Early disease environment and future maternal health. </w:t>
      </w:r>
      <w:proofErr w:type="spellStart"/>
      <w:proofErr w:type="gramStart"/>
      <w:r w:rsidRPr="00FE4FD3">
        <w:rPr>
          <w:rFonts w:cstheme="minorHAnsi"/>
          <w:i/>
        </w:rPr>
        <w:t>Labour</w:t>
      </w:r>
      <w:proofErr w:type="spellEnd"/>
      <w:r w:rsidRPr="00FE4FD3">
        <w:rPr>
          <w:rFonts w:cstheme="minorHAnsi"/>
          <w:i/>
        </w:rPr>
        <w:t xml:space="preserve"> Economics.</w:t>
      </w:r>
      <w:proofErr w:type="gramEnd"/>
      <w:r w:rsidRPr="00FE4FD3">
        <w:rPr>
          <w:rFonts w:cstheme="minorHAnsi"/>
        </w:rPr>
        <w:t> 2012; 19(4): 475–483.</w:t>
      </w:r>
    </w:p>
  </w:endnote>
  <w:endnote w:id="44">
    <w:p w14:paraId="14B438B1"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spellStart"/>
      <w:r w:rsidRPr="00FE4FD3">
        <w:rPr>
          <w:rFonts w:cstheme="minorHAnsi"/>
        </w:rPr>
        <w:t>Victora</w:t>
      </w:r>
      <w:proofErr w:type="spellEnd"/>
      <w:r w:rsidRPr="00FE4FD3">
        <w:rPr>
          <w:rFonts w:cstheme="minorHAnsi"/>
        </w:rPr>
        <w:t xml:space="preserve"> CG, Adair L, Fall C, et al. Maternal and child undernutrition: Consequences for adult health and human capital.</w:t>
      </w:r>
      <w:r w:rsidRPr="00FE4FD3">
        <w:rPr>
          <w:rFonts w:cstheme="minorHAnsi"/>
          <w:i/>
        </w:rPr>
        <w:t xml:space="preserve"> </w:t>
      </w:r>
      <w:proofErr w:type="gramStart"/>
      <w:r w:rsidRPr="00FE4FD3">
        <w:rPr>
          <w:rFonts w:cstheme="minorHAnsi"/>
          <w:i/>
        </w:rPr>
        <w:t>Lancet.</w:t>
      </w:r>
      <w:proofErr w:type="gramEnd"/>
      <w:r w:rsidRPr="00FE4FD3">
        <w:rPr>
          <w:rFonts w:cstheme="minorHAnsi"/>
        </w:rPr>
        <w:t xml:space="preserve"> 2008; 371(9609): 340–357.</w:t>
      </w:r>
    </w:p>
  </w:endnote>
  <w:endnote w:id="45">
    <w:p w14:paraId="60EFA4A8"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spellStart"/>
      <w:r w:rsidRPr="00FE4FD3">
        <w:rPr>
          <w:rFonts w:cstheme="minorHAnsi"/>
        </w:rPr>
        <w:t>Bhalotra</w:t>
      </w:r>
      <w:proofErr w:type="spellEnd"/>
      <w:r w:rsidRPr="00FE4FD3">
        <w:rPr>
          <w:rFonts w:cstheme="minorHAnsi"/>
        </w:rPr>
        <w:t xml:space="preserve"> S, Rawlings SB. Intergenerational persistence in health in developing countries: The penalty of gender inequality? </w:t>
      </w:r>
      <w:proofErr w:type="gramStart"/>
      <w:r w:rsidRPr="00FE4FD3">
        <w:rPr>
          <w:rFonts w:cstheme="minorHAnsi"/>
          <w:i/>
        </w:rPr>
        <w:t>Journal of Public Economics.</w:t>
      </w:r>
      <w:proofErr w:type="gramEnd"/>
      <w:r w:rsidRPr="00FE4FD3">
        <w:rPr>
          <w:rFonts w:cstheme="minorHAnsi"/>
        </w:rPr>
        <w:t xml:space="preserve"> 2011; 95(3–4): 286–299.</w:t>
      </w:r>
    </w:p>
  </w:endnote>
  <w:endnote w:id="46">
    <w:p w14:paraId="648CB05F"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spellStart"/>
      <w:r w:rsidRPr="00FE4FD3">
        <w:rPr>
          <w:rFonts w:cstheme="minorHAnsi"/>
        </w:rPr>
        <w:t>Martorell</w:t>
      </w:r>
      <w:proofErr w:type="spellEnd"/>
      <w:r w:rsidRPr="00FE4FD3">
        <w:rPr>
          <w:rFonts w:cstheme="minorHAnsi"/>
        </w:rPr>
        <w:t xml:space="preserve"> R. Physical growth and development of the malnourished child: Contributions from 50 years of research at INCAPP. </w:t>
      </w:r>
      <w:proofErr w:type="gramStart"/>
      <w:r w:rsidRPr="00FE4FD3">
        <w:rPr>
          <w:rFonts w:cstheme="minorHAnsi"/>
          <w:i/>
        </w:rPr>
        <w:t>Food and Nutrition Bulletin.</w:t>
      </w:r>
      <w:proofErr w:type="gramEnd"/>
      <w:r w:rsidRPr="00FE4FD3">
        <w:rPr>
          <w:rFonts w:cstheme="minorHAnsi"/>
        </w:rPr>
        <w:t> 2010; 31(1): 68–82. </w:t>
      </w:r>
    </w:p>
  </w:endnote>
  <w:endnote w:id="47">
    <w:p w14:paraId="04572992"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Chen J, Millar WJ. </w:t>
      </w:r>
      <w:proofErr w:type="gramStart"/>
      <w:r w:rsidRPr="00FE4FD3">
        <w:rPr>
          <w:rFonts w:cstheme="minorHAnsi"/>
        </w:rPr>
        <w:t>Birth outcome, the social environment and child health.</w:t>
      </w:r>
      <w:proofErr w:type="gramEnd"/>
      <w:r w:rsidRPr="00FE4FD3">
        <w:rPr>
          <w:rFonts w:cstheme="minorHAnsi"/>
        </w:rPr>
        <w:t> </w:t>
      </w:r>
      <w:r w:rsidRPr="00FE4FD3">
        <w:rPr>
          <w:rFonts w:cstheme="minorHAnsi"/>
          <w:i/>
        </w:rPr>
        <w:t>Health Rep.</w:t>
      </w:r>
      <w:r w:rsidRPr="00FE4FD3">
        <w:rPr>
          <w:rFonts w:cstheme="minorHAnsi"/>
        </w:rPr>
        <w:t> 1999; 10(4): 57–67(ENG); 59–71(FRE). </w:t>
      </w:r>
    </w:p>
  </w:endnote>
  <w:endnote w:id="48">
    <w:p w14:paraId="1EE27F96"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Kahn RS, Wilson K, Wise PPH. Intergenerational health disparities: Socioeconomic status, women's health conditions, and child behavior problems. </w:t>
      </w:r>
      <w:proofErr w:type="gramStart"/>
      <w:r w:rsidRPr="00FE4FD3">
        <w:rPr>
          <w:rFonts w:cstheme="minorHAnsi"/>
          <w:i/>
        </w:rPr>
        <w:t>Public Health Reports.</w:t>
      </w:r>
      <w:proofErr w:type="gramEnd"/>
      <w:r w:rsidRPr="00FE4FD3">
        <w:rPr>
          <w:rFonts w:cstheme="minorHAnsi"/>
        </w:rPr>
        <w:t xml:space="preserve"> 2005; 120(4): 399–408.</w:t>
      </w:r>
    </w:p>
  </w:endnote>
  <w:endnote w:id="49">
    <w:p w14:paraId="72456426"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Association of State and Territorial Health Officials.</w:t>
      </w:r>
      <w:proofErr w:type="gramEnd"/>
      <w:r w:rsidRPr="00FE4FD3">
        <w:rPr>
          <w:rFonts w:cstheme="minorHAnsi"/>
        </w:rPr>
        <w:t xml:space="preserve"> </w:t>
      </w:r>
      <w:proofErr w:type="gramStart"/>
      <w:r w:rsidRPr="00FE4FD3">
        <w:rPr>
          <w:rFonts w:cstheme="minorHAnsi"/>
        </w:rPr>
        <w:t xml:space="preserve">Maternal </w:t>
      </w:r>
      <w:proofErr w:type="spellStart"/>
      <w:r w:rsidRPr="00FE4FD3">
        <w:rPr>
          <w:rFonts w:cstheme="minorHAnsi"/>
        </w:rPr>
        <w:t>Mortaity</w:t>
      </w:r>
      <w:proofErr w:type="spellEnd"/>
      <w:r w:rsidRPr="00FE4FD3">
        <w:rPr>
          <w:rFonts w:cstheme="minorHAnsi"/>
        </w:rPr>
        <w:t xml:space="preserve"> and Morbidity – Position Statement.</w:t>
      </w:r>
      <w:proofErr w:type="gramEnd"/>
      <w:r w:rsidRPr="00FE4FD3">
        <w:rPr>
          <w:rFonts w:cstheme="minorHAnsi"/>
        </w:rPr>
        <w:t xml:space="preserve">  Available at: </w:t>
      </w:r>
      <w:hyperlink r:id="rId3" w:history="1">
        <w:r w:rsidRPr="00FE4FD3">
          <w:rPr>
            <w:rStyle w:val="Hyperlink"/>
            <w:color w:val="auto"/>
          </w:rPr>
          <w:t>http://www.astho.org/Policy-and-Position-Statements/Position-Statement-on-Maternal-Mortality-and-Morbidity/</w:t>
        </w:r>
      </w:hyperlink>
      <w:r w:rsidRPr="00FE4FD3">
        <w:rPr>
          <w:rFonts w:cstheme="minorHAnsi"/>
        </w:rPr>
        <w:t xml:space="preserve">.  </w:t>
      </w:r>
      <w:proofErr w:type="gramStart"/>
      <w:r w:rsidRPr="00FE4FD3">
        <w:rPr>
          <w:rFonts w:cstheme="minorHAnsi"/>
        </w:rPr>
        <w:t>Accessed August 22, 2017.</w:t>
      </w:r>
      <w:proofErr w:type="gramEnd"/>
    </w:p>
  </w:endnote>
  <w:endnote w:id="50">
    <w:p w14:paraId="6B1FEAA8"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spellStart"/>
      <w:r w:rsidRPr="00FE4FD3">
        <w:rPr>
          <w:rFonts w:cstheme="minorHAnsi"/>
        </w:rPr>
        <w:t>Frieden</w:t>
      </w:r>
      <w:proofErr w:type="spellEnd"/>
      <w:r w:rsidRPr="00FE4FD3">
        <w:rPr>
          <w:rFonts w:cstheme="minorHAnsi"/>
        </w:rPr>
        <w:t xml:space="preserve"> TR; Centers for Disease Control and Prevention (CDC). Use of Selected Clinical Preventive Services </w:t>
      </w:r>
      <w:proofErr w:type="gramStart"/>
      <w:r w:rsidRPr="00FE4FD3">
        <w:rPr>
          <w:rFonts w:cstheme="minorHAnsi"/>
        </w:rPr>
        <w:t>Among</w:t>
      </w:r>
      <w:proofErr w:type="gramEnd"/>
      <w:r w:rsidRPr="00FE4FD3">
        <w:rPr>
          <w:rFonts w:cstheme="minorHAnsi"/>
        </w:rPr>
        <w:t xml:space="preserve"> Adults—United States, 2007–2010. </w:t>
      </w:r>
      <w:r w:rsidRPr="00FE4FD3">
        <w:rPr>
          <w:rFonts w:cstheme="minorHAnsi"/>
          <w:i/>
        </w:rPr>
        <w:t>MMWR Suppl.</w:t>
      </w:r>
      <w:r w:rsidRPr="00FE4FD3">
        <w:rPr>
          <w:rFonts w:cstheme="minorHAnsi"/>
        </w:rPr>
        <w:t xml:space="preserve"> 2012; 5</w:t>
      </w:r>
      <w:proofErr w:type="gramStart"/>
      <w:r w:rsidRPr="00FE4FD3">
        <w:rPr>
          <w:rFonts w:cstheme="minorHAnsi"/>
        </w:rPr>
        <w:t>;61</w:t>
      </w:r>
      <w:proofErr w:type="gramEnd"/>
      <w:r w:rsidRPr="00FE4FD3">
        <w:rPr>
          <w:rFonts w:cstheme="minorHAnsi"/>
        </w:rPr>
        <w:t xml:space="preserve">(2):1–2. </w:t>
      </w:r>
    </w:p>
  </w:endnote>
  <w:endnote w:id="51">
    <w:p w14:paraId="427A1BC1" w14:textId="6F6801A2"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Robertson R, Collins SR. Women at risk: Why increasing numbers of women are failing to get the health care they need and how the Affordable Care Act will help. </w:t>
      </w:r>
      <w:proofErr w:type="gramStart"/>
      <w:r w:rsidRPr="00FE4FD3">
        <w:rPr>
          <w:rFonts w:cstheme="minorHAnsi"/>
        </w:rPr>
        <w:t>Findings from the Commonwealth Fund Biennial Health Insurance Survey of 2010.</w:t>
      </w:r>
      <w:proofErr w:type="gramEnd"/>
      <w:r w:rsidRPr="00FE4FD3">
        <w:rPr>
          <w:rFonts w:cstheme="minorHAnsi"/>
        </w:rPr>
        <w:t xml:space="preserve"> </w:t>
      </w:r>
      <w:proofErr w:type="gramStart"/>
      <w:r w:rsidRPr="00FE4FD3">
        <w:rPr>
          <w:rFonts w:cstheme="minorHAnsi"/>
          <w:i/>
        </w:rPr>
        <w:t>Issue Brief (Commonwealth Fund).</w:t>
      </w:r>
      <w:proofErr w:type="gramEnd"/>
      <w:r w:rsidRPr="00FE4FD3">
        <w:rPr>
          <w:rFonts w:cstheme="minorHAnsi"/>
        </w:rPr>
        <w:t xml:space="preserve"> 2011</w:t>
      </w:r>
      <w:proofErr w:type="gramStart"/>
      <w:r w:rsidRPr="00FE4FD3">
        <w:rPr>
          <w:rFonts w:cstheme="minorHAnsi"/>
        </w:rPr>
        <w:t>;3:1</w:t>
      </w:r>
      <w:proofErr w:type="gramEnd"/>
      <w:r w:rsidRPr="00FE4FD3">
        <w:rPr>
          <w:rFonts w:cstheme="minorHAnsi"/>
        </w:rPr>
        <w:t>–24.</w:t>
      </w:r>
    </w:p>
  </w:endnote>
  <w:endnote w:id="52">
    <w:p w14:paraId="6187842B"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spellStart"/>
      <w:proofErr w:type="gramStart"/>
      <w:r w:rsidRPr="00FE4FD3">
        <w:rPr>
          <w:rFonts w:cstheme="minorHAnsi"/>
        </w:rPr>
        <w:t>Stolp</w:t>
      </w:r>
      <w:proofErr w:type="spellEnd"/>
      <w:r w:rsidRPr="00FE4FD3">
        <w:rPr>
          <w:rFonts w:cstheme="minorHAnsi"/>
        </w:rPr>
        <w:t xml:space="preserve"> H, Fox J. Increasing Receipt of Women's Preventive Services.</w:t>
      </w:r>
      <w:proofErr w:type="gramEnd"/>
      <w:r w:rsidRPr="00FE4FD3">
        <w:rPr>
          <w:rFonts w:cstheme="minorHAnsi"/>
        </w:rPr>
        <w:t xml:space="preserve"> </w:t>
      </w:r>
      <w:r w:rsidRPr="00FE4FD3">
        <w:rPr>
          <w:rFonts w:cstheme="minorHAnsi"/>
          <w:i/>
        </w:rPr>
        <w:t xml:space="preserve">J </w:t>
      </w:r>
      <w:proofErr w:type="spellStart"/>
      <w:r w:rsidRPr="00FE4FD3">
        <w:rPr>
          <w:rFonts w:cstheme="minorHAnsi"/>
          <w:i/>
        </w:rPr>
        <w:t>Womens</w:t>
      </w:r>
      <w:proofErr w:type="spellEnd"/>
      <w:r w:rsidRPr="00FE4FD3">
        <w:rPr>
          <w:rFonts w:cstheme="minorHAnsi"/>
          <w:i/>
        </w:rPr>
        <w:t xml:space="preserve"> Health (</w:t>
      </w:r>
      <w:proofErr w:type="spellStart"/>
      <w:r w:rsidRPr="00FE4FD3">
        <w:rPr>
          <w:rFonts w:cstheme="minorHAnsi"/>
          <w:i/>
        </w:rPr>
        <w:t>Larchmt</w:t>
      </w:r>
      <w:proofErr w:type="spellEnd"/>
      <w:r w:rsidRPr="00FE4FD3">
        <w:rPr>
          <w:rFonts w:cstheme="minorHAnsi"/>
          <w:i/>
        </w:rPr>
        <w:t>).</w:t>
      </w:r>
      <w:r w:rsidRPr="00FE4FD3">
        <w:rPr>
          <w:rFonts w:cstheme="minorHAnsi"/>
        </w:rPr>
        <w:t xml:space="preserve"> 2015; 24(11):875-81. </w:t>
      </w:r>
    </w:p>
  </w:endnote>
  <w:endnote w:id="53">
    <w:p w14:paraId="26E64349"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Alexander GR, Kotelchuck M. Assessing the Role and Effectiveness of Prenatal Care: History, Challenges, and Directions for Future Research. </w:t>
      </w:r>
      <w:r w:rsidRPr="00FE4FD3">
        <w:rPr>
          <w:rFonts w:cstheme="minorHAnsi"/>
          <w:i/>
        </w:rPr>
        <w:t>Public Health Rep.</w:t>
      </w:r>
      <w:r w:rsidRPr="00FE4FD3">
        <w:rPr>
          <w:rFonts w:cstheme="minorHAnsi"/>
        </w:rPr>
        <w:t xml:space="preserve"> 2001; 116(4): 306-316.</w:t>
      </w:r>
    </w:p>
  </w:endnote>
  <w:endnote w:id="54">
    <w:p w14:paraId="6AAFFCF1"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Goldin C, Katz LF. The power of the pill: Oral contraceptives and women's career and marriage decisions. </w:t>
      </w:r>
      <w:proofErr w:type="gramStart"/>
      <w:r w:rsidRPr="00FE4FD3">
        <w:rPr>
          <w:rFonts w:cstheme="minorHAnsi"/>
          <w:i/>
        </w:rPr>
        <w:t>Journal of Political Economy.</w:t>
      </w:r>
      <w:proofErr w:type="gramEnd"/>
      <w:r w:rsidRPr="00FE4FD3">
        <w:rPr>
          <w:rFonts w:cstheme="minorHAnsi"/>
        </w:rPr>
        <w:t xml:space="preserve"> 2002; 110(4): 730–770.</w:t>
      </w:r>
    </w:p>
  </w:endnote>
  <w:endnote w:id="55">
    <w:p w14:paraId="7C8796F1"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 xml:space="preserve">D'Angelo DV, Gilbert BC, </w:t>
      </w:r>
      <w:proofErr w:type="spellStart"/>
      <w:r w:rsidRPr="00FE4FD3">
        <w:rPr>
          <w:rFonts w:cstheme="minorHAnsi"/>
        </w:rPr>
        <w:t>Rochat</w:t>
      </w:r>
      <w:proofErr w:type="spellEnd"/>
      <w:r w:rsidRPr="00FE4FD3">
        <w:rPr>
          <w:rFonts w:cstheme="minorHAnsi"/>
        </w:rPr>
        <w:t xml:space="preserve"> RW, Santelli JS, and Herold JM.</w:t>
      </w:r>
      <w:proofErr w:type="gramEnd"/>
      <w:r w:rsidRPr="00FE4FD3">
        <w:rPr>
          <w:rFonts w:cstheme="minorHAnsi"/>
        </w:rPr>
        <w:t xml:space="preserve"> </w:t>
      </w:r>
      <w:proofErr w:type="gramStart"/>
      <w:r w:rsidRPr="00FE4FD3">
        <w:rPr>
          <w:rFonts w:cstheme="minorHAnsi"/>
        </w:rPr>
        <w:t>Differences between mistimed and unwanted pregnancies among women who have live births.</w:t>
      </w:r>
      <w:proofErr w:type="gramEnd"/>
      <w:r w:rsidRPr="00FE4FD3">
        <w:rPr>
          <w:rFonts w:cstheme="minorHAnsi"/>
        </w:rPr>
        <w:t xml:space="preserve"> </w:t>
      </w:r>
      <w:proofErr w:type="gramStart"/>
      <w:r w:rsidRPr="00FE4FD3">
        <w:rPr>
          <w:rFonts w:cstheme="minorHAnsi"/>
          <w:i/>
        </w:rPr>
        <w:t>Perspectives on Sexual and Reproductive Health</w:t>
      </w:r>
      <w:r w:rsidRPr="00FE4FD3">
        <w:rPr>
          <w:rFonts w:cstheme="minorHAnsi"/>
        </w:rPr>
        <w:t>.</w:t>
      </w:r>
      <w:proofErr w:type="gramEnd"/>
      <w:r w:rsidRPr="00FE4FD3">
        <w:rPr>
          <w:rFonts w:cstheme="minorHAnsi"/>
        </w:rPr>
        <w:t xml:space="preserve"> 2004; 36(5):192-197.</w:t>
      </w:r>
    </w:p>
  </w:endnote>
  <w:endnote w:id="56">
    <w:p w14:paraId="78B6A33E"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spellStart"/>
      <w:r w:rsidRPr="00FE4FD3">
        <w:rPr>
          <w:rFonts w:cstheme="minorHAnsi"/>
        </w:rPr>
        <w:t>Kost</w:t>
      </w:r>
      <w:proofErr w:type="spellEnd"/>
      <w:r w:rsidRPr="00FE4FD3">
        <w:rPr>
          <w:rFonts w:cstheme="minorHAnsi"/>
        </w:rPr>
        <w:t xml:space="preserve"> K, Landry DJ, </w:t>
      </w:r>
      <w:proofErr w:type="spellStart"/>
      <w:r w:rsidRPr="00FE4FD3">
        <w:rPr>
          <w:rFonts w:cstheme="minorHAnsi"/>
        </w:rPr>
        <w:t>Darroch</w:t>
      </w:r>
      <w:proofErr w:type="spellEnd"/>
      <w:r w:rsidRPr="00FE4FD3">
        <w:rPr>
          <w:rFonts w:cstheme="minorHAnsi"/>
        </w:rPr>
        <w:t xml:space="preserve"> JE. </w:t>
      </w:r>
      <w:proofErr w:type="gramStart"/>
      <w:r w:rsidRPr="00FE4FD3">
        <w:rPr>
          <w:rFonts w:cstheme="minorHAnsi"/>
        </w:rPr>
        <w:t>The effects of pregnancy planning status on birth outcomes and infant care.</w:t>
      </w:r>
      <w:proofErr w:type="gramEnd"/>
      <w:r w:rsidRPr="00FE4FD3">
        <w:rPr>
          <w:rFonts w:cstheme="minorHAnsi"/>
        </w:rPr>
        <w:t xml:space="preserve"> </w:t>
      </w:r>
      <w:proofErr w:type="gramStart"/>
      <w:r w:rsidRPr="00FE4FD3">
        <w:rPr>
          <w:rFonts w:cstheme="minorHAnsi"/>
          <w:i/>
        </w:rPr>
        <w:t>Family Planning Perspectives</w:t>
      </w:r>
      <w:r w:rsidRPr="00FE4FD3">
        <w:rPr>
          <w:rFonts w:cstheme="minorHAnsi"/>
        </w:rPr>
        <w:t>.</w:t>
      </w:r>
      <w:proofErr w:type="gramEnd"/>
      <w:r w:rsidRPr="00FE4FD3">
        <w:rPr>
          <w:rFonts w:cstheme="minorHAnsi"/>
        </w:rPr>
        <w:t xml:space="preserve"> 1998; 30(5):223-304.</w:t>
      </w:r>
    </w:p>
  </w:endnote>
  <w:endnote w:id="57">
    <w:p w14:paraId="11A17FEE"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Sable MR, Spencer JC, </w:t>
      </w:r>
      <w:proofErr w:type="spellStart"/>
      <w:r w:rsidRPr="00FE4FD3">
        <w:rPr>
          <w:rFonts w:cstheme="minorHAnsi"/>
        </w:rPr>
        <w:t>Stockbauer</w:t>
      </w:r>
      <w:proofErr w:type="spellEnd"/>
      <w:r w:rsidRPr="00FE4FD3">
        <w:rPr>
          <w:rFonts w:cstheme="minorHAnsi"/>
        </w:rPr>
        <w:t xml:space="preserve"> JW, et al. Pregnancy </w:t>
      </w:r>
      <w:proofErr w:type="spellStart"/>
      <w:r w:rsidRPr="00FE4FD3">
        <w:rPr>
          <w:rFonts w:cstheme="minorHAnsi"/>
        </w:rPr>
        <w:t>wantedness</w:t>
      </w:r>
      <w:proofErr w:type="spellEnd"/>
      <w:r w:rsidRPr="00FE4FD3">
        <w:rPr>
          <w:rFonts w:cstheme="minorHAnsi"/>
        </w:rPr>
        <w:t xml:space="preserve"> and adverse pregnancy outcomes: differences by race and Medicaid status. </w:t>
      </w:r>
      <w:proofErr w:type="gramStart"/>
      <w:r w:rsidRPr="00FE4FD3">
        <w:rPr>
          <w:rFonts w:cstheme="minorHAnsi"/>
          <w:i/>
        </w:rPr>
        <w:t>Family Planning Perspectives</w:t>
      </w:r>
      <w:r w:rsidRPr="00FE4FD3">
        <w:rPr>
          <w:rFonts w:cstheme="minorHAnsi"/>
        </w:rPr>
        <w:t>.</w:t>
      </w:r>
      <w:proofErr w:type="gramEnd"/>
      <w:r w:rsidRPr="00FE4FD3">
        <w:rPr>
          <w:rFonts w:cstheme="minorHAnsi"/>
        </w:rPr>
        <w:t xml:space="preserve"> 1997; 29(2):76-81.</w:t>
      </w:r>
    </w:p>
  </w:endnote>
  <w:endnote w:id="58">
    <w:p w14:paraId="7BB5916B"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Shah PS, </w:t>
      </w:r>
      <w:proofErr w:type="spellStart"/>
      <w:r w:rsidRPr="00FE4FD3">
        <w:rPr>
          <w:rFonts w:cstheme="minorHAnsi"/>
        </w:rPr>
        <w:t>Balkhair</w:t>
      </w:r>
      <w:proofErr w:type="spellEnd"/>
      <w:r w:rsidRPr="00FE4FD3">
        <w:rPr>
          <w:rFonts w:cstheme="minorHAnsi"/>
        </w:rPr>
        <w:t xml:space="preserve"> T, </w:t>
      </w:r>
      <w:proofErr w:type="spellStart"/>
      <w:r w:rsidRPr="00FE4FD3">
        <w:rPr>
          <w:rFonts w:cstheme="minorHAnsi"/>
        </w:rPr>
        <w:t>Ohlsson</w:t>
      </w:r>
      <w:proofErr w:type="spellEnd"/>
      <w:r w:rsidRPr="00FE4FD3">
        <w:rPr>
          <w:rFonts w:cstheme="minorHAnsi"/>
        </w:rPr>
        <w:t xml:space="preserve"> A, et al. Intention to become pregnant and low birth weight and preterm birth: a systematic review. </w:t>
      </w:r>
      <w:proofErr w:type="gramStart"/>
      <w:r w:rsidRPr="00FE4FD3">
        <w:rPr>
          <w:rFonts w:cstheme="minorHAnsi"/>
          <w:i/>
        </w:rPr>
        <w:t>Maternal and Child Health Journal</w:t>
      </w:r>
      <w:r w:rsidRPr="00FE4FD3">
        <w:rPr>
          <w:rFonts w:cstheme="minorHAnsi"/>
        </w:rPr>
        <w:t>.</w:t>
      </w:r>
      <w:proofErr w:type="gramEnd"/>
      <w:r w:rsidRPr="00FE4FD3">
        <w:rPr>
          <w:rFonts w:cstheme="minorHAnsi"/>
        </w:rPr>
        <w:t xml:space="preserve"> 2011</w:t>
      </w:r>
      <w:proofErr w:type="gramStart"/>
      <w:r w:rsidRPr="00FE4FD3">
        <w:rPr>
          <w:rFonts w:cstheme="minorHAnsi"/>
        </w:rPr>
        <w:t>;15</w:t>
      </w:r>
      <w:proofErr w:type="gramEnd"/>
      <w:r w:rsidRPr="00FE4FD3">
        <w:rPr>
          <w:rFonts w:cstheme="minorHAnsi"/>
        </w:rPr>
        <w:t>(2):205-216.</w:t>
      </w:r>
    </w:p>
  </w:endnote>
  <w:endnote w:id="59">
    <w:p w14:paraId="7F98AC67"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spellStart"/>
      <w:r w:rsidRPr="00FE4FD3">
        <w:rPr>
          <w:rFonts w:cstheme="minorHAnsi"/>
        </w:rPr>
        <w:t>Perper</w:t>
      </w:r>
      <w:proofErr w:type="spellEnd"/>
      <w:r w:rsidRPr="00FE4FD3">
        <w:rPr>
          <w:rFonts w:cstheme="minorHAnsi"/>
        </w:rPr>
        <w:t xml:space="preserve"> K, Peterson K, </w:t>
      </w:r>
      <w:proofErr w:type="spellStart"/>
      <w:r w:rsidRPr="00FE4FD3">
        <w:rPr>
          <w:rFonts w:cstheme="minorHAnsi"/>
        </w:rPr>
        <w:t>Manlove</w:t>
      </w:r>
      <w:proofErr w:type="spellEnd"/>
      <w:r w:rsidRPr="00FE4FD3">
        <w:rPr>
          <w:rFonts w:cstheme="minorHAnsi"/>
        </w:rPr>
        <w:t xml:space="preserve"> J. Diploma Attainment </w:t>
      </w:r>
      <w:proofErr w:type="gramStart"/>
      <w:r w:rsidRPr="00FE4FD3">
        <w:rPr>
          <w:rFonts w:cstheme="minorHAnsi"/>
        </w:rPr>
        <w:t>Among</w:t>
      </w:r>
      <w:proofErr w:type="gramEnd"/>
      <w:r w:rsidRPr="00FE4FD3">
        <w:rPr>
          <w:rFonts w:cstheme="minorHAnsi"/>
        </w:rPr>
        <w:t xml:space="preserve"> Teen Mothers. </w:t>
      </w:r>
      <w:r w:rsidRPr="00FE4FD3">
        <w:rPr>
          <w:rFonts w:cstheme="minorHAnsi"/>
          <w:i/>
        </w:rPr>
        <w:t>Child Trends</w:t>
      </w:r>
      <w:r w:rsidRPr="00FE4FD3">
        <w:rPr>
          <w:rFonts w:cstheme="minorHAnsi"/>
        </w:rPr>
        <w:t>, Fact Sheet Publication #2010-01: Washington, DC: Child Trends; 2010.</w:t>
      </w:r>
    </w:p>
  </w:endnote>
  <w:endnote w:id="60">
    <w:p w14:paraId="1F1AF969"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Covington R, Peters HE, </w:t>
      </w:r>
      <w:proofErr w:type="spellStart"/>
      <w:r w:rsidRPr="00FE4FD3">
        <w:rPr>
          <w:rFonts w:cstheme="minorHAnsi"/>
        </w:rPr>
        <w:t>Sabia</w:t>
      </w:r>
      <w:proofErr w:type="spellEnd"/>
      <w:r w:rsidRPr="00FE4FD3">
        <w:rPr>
          <w:rFonts w:cstheme="minorHAnsi"/>
        </w:rPr>
        <w:t xml:space="preserve"> JJ, Price JP. Teen fatherhood and educational attainment: Evidence from three cohorts of youth. </w:t>
      </w:r>
      <w:proofErr w:type="gramStart"/>
      <w:r w:rsidRPr="00FE4FD3">
        <w:rPr>
          <w:rFonts w:cstheme="minorHAnsi"/>
        </w:rPr>
        <w:t>Working Paper; 2011.</w:t>
      </w:r>
      <w:proofErr w:type="gramEnd"/>
    </w:p>
  </w:endnote>
  <w:endnote w:id="61">
    <w:p w14:paraId="68DEECB6"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Hoffman SD. Kids Having Kids: Economic Costs and Social Consequences of Teen Pregnancy. Washington, DC: The Urban Institute Press; 2008.</w:t>
      </w:r>
    </w:p>
  </w:endnote>
  <w:endnote w:id="62">
    <w:p w14:paraId="4B2BEB77"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Massachusetts Alliance on Teen Pregnancy.</w:t>
      </w:r>
      <w:proofErr w:type="gramEnd"/>
      <w:r w:rsidRPr="00FE4FD3">
        <w:rPr>
          <w:rFonts w:cstheme="minorHAnsi"/>
        </w:rPr>
        <w:t xml:space="preserve"> Not the Exception: Making Teen Parent Success the Rule. Available at: http://www.massteenpregnancy.org/research/not-exception-making-teen-parent-success-rule.  </w:t>
      </w:r>
      <w:proofErr w:type="gramStart"/>
      <w:r w:rsidRPr="00FE4FD3">
        <w:rPr>
          <w:rFonts w:cstheme="minorHAnsi"/>
        </w:rPr>
        <w:t>Accessed June 26, 2017.</w:t>
      </w:r>
      <w:proofErr w:type="gramEnd"/>
    </w:p>
  </w:endnote>
  <w:endnote w:id="63">
    <w:p w14:paraId="6EF51CE7"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Massachusetts Department of Public Health, Health Survey Program, Office of Data Management and Outcomes Assessment.</w:t>
      </w:r>
      <w:proofErr w:type="gramEnd"/>
      <w:r w:rsidRPr="00FE4FD3">
        <w:rPr>
          <w:rFonts w:cstheme="minorHAnsi"/>
        </w:rPr>
        <w:t xml:space="preserve">  Data brief:  Massachusetts Adolescent Health Sexual Health, Experiences, and Behaviors.  Available at: http://www.mass.gov/eohhs/docs/dph/behavioral-risk/mass-adole-health-sexual-health.pdf. </w:t>
      </w:r>
      <w:proofErr w:type="gramStart"/>
      <w:r w:rsidRPr="00FE4FD3">
        <w:rPr>
          <w:rFonts w:cstheme="minorHAnsi"/>
        </w:rPr>
        <w:t>Accessed June 26, 2017.</w:t>
      </w:r>
      <w:proofErr w:type="gramEnd"/>
      <w:r w:rsidRPr="00FE4FD3">
        <w:rPr>
          <w:rFonts w:cstheme="minorHAnsi"/>
        </w:rPr>
        <w:t xml:space="preserve"> </w:t>
      </w:r>
    </w:p>
  </w:endnote>
  <w:endnote w:id="64">
    <w:p w14:paraId="4C62C09B"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National Institute of Mental Health.</w:t>
      </w:r>
      <w:proofErr w:type="gramEnd"/>
      <w:r w:rsidRPr="00FE4FD3">
        <w:rPr>
          <w:rFonts w:cstheme="minorHAnsi"/>
        </w:rPr>
        <w:t xml:space="preserve"> </w:t>
      </w:r>
      <w:proofErr w:type="gramStart"/>
      <w:r w:rsidRPr="00FE4FD3">
        <w:rPr>
          <w:rFonts w:cstheme="minorHAnsi"/>
        </w:rPr>
        <w:t>Postpartum Depression Facts.</w:t>
      </w:r>
      <w:proofErr w:type="gramEnd"/>
      <w:r w:rsidRPr="00FE4FD3">
        <w:rPr>
          <w:rFonts w:cstheme="minorHAnsi"/>
        </w:rPr>
        <w:t xml:space="preserve"> Available at: </w:t>
      </w:r>
      <w:hyperlink r:id="rId4" w:history="1">
        <w:r w:rsidRPr="00FE4FD3">
          <w:rPr>
            <w:rStyle w:val="Hyperlink"/>
            <w:color w:val="auto"/>
          </w:rPr>
          <w:t>https://www.nimh.nih.gov/health/publications/postpartum-depression-facts/index.shtml</w:t>
        </w:r>
      </w:hyperlink>
      <w:r w:rsidRPr="00FE4FD3">
        <w:rPr>
          <w:rFonts w:cstheme="minorHAnsi"/>
        </w:rPr>
        <w:t xml:space="preserve">. </w:t>
      </w:r>
      <w:proofErr w:type="gramStart"/>
      <w:r w:rsidRPr="00FE4FD3">
        <w:rPr>
          <w:rFonts w:cstheme="minorHAnsi"/>
        </w:rPr>
        <w:t>Accessed on August 24, 2017.</w:t>
      </w:r>
      <w:proofErr w:type="gramEnd"/>
    </w:p>
  </w:endnote>
  <w:endnote w:id="65">
    <w:p w14:paraId="0383C95D"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spellStart"/>
      <w:r w:rsidRPr="00FE4FD3">
        <w:rPr>
          <w:rFonts w:cstheme="minorHAnsi"/>
        </w:rPr>
        <w:t>Pajulo</w:t>
      </w:r>
      <w:proofErr w:type="spellEnd"/>
      <w:r w:rsidRPr="00FE4FD3">
        <w:rPr>
          <w:rFonts w:cstheme="minorHAnsi"/>
        </w:rPr>
        <w:t xml:space="preserve"> M, </w:t>
      </w:r>
      <w:proofErr w:type="spellStart"/>
      <w:r w:rsidRPr="00FE4FD3">
        <w:rPr>
          <w:rFonts w:cstheme="minorHAnsi"/>
        </w:rPr>
        <w:t>Savonlahti</w:t>
      </w:r>
      <w:proofErr w:type="spellEnd"/>
      <w:r w:rsidRPr="00FE4FD3">
        <w:rPr>
          <w:rFonts w:cstheme="minorHAnsi"/>
        </w:rPr>
        <w:t xml:space="preserve"> E, Sourander A, </w:t>
      </w:r>
      <w:proofErr w:type="spellStart"/>
      <w:r w:rsidRPr="00FE4FD3">
        <w:rPr>
          <w:rFonts w:cstheme="minorHAnsi"/>
        </w:rPr>
        <w:t>Helenius</w:t>
      </w:r>
      <w:proofErr w:type="spellEnd"/>
      <w:r w:rsidRPr="00FE4FD3">
        <w:rPr>
          <w:rFonts w:cstheme="minorHAnsi"/>
        </w:rPr>
        <w:t xml:space="preserve"> H, </w:t>
      </w:r>
      <w:proofErr w:type="spellStart"/>
      <w:r w:rsidRPr="00FE4FD3">
        <w:rPr>
          <w:rFonts w:cstheme="minorHAnsi"/>
        </w:rPr>
        <w:t>Piha</w:t>
      </w:r>
      <w:proofErr w:type="spellEnd"/>
      <w:r w:rsidRPr="00FE4FD3">
        <w:rPr>
          <w:rFonts w:cstheme="minorHAnsi"/>
        </w:rPr>
        <w:t xml:space="preserve"> J. Antenatal depression, substance dependency and social support. J Affect </w:t>
      </w:r>
      <w:proofErr w:type="spellStart"/>
      <w:r w:rsidRPr="00FE4FD3">
        <w:rPr>
          <w:rFonts w:cstheme="minorHAnsi"/>
        </w:rPr>
        <w:t>Disord</w:t>
      </w:r>
      <w:proofErr w:type="spellEnd"/>
      <w:r w:rsidRPr="00FE4FD3">
        <w:rPr>
          <w:rFonts w:cstheme="minorHAnsi"/>
        </w:rPr>
        <w:t xml:space="preserve"> 2001</w:t>
      </w:r>
      <w:proofErr w:type="gramStart"/>
      <w:r w:rsidRPr="00FE4FD3">
        <w:rPr>
          <w:rFonts w:cstheme="minorHAnsi"/>
        </w:rPr>
        <w:t>;65</w:t>
      </w:r>
      <w:proofErr w:type="gramEnd"/>
      <w:r w:rsidRPr="00FE4FD3">
        <w:rPr>
          <w:rFonts w:cstheme="minorHAnsi"/>
        </w:rPr>
        <w:t>(1):9-17.</w:t>
      </w:r>
    </w:p>
  </w:endnote>
  <w:endnote w:id="66">
    <w:p w14:paraId="71D09A19"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spellStart"/>
      <w:r w:rsidRPr="00FE4FD3">
        <w:rPr>
          <w:rFonts w:cstheme="minorHAnsi"/>
        </w:rPr>
        <w:t>Weissman</w:t>
      </w:r>
      <w:proofErr w:type="spellEnd"/>
      <w:r w:rsidRPr="00FE4FD3">
        <w:rPr>
          <w:rFonts w:cstheme="minorHAnsi"/>
        </w:rPr>
        <w:t xml:space="preserve"> MM, </w:t>
      </w:r>
      <w:proofErr w:type="spellStart"/>
      <w:r w:rsidRPr="00FE4FD3">
        <w:rPr>
          <w:rFonts w:cstheme="minorHAnsi"/>
        </w:rPr>
        <w:t>Olfson</w:t>
      </w:r>
      <w:proofErr w:type="spellEnd"/>
      <w:r w:rsidRPr="00FE4FD3">
        <w:rPr>
          <w:rFonts w:cstheme="minorHAnsi"/>
        </w:rPr>
        <w:t xml:space="preserve"> M. Depression in women: implications for health care research. </w:t>
      </w:r>
      <w:r w:rsidRPr="00FE4FD3">
        <w:rPr>
          <w:rFonts w:cstheme="minorHAnsi"/>
          <w:i/>
        </w:rPr>
        <w:t>Science</w:t>
      </w:r>
      <w:r w:rsidRPr="00FE4FD3">
        <w:rPr>
          <w:rFonts w:cstheme="minorHAnsi"/>
        </w:rPr>
        <w:t xml:space="preserve"> 1995</w:t>
      </w:r>
      <w:proofErr w:type="gramStart"/>
      <w:r w:rsidRPr="00FE4FD3">
        <w:rPr>
          <w:rFonts w:cstheme="minorHAnsi"/>
        </w:rPr>
        <w:t>;269</w:t>
      </w:r>
      <w:proofErr w:type="gramEnd"/>
      <w:r w:rsidRPr="00FE4FD3">
        <w:rPr>
          <w:rFonts w:cstheme="minorHAnsi"/>
        </w:rPr>
        <w:t>(5225):799-801.</w:t>
      </w:r>
    </w:p>
  </w:endnote>
  <w:endnote w:id="67">
    <w:p w14:paraId="6AB49C74"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spellStart"/>
      <w:r w:rsidRPr="00FE4FD3">
        <w:rPr>
          <w:rFonts w:cstheme="minorHAnsi"/>
        </w:rPr>
        <w:t>Mhyre</w:t>
      </w:r>
      <w:proofErr w:type="spellEnd"/>
      <w:r w:rsidRPr="00FE4FD3">
        <w:rPr>
          <w:rFonts w:cstheme="minorHAnsi"/>
        </w:rPr>
        <w:t xml:space="preserve"> JM, Bateman BT, </w:t>
      </w:r>
      <w:proofErr w:type="spellStart"/>
      <w:r w:rsidRPr="00FE4FD3">
        <w:rPr>
          <w:rFonts w:cstheme="minorHAnsi"/>
        </w:rPr>
        <w:t>Leffert</w:t>
      </w:r>
      <w:proofErr w:type="spellEnd"/>
      <w:r w:rsidRPr="00FE4FD3">
        <w:rPr>
          <w:rFonts w:cstheme="minorHAnsi"/>
        </w:rPr>
        <w:t xml:space="preserve"> LR. Influence of Patient Comorbidities on the Risk of Near-miss Maternal Morbidity or Mortality. </w:t>
      </w:r>
      <w:proofErr w:type="gramStart"/>
      <w:r w:rsidRPr="00FE4FD3">
        <w:rPr>
          <w:rFonts w:cstheme="minorHAnsi"/>
          <w:i/>
        </w:rPr>
        <w:t>Anesthesiology</w:t>
      </w:r>
      <w:r w:rsidRPr="00FE4FD3">
        <w:rPr>
          <w:rFonts w:cstheme="minorHAnsi"/>
        </w:rPr>
        <w:t>.</w:t>
      </w:r>
      <w:proofErr w:type="gramEnd"/>
      <w:r w:rsidRPr="00FE4FD3">
        <w:rPr>
          <w:rFonts w:cstheme="minorHAnsi"/>
        </w:rPr>
        <w:t xml:space="preserve"> </w:t>
      </w:r>
      <w:proofErr w:type="gramStart"/>
      <w:r w:rsidRPr="00FE4FD3">
        <w:rPr>
          <w:rFonts w:cstheme="minorHAnsi"/>
        </w:rPr>
        <w:t>2011; 115: 963-972.</w:t>
      </w:r>
      <w:proofErr w:type="gramEnd"/>
    </w:p>
  </w:endnote>
  <w:endnote w:id="68">
    <w:p w14:paraId="599A7192" w14:textId="77777777" w:rsidR="003F257A" w:rsidRPr="00FE4FD3" w:rsidRDefault="003F257A" w:rsidP="006A182C">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Massachusetts Department of Public Health.</w:t>
      </w:r>
      <w:proofErr w:type="gramEnd"/>
      <w:r w:rsidRPr="00FE4FD3">
        <w:rPr>
          <w:rFonts w:cstheme="minorHAnsi"/>
        </w:rPr>
        <w:t xml:space="preserve"> Pregnancy-Associated Mortality 2000-2007. Available at: http://www.mass.gov/eohhs/docs/dph/com-health/prego-newborn/pregnancy-mortality-report-2000-2007.pdf. </w:t>
      </w:r>
      <w:proofErr w:type="gramStart"/>
      <w:r w:rsidRPr="00FE4FD3">
        <w:rPr>
          <w:rFonts w:cstheme="minorHAnsi"/>
        </w:rPr>
        <w:t>Accessed June 16, 2017.</w:t>
      </w:r>
      <w:proofErr w:type="gramEnd"/>
    </w:p>
  </w:endnote>
  <w:endnote w:id="69">
    <w:p w14:paraId="1503DA2A" w14:textId="77777777" w:rsidR="003F257A" w:rsidRPr="00FE4FD3" w:rsidRDefault="003F257A" w:rsidP="006A182C">
      <w:pPr>
        <w:pStyle w:val="REFERENCES"/>
        <w:rPr>
          <w:rFonts w:cstheme="minorHAnsi"/>
        </w:rPr>
      </w:pPr>
      <w:r w:rsidRPr="00FE4FD3">
        <w:rPr>
          <w:rStyle w:val="EndnoteReference"/>
          <w:rFonts w:cstheme="minorHAnsi"/>
        </w:rPr>
        <w:endnoteRef/>
      </w:r>
      <w:r w:rsidRPr="00FE4FD3">
        <w:rPr>
          <w:rFonts w:cstheme="minorHAnsi"/>
        </w:rPr>
        <w:t xml:space="preserve"> Ibid.</w:t>
      </w:r>
    </w:p>
  </w:endnote>
  <w:endnote w:id="70">
    <w:p w14:paraId="7AC80B8B" w14:textId="77777777" w:rsidR="003F257A" w:rsidRPr="00FE4FD3" w:rsidRDefault="003F257A" w:rsidP="00FE4FD3">
      <w:pPr>
        <w:pStyle w:val="REFERENCES"/>
        <w:rPr>
          <w:rFonts w:cstheme="minorHAnsi"/>
        </w:rPr>
      </w:pPr>
      <w:r w:rsidRPr="00FE4FD3">
        <w:rPr>
          <w:rStyle w:val="EndnoteReference"/>
          <w:rFonts w:cstheme="minorHAnsi"/>
        </w:rPr>
        <w:endnoteRef/>
      </w:r>
      <w:r w:rsidRPr="00FE4FD3">
        <w:rPr>
          <w:rFonts w:cstheme="minorHAnsi"/>
        </w:rPr>
        <w:t xml:space="preserve"> </w:t>
      </w:r>
      <w:proofErr w:type="gramStart"/>
      <w:r w:rsidRPr="00FE4FD3">
        <w:rPr>
          <w:rFonts w:cstheme="minorHAnsi"/>
        </w:rPr>
        <w:t>Children and Family Futures.</w:t>
      </w:r>
      <w:proofErr w:type="gramEnd"/>
      <w:r w:rsidRPr="00FE4FD3">
        <w:rPr>
          <w:rFonts w:cstheme="minorHAnsi"/>
        </w:rPr>
        <w:t xml:space="preserve"> </w:t>
      </w:r>
      <w:proofErr w:type="gramStart"/>
      <w:r w:rsidRPr="00FE4FD3">
        <w:rPr>
          <w:rFonts w:cstheme="minorHAnsi"/>
          <w:bCs/>
        </w:rPr>
        <w:t>The Role of Plans of Safe Care in Ensuring the Safety and Well-Being of Infants with Prenatal Exposure, Their Mothers and Families</w:t>
      </w:r>
      <w:r w:rsidRPr="00FE4FD3">
        <w:rPr>
          <w:rFonts w:cstheme="minorHAnsi"/>
          <w:bCs/>
          <w:i/>
        </w:rPr>
        <w:t>.</w:t>
      </w:r>
      <w:proofErr w:type="gramEnd"/>
      <w:r w:rsidRPr="00FE4FD3">
        <w:rPr>
          <w:rFonts w:cstheme="minorHAnsi"/>
          <w:bCs/>
        </w:rPr>
        <w:t xml:space="preserve"> </w:t>
      </w:r>
      <w:proofErr w:type="gramStart"/>
      <w:r w:rsidRPr="00FE4FD3">
        <w:rPr>
          <w:rFonts w:cstheme="minorHAnsi"/>
          <w:bCs/>
        </w:rPr>
        <w:t>Updated October 4, 2016.</w:t>
      </w:r>
      <w:proofErr w:type="gramEnd"/>
      <w:r w:rsidRPr="00FE4FD3">
        <w:rPr>
          <w:rFonts w:cstheme="minorHAnsi"/>
          <w:bCs/>
        </w:rPr>
        <w:t xml:space="preserve"> Available at: http://www.cffutures.org/files/Plans%20of%20Safe%20Care%20Draft_100416.pdf. </w:t>
      </w:r>
      <w:proofErr w:type="gramStart"/>
      <w:r w:rsidRPr="00FE4FD3">
        <w:rPr>
          <w:rFonts w:cstheme="minorHAnsi"/>
          <w:bCs/>
        </w:rPr>
        <w:t>Accessed June 26, 2017.</w:t>
      </w:r>
      <w:proofErr w:type="gramEnd"/>
      <w:r w:rsidRPr="00FE4FD3">
        <w:rPr>
          <w:rFonts w:cstheme="minorHAnsi"/>
          <w:bCs/>
        </w:rPr>
        <w:t xml:space="preserve">  </w:t>
      </w:r>
    </w:p>
  </w:endnote>
  <w:endnote w:id="71">
    <w:p w14:paraId="676FD9FE" w14:textId="77777777" w:rsidR="003F257A" w:rsidRPr="00101672" w:rsidRDefault="003F257A" w:rsidP="00FE4FD3">
      <w:pPr>
        <w:pStyle w:val="REFERENCES"/>
      </w:pPr>
      <w:r w:rsidRPr="00FE4FD3">
        <w:rPr>
          <w:rStyle w:val="EndnoteReference"/>
          <w:rFonts w:cstheme="minorHAnsi"/>
        </w:rPr>
        <w:endnoteRef/>
      </w:r>
      <w:r w:rsidRPr="00FE4FD3">
        <w:rPr>
          <w:rFonts w:cstheme="minorHAnsi"/>
        </w:rPr>
        <w:t xml:space="preserve"> Gabovitch EM, Lauer E, Dutra C. Healthy People 2020 Roadmap Report for Massachusetts Children and Youth with ASD/DD: Understanding Needs and Measuring Outcomes. Boston, MA: University of Massachusetts Medical School, E.K. Shriver Center; 2016.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mbolMT">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ileron Heavy">
    <w:panose1 w:val="00000000000000000000"/>
    <w:charset w:val="00"/>
    <w:family w:val="modern"/>
    <w:notTrueType/>
    <w:pitch w:val="variable"/>
    <w:sig w:usb0="00000007" w:usb1="00000000" w:usb2="00000000" w:usb3="00000000" w:csb0="00000093" w:csb1="00000000"/>
  </w:font>
  <w:font w:name="Aileron">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radeGothic Light">
    <w:altName w:val="Calibri"/>
    <w:panose1 w:val="00000000000000000000"/>
    <w:charset w:val="00"/>
    <w:family w:val="swiss"/>
    <w:notTrueType/>
    <w:pitch w:val="default"/>
    <w:sig w:usb0="00000003" w:usb1="00000000" w:usb2="00000000" w:usb3="00000000" w:csb0="00000001" w:csb1="00000000"/>
  </w:font>
  <w:font w:name="Adobe Caslon Pro">
    <w:altName w:val="Times New Roman"/>
    <w:panose1 w:val="00000000000000000000"/>
    <w:charset w:val="00"/>
    <w:family w:val="roman"/>
    <w:notTrueType/>
    <w:pitch w:val="variable"/>
    <w:sig w:usb0="00000001" w:usb1="00000001" w:usb2="00000000" w:usb3="00000000" w:csb0="00000093" w:csb1="00000000"/>
  </w:font>
  <w:font w:name="Aileron Bold">
    <w:panose1 w:val="000000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DINMittelschrift">
    <w:altName w:val="Cambria"/>
    <w:panose1 w:val="00000000000000000000"/>
    <w:charset w:val="00"/>
    <w:family w:val="swiss"/>
    <w:notTrueType/>
    <w:pitch w:val="default"/>
    <w:sig w:usb0="00000003" w:usb1="00000000" w:usb2="00000000" w:usb3="00000000" w:csb0="00000001" w:csb1="00000000"/>
  </w:font>
  <w:font w:name="Aileron Light">
    <w:panose1 w:val="000000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7101493"/>
      <w:docPartObj>
        <w:docPartGallery w:val="Page Numbers (Bottom of Page)"/>
        <w:docPartUnique/>
      </w:docPartObj>
    </w:sdtPr>
    <w:sdtEndPr/>
    <w:sdtContent>
      <w:p w14:paraId="781AA377" w14:textId="70BB35D0" w:rsidR="003F257A" w:rsidRPr="00195F02" w:rsidRDefault="003F257A" w:rsidP="00E36D41">
        <w:pPr>
          <w:pStyle w:val="Footer"/>
        </w:pPr>
        <w:r w:rsidRPr="00195F02">
          <w:rPr>
            <w:noProof w:val="0"/>
          </w:rPr>
          <w:fldChar w:fldCharType="begin"/>
        </w:r>
        <w:r w:rsidRPr="00561BF0">
          <w:instrText xml:space="preserve"> PAGE   \* MERGEFORMAT </w:instrText>
        </w:r>
        <w:r w:rsidRPr="00195F02">
          <w:rPr>
            <w:noProof w:val="0"/>
          </w:rPr>
          <w:fldChar w:fldCharType="separate"/>
        </w:r>
        <w:r w:rsidR="006E7DBF">
          <w:t>36</w:t>
        </w:r>
        <w:r w:rsidRPr="00195F02">
          <w:fldChar w:fldCharType="end"/>
        </w:r>
        <w:r>
          <w:t xml:space="preserve"> | </w:t>
        </w:r>
        <w:r w:rsidRPr="0098472B">
          <w:rPr>
            <w:b/>
            <w:color w:val="203864"/>
          </w:rPr>
          <w:t>Massachusetts State Health Assessment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B5684D" w14:textId="77777777" w:rsidR="00E735CB" w:rsidRDefault="00E735CB" w:rsidP="00E36D41">
      <w:r>
        <w:separator/>
      </w:r>
    </w:p>
    <w:p w14:paraId="366F4823" w14:textId="77777777" w:rsidR="00E735CB" w:rsidRDefault="00E735CB"/>
    <w:p w14:paraId="662F2B59" w14:textId="77777777" w:rsidR="00E735CB" w:rsidRDefault="00E735CB"/>
  </w:footnote>
  <w:footnote w:type="continuationSeparator" w:id="0">
    <w:p w14:paraId="7BB2034E" w14:textId="77777777" w:rsidR="00E735CB" w:rsidRDefault="00E735CB" w:rsidP="00E36D41">
      <w:r>
        <w:continuationSeparator/>
      </w:r>
    </w:p>
    <w:p w14:paraId="7735C4FD" w14:textId="77777777" w:rsidR="00E735CB" w:rsidRDefault="00E735CB"/>
    <w:p w14:paraId="64D30F46" w14:textId="77777777" w:rsidR="00E735CB" w:rsidRDefault="00E735CB"/>
  </w:footnote>
  <w:footnote w:type="continuationNotice" w:id="1">
    <w:p w14:paraId="1B02942A" w14:textId="77777777" w:rsidR="00E735CB" w:rsidRDefault="00E735CB" w:rsidP="00E36D41"/>
    <w:p w14:paraId="4CFADBE9" w14:textId="77777777" w:rsidR="00E735CB" w:rsidRDefault="00E735CB"/>
    <w:p w14:paraId="4ED34C84" w14:textId="77777777" w:rsidR="00E735CB" w:rsidRDefault="00E735C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13B8"/>
    <w:multiLevelType w:val="hybridMultilevel"/>
    <w:tmpl w:val="7896A4F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01A0580"/>
    <w:multiLevelType w:val="hybridMultilevel"/>
    <w:tmpl w:val="6B9013DE"/>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0C40C08"/>
    <w:multiLevelType w:val="hybridMultilevel"/>
    <w:tmpl w:val="8FD0856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15832D6"/>
    <w:multiLevelType w:val="hybridMultilevel"/>
    <w:tmpl w:val="01FC64B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19722DF"/>
    <w:multiLevelType w:val="hybridMultilevel"/>
    <w:tmpl w:val="E64C7D4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2651AB8"/>
    <w:multiLevelType w:val="hybridMultilevel"/>
    <w:tmpl w:val="5F2EE83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2A1138C"/>
    <w:multiLevelType w:val="hybridMultilevel"/>
    <w:tmpl w:val="44FA79F0"/>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3101E19"/>
    <w:multiLevelType w:val="hybridMultilevel"/>
    <w:tmpl w:val="D556C7D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5622694"/>
    <w:multiLevelType w:val="hybridMultilevel"/>
    <w:tmpl w:val="E7DA224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5857066"/>
    <w:multiLevelType w:val="hybridMultilevel"/>
    <w:tmpl w:val="A6F6DFE2"/>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644076E"/>
    <w:multiLevelType w:val="hybridMultilevel"/>
    <w:tmpl w:val="56962708"/>
    <w:lvl w:ilvl="0" w:tplc="4D2A9564">
      <w:start w:val="1"/>
      <w:numFmt w:val="bullet"/>
      <w:lvlText w:val=""/>
      <w:lvlJc w:val="left"/>
      <w:pPr>
        <w:ind w:left="360" w:hanging="360"/>
      </w:pPr>
      <w:rPr>
        <w:rFonts w:ascii="Symbol" w:hAnsi="Symbol" w:hint="default"/>
        <w:b/>
        <w:i w:val="0"/>
        <w:color w:val="203864"/>
      </w:rPr>
    </w:lvl>
    <w:lvl w:ilvl="1" w:tplc="DEFC08C0">
      <w:start w:val="1"/>
      <w:numFmt w:val="bullet"/>
      <w:lvlText w:val=""/>
      <w:lvlJc w:val="left"/>
      <w:pPr>
        <w:ind w:left="1080" w:hanging="360"/>
      </w:pPr>
      <w:rPr>
        <w:rFonts w:ascii="Symbol" w:hAnsi="Symbol" w:hint="default"/>
        <w:color w:val="2F5496"/>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71F604A"/>
    <w:multiLevelType w:val="hybridMultilevel"/>
    <w:tmpl w:val="B09240E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7A441D4"/>
    <w:multiLevelType w:val="hybridMultilevel"/>
    <w:tmpl w:val="47CCB9B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7D952F1"/>
    <w:multiLevelType w:val="hybridMultilevel"/>
    <w:tmpl w:val="4CE8C00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08113020"/>
    <w:multiLevelType w:val="hybridMultilevel"/>
    <w:tmpl w:val="0F3A868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8460A3C"/>
    <w:multiLevelType w:val="hybridMultilevel"/>
    <w:tmpl w:val="7FFA0A2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5290D98E">
      <w:start w:val="1"/>
      <w:numFmt w:val="bullet"/>
      <w:lvlText w:val=""/>
      <w:lvlJc w:val="left"/>
      <w:pPr>
        <w:ind w:left="1800" w:hanging="360"/>
      </w:pPr>
      <w:rPr>
        <w:rFonts w:ascii="Symbol" w:hAnsi="Symbol" w:hint="default"/>
        <w:color w:val="203864"/>
        <w:sz w:val="22"/>
        <w:u w:color="002060"/>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0909572B"/>
    <w:multiLevelType w:val="hybridMultilevel"/>
    <w:tmpl w:val="A566CDE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B404CC7"/>
    <w:multiLevelType w:val="hybridMultilevel"/>
    <w:tmpl w:val="4C585B6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0BEF773E"/>
    <w:multiLevelType w:val="hybridMultilevel"/>
    <w:tmpl w:val="9ACAAE5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0C9D0C1E"/>
    <w:multiLevelType w:val="hybridMultilevel"/>
    <w:tmpl w:val="33386CE0"/>
    <w:lvl w:ilvl="0" w:tplc="5290D98E">
      <w:start w:val="1"/>
      <w:numFmt w:val="bullet"/>
      <w:lvlText w:val=""/>
      <w:lvlJc w:val="left"/>
      <w:pPr>
        <w:ind w:left="360" w:hanging="360"/>
      </w:pPr>
      <w:rPr>
        <w:rFonts w:ascii="Symbol" w:hAnsi="Symbol" w:hint="default"/>
        <w:color w:val="203864"/>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0D2A3E0B"/>
    <w:multiLevelType w:val="hybridMultilevel"/>
    <w:tmpl w:val="F380247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0D71507C"/>
    <w:multiLevelType w:val="hybridMultilevel"/>
    <w:tmpl w:val="EAA0B54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0D8F5DF6"/>
    <w:multiLevelType w:val="hybridMultilevel"/>
    <w:tmpl w:val="D46004DA"/>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0EF627B3"/>
    <w:multiLevelType w:val="hybridMultilevel"/>
    <w:tmpl w:val="860E339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0F555627"/>
    <w:multiLevelType w:val="hybridMultilevel"/>
    <w:tmpl w:val="AA9A687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0F76592D"/>
    <w:multiLevelType w:val="hybridMultilevel"/>
    <w:tmpl w:val="D12289C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0FAA15AD"/>
    <w:multiLevelType w:val="hybridMultilevel"/>
    <w:tmpl w:val="7FAEA97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0FAE2A7C"/>
    <w:multiLevelType w:val="hybridMultilevel"/>
    <w:tmpl w:val="4A425B5A"/>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10750C24"/>
    <w:multiLevelType w:val="hybridMultilevel"/>
    <w:tmpl w:val="036C867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111C033C"/>
    <w:multiLevelType w:val="hybridMultilevel"/>
    <w:tmpl w:val="96CA46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11256DED"/>
    <w:multiLevelType w:val="hybridMultilevel"/>
    <w:tmpl w:val="DA2C76A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11866C43"/>
    <w:multiLevelType w:val="hybridMultilevel"/>
    <w:tmpl w:val="04BAABF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11A76CFE"/>
    <w:multiLevelType w:val="hybridMultilevel"/>
    <w:tmpl w:val="49D25A0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11D6613E"/>
    <w:multiLevelType w:val="hybridMultilevel"/>
    <w:tmpl w:val="A8BCA5D0"/>
    <w:lvl w:ilvl="0" w:tplc="5290D98E">
      <w:start w:val="1"/>
      <w:numFmt w:val="bullet"/>
      <w:lvlText w:val=""/>
      <w:lvlJc w:val="left"/>
      <w:pPr>
        <w:ind w:left="360" w:hanging="360"/>
      </w:pPr>
      <w:rPr>
        <w:rFonts w:ascii="Symbol" w:hAnsi="Symbol" w:hint="default"/>
        <w:color w:val="203864"/>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11F046A8"/>
    <w:multiLevelType w:val="hybridMultilevel"/>
    <w:tmpl w:val="420AE7A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130D19C2"/>
    <w:multiLevelType w:val="hybridMultilevel"/>
    <w:tmpl w:val="958A79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1373498D"/>
    <w:multiLevelType w:val="hybridMultilevel"/>
    <w:tmpl w:val="D3785B8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13804B65"/>
    <w:multiLevelType w:val="hybridMultilevel"/>
    <w:tmpl w:val="37BC743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13C07302"/>
    <w:multiLevelType w:val="hybridMultilevel"/>
    <w:tmpl w:val="C262B4E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13FF4D3E"/>
    <w:multiLevelType w:val="hybridMultilevel"/>
    <w:tmpl w:val="CC7C578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14192738"/>
    <w:multiLevelType w:val="hybridMultilevel"/>
    <w:tmpl w:val="90521B5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14426F14"/>
    <w:multiLevelType w:val="hybridMultilevel"/>
    <w:tmpl w:val="40C65CC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15B14DAB"/>
    <w:multiLevelType w:val="hybridMultilevel"/>
    <w:tmpl w:val="98961DD8"/>
    <w:lvl w:ilvl="0" w:tplc="4D2A9564">
      <w:start w:val="1"/>
      <w:numFmt w:val="bullet"/>
      <w:lvlText w:val=""/>
      <w:lvlJc w:val="left"/>
      <w:pPr>
        <w:ind w:left="360" w:hanging="360"/>
      </w:pPr>
      <w:rPr>
        <w:rFonts w:ascii="Symbol" w:hAnsi="Symbol" w:hint="default"/>
        <w:b/>
        <w:i w:val="0"/>
        <w:color w:val="203864"/>
      </w:rPr>
    </w:lvl>
    <w:lvl w:ilvl="1" w:tplc="85BAAB46">
      <w:start w:val="1"/>
      <w:numFmt w:val="bullet"/>
      <w:lvlText w:val=""/>
      <w:lvlJc w:val="left"/>
      <w:pPr>
        <w:ind w:left="1080" w:hanging="360"/>
      </w:pPr>
      <w:rPr>
        <w:rFonts w:ascii="Symbol" w:hAnsi="Symbol" w:hint="default"/>
        <w:color w:val="2F5496" w:themeColor="accent1" w:themeShade="BF"/>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169924CE"/>
    <w:multiLevelType w:val="hybridMultilevel"/>
    <w:tmpl w:val="546039E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16D80884"/>
    <w:multiLevelType w:val="hybridMultilevel"/>
    <w:tmpl w:val="9EAE04A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16E178E3"/>
    <w:multiLevelType w:val="hybridMultilevel"/>
    <w:tmpl w:val="BA8065B2"/>
    <w:lvl w:ilvl="0" w:tplc="4D2A9564">
      <w:start w:val="1"/>
      <w:numFmt w:val="bullet"/>
      <w:lvlText w:val=""/>
      <w:lvlJc w:val="left"/>
      <w:pPr>
        <w:ind w:left="45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1825781B"/>
    <w:multiLevelType w:val="hybridMultilevel"/>
    <w:tmpl w:val="E018AF34"/>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18441B87"/>
    <w:multiLevelType w:val="hybridMultilevel"/>
    <w:tmpl w:val="8042C92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185810B9"/>
    <w:multiLevelType w:val="hybridMultilevel"/>
    <w:tmpl w:val="5B182CB4"/>
    <w:lvl w:ilvl="0" w:tplc="4D2A9564">
      <w:start w:val="1"/>
      <w:numFmt w:val="bullet"/>
      <w:lvlText w:val=""/>
      <w:lvlJc w:val="left"/>
      <w:pPr>
        <w:ind w:left="720" w:hanging="360"/>
      </w:pPr>
      <w:rPr>
        <w:rFonts w:ascii="Symbol" w:hAnsi="Symbol" w:hint="default"/>
        <w:color w:val="2038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189000A5"/>
    <w:multiLevelType w:val="hybridMultilevel"/>
    <w:tmpl w:val="D1BA7212"/>
    <w:lvl w:ilvl="0" w:tplc="5290D98E">
      <w:start w:val="1"/>
      <w:numFmt w:val="bullet"/>
      <w:lvlText w:val=""/>
      <w:lvlJc w:val="left"/>
      <w:pPr>
        <w:ind w:left="720" w:hanging="360"/>
      </w:pPr>
      <w:rPr>
        <w:rFonts w:ascii="Symbol" w:hAnsi="Symbol" w:hint="default"/>
        <w:color w:val="203864"/>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18D551E6"/>
    <w:multiLevelType w:val="hybridMultilevel"/>
    <w:tmpl w:val="7A766EF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19AC0584"/>
    <w:multiLevelType w:val="hybridMultilevel"/>
    <w:tmpl w:val="93825706"/>
    <w:lvl w:ilvl="0" w:tplc="4D2A9564">
      <w:start w:val="1"/>
      <w:numFmt w:val="bullet"/>
      <w:lvlText w:val=""/>
      <w:lvlJc w:val="left"/>
      <w:pPr>
        <w:ind w:left="45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1A6257FE"/>
    <w:multiLevelType w:val="hybridMultilevel"/>
    <w:tmpl w:val="0D4C775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1B887224"/>
    <w:multiLevelType w:val="hybridMultilevel"/>
    <w:tmpl w:val="40929B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4">
    <w:nsid w:val="1B9B4CB3"/>
    <w:multiLevelType w:val="hybridMultilevel"/>
    <w:tmpl w:val="643A8E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1BDB46DC"/>
    <w:multiLevelType w:val="hybridMultilevel"/>
    <w:tmpl w:val="643A6DD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1D2E22AD"/>
    <w:multiLevelType w:val="hybridMultilevel"/>
    <w:tmpl w:val="EF38C45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1DA6104C"/>
    <w:multiLevelType w:val="hybridMultilevel"/>
    <w:tmpl w:val="AEBA8D2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1E845852"/>
    <w:multiLevelType w:val="hybridMultilevel"/>
    <w:tmpl w:val="F0D6FDA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1EA14D05"/>
    <w:multiLevelType w:val="hybridMultilevel"/>
    <w:tmpl w:val="1AB638D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2070110A"/>
    <w:multiLevelType w:val="hybridMultilevel"/>
    <w:tmpl w:val="E618DB3A"/>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20D552FE"/>
    <w:multiLevelType w:val="hybridMultilevel"/>
    <w:tmpl w:val="2BD8722C"/>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218C2580"/>
    <w:multiLevelType w:val="multilevel"/>
    <w:tmpl w:val="9134E524"/>
    <w:lvl w:ilvl="0">
      <w:start w:val="1"/>
      <w:numFmt w:val="bullet"/>
      <w:lvlText w:val=""/>
      <w:lvlJc w:val="left"/>
      <w:pPr>
        <w:ind w:left="360" w:hanging="360"/>
      </w:pPr>
      <w:rPr>
        <w:rFonts w:ascii="Symbol" w:hAnsi="Symbol" w:hint="default"/>
        <w:b/>
        <w:i w:val="0"/>
        <w:color w:val="20386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nsid w:val="21A567A4"/>
    <w:multiLevelType w:val="hybridMultilevel"/>
    <w:tmpl w:val="A04AC89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21E57AD1"/>
    <w:multiLevelType w:val="hybridMultilevel"/>
    <w:tmpl w:val="E132DAE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23164003"/>
    <w:multiLevelType w:val="hybridMultilevel"/>
    <w:tmpl w:val="E5DCEB3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23331D14"/>
    <w:multiLevelType w:val="hybridMultilevel"/>
    <w:tmpl w:val="635C5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23937892"/>
    <w:multiLevelType w:val="hybridMultilevel"/>
    <w:tmpl w:val="997472C0"/>
    <w:lvl w:ilvl="0" w:tplc="4D2A9564">
      <w:start w:val="1"/>
      <w:numFmt w:val="bullet"/>
      <w:lvlText w:val=""/>
      <w:lvlJc w:val="left"/>
      <w:pPr>
        <w:ind w:left="360" w:hanging="360"/>
      </w:pPr>
      <w:rPr>
        <w:rFonts w:ascii="Symbol" w:hAnsi="Symbol" w:hint="default"/>
        <w:b/>
        <w:i w:val="0"/>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23A76F85"/>
    <w:multiLevelType w:val="hybridMultilevel"/>
    <w:tmpl w:val="1274624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23FC330E"/>
    <w:multiLevelType w:val="hybridMultilevel"/>
    <w:tmpl w:val="D7821B36"/>
    <w:lvl w:ilvl="0" w:tplc="BBD44B2A">
      <w:start w:val="1"/>
      <w:numFmt w:val="decimal"/>
      <w:lvlText w:val="%1."/>
      <w:lvlJc w:val="left"/>
      <w:pPr>
        <w:ind w:left="360" w:hanging="360"/>
      </w:pPr>
      <w:rPr>
        <w:rFonts w:hint="default"/>
        <w:b/>
        <w:i w:val="0"/>
        <w:color w:val="20386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24032D25"/>
    <w:multiLevelType w:val="hybridMultilevel"/>
    <w:tmpl w:val="3F32C0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24145AD5"/>
    <w:multiLevelType w:val="hybridMultilevel"/>
    <w:tmpl w:val="B7E2F4A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242D7989"/>
    <w:multiLevelType w:val="hybridMultilevel"/>
    <w:tmpl w:val="8A464B0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nsid w:val="2459314A"/>
    <w:multiLevelType w:val="hybridMultilevel"/>
    <w:tmpl w:val="60F615B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nsid w:val="249D4690"/>
    <w:multiLevelType w:val="hybridMultilevel"/>
    <w:tmpl w:val="71AEA34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nsid w:val="24AD3A07"/>
    <w:multiLevelType w:val="hybridMultilevel"/>
    <w:tmpl w:val="AB36D64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25C93D92"/>
    <w:multiLevelType w:val="hybridMultilevel"/>
    <w:tmpl w:val="A7260C50"/>
    <w:lvl w:ilvl="0" w:tplc="5290D98E">
      <w:start w:val="1"/>
      <w:numFmt w:val="bullet"/>
      <w:lvlText w:val=""/>
      <w:lvlJc w:val="left"/>
      <w:pPr>
        <w:ind w:left="360" w:hanging="360"/>
      </w:pPr>
      <w:rPr>
        <w:rFonts w:ascii="Symbol" w:hAnsi="Symbol" w:hint="default"/>
        <w:color w:val="203864"/>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nsid w:val="263A4782"/>
    <w:multiLevelType w:val="hybridMultilevel"/>
    <w:tmpl w:val="F0CA0A1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nsid w:val="26C80A99"/>
    <w:multiLevelType w:val="hybridMultilevel"/>
    <w:tmpl w:val="65640C2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26D86FF1"/>
    <w:multiLevelType w:val="hybridMultilevel"/>
    <w:tmpl w:val="750608E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27082500"/>
    <w:multiLevelType w:val="hybridMultilevel"/>
    <w:tmpl w:val="398E46D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27412309"/>
    <w:multiLevelType w:val="hybridMultilevel"/>
    <w:tmpl w:val="AAA638A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27CB54E9"/>
    <w:multiLevelType w:val="hybridMultilevel"/>
    <w:tmpl w:val="4BEAAC0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27F50C0A"/>
    <w:multiLevelType w:val="hybridMultilevel"/>
    <w:tmpl w:val="F816F66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nsid w:val="27FA6853"/>
    <w:multiLevelType w:val="hybridMultilevel"/>
    <w:tmpl w:val="13B09E3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28EE5CC0"/>
    <w:multiLevelType w:val="hybridMultilevel"/>
    <w:tmpl w:val="D62623F4"/>
    <w:lvl w:ilvl="0" w:tplc="5290D98E">
      <w:start w:val="1"/>
      <w:numFmt w:val="bullet"/>
      <w:lvlText w:val=""/>
      <w:lvlJc w:val="left"/>
      <w:pPr>
        <w:ind w:left="450" w:hanging="360"/>
      </w:pPr>
      <w:rPr>
        <w:rFonts w:ascii="Symbol" w:hAnsi="Symbol" w:hint="default"/>
        <w:color w:val="203864"/>
        <w:sz w:val="22"/>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6">
    <w:nsid w:val="29597855"/>
    <w:multiLevelType w:val="hybridMultilevel"/>
    <w:tmpl w:val="8A6E0D7E"/>
    <w:lvl w:ilvl="0" w:tplc="5290D98E">
      <w:start w:val="1"/>
      <w:numFmt w:val="bullet"/>
      <w:lvlText w:val=""/>
      <w:lvlJc w:val="left"/>
      <w:pPr>
        <w:ind w:left="360" w:hanging="360"/>
      </w:pPr>
      <w:rPr>
        <w:rFonts w:ascii="Symbol" w:hAnsi="Symbol" w:hint="default"/>
        <w:color w:val="203864"/>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29916258"/>
    <w:multiLevelType w:val="hybridMultilevel"/>
    <w:tmpl w:val="F17EED8A"/>
    <w:lvl w:ilvl="0" w:tplc="8BAA9C4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2AD610A4"/>
    <w:multiLevelType w:val="hybridMultilevel"/>
    <w:tmpl w:val="3DFC7B6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2AFB0BD8"/>
    <w:multiLevelType w:val="hybridMultilevel"/>
    <w:tmpl w:val="FEB0508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nsid w:val="2B355823"/>
    <w:multiLevelType w:val="hybridMultilevel"/>
    <w:tmpl w:val="557866A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2B627A6F"/>
    <w:multiLevelType w:val="hybridMultilevel"/>
    <w:tmpl w:val="A352F0C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2BA21286"/>
    <w:multiLevelType w:val="hybridMultilevel"/>
    <w:tmpl w:val="AE14AAFC"/>
    <w:lvl w:ilvl="0" w:tplc="4D2A9564">
      <w:start w:val="1"/>
      <w:numFmt w:val="bullet"/>
      <w:lvlText w:val=""/>
      <w:lvlJc w:val="left"/>
      <w:pPr>
        <w:ind w:left="720" w:hanging="360"/>
      </w:pPr>
      <w:rPr>
        <w:rFonts w:ascii="Symbol" w:hAnsi="Symbol" w:hint="default"/>
        <w:color w:val="2038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2C881B4E"/>
    <w:multiLevelType w:val="hybridMultilevel"/>
    <w:tmpl w:val="51EAFF2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2D612C0F"/>
    <w:multiLevelType w:val="hybridMultilevel"/>
    <w:tmpl w:val="CF96694C"/>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2DA8438B"/>
    <w:multiLevelType w:val="hybridMultilevel"/>
    <w:tmpl w:val="C2E0B82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2F3F3148"/>
    <w:multiLevelType w:val="hybridMultilevel"/>
    <w:tmpl w:val="901E503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nsid w:val="300D1FD2"/>
    <w:multiLevelType w:val="hybridMultilevel"/>
    <w:tmpl w:val="2A46238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nsid w:val="30F440D8"/>
    <w:multiLevelType w:val="hybridMultilevel"/>
    <w:tmpl w:val="9B105F9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312C2936"/>
    <w:multiLevelType w:val="hybridMultilevel"/>
    <w:tmpl w:val="7B1C4C54"/>
    <w:lvl w:ilvl="0" w:tplc="85BAAB46">
      <w:start w:val="1"/>
      <w:numFmt w:val="bullet"/>
      <w:lvlText w:val=""/>
      <w:lvlJc w:val="left"/>
      <w:pPr>
        <w:ind w:left="360" w:hanging="360"/>
      </w:pPr>
      <w:rPr>
        <w:rFonts w:ascii="Symbol" w:hAnsi="Symbol"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nsid w:val="33421C3E"/>
    <w:multiLevelType w:val="hybridMultilevel"/>
    <w:tmpl w:val="6316CABA"/>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353874F1"/>
    <w:multiLevelType w:val="hybridMultilevel"/>
    <w:tmpl w:val="06A0954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nsid w:val="35943369"/>
    <w:multiLevelType w:val="hybridMultilevel"/>
    <w:tmpl w:val="095436B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nsid w:val="35C510AC"/>
    <w:multiLevelType w:val="hybridMultilevel"/>
    <w:tmpl w:val="1E4E085E"/>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nsid w:val="36EE7FE0"/>
    <w:multiLevelType w:val="hybridMultilevel"/>
    <w:tmpl w:val="F572C6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nsid w:val="377379D2"/>
    <w:multiLevelType w:val="hybridMultilevel"/>
    <w:tmpl w:val="873A584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38625180"/>
    <w:multiLevelType w:val="hybridMultilevel"/>
    <w:tmpl w:val="A984CD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nsid w:val="395C45AD"/>
    <w:multiLevelType w:val="hybridMultilevel"/>
    <w:tmpl w:val="5D6A15F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nsid w:val="3A7426FB"/>
    <w:multiLevelType w:val="hybridMultilevel"/>
    <w:tmpl w:val="2E469C9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nsid w:val="3AFC0B9D"/>
    <w:multiLevelType w:val="hybridMultilevel"/>
    <w:tmpl w:val="720463F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3C8164EE"/>
    <w:multiLevelType w:val="hybridMultilevel"/>
    <w:tmpl w:val="B6686CC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nsid w:val="3D2C022D"/>
    <w:multiLevelType w:val="hybridMultilevel"/>
    <w:tmpl w:val="70FCF29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nsid w:val="3DB16255"/>
    <w:multiLevelType w:val="hybridMultilevel"/>
    <w:tmpl w:val="42CE45EC"/>
    <w:lvl w:ilvl="0" w:tplc="04090001">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404F563B"/>
    <w:multiLevelType w:val="hybridMultilevel"/>
    <w:tmpl w:val="CB62066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nsid w:val="4065249C"/>
    <w:multiLevelType w:val="hybridMultilevel"/>
    <w:tmpl w:val="79508CE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nsid w:val="40F95F1D"/>
    <w:multiLevelType w:val="hybridMultilevel"/>
    <w:tmpl w:val="61521C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nsid w:val="41DC486E"/>
    <w:multiLevelType w:val="hybridMultilevel"/>
    <w:tmpl w:val="D468102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4214305E"/>
    <w:multiLevelType w:val="hybridMultilevel"/>
    <w:tmpl w:val="5448A4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nsid w:val="422D70F0"/>
    <w:multiLevelType w:val="hybridMultilevel"/>
    <w:tmpl w:val="E90C10D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nsid w:val="4257348A"/>
    <w:multiLevelType w:val="hybridMultilevel"/>
    <w:tmpl w:val="B4DE5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nsid w:val="427546ED"/>
    <w:multiLevelType w:val="hybridMultilevel"/>
    <w:tmpl w:val="2800D03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42D41408"/>
    <w:multiLevelType w:val="hybridMultilevel"/>
    <w:tmpl w:val="357E881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nsid w:val="42E76767"/>
    <w:multiLevelType w:val="hybridMultilevel"/>
    <w:tmpl w:val="76D687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nsid w:val="42ED4468"/>
    <w:multiLevelType w:val="hybridMultilevel"/>
    <w:tmpl w:val="0DDE82E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nsid w:val="450E6099"/>
    <w:multiLevelType w:val="hybridMultilevel"/>
    <w:tmpl w:val="0E203DD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nsid w:val="453F4063"/>
    <w:multiLevelType w:val="hybridMultilevel"/>
    <w:tmpl w:val="C23E374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nsid w:val="454073AA"/>
    <w:multiLevelType w:val="hybridMultilevel"/>
    <w:tmpl w:val="392A4B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nsid w:val="45A939AA"/>
    <w:multiLevelType w:val="hybridMultilevel"/>
    <w:tmpl w:val="C874885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nsid w:val="45AB7CEB"/>
    <w:multiLevelType w:val="hybridMultilevel"/>
    <w:tmpl w:val="4DE8425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467C53DC"/>
    <w:multiLevelType w:val="hybridMultilevel"/>
    <w:tmpl w:val="6D32B96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nsid w:val="480820FB"/>
    <w:multiLevelType w:val="hybridMultilevel"/>
    <w:tmpl w:val="C5889D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nsid w:val="480B006E"/>
    <w:multiLevelType w:val="hybridMultilevel"/>
    <w:tmpl w:val="3B069F6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nsid w:val="48C21035"/>
    <w:multiLevelType w:val="hybridMultilevel"/>
    <w:tmpl w:val="E2D24F8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49FF1230"/>
    <w:multiLevelType w:val="hybridMultilevel"/>
    <w:tmpl w:val="E69ED79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nsid w:val="4A333B85"/>
    <w:multiLevelType w:val="hybridMultilevel"/>
    <w:tmpl w:val="53E4D846"/>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nsid w:val="4A560183"/>
    <w:multiLevelType w:val="hybridMultilevel"/>
    <w:tmpl w:val="62049F0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nsid w:val="4CA50EE7"/>
    <w:multiLevelType w:val="hybridMultilevel"/>
    <w:tmpl w:val="A9A2526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nsid w:val="4CC318F3"/>
    <w:multiLevelType w:val="hybridMultilevel"/>
    <w:tmpl w:val="D3DA0CB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nsid w:val="4E72292C"/>
    <w:multiLevelType w:val="hybridMultilevel"/>
    <w:tmpl w:val="56E28D60"/>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9">
    <w:nsid w:val="4F2D3E4F"/>
    <w:multiLevelType w:val="hybridMultilevel"/>
    <w:tmpl w:val="22685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0">
    <w:nsid w:val="4FCB6BD8"/>
    <w:multiLevelType w:val="hybridMultilevel"/>
    <w:tmpl w:val="317236FE"/>
    <w:lvl w:ilvl="0" w:tplc="BBD44B2A">
      <w:start w:val="1"/>
      <w:numFmt w:val="decimal"/>
      <w:lvlText w:val="%1."/>
      <w:lvlJc w:val="left"/>
      <w:pPr>
        <w:ind w:left="360" w:hanging="360"/>
      </w:pPr>
      <w:rPr>
        <w:rFonts w:hint="default"/>
        <w:b/>
        <w:i w:val="0"/>
        <w:color w:val="20386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1">
    <w:nsid w:val="4FCE575D"/>
    <w:multiLevelType w:val="hybridMultilevel"/>
    <w:tmpl w:val="87CAF2D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nsid w:val="50564C79"/>
    <w:multiLevelType w:val="hybridMultilevel"/>
    <w:tmpl w:val="FD3225AE"/>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nsid w:val="53313FB2"/>
    <w:multiLevelType w:val="hybridMultilevel"/>
    <w:tmpl w:val="B536663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53A93794"/>
    <w:multiLevelType w:val="hybridMultilevel"/>
    <w:tmpl w:val="BF66675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nsid w:val="5523656F"/>
    <w:multiLevelType w:val="hybridMultilevel"/>
    <w:tmpl w:val="85CEB8A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nsid w:val="555B42CE"/>
    <w:multiLevelType w:val="hybridMultilevel"/>
    <w:tmpl w:val="569C02C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nsid w:val="55A67F12"/>
    <w:multiLevelType w:val="hybridMultilevel"/>
    <w:tmpl w:val="DF5C91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alibri"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alibri"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alibri"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8">
    <w:nsid w:val="55DA581B"/>
    <w:multiLevelType w:val="hybridMultilevel"/>
    <w:tmpl w:val="97D2D32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nsid w:val="56193EBC"/>
    <w:multiLevelType w:val="hybridMultilevel"/>
    <w:tmpl w:val="CB1A4CB6"/>
    <w:lvl w:ilvl="0" w:tplc="04090001">
      <w:start w:val="1"/>
      <w:numFmt w:val="bullet"/>
      <w:lvlText w:val=""/>
      <w:lvlJc w:val="left"/>
      <w:pPr>
        <w:ind w:left="360" w:hanging="360"/>
      </w:pPr>
      <w:rPr>
        <w:rFonts w:ascii="Symbol" w:hAnsi="Symbol" w:hint="default"/>
        <w:b/>
        <w:i w:val="0"/>
        <w:color w:val="auto"/>
      </w:rPr>
    </w:lvl>
    <w:lvl w:ilvl="1" w:tplc="4D2A9564">
      <w:start w:val="1"/>
      <w:numFmt w:val="bullet"/>
      <w:lvlText w:val=""/>
      <w:lvlJc w:val="left"/>
      <w:pPr>
        <w:ind w:left="1080" w:hanging="360"/>
      </w:pPr>
      <w:rPr>
        <w:rFonts w:ascii="Symbol" w:hAnsi="Symbol" w:hint="default"/>
        <w:color w:val="20386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0">
    <w:nsid w:val="562B670F"/>
    <w:multiLevelType w:val="hybridMultilevel"/>
    <w:tmpl w:val="E5E418F6"/>
    <w:lvl w:ilvl="0" w:tplc="5290D98E">
      <w:start w:val="1"/>
      <w:numFmt w:val="bullet"/>
      <w:lvlText w:val=""/>
      <w:lvlJc w:val="left"/>
      <w:pPr>
        <w:ind w:left="360" w:hanging="360"/>
      </w:pPr>
      <w:rPr>
        <w:rFonts w:ascii="Symbol" w:hAnsi="Symbol" w:hint="default"/>
        <w:b/>
        <w:i w:val="0"/>
        <w:color w:val="203864"/>
        <w:sz w:val="22"/>
      </w:rPr>
    </w:lvl>
    <w:lvl w:ilvl="1" w:tplc="4D2A9564">
      <w:start w:val="1"/>
      <w:numFmt w:val="bullet"/>
      <w:lvlText w:val=""/>
      <w:lvlJc w:val="left"/>
      <w:pPr>
        <w:ind w:left="1080" w:hanging="360"/>
      </w:pPr>
      <w:rPr>
        <w:rFonts w:ascii="Symbol" w:hAnsi="Symbol" w:hint="default"/>
        <w:color w:val="203864"/>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1">
    <w:nsid w:val="564A2DA5"/>
    <w:multiLevelType w:val="hybridMultilevel"/>
    <w:tmpl w:val="8ED4D99C"/>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nsid w:val="56FD6ABB"/>
    <w:multiLevelType w:val="hybridMultilevel"/>
    <w:tmpl w:val="9D0428D2"/>
    <w:lvl w:ilvl="0" w:tplc="AF08376C">
      <w:numFmt w:val="bullet"/>
      <w:lvlText w:val="•"/>
      <w:lvlJc w:val="left"/>
      <w:pPr>
        <w:ind w:left="720" w:hanging="360"/>
      </w:pPr>
      <w:rPr>
        <w:rFonts w:ascii="SymbolMT" w:hAnsi="Calibri" w:cs="SymbolMT" w:hint="default"/>
        <w:color w:val="1F3863"/>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3">
    <w:nsid w:val="576A56F3"/>
    <w:multiLevelType w:val="hybridMultilevel"/>
    <w:tmpl w:val="C4C2F8B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nsid w:val="577A3D30"/>
    <w:multiLevelType w:val="hybridMultilevel"/>
    <w:tmpl w:val="3FC2599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nsid w:val="579370E4"/>
    <w:multiLevelType w:val="hybridMultilevel"/>
    <w:tmpl w:val="E43A062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6">
    <w:nsid w:val="5859278F"/>
    <w:multiLevelType w:val="hybridMultilevel"/>
    <w:tmpl w:val="8244EBF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nsid w:val="58BE4399"/>
    <w:multiLevelType w:val="hybridMultilevel"/>
    <w:tmpl w:val="2E6E9CF8"/>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nsid w:val="5B033EC5"/>
    <w:multiLevelType w:val="hybridMultilevel"/>
    <w:tmpl w:val="BC76889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9">
    <w:nsid w:val="5B0C15F1"/>
    <w:multiLevelType w:val="hybridMultilevel"/>
    <w:tmpl w:val="C2EEA92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nsid w:val="5B5F1C41"/>
    <w:multiLevelType w:val="hybridMultilevel"/>
    <w:tmpl w:val="5D2CE75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5CCC4407"/>
    <w:multiLevelType w:val="hybridMultilevel"/>
    <w:tmpl w:val="E9E497A8"/>
    <w:lvl w:ilvl="0" w:tplc="4D2A9564">
      <w:start w:val="1"/>
      <w:numFmt w:val="bullet"/>
      <w:lvlText w:val=""/>
      <w:lvlJc w:val="left"/>
      <w:pPr>
        <w:ind w:left="360" w:hanging="360"/>
      </w:pPr>
      <w:rPr>
        <w:rFonts w:ascii="Symbol" w:hAnsi="Symbol" w:hint="default"/>
        <w:b/>
        <w:i w:val="0"/>
        <w:color w:val="20386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2">
    <w:nsid w:val="5CDF1C44"/>
    <w:multiLevelType w:val="hybridMultilevel"/>
    <w:tmpl w:val="0B7A8D2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nsid w:val="5E105EBA"/>
    <w:multiLevelType w:val="hybridMultilevel"/>
    <w:tmpl w:val="A958394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nsid w:val="5E5A61A3"/>
    <w:multiLevelType w:val="hybridMultilevel"/>
    <w:tmpl w:val="CDAE417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nsid w:val="5EB875F2"/>
    <w:multiLevelType w:val="hybridMultilevel"/>
    <w:tmpl w:val="AC70D77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nsid w:val="5EDB31EC"/>
    <w:multiLevelType w:val="hybridMultilevel"/>
    <w:tmpl w:val="B6DED6E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nsid w:val="5F201AC1"/>
    <w:multiLevelType w:val="hybridMultilevel"/>
    <w:tmpl w:val="03646246"/>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nsid w:val="5F423FDF"/>
    <w:multiLevelType w:val="hybridMultilevel"/>
    <w:tmpl w:val="2DD6BB12"/>
    <w:lvl w:ilvl="0" w:tplc="4D2A9564">
      <w:start w:val="1"/>
      <w:numFmt w:val="bullet"/>
      <w:lvlText w:val=""/>
      <w:lvlJc w:val="left"/>
      <w:pPr>
        <w:ind w:left="360" w:hanging="360"/>
      </w:pPr>
      <w:rPr>
        <w:rFonts w:ascii="Symbol" w:hAnsi="Symbol" w:hint="default"/>
        <w:b/>
        <w:i w:val="0"/>
        <w:color w:val="203864"/>
      </w:rPr>
    </w:lvl>
    <w:lvl w:ilvl="1" w:tplc="85BAAB46">
      <w:start w:val="1"/>
      <w:numFmt w:val="bullet"/>
      <w:lvlText w:val=""/>
      <w:lvlJc w:val="left"/>
      <w:pPr>
        <w:ind w:left="1080" w:hanging="360"/>
      </w:pPr>
      <w:rPr>
        <w:rFonts w:ascii="Symbol" w:hAnsi="Symbol" w:hint="default"/>
        <w:color w:val="2F5496" w:themeColor="accent1" w:themeShade="BF"/>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9">
    <w:nsid w:val="607400F6"/>
    <w:multiLevelType w:val="hybridMultilevel"/>
    <w:tmpl w:val="F342C08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nsid w:val="60BB2F5A"/>
    <w:multiLevelType w:val="hybridMultilevel"/>
    <w:tmpl w:val="A1ACB99E"/>
    <w:lvl w:ilvl="0" w:tplc="BBD44B2A">
      <w:start w:val="1"/>
      <w:numFmt w:val="decimal"/>
      <w:lvlText w:val="%1."/>
      <w:lvlJc w:val="left"/>
      <w:pPr>
        <w:ind w:left="360" w:hanging="360"/>
      </w:pPr>
      <w:rPr>
        <w:rFonts w:hint="default"/>
        <w:b/>
        <w:i w:val="0"/>
        <w:color w:val="20386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1">
    <w:nsid w:val="620F2D49"/>
    <w:multiLevelType w:val="hybridMultilevel"/>
    <w:tmpl w:val="181060D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2">
    <w:nsid w:val="621B7C4A"/>
    <w:multiLevelType w:val="hybridMultilevel"/>
    <w:tmpl w:val="0E60BA6E"/>
    <w:lvl w:ilvl="0" w:tplc="8E8E806E">
      <w:start w:val="1"/>
      <w:numFmt w:val="upperLetter"/>
      <w:lvlText w:val="%1."/>
      <w:lvlJc w:val="left"/>
      <w:pPr>
        <w:ind w:left="720" w:hanging="360"/>
      </w:pPr>
      <w:rPr>
        <w:rFonts w:hint="default"/>
        <w:b/>
        <w:i w:val="0"/>
        <w:color w:val="20386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nsid w:val="62233155"/>
    <w:multiLevelType w:val="hybridMultilevel"/>
    <w:tmpl w:val="9B22105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nsid w:val="62D001E3"/>
    <w:multiLevelType w:val="hybridMultilevel"/>
    <w:tmpl w:val="023AA682"/>
    <w:lvl w:ilvl="0" w:tplc="5290D98E">
      <w:start w:val="1"/>
      <w:numFmt w:val="bullet"/>
      <w:lvlText w:val=""/>
      <w:lvlJc w:val="left"/>
      <w:pPr>
        <w:ind w:left="360" w:hanging="360"/>
      </w:pPr>
      <w:rPr>
        <w:rFonts w:ascii="Symbol" w:hAnsi="Symbol" w:hint="default"/>
        <w:color w:val="203864"/>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nsid w:val="639104E6"/>
    <w:multiLevelType w:val="hybridMultilevel"/>
    <w:tmpl w:val="4DB209C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6">
    <w:nsid w:val="63A50FDD"/>
    <w:multiLevelType w:val="hybridMultilevel"/>
    <w:tmpl w:val="91562010"/>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nsid w:val="63E05A99"/>
    <w:multiLevelType w:val="hybridMultilevel"/>
    <w:tmpl w:val="F448FE3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nsid w:val="645D21F7"/>
    <w:multiLevelType w:val="hybridMultilevel"/>
    <w:tmpl w:val="71AA229A"/>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9">
    <w:nsid w:val="646F34B4"/>
    <w:multiLevelType w:val="hybridMultilevel"/>
    <w:tmpl w:val="C2F613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80">
    <w:nsid w:val="647401A2"/>
    <w:multiLevelType w:val="hybridMultilevel"/>
    <w:tmpl w:val="CB4A6644"/>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1">
    <w:nsid w:val="64A60370"/>
    <w:multiLevelType w:val="hybridMultilevel"/>
    <w:tmpl w:val="3D3467A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nsid w:val="64BC4DCD"/>
    <w:multiLevelType w:val="hybridMultilevel"/>
    <w:tmpl w:val="F7D6949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3">
    <w:nsid w:val="651773B3"/>
    <w:multiLevelType w:val="hybridMultilevel"/>
    <w:tmpl w:val="CAA6C9F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4">
    <w:nsid w:val="65EE1DDD"/>
    <w:multiLevelType w:val="hybridMultilevel"/>
    <w:tmpl w:val="A4D64C0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nsid w:val="66EB0229"/>
    <w:multiLevelType w:val="hybridMultilevel"/>
    <w:tmpl w:val="068A1D7E"/>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nsid w:val="66FA53C7"/>
    <w:multiLevelType w:val="hybridMultilevel"/>
    <w:tmpl w:val="9EB2A3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7">
    <w:nsid w:val="67D77023"/>
    <w:multiLevelType w:val="hybridMultilevel"/>
    <w:tmpl w:val="792613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8">
    <w:nsid w:val="689724E2"/>
    <w:multiLevelType w:val="hybridMultilevel"/>
    <w:tmpl w:val="6E0E6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nsid w:val="68CB74F5"/>
    <w:multiLevelType w:val="hybridMultilevel"/>
    <w:tmpl w:val="6C489AB6"/>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nsid w:val="6957729A"/>
    <w:multiLevelType w:val="hybridMultilevel"/>
    <w:tmpl w:val="7F30D6BE"/>
    <w:lvl w:ilvl="0" w:tplc="BBD44B2A">
      <w:start w:val="1"/>
      <w:numFmt w:val="decimal"/>
      <w:lvlText w:val="%1."/>
      <w:lvlJc w:val="left"/>
      <w:pPr>
        <w:ind w:left="0" w:hanging="360"/>
      </w:pPr>
      <w:rPr>
        <w:rFonts w:hint="default"/>
        <w:b/>
        <w:i w:val="0"/>
        <w:color w:val="203864"/>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91">
    <w:nsid w:val="699A7E75"/>
    <w:multiLevelType w:val="hybridMultilevel"/>
    <w:tmpl w:val="5942B43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2">
    <w:nsid w:val="69C5733A"/>
    <w:multiLevelType w:val="hybridMultilevel"/>
    <w:tmpl w:val="84F6383E"/>
    <w:lvl w:ilvl="0" w:tplc="4D2A9564">
      <w:start w:val="1"/>
      <w:numFmt w:val="bullet"/>
      <w:lvlText w:val=""/>
      <w:lvlJc w:val="left"/>
      <w:pPr>
        <w:ind w:left="720" w:hanging="360"/>
      </w:pPr>
      <w:rPr>
        <w:rFonts w:ascii="Symbol" w:hAnsi="Symbol" w:hint="default"/>
        <w:color w:val="20386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nsid w:val="6A143E4D"/>
    <w:multiLevelType w:val="hybridMultilevel"/>
    <w:tmpl w:val="0E0890A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4">
    <w:nsid w:val="6A2F4DDC"/>
    <w:multiLevelType w:val="hybridMultilevel"/>
    <w:tmpl w:val="8C9CB5C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5">
    <w:nsid w:val="6AA92CD4"/>
    <w:multiLevelType w:val="multilevel"/>
    <w:tmpl w:val="4F166B70"/>
    <w:lvl w:ilvl="0">
      <w:start w:val="1"/>
      <w:numFmt w:val="bullet"/>
      <w:lvlText w:val=""/>
      <w:lvlJc w:val="left"/>
      <w:pPr>
        <w:ind w:left="360" w:hanging="360"/>
      </w:pPr>
      <w:rPr>
        <w:rFonts w:ascii="Symbol" w:hAnsi="Symbol" w:hint="default"/>
        <w:b/>
        <w:i w:val="0"/>
        <w:color w:val="20386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6">
    <w:nsid w:val="6AF87186"/>
    <w:multiLevelType w:val="hybridMultilevel"/>
    <w:tmpl w:val="061246B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7">
    <w:nsid w:val="6B4A4503"/>
    <w:multiLevelType w:val="hybridMultilevel"/>
    <w:tmpl w:val="CDAA8110"/>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8">
    <w:nsid w:val="6C1A02CE"/>
    <w:multiLevelType w:val="hybridMultilevel"/>
    <w:tmpl w:val="8C9836F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9">
    <w:nsid w:val="6C7C213A"/>
    <w:multiLevelType w:val="hybridMultilevel"/>
    <w:tmpl w:val="D99E300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0">
    <w:nsid w:val="6EE8064E"/>
    <w:multiLevelType w:val="hybridMultilevel"/>
    <w:tmpl w:val="923A3022"/>
    <w:lvl w:ilvl="0" w:tplc="8E8E806E">
      <w:start w:val="1"/>
      <w:numFmt w:val="upperLetter"/>
      <w:lvlText w:val="%1."/>
      <w:lvlJc w:val="left"/>
      <w:pPr>
        <w:ind w:left="360" w:hanging="360"/>
      </w:pPr>
      <w:rPr>
        <w:rFonts w:hint="default"/>
        <w:b/>
        <w:i w:val="0"/>
        <w:color w:val="20386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1">
    <w:nsid w:val="6F9324F2"/>
    <w:multiLevelType w:val="hybridMultilevel"/>
    <w:tmpl w:val="45ECC5A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nsid w:val="70897A47"/>
    <w:multiLevelType w:val="hybridMultilevel"/>
    <w:tmpl w:val="9AF06A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3">
    <w:nsid w:val="70AB3221"/>
    <w:multiLevelType w:val="hybridMultilevel"/>
    <w:tmpl w:val="A502C42A"/>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4">
    <w:nsid w:val="70F541EC"/>
    <w:multiLevelType w:val="hybridMultilevel"/>
    <w:tmpl w:val="90E4E57C"/>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5">
    <w:nsid w:val="713726FF"/>
    <w:multiLevelType w:val="hybridMultilevel"/>
    <w:tmpl w:val="6CA0B47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nsid w:val="72DB7F93"/>
    <w:multiLevelType w:val="hybridMultilevel"/>
    <w:tmpl w:val="03729D12"/>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7">
    <w:nsid w:val="765271F1"/>
    <w:multiLevelType w:val="hybridMultilevel"/>
    <w:tmpl w:val="168AF96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8">
    <w:nsid w:val="774A2ACC"/>
    <w:multiLevelType w:val="hybridMultilevel"/>
    <w:tmpl w:val="3ADC753A"/>
    <w:lvl w:ilvl="0" w:tplc="4D2A9564">
      <w:start w:val="1"/>
      <w:numFmt w:val="bullet"/>
      <w:lvlText w:val=""/>
      <w:lvlJc w:val="left"/>
      <w:pPr>
        <w:ind w:left="720" w:hanging="360"/>
      </w:pPr>
      <w:rPr>
        <w:rFonts w:ascii="Symbol" w:hAnsi="Symbol" w:hint="default"/>
        <w:color w:val="20386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nsid w:val="779A1B36"/>
    <w:multiLevelType w:val="hybridMultilevel"/>
    <w:tmpl w:val="57CA4838"/>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0">
    <w:nsid w:val="77C061C2"/>
    <w:multiLevelType w:val="hybridMultilevel"/>
    <w:tmpl w:val="231C62EC"/>
    <w:lvl w:ilvl="0" w:tplc="4D2A9564">
      <w:start w:val="1"/>
      <w:numFmt w:val="bullet"/>
      <w:lvlText w:val=""/>
      <w:lvlJc w:val="left"/>
      <w:pPr>
        <w:ind w:left="360" w:hanging="360"/>
      </w:pPr>
      <w:rPr>
        <w:rFonts w:ascii="Symbol" w:hAnsi="Symbol" w:hint="default"/>
        <w:color w:val="20386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1">
    <w:nsid w:val="78510000"/>
    <w:multiLevelType w:val="hybridMultilevel"/>
    <w:tmpl w:val="7F64B60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2">
    <w:nsid w:val="79742284"/>
    <w:multiLevelType w:val="hybridMultilevel"/>
    <w:tmpl w:val="C06681A8"/>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3">
    <w:nsid w:val="7ACB1B05"/>
    <w:multiLevelType w:val="hybridMultilevel"/>
    <w:tmpl w:val="AE126DD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4">
    <w:nsid w:val="7B1526AD"/>
    <w:multiLevelType w:val="hybridMultilevel"/>
    <w:tmpl w:val="F68E3D02"/>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5">
    <w:nsid w:val="7BF129F0"/>
    <w:multiLevelType w:val="hybridMultilevel"/>
    <w:tmpl w:val="2F623FBA"/>
    <w:lvl w:ilvl="0" w:tplc="4D2A9564">
      <w:start w:val="1"/>
      <w:numFmt w:val="bullet"/>
      <w:lvlText w:val=""/>
      <w:lvlJc w:val="left"/>
      <w:pPr>
        <w:ind w:left="360" w:hanging="360"/>
      </w:pPr>
      <w:rPr>
        <w:rFonts w:ascii="Symbol" w:hAnsi="Symbol" w:hint="default"/>
        <w:color w:val="20386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6">
    <w:nsid w:val="7D67255E"/>
    <w:multiLevelType w:val="hybridMultilevel"/>
    <w:tmpl w:val="702828E6"/>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7">
    <w:nsid w:val="7FBB6C27"/>
    <w:multiLevelType w:val="hybridMultilevel"/>
    <w:tmpl w:val="CBCC0354"/>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9"/>
  </w:num>
  <w:num w:numId="2">
    <w:abstractNumId w:val="200"/>
  </w:num>
  <w:num w:numId="3">
    <w:abstractNumId w:val="53"/>
  </w:num>
  <w:num w:numId="4">
    <w:abstractNumId w:val="195"/>
  </w:num>
  <w:num w:numId="5">
    <w:abstractNumId w:val="99"/>
  </w:num>
  <w:num w:numId="6">
    <w:abstractNumId w:val="9"/>
  </w:num>
  <w:num w:numId="7">
    <w:abstractNumId w:val="27"/>
  </w:num>
  <w:num w:numId="8">
    <w:abstractNumId w:val="1"/>
  </w:num>
  <w:num w:numId="9">
    <w:abstractNumId w:val="67"/>
  </w:num>
  <w:num w:numId="10">
    <w:abstractNumId w:val="103"/>
  </w:num>
  <w:num w:numId="11">
    <w:abstractNumId w:val="61"/>
  </w:num>
  <w:num w:numId="12">
    <w:abstractNumId w:val="108"/>
  </w:num>
  <w:num w:numId="13">
    <w:abstractNumId w:val="40"/>
  </w:num>
  <w:num w:numId="14">
    <w:abstractNumId w:val="165"/>
  </w:num>
  <w:num w:numId="15">
    <w:abstractNumId w:val="170"/>
  </w:num>
  <w:num w:numId="16">
    <w:abstractNumId w:val="192"/>
  </w:num>
  <w:num w:numId="17">
    <w:abstractNumId w:val="48"/>
  </w:num>
  <w:num w:numId="18">
    <w:abstractNumId w:val="92"/>
  </w:num>
  <w:num w:numId="19">
    <w:abstractNumId w:val="190"/>
  </w:num>
  <w:num w:numId="20">
    <w:abstractNumId w:val="185"/>
  </w:num>
  <w:num w:numId="21">
    <w:abstractNumId w:val="102"/>
  </w:num>
  <w:num w:numId="22">
    <w:abstractNumId w:val="160"/>
  </w:num>
  <w:num w:numId="23">
    <w:abstractNumId w:val="60"/>
  </w:num>
  <w:num w:numId="24">
    <w:abstractNumId w:val="147"/>
  </w:num>
  <w:num w:numId="25">
    <w:abstractNumId w:val="179"/>
  </w:num>
  <w:num w:numId="26">
    <w:abstractNumId w:val="117"/>
  </w:num>
  <w:num w:numId="27">
    <w:abstractNumId w:val="54"/>
  </w:num>
  <w:num w:numId="28">
    <w:abstractNumId w:val="122"/>
  </w:num>
  <w:num w:numId="29">
    <w:abstractNumId w:val="115"/>
  </w:num>
  <w:num w:numId="30">
    <w:abstractNumId w:val="187"/>
  </w:num>
  <w:num w:numId="31">
    <w:abstractNumId w:val="106"/>
  </w:num>
  <w:num w:numId="32">
    <w:abstractNumId w:val="139"/>
  </w:num>
  <w:num w:numId="33">
    <w:abstractNumId w:val="130"/>
  </w:num>
  <w:num w:numId="34">
    <w:abstractNumId w:val="70"/>
  </w:num>
  <w:num w:numId="35">
    <w:abstractNumId w:val="35"/>
  </w:num>
  <w:num w:numId="36">
    <w:abstractNumId w:val="186"/>
  </w:num>
  <w:num w:numId="37">
    <w:abstractNumId w:val="104"/>
  </w:num>
  <w:num w:numId="38">
    <w:abstractNumId w:val="29"/>
  </w:num>
  <w:num w:numId="39">
    <w:abstractNumId w:val="126"/>
  </w:num>
  <w:num w:numId="40">
    <w:abstractNumId w:val="87"/>
  </w:num>
  <w:num w:numId="41">
    <w:abstractNumId w:val="119"/>
  </w:num>
  <w:num w:numId="42">
    <w:abstractNumId w:val="188"/>
  </w:num>
  <w:num w:numId="43">
    <w:abstractNumId w:val="125"/>
  </w:num>
  <w:num w:numId="44">
    <w:abstractNumId w:val="153"/>
  </w:num>
  <w:num w:numId="45">
    <w:abstractNumId w:val="100"/>
  </w:num>
  <w:num w:numId="46">
    <w:abstractNumId w:val="114"/>
  </w:num>
  <w:num w:numId="47">
    <w:abstractNumId w:val="208"/>
  </w:num>
  <w:num w:numId="48">
    <w:abstractNumId w:val="176"/>
  </w:num>
  <w:num w:numId="49">
    <w:abstractNumId w:val="71"/>
  </w:num>
  <w:num w:numId="50">
    <w:abstractNumId w:val="51"/>
  </w:num>
  <w:num w:numId="51">
    <w:abstractNumId w:val="133"/>
  </w:num>
  <w:num w:numId="52">
    <w:abstractNumId w:val="196"/>
  </w:num>
  <w:num w:numId="53">
    <w:abstractNumId w:val="73"/>
  </w:num>
  <w:num w:numId="54">
    <w:abstractNumId w:val="166"/>
  </w:num>
  <w:num w:numId="55">
    <w:abstractNumId w:val="4"/>
  </w:num>
  <w:num w:numId="56">
    <w:abstractNumId w:val="175"/>
  </w:num>
  <w:num w:numId="57">
    <w:abstractNumId w:val="206"/>
  </w:num>
  <w:num w:numId="58">
    <w:abstractNumId w:val="159"/>
  </w:num>
  <w:num w:numId="59">
    <w:abstractNumId w:val="138"/>
  </w:num>
  <w:num w:numId="60">
    <w:abstractNumId w:val="167"/>
  </w:num>
  <w:num w:numId="61">
    <w:abstractNumId w:val="23"/>
  </w:num>
  <w:num w:numId="62">
    <w:abstractNumId w:val="151"/>
  </w:num>
  <w:num w:numId="63">
    <w:abstractNumId w:val="16"/>
  </w:num>
  <w:num w:numId="64">
    <w:abstractNumId w:val="21"/>
  </w:num>
  <w:num w:numId="65">
    <w:abstractNumId w:val="184"/>
  </w:num>
  <w:num w:numId="66">
    <w:abstractNumId w:val="90"/>
  </w:num>
  <w:num w:numId="67">
    <w:abstractNumId w:val="140"/>
  </w:num>
  <w:num w:numId="68">
    <w:abstractNumId w:val="189"/>
  </w:num>
  <w:num w:numId="69">
    <w:abstractNumId w:val="164"/>
  </w:num>
  <w:num w:numId="70">
    <w:abstractNumId w:val="173"/>
  </w:num>
  <w:num w:numId="71">
    <w:abstractNumId w:val="180"/>
  </w:num>
  <w:num w:numId="72">
    <w:abstractNumId w:val="55"/>
  </w:num>
  <w:num w:numId="73">
    <w:abstractNumId w:val="52"/>
  </w:num>
  <w:num w:numId="74">
    <w:abstractNumId w:val="199"/>
  </w:num>
  <w:num w:numId="75">
    <w:abstractNumId w:val="25"/>
  </w:num>
  <w:num w:numId="76">
    <w:abstractNumId w:val="63"/>
  </w:num>
  <w:num w:numId="77">
    <w:abstractNumId w:val="109"/>
  </w:num>
  <w:num w:numId="78">
    <w:abstractNumId w:val="127"/>
  </w:num>
  <w:num w:numId="79">
    <w:abstractNumId w:val="56"/>
  </w:num>
  <w:num w:numId="80">
    <w:abstractNumId w:val="145"/>
  </w:num>
  <w:num w:numId="81">
    <w:abstractNumId w:val="84"/>
  </w:num>
  <w:num w:numId="82">
    <w:abstractNumId w:val="72"/>
  </w:num>
  <w:num w:numId="83">
    <w:abstractNumId w:val="80"/>
  </w:num>
  <w:num w:numId="84">
    <w:abstractNumId w:val="201"/>
  </w:num>
  <w:num w:numId="85">
    <w:abstractNumId w:val="79"/>
  </w:num>
  <w:num w:numId="86">
    <w:abstractNumId w:val="215"/>
  </w:num>
  <w:num w:numId="87">
    <w:abstractNumId w:val="28"/>
  </w:num>
  <w:num w:numId="88">
    <w:abstractNumId w:val="182"/>
  </w:num>
  <w:num w:numId="89">
    <w:abstractNumId w:val="37"/>
  </w:num>
  <w:num w:numId="90">
    <w:abstractNumId w:val="198"/>
  </w:num>
  <w:num w:numId="91">
    <w:abstractNumId w:val="137"/>
  </w:num>
  <w:num w:numId="92">
    <w:abstractNumId w:val="136"/>
  </w:num>
  <w:num w:numId="93">
    <w:abstractNumId w:val="45"/>
  </w:num>
  <w:num w:numId="94">
    <w:abstractNumId w:val="7"/>
  </w:num>
  <w:num w:numId="95">
    <w:abstractNumId w:val="144"/>
  </w:num>
  <w:num w:numId="96">
    <w:abstractNumId w:val="112"/>
  </w:num>
  <w:num w:numId="97">
    <w:abstractNumId w:val="149"/>
  </w:num>
  <w:num w:numId="98">
    <w:abstractNumId w:val="88"/>
  </w:num>
  <w:num w:numId="99">
    <w:abstractNumId w:val="5"/>
  </w:num>
  <w:num w:numId="100">
    <w:abstractNumId w:val="41"/>
  </w:num>
  <w:num w:numId="101">
    <w:abstractNumId w:val="134"/>
  </w:num>
  <w:num w:numId="102">
    <w:abstractNumId w:val="94"/>
  </w:num>
  <w:num w:numId="103">
    <w:abstractNumId w:val="22"/>
  </w:num>
  <w:num w:numId="104">
    <w:abstractNumId w:val="204"/>
  </w:num>
  <w:num w:numId="105">
    <w:abstractNumId w:val="113"/>
  </w:num>
  <w:num w:numId="106">
    <w:abstractNumId w:val="181"/>
  </w:num>
  <w:num w:numId="107">
    <w:abstractNumId w:val="161"/>
  </w:num>
  <w:num w:numId="108">
    <w:abstractNumId w:val="168"/>
  </w:num>
  <w:num w:numId="109">
    <w:abstractNumId w:val="210"/>
  </w:num>
  <w:num w:numId="110">
    <w:abstractNumId w:val="10"/>
  </w:num>
  <w:num w:numId="111">
    <w:abstractNumId w:val="209"/>
  </w:num>
  <w:num w:numId="112">
    <w:abstractNumId w:val="43"/>
  </w:num>
  <w:num w:numId="113">
    <w:abstractNumId w:val="111"/>
  </w:num>
  <w:num w:numId="114">
    <w:abstractNumId w:val="178"/>
  </w:num>
  <w:num w:numId="115">
    <w:abstractNumId w:val="36"/>
  </w:num>
  <w:num w:numId="116">
    <w:abstractNumId w:val="89"/>
  </w:num>
  <w:num w:numId="117">
    <w:abstractNumId w:val="46"/>
  </w:num>
  <w:num w:numId="118">
    <w:abstractNumId w:val="83"/>
  </w:num>
  <w:num w:numId="119">
    <w:abstractNumId w:val="13"/>
  </w:num>
  <w:num w:numId="120">
    <w:abstractNumId w:val="163"/>
  </w:num>
  <w:num w:numId="121">
    <w:abstractNumId w:val="62"/>
  </w:num>
  <w:num w:numId="122">
    <w:abstractNumId w:val="47"/>
  </w:num>
  <w:num w:numId="123">
    <w:abstractNumId w:val="42"/>
  </w:num>
  <w:num w:numId="124">
    <w:abstractNumId w:val="6"/>
  </w:num>
  <w:num w:numId="125">
    <w:abstractNumId w:val="14"/>
  </w:num>
  <w:num w:numId="126">
    <w:abstractNumId w:val="128"/>
  </w:num>
  <w:num w:numId="127">
    <w:abstractNumId w:val="96"/>
  </w:num>
  <w:num w:numId="128">
    <w:abstractNumId w:val="91"/>
  </w:num>
  <w:num w:numId="129">
    <w:abstractNumId w:val="24"/>
  </w:num>
  <w:num w:numId="130">
    <w:abstractNumId w:val="2"/>
  </w:num>
  <w:num w:numId="131">
    <w:abstractNumId w:val="143"/>
  </w:num>
  <w:num w:numId="132">
    <w:abstractNumId w:val="59"/>
  </w:num>
  <w:num w:numId="133">
    <w:abstractNumId w:val="20"/>
  </w:num>
  <w:num w:numId="134">
    <w:abstractNumId w:val="17"/>
  </w:num>
  <w:num w:numId="135">
    <w:abstractNumId w:val="129"/>
  </w:num>
  <w:num w:numId="136">
    <w:abstractNumId w:val="50"/>
  </w:num>
  <w:num w:numId="137">
    <w:abstractNumId w:val="214"/>
  </w:num>
  <w:num w:numId="138">
    <w:abstractNumId w:val="11"/>
  </w:num>
  <w:num w:numId="139">
    <w:abstractNumId w:val="101"/>
  </w:num>
  <w:num w:numId="140">
    <w:abstractNumId w:val="172"/>
  </w:num>
  <w:num w:numId="141">
    <w:abstractNumId w:val="57"/>
  </w:num>
  <w:num w:numId="142">
    <w:abstractNumId w:val="76"/>
  </w:num>
  <w:num w:numId="143">
    <w:abstractNumId w:val="177"/>
  </w:num>
  <w:num w:numId="144">
    <w:abstractNumId w:val="207"/>
  </w:num>
  <w:num w:numId="145">
    <w:abstractNumId w:val="205"/>
  </w:num>
  <w:num w:numId="146">
    <w:abstractNumId w:val="12"/>
  </w:num>
  <w:num w:numId="147">
    <w:abstractNumId w:val="142"/>
  </w:num>
  <w:num w:numId="148">
    <w:abstractNumId w:val="131"/>
  </w:num>
  <w:num w:numId="149">
    <w:abstractNumId w:val="154"/>
  </w:num>
  <w:num w:numId="150">
    <w:abstractNumId w:val="158"/>
  </w:num>
  <w:num w:numId="151">
    <w:abstractNumId w:val="82"/>
  </w:num>
  <w:num w:numId="152">
    <w:abstractNumId w:val="203"/>
  </w:num>
  <w:num w:numId="153">
    <w:abstractNumId w:val="155"/>
  </w:num>
  <w:num w:numId="154">
    <w:abstractNumId w:val="31"/>
  </w:num>
  <w:num w:numId="155">
    <w:abstractNumId w:val="118"/>
  </w:num>
  <w:num w:numId="156">
    <w:abstractNumId w:val="18"/>
  </w:num>
  <w:num w:numId="157">
    <w:abstractNumId w:val="194"/>
  </w:num>
  <w:num w:numId="158">
    <w:abstractNumId w:val="121"/>
  </w:num>
  <w:num w:numId="159">
    <w:abstractNumId w:val="3"/>
  </w:num>
  <w:num w:numId="160">
    <w:abstractNumId w:val="169"/>
  </w:num>
  <w:num w:numId="161">
    <w:abstractNumId w:val="193"/>
  </w:num>
  <w:num w:numId="162">
    <w:abstractNumId w:val="216"/>
  </w:num>
  <w:num w:numId="163">
    <w:abstractNumId w:val="19"/>
  </w:num>
  <w:num w:numId="164">
    <w:abstractNumId w:val="78"/>
  </w:num>
  <w:num w:numId="165">
    <w:abstractNumId w:val="211"/>
  </w:num>
  <w:num w:numId="166">
    <w:abstractNumId w:val="32"/>
  </w:num>
  <w:num w:numId="167">
    <w:abstractNumId w:val="34"/>
  </w:num>
  <w:num w:numId="168">
    <w:abstractNumId w:val="81"/>
  </w:num>
  <w:num w:numId="169">
    <w:abstractNumId w:val="141"/>
  </w:num>
  <w:num w:numId="170">
    <w:abstractNumId w:val="65"/>
  </w:num>
  <w:num w:numId="171">
    <w:abstractNumId w:val="74"/>
  </w:num>
  <w:num w:numId="172">
    <w:abstractNumId w:val="75"/>
  </w:num>
  <w:num w:numId="173">
    <w:abstractNumId w:val="26"/>
  </w:num>
  <w:num w:numId="174">
    <w:abstractNumId w:val="0"/>
  </w:num>
  <w:num w:numId="175">
    <w:abstractNumId w:val="213"/>
  </w:num>
  <w:num w:numId="176">
    <w:abstractNumId w:val="33"/>
  </w:num>
  <w:num w:numId="177">
    <w:abstractNumId w:val="156"/>
  </w:num>
  <w:num w:numId="178">
    <w:abstractNumId w:val="217"/>
  </w:num>
  <w:num w:numId="179">
    <w:abstractNumId w:val="49"/>
  </w:num>
  <w:num w:numId="180">
    <w:abstractNumId w:val="132"/>
  </w:num>
  <w:num w:numId="181">
    <w:abstractNumId w:val="8"/>
  </w:num>
  <w:num w:numId="182">
    <w:abstractNumId w:val="105"/>
  </w:num>
  <w:num w:numId="183">
    <w:abstractNumId w:val="124"/>
  </w:num>
  <w:num w:numId="184">
    <w:abstractNumId w:val="171"/>
  </w:num>
  <w:num w:numId="185">
    <w:abstractNumId w:val="110"/>
  </w:num>
  <w:num w:numId="186">
    <w:abstractNumId w:val="95"/>
  </w:num>
  <w:num w:numId="187">
    <w:abstractNumId w:val="39"/>
  </w:num>
  <w:num w:numId="188">
    <w:abstractNumId w:val="183"/>
  </w:num>
  <w:num w:numId="189">
    <w:abstractNumId w:val="116"/>
  </w:num>
  <w:num w:numId="190">
    <w:abstractNumId w:val="148"/>
  </w:num>
  <w:num w:numId="191">
    <w:abstractNumId w:val="146"/>
  </w:num>
  <w:num w:numId="192">
    <w:abstractNumId w:val="107"/>
  </w:num>
  <w:num w:numId="193">
    <w:abstractNumId w:val="97"/>
  </w:num>
  <w:num w:numId="194">
    <w:abstractNumId w:val="93"/>
  </w:num>
  <w:num w:numId="195">
    <w:abstractNumId w:val="86"/>
  </w:num>
  <w:num w:numId="196">
    <w:abstractNumId w:val="135"/>
  </w:num>
  <w:num w:numId="197">
    <w:abstractNumId w:val="98"/>
  </w:num>
  <w:num w:numId="198">
    <w:abstractNumId w:val="64"/>
  </w:num>
  <w:num w:numId="199">
    <w:abstractNumId w:val="38"/>
  </w:num>
  <w:num w:numId="200">
    <w:abstractNumId w:val="44"/>
  </w:num>
  <w:num w:numId="201">
    <w:abstractNumId w:val="162"/>
  </w:num>
  <w:num w:numId="202">
    <w:abstractNumId w:val="197"/>
  </w:num>
  <w:num w:numId="203">
    <w:abstractNumId w:val="85"/>
  </w:num>
  <w:num w:numId="204">
    <w:abstractNumId w:val="30"/>
  </w:num>
  <w:num w:numId="205">
    <w:abstractNumId w:val="68"/>
  </w:num>
  <w:num w:numId="206">
    <w:abstractNumId w:val="157"/>
  </w:num>
  <w:num w:numId="207">
    <w:abstractNumId w:val="120"/>
  </w:num>
  <w:num w:numId="208">
    <w:abstractNumId w:val="191"/>
  </w:num>
  <w:num w:numId="209">
    <w:abstractNumId w:val="123"/>
  </w:num>
  <w:num w:numId="210">
    <w:abstractNumId w:val="58"/>
  </w:num>
  <w:num w:numId="211">
    <w:abstractNumId w:val="15"/>
  </w:num>
  <w:num w:numId="212">
    <w:abstractNumId w:val="174"/>
  </w:num>
  <w:num w:numId="213">
    <w:abstractNumId w:val="212"/>
  </w:num>
  <w:num w:numId="214">
    <w:abstractNumId w:val="77"/>
  </w:num>
  <w:num w:numId="215">
    <w:abstractNumId w:val="150"/>
  </w:num>
  <w:num w:numId="216">
    <w:abstractNumId w:val="202"/>
  </w:num>
  <w:num w:numId="217">
    <w:abstractNumId w:val="152"/>
  </w:num>
  <w:num w:numId="218">
    <w:abstractNumId w:val="66"/>
  </w:num>
  <w:numIdMacAtCleanup w:val="2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hdrShapeDefaults>
    <o:shapedefaults v:ext="edit" spidmax="2049"/>
  </w:hdrShapeDefaults>
  <w:footnotePr>
    <w:footnote w:id="-1"/>
    <w:footnote w:id="0"/>
    <w:footnote w:id="1"/>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59F"/>
    <w:rsid w:val="000004AE"/>
    <w:rsid w:val="0000087B"/>
    <w:rsid w:val="00002D70"/>
    <w:rsid w:val="00006698"/>
    <w:rsid w:val="00007602"/>
    <w:rsid w:val="00011462"/>
    <w:rsid w:val="00011520"/>
    <w:rsid w:val="0001351A"/>
    <w:rsid w:val="00016064"/>
    <w:rsid w:val="00021392"/>
    <w:rsid w:val="00024331"/>
    <w:rsid w:val="00024ABD"/>
    <w:rsid w:val="00026617"/>
    <w:rsid w:val="0003034F"/>
    <w:rsid w:val="00031EDF"/>
    <w:rsid w:val="0003304E"/>
    <w:rsid w:val="00033EA5"/>
    <w:rsid w:val="00033EA9"/>
    <w:rsid w:val="0003428C"/>
    <w:rsid w:val="00036BFA"/>
    <w:rsid w:val="00037037"/>
    <w:rsid w:val="00037514"/>
    <w:rsid w:val="00041F6A"/>
    <w:rsid w:val="00045870"/>
    <w:rsid w:val="00045ED4"/>
    <w:rsid w:val="00047934"/>
    <w:rsid w:val="00050022"/>
    <w:rsid w:val="00050053"/>
    <w:rsid w:val="00050AC2"/>
    <w:rsid w:val="0005150A"/>
    <w:rsid w:val="000527E5"/>
    <w:rsid w:val="00055777"/>
    <w:rsid w:val="00055B12"/>
    <w:rsid w:val="000612A6"/>
    <w:rsid w:val="00065464"/>
    <w:rsid w:val="000715AB"/>
    <w:rsid w:val="00071C9D"/>
    <w:rsid w:val="00071CD6"/>
    <w:rsid w:val="000722DE"/>
    <w:rsid w:val="00073F2A"/>
    <w:rsid w:val="00074DF8"/>
    <w:rsid w:val="00074F78"/>
    <w:rsid w:val="00074F95"/>
    <w:rsid w:val="00075159"/>
    <w:rsid w:val="00075341"/>
    <w:rsid w:val="0007683E"/>
    <w:rsid w:val="00077561"/>
    <w:rsid w:val="000807B7"/>
    <w:rsid w:val="000816FD"/>
    <w:rsid w:val="00082905"/>
    <w:rsid w:val="00082B5D"/>
    <w:rsid w:val="00086430"/>
    <w:rsid w:val="000902A4"/>
    <w:rsid w:val="000907BE"/>
    <w:rsid w:val="00090803"/>
    <w:rsid w:val="00094FE2"/>
    <w:rsid w:val="00095A7B"/>
    <w:rsid w:val="000966D0"/>
    <w:rsid w:val="00096EAC"/>
    <w:rsid w:val="000970B6"/>
    <w:rsid w:val="000A0431"/>
    <w:rsid w:val="000A1976"/>
    <w:rsid w:val="000A38E4"/>
    <w:rsid w:val="000A5378"/>
    <w:rsid w:val="000A669D"/>
    <w:rsid w:val="000A75FF"/>
    <w:rsid w:val="000A7743"/>
    <w:rsid w:val="000B016E"/>
    <w:rsid w:val="000B130A"/>
    <w:rsid w:val="000B199A"/>
    <w:rsid w:val="000B4605"/>
    <w:rsid w:val="000B5145"/>
    <w:rsid w:val="000B520F"/>
    <w:rsid w:val="000B54D3"/>
    <w:rsid w:val="000B54E7"/>
    <w:rsid w:val="000B5763"/>
    <w:rsid w:val="000B65F3"/>
    <w:rsid w:val="000B74DA"/>
    <w:rsid w:val="000C01E4"/>
    <w:rsid w:val="000C02C9"/>
    <w:rsid w:val="000C14EC"/>
    <w:rsid w:val="000C29DC"/>
    <w:rsid w:val="000C310F"/>
    <w:rsid w:val="000C3E09"/>
    <w:rsid w:val="000C4649"/>
    <w:rsid w:val="000C4F53"/>
    <w:rsid w:val="000C6C16"/>
    <w:rsid w:val="000C7E55"/>
    <w:rsid w:val="000D054A"/>
    <w:rsid w:val="000D1E5F"/>
    <w:rsid w:val="000D3215"/>
    <w:rsid w:val="000D59AF"/>
    <w:rsid w:val="000D6F37"/>
    <w:rsid w:val="000E0DDF"/>
    <w:rsid w:val="000E1374"/>
    <w:rsid w:val="000E1637"/>
    <w:rsid w:val="000E16B9"/>
    <w:rsid w:val="000E1EF1"/>
    <w:rsid w:val="000E3ABE"/>
    <w:rsid w:val="000E40CF"/>
    <w:rsid w:val="000E5741"/>
    <w:rsid w:val="000E5942"/>
    <w:rsid w:val="000E7569"/>
    <w:rsid w:val="000E763A"/>
    <w:rsid w:val="000F179D"/>
    <w:rsid w:val="000F3675"/>
    <w:rsid w:val="000F5141"/>
    <w:rsid w:val="000F5649"/>
    <w:rsid w:val="000F635A"/>
    <w:rsid w:val="000F6418"/>
    <w:rsid w:val="000F773C"/>
    <w:rsid w:val="001004E7"/>
    <w:rsid w:val="00100ABE"/>
    <w:rsid w:val="00104327"/>
    <w:rsid w:val="00104609"/>
    <w:rsid w:val="00107354"/>
    <w:rsid w:val="00107B78"/>
    <w:rsid w:val="00113590"/>
    <w:rsid w:val="00113EE4"/>
    <w:rsid w:val="00113EF6"/>
    <w:rsid w:val="0012094E"/>
    <w:rsid w:val="001210CF"/>
    <w:rsid w:val="0012291D"/>
    <w:rsid w:val="00123044"/>
    <w:rsid w:val="00123D8F"/>
    <w:rsid w:val="00125FF9"/>
    <w:rsid w:val="001260EC"/>
    <w:rsid w:val="00126462"/>
    <w:rsid w:val="00127F33"/>
    <w:rsid w:val="0013180E"/>
    <w:rsid w:val="00131C54"/>
    <w:rsid w:val="00132BB6"/>
    <w:rsid w:val="001337FA"/>
    <w:rsid w:val="001338F5"/>
    <w:rsid w:val="00133A04"/>
    <w:rsid w:val="00133C0A"/>
    <w:rsid w:val="00134027"/>
    <w:rsid w:val="00134050"/>
    <w:rsid w:val="001348C4"/>
    <w:rsid w:val="001350FE"/>
    <w:rsid w:val="001362B4"/>
    <w:rsid w:val="001362EE"/>
    <w:rsid w:val="00140C96"/>
    <w:rsid w:val="00140FCB"/>
    <w:rsid w:val="001416B5"/>
    <w:rsid w:val="00142C05"/>
    <w:rsid w:val="0014321B"/>
    <w:rsid w:val="001438AB"/>
    <w:rsid w:val="00144B21"/>
    <w:rsid w:val="0014624F"/>
    <w:rsid w:val="001465C0"/>
    <w:rsid w:val="001503C2"/>
    <w:rsid w:val="001504F3"/>
    <w:rsid w:val="00151304"/>
    <w:rsid w:val="0015136A"/>
    <w:rsid w:val="00152EB7"/>
    <w:rsid w:val="00152FAB"/>
    <w:rsid w:val="00153669"/>
    <w:rsid w:val="00153901"/>
    <w:rsid w:val="00153AEC"/>
    <w:rsid w:val="00154BBF"/>
    <w:rsid w:val="00155191"/>
    <w:rsid w:val="0015731D"/>
    <w:rsid w:val="00157C3C"/>
    <w:rsid w:val="00163162"/>
    <w:rsid w:val="00165A26"/>
    <w:rsid w:val="00166AEA"/>
    <w:rsid w:val="001722E3"/>
    <w:rsid w:val="00172459"/>
    <w:rsid w:val="0017365D"/>
    <w:rsid w:val="001812A7"/>
    <w:rsid w:val="0018158B"/>
    <w:rsid w:val="001828AC"/>
    <w:rsid w:val="0018401F"/>
    <w:rsid w:val="001844D8"/>
    <w:rsid w:val="00186F46"/>
    <w:rsid w:val="00187344"/>
    <w:rsid w:val="00187D0C"/>
    <w:rsid w:val="00191B9B"/>
    <w:rsid w:val="00192ED1"/>
    <w:rsid w:val="0019313D"/>
    <w:rsid w:val="001955C2"/>
    <w:rsid w:val="00195F02"/>
    <w:rsid w:val="00197870"/>
    <w:rsid w:val="001A15E0"/>
    <w:rsid w:val="001A3139"/>
    <w:rsid w:val="001A34E7"/>
    <w:rsid w:val="001A59F4"/>
    <w:rsid w:val="001A7E31"/>
    <w:rsid w:val="001B0E95"/>
    <w:rsid w:val="001B0F70"/>
    <w:rsid w:val="001B1AB0"/>
    <w:rsid w:val="001B2649"/>
    <w:rsid w:val="001B27A0"/>
    <w:rsid w:val="001B2DBE"/>
    <w:rsid w:val="001B3FD1"/>
    <w:rsid w:val="001B406E"/>
    <w:rsid w:val="001B52C7"/>
    <w:rsid w:val="001C0EB8"/>
    <w:rsid w:val="001C2D99"/>
    <w:rsid w:val="001C41B0"/>
    <w:rsid w:val="001C46C4"/>
    <w:rsid w:val="001C47BA"/>
    <w:rsid w:val="001C631F"/>
    <w:rsid w:val="001C7198"/>
    <w:rsid w:val="001D075B"/>
    <w:rsid w:val="001D149E"/>
    <w:rsid w:val="001D1E74"/>
    <w:rsid w:val="001D2EA9"/>
    <w:rsid w:val="001D4CA7"/>
    <w:rsid w:val="001D5AD3"/>
    <w:rsid w:val="001D7956"/>
    <w:rsid w:val="001E1356"/>
    <w:rsid w:val="001E1405"/>
    <w:rsid w:val="001E1461"/>
    <w:rsid w:val="001E1B36"/>
    <w:rsid w:val="001E2DF1"/>
    <w:rsid w:val="001E33B7"/>
    <w:rsid w:val="001E3647"/>
    <w:rsid w:val="001E38D5"/>
    <w:rsid w:val="001E4B12"/>
    <w:rsid w:val="001E51AA"/>
    <w:rsid w:val="001E67C2"/>
    <w:rsid w:val="001F06E2"/>
    <w:rsid w:val="001F22AE"/>
    <w:rsid w:val="001F2469"/>
    <w:rsid w:val="001F4D53"/>
    <w:rsid w:val="001F4D7D"/>
    <w:rsid w:val="001F5145"/>
    <w:rsid w:val="001F5709"/>
    <w:rsid w:val="001F578D"/>
    <w:rsid w:val="001F654F"/>
    <w:rsid w:val="00201856"/>
    <w:rsid w:val="00202EBE"/>
    <w:rsid w:val="00206588"/>
    <w:rsid w:val="002132BE"/>
    <w:rsid w:val="00213BCF"/>
    <w:rsid w:val="00214693"/>
    <w:rsid w:val="00214AB9"/>
    <w:rsid w:val="00214C7F"/>
    <w:rsid w:val="00220F9E"/>
    <w:rsid w:val="0022163F"/>
    <w:rsid w:val="0022234C"/>
    <w:rsid w:val="00223036"/>
    <w:rsid w:val="00223341"/>
    <w:rsid w:val="00223F81"/>
    <w:rsid w:val="00224A7C"/>
    <w:rsid w:val="00227D95"/>
    <w:rsid w:val="002302FA"/>
    <w:rsid w:val="00230DF9"/>
    <w:rsid w:val="0023232C"/>
    <w:rsid w:val="00234FFF"/>
    <w:rsid w:val="00235958"/>
    <w:rsid w:val="0024027E"/>
    <w:rsid w:val="002404C0"/>
    <w:rsid w:val="00241AF5"/>
    <w:rsid w:val="00242094"/>
    <w:rsid w:val="0024284E"/>
    <w:rsid w:val="00245CBA"/>
    <w:rsid w:val="002466D5"/>
    <w:rsid w:val="00250755"/>
    <w:rsid w:val="002507D9"/>
    <w:rsid w:val="00250B88"/>
    <w:rsid w:val="002529E0"/>
    <w:rsid w:val="00252E11"/>
    <w:rsid w:val="0025490E"/>
    <w:rsid w:val="00254F82"/>
    <w:rsid w:val="002601B4"/>
    <w:rsid w:val="00261496"/>
    <w:rsid w:val="00261B48"/>
    <w:rsid w:val="002628E9"/>
    <w:rsid w:val="00263252"/>
    <w:rsid w:val="00265C30"/>
    <w:rsid w:val="00266D32"/>
    <w:rsid w:val="00270201"/>
    <w:rsid w:val="00271737"/>
    <w:rsid w:val="002721FE"/>
    <w:rsid w:val="002744B6"/>
    <w:rsid w:val="00274929"/>
    <w:rsid w:val="002752C0"/>
    <w:rsid w:val="00276790"/>
    <w:rsid w:val="00276A66"/>
    <w:rsid w:val="00277DDB"/>
    <w:rsid w:val="0028497F"/>
    <w:rsid w:val="002865E8"/>
    <w:rsid w:val="002870E3"/>
    <w:rsid w:val="00290B63"/>
    <w:rsid w:val="00294C51"/>
    <w:rsid w:val="002976A1"/>
    <w:rsid w:val="002A002F"/>
    <w:rsid w:val="002A205C"/>
    <w:rsid w:val="002A2213"/>
    <w:rsid w:val="002A233B"/>
    <w:rsid w:val="002A451A"/>
    <w:rsid w:val="002A453E"/>
    <w:rsid w:val="002A6946"/>
    <w:rsid w:val="002A6AC0"/>
    <w:rsid w:val="002A6D15"/>
    <w:rsid w:val="002A7664"/>
    <w:rsid w:val="002B1820"/>
    <w:rsid w:val="002B1C3E"/>
    <w:rsid w:val="002B278B"/>
    <w:rsid w:val="002B2EF6"/>
    <w:rsid w:val="002B2FF4"/>
    <w:rsid w:val="002B3609"/>
    <w:rsid w:val="002B3A27"/>
    <w:rsid w:val="002B79C0"/>
    <w:rsid w:val="002C086C"/>
    <w:rsid w:val="002C3BA3"/>
    <w:rsid w:val="002C6F32"/>
    <w:rsid w:val="002D25C2"/>
    <w:rsid w:val="002D2FB1"/>
    <w:rsid w:val="002D3694"/>
    <w:rsid w:val="002D41F4"/>
    <w:rsid w:val="002D465E"/>
    <w:rsid w:val="002D4B30"/>
    <w:rsid w:val="002D50CC"/>
    <w:rsid w:val="002D618E"/>
    <w:rsid w:val="002D794E"/>
    <w:rsid w:val="002E4F71"/>
    <w:rsid w:val="002E50A2"/>
    <w:rsid w:val="002E5997"/>
    <w:rsid w:val="002E610F"/>
    <w:rsid w:val="002E6E53"/>
    <w:rsid w:val="002E794E"/>
    <w:rsid w:val="002E7D22"/>
    <w:rsid w:val="002F2E4F"/>
    <w:rsid w:val="002F3038"/>
    <w:rsid w:val="002F30EA"/>
    <w:rsid w:val="002F3684"/>
    <w:rsid w:val="002F3D24"/>
    <w:rsid w:val="002F68C9"/>
    <w:rsid w:val="002F6D45"/>
    <w:rsid w:val="002F6F97"/>
    <w:rsid w:val="002F7090"/>
    <w:rsid w:val="00300758"/>
    <w:rsid w:val="0030215F"/>
    <w:rsid w:val="00302456"/>
    <w:rsid w:val="003054AA"/>
    <w:rsid w:val="00305F76"/>
    <w:rsid w:val="0031048C"/>
    <w:rsid w:val="00310533"/>
    <w:rsid w:val="00310EE3"/>
    <w:rsid w:val="003154D4"/>
    <w:rsid w:val="0031653F"/>
    <w:rsid w:val="00316AB1"/>
    <w:rsid w:val="00317565"/>
    <w:rsid w:val="003216C7"/>
    <w:rsid w:val="003230FD"/>
    <w:rsid w:val="00323182"/>
    <w:rsid w:val="00325161"/>
    <w:rsid w:val="0032704F"/>
    <w:rsid w:val="0032772B"/>
    <w:rsid w:val="0033000E"/>
    <w:rsid w:val="0033048E"/>
    <w:rsid w:val="00331EE9"/>
    <w:rsid w:val="003326A2"/>
    <w:rsid w:val="00332A07"/>
    <w:rsid w:val="00337F19"/>
    <w:rsid w:val="00340703"/>
    <w:rsid w:val="00345048"/>
    <w:rsid w:val="003469E4"/>
    <w:rsid w:val="00353620"/>
    <w:rsid w:val="00353648"/>
    <w:rsid w:val="003566A6"/>
    <w:rsid w:val="0035675F"/>
    <w:rsid w:val="00357215"/>
    <w:rsid w:val="00357E64"/>
    <w:rsid w:val="00363563"/>
    <w:rsid w:val="003643A1"/>
    <w:rsid w:val="00365430"/>
    <w:rsid w:val="003659CA"/>
    <w:rsid w:val="00367354"/>
    <w:rsid w:val="00370763"/>
    <w:rsid w:val="0037275C"/>
    <w:rsid w:val="00373C65"/>
    <w:rsid w:val="00373F3B"/>
    <w:rsid w:val="00373F54"/>
    <w:rsid w:val="00374487"/>
    <w:rsid w:val="00375D1C"/>
    <w:rsid w:val="00375F55"/>
    <w:rsid w:val="003767D8"/>
    <w:rsid w:val="003774B9"/>
    <w:rsid w:val="00382525"/>
    <w:rsid w:val="003839D3"/>
    <w:rsid w:val="00383ADD"/>
    <w:rsid w:val="00384CBE"/>
    <w:rsid w:val="00387B27"/>
    <w:rsid w:val="00387BD3"/>
    <w:rsid w:val="00393867"/>
    <w:rsid w:val="00393A19"/>
    <w:rsid w:val="0039566C"/>
    <w:rsid w:val="00396273"/>
    <w:rsid w:val="00397E54"/>
    <w:rsid w:val="003A1C28"/>
    <w:rsid w:val="003A4A07"/>
    <w:rsid w:val="003A690B"/>
    <w:rsid w:val="003A6B31"/>
    <w:rsid w:val="003A763D"/>
    <w:rsid w:val="003A799E"/>
    <w:rsid w:val="003B01CE"/>
    <w:rsid w:val="003B19D2"/>
    <w:rsid w:val="003B3905"/>
    <w:rsid w:val="003B451E"/>
    <w:rsid w:val="003B540E"/>
    <w:rsid w:val="003B6A97"/>
    <w:rsid w:val="003B7236"/>
    <w:rsid w:val="003B748D"/>
    <w:rsid w:val="003B7B6D"/>
    <w:rsid w:val="003B7C27"/>
    <w:rsid w:val="003C11C1"/>
    <w:rsid w:val="003C1D48"/>
    <w:rsid w:val="003C1F44"/>
    <w:rsid w:val="003C32E8"/>
    <w:rsid w:val="003C447F"/>
    <w:rsid w:val="003C4565"/>
    <w:rsid w:val="003C5D34"/>
    <w:rsid w:val="003D14D9"/>
    <w:rsid w:val="003D1BF3"/>
    <w:rsid w:val="003D1E50"/>
    <w:rsid w:val="003D3F8D"/>
    <w:rsid w:val="003D4575"/>
    <w:rsid w:val="003D475A"/>
    <w:rsid w:val="003D5242"/>
    <w:rsid w:val="003D5B95"/>
    <w:rsid w:val="003D6AAA"/>
    <w:rsid w:val="003E0BD6"/>
    <w:rsid w:val="003E1125"/>
    <w:rsid w:val="003E2327"/>
    <w:rsid w:val="003E2D78"/>
    <w:rsid w:val="003E3840"/>
    <w:rsid w:val="003E6FE3"/>
    <w:rsid w:val="003E73B4"/>
    <w:rsid w:val="003F0E4B"/>
    <w:rsid w:val="003F0F56"/>
    <w:rsid w:val="003F257A"/>
    <w:rsid w:val="003F42E9"/>
    <w:rsid w:val="003F5322"/>
    <w:rsid w:val="003F57F0"/>
    <w:rsid w:val="003F597A"/>
    <w:rsid w:val="003F74DF"/>
    <w:rsid w:val="003F7A96"/>
    <w:rsid w:val="004031B6"/>
    <w:rsid w:val="004032DD"/>
    <w:rsid w:val="004043AD"/>
    <w:rsid w:val="00405999"/>
    <w:rsid w:val="00410E46"/>
    <w:rsid w:val="004120C3"/>
    <w:rsid w:val="0041612E"/>
    <w:rsid w:val="00416E52"/>
    <w:rsid w:val="0041739A"/>
    <w:rsid w:val="004205A1"/>
    <w:rsid w:val="00424211"/>
    <w:rsid w:val="00424EAA"/>
    <w:rsid w:val="0042592A"/>
    <w:rsid w:val="0042717F"/>
    <w:rsid w:val="00433367"/>
    <w:rsid w:val="004339B1"/>
    <w:rsid w:val="00435945"/>
    <w:rsid w:val="004361EB"/>
    <w:rsid w:val="00436CA7"/>
    <w:rsid w:val="0044153B"/>
    <w:rsid w:val="004415D8"/>
    <w:rsid w:val="00441EF7"/>
    <w:rsid w:val="004420BE"/>
    <w:rsid w:val="004421AE"/>
    <w:rsid w:val="00442803"/>
    <w:rsid w:val="004430DC"/>
    <w:rsid w:val="0044423B"/>
    <w:rsid w:val="00445BE4"/>
    <w:rsid w:val="0044762A"/>
    <w:rsid w:val="00451498"/>
    <w:rsid w:val="00451909"/>
    <w:rsid w:val="00451B6C"/>
    <w:rsid w:val="00454BE9"/>
    <w:rsid w:val="00455A74"/>
    <w:rsid w:val="00462303"/>
    <w:rsid w:val="00464907"/>
    <w:rsid w:val="00467901"/>
    <w:rsid w:val="00470356"/>
    <w:rsid w:val="00472AD3"/>
    <w:rsid w:val="00481426"/>
    <w:rsid w:val="00481F9C"/>
    <w:rsid w:val="00482430"/>
    <w:rsid w:val="00483E24"/>
    <w:rsid w:val="00484583"/>
    <w:rsid w:val="004848E7"/>
    <w:rsid w:val="00492322"/>
    <w:rsid w:val="00492AB1"/>
    <w:rsid w:val="0049403A"/>
    <w:rsid w:val="004943D8"/>
    <w:rsid w:val="00494574"/>
    <w:rsid w:val="004971B7"/>
    <w:rsid w:val="00497729"/>
    <w:rsid w:val="004A15EE"/>
    <w:rsid w:val="004A3FFC"/>
    <w:rsid w:val="004A4BC0"/>
    <w:rsid w:val="004A5C28"/>
    <w:rsid w:val="004A6161"/>
    <w:rsid w:val="004A6941"/>
    <w:rsid w:val="004A75E5"/>
    <w:rsid w:val="004A7A9E"/>
    <w:rsid w:val="004B5123"/>
    <w:rsid w:val="004C0845"/>
    <w:rsid w:val="004C17DC"/>
    <w:rsid w:val="004C4721"/>
    <w:rsid w:val="004C4D3A"/>
    <w:rsid w:val="004C5055"/>
    <w:rsid w:val="004C6189"/>
    <w:rsid w:val="004D1523"/>
    <w:rsid w:val="004D187E"/>
    <w:rsid w:val="004E3482"/>
    <w:rsid w:val="004E631F"/>
    <w:rsid w:val="004E7654"/>
    <w:rsid w:val="004F050A"/>
    <w:rsid w:val="004F1FB7"/>
    <w:rsid w:val="004F3BD8"/>
    <w:rsid w:val="004F5793"/>
    <w:rsid w:val="0050285F"/>
    <w:rsid w:val="005037FC"/>
    <w:rsid w:val="00504416"/>
    <w:rsid w:val="005044CD"/>
    <w:rsid w:val="00506CE3"/>
    <w:rsid w:val="00507FED"/>
    <w:rsid w:val="00510FF1"/>
    <w:rsid w:val="00511F90"/>
    <w:rsid w:val="00517721"/>
    <w:rsid w:val="005225B6"/>
    <w:rsid w:val="00523580"/>
    <w:rsid w:val="0052427C"/>
    <w:rsid w:val="005302F2"/>
    <w:rsid w:val="00533A75"/>
    <w:rsid w:val="00533DBC"/>
    <w:rsid w:val="005355DA"/>
    <w:rsid w:val="00535EA4"/>
    <w:rsid w:val="0054387D"/>
    <w:rsid w:val="00543D3F"/>
    <w:rsid w:val="00546BAA"/>
    <w:rsid w:val="00550FA9"/>
    <w:rsid w:val="005537E7"/>
    <w:rsid w:val="0055714A"/>
    <w:rsid w:val="0056199E"/>
    <w:rsid w:val="00561BF0"/>
    <w:rsid w:val="00561D9E"/>
    <w:rsid w:val="00563659"/>
    <w:rsid w:val="0056630B"/>
    <w:rsid w:val="00567C2A"/>
    <w:rsid w:val="005706DC"/>
    <w:rsid w:val="00571FB3"/>
    <w:rsid w:val="00576A6D"/>
    <w:rsid w:val="0058080A"/>
    <w:rsid w:val="005815DC"/>
    <w:rsid w:val="0058182E"/>
    <w:rsid w:val="00581871"/>
    <w:rsid w:val="00582880"/>
    <w:rsid w:val="005835E6"/>
    <w:rsid w:val="00583968"/>
    <w:rsid w:val="00583FB8"/>
    <w:rsid w:val="00584CCB"/>
    <w:rsid w:val="00584EE6"/>
    <w:rsid w:val="00584F3B"/>
    <w:rsid w:val="005856F1"/>
    <w:rsid w:val="005953B5"/>
    <w:rsid w:val="00595655"/>
    <w:rsid w:val="00595DFF"/>
    <w:rsid w:val="00595FDE"/>
    <w:rsid w:val="00597150"/>
    <w:rsid w:val="005A0277"/>
    <w:rsid w:val="005A03BF"/>
    <w:rsid w:val="005A198D"/>
    <w:rsid w:val="005A3994"/>
    <w:rsid w:val="005A6007"/>
    <w:rsid w:val="005A7D24"/>
    <w:rsid w:val="005B1096"/>
    <w:rsid w:val="005B201E"/>
    <w:rsid w:val="005B2FD6"/>
    <w:rsid w:val="005B3F14"/>
    <w:rsid w:val="005B5BD8"/>
    <w:rsid w:val="005C00B3"/>
    <w:rsid w:val="005C0456"/>
    <w:rsid w:val="005C0CE3"/>
    <w:rsid w:val="005C0FFF"/>
    <w:rsid w:val="005C125E"/>
    <w:rsid w:val="005C1881"/>
    <w:rsid w:val="005C28C2"/>
    <w:rsid w:val="005C5B27"/>
    <w:rsid w:val="005D0558"/>
    <w:rsid w:val="005D0776"/>
    <w:rsid w:val="005D1FDB"/>
    <w:rsid w:val="005D2F8B"/>
    <w:rsid w:val="005D4973"/>
    <w:rsid w:val="005D6DF2"/>
    <w:rsid w:val="005D6E46"/>
    <w:rsid w:val="005E0AF7"/>
    <w:rsid w:val="005E267D"/>
    <w:rsid w:val="005E273F"/>
    <w:rsid w:val="005E2F5C"/>
    <w:rsid w:val="005E44B6"/>
    <w:rsid w:val="005E4B81"/>
    <w:rsid w:val="005E5339"/>
    <w:rsid w:val="005E53A5"/>
    <w:rsid w:val="005E6260"/>
    <w:rsid w:val="005E64CD"/>
    <w:rsid w:val="005E6E98"/>
    <w:rsid w:val="005E751D"/>
    <w:rsid w:val="005E7BFB"/>
    <w:rsid w:val="005F1770"/>
    <w:rsid w:val="005F42E2"/>
    <w:rsid w:val="005F55D7"/>
    <w:rsid w:val="005F609E"/>
    <w:rsid w:val="005F6F4A"/>
    <w:rsid w:val="006016F6"/>
    <w:rsid w:val="00602A29"/>
    <w:rsid w:val="00602E18"/>
    <w:rsid w:val="00603A69"/>
    <w:rsid w:val="006043BC"/>
    <w:rsid w:val="00604679"/>
    <w:rsid w:val="00604814"/>
    <w:rsid w:val="00604E05"/>
    <w:rsid w:val="00605A78"/>
    <w:rsid w:val="006112CE"/>
    <w:rsid w:val="00611F9D"/>
    <w:rsid w:val="006120C3"/>
    <w:rsid w:val="0061436E"/>
    <w:rsid w:val="0061528D"/>
    <w:rsid w:val="0061596E"/>
    <w:rsid w:val="00615D7C"/>
    <w:rsid w:val="006165F4"/>
    <w:rsid w:val="00617070"/>
    <w:rsid w:val="006178F3"/>
    <w:rsid w:val="00624EB8"/>
    <w:rsid w:val="0062701A"/>
    <w:rsid w:val="00631018"/>
    <w:rsid w:val="006315E1"/>
    <w:rsid w:val="006316FD"/>
    <w:rsid w:val="006334EC"/>
    <w:rsid w:val="00633E87"/>
    <w:rsid w:val="00633EB7"/>
    <w:rsid w:val="00634CB8"/>
    <w:rsid w:val="00636067"/>
    <w:rsid w:val="00637541"/>
    <w:rsid w:val="00640EF9"/>
    <w:rsid w:val="00641719"/>
    <w:rsid w:val="00641977"/>
    <w:rsid w:val="0064316B"/>
    <w:rsid w:val="006438C8"/>
    <w:rsid w:val="006444C9"/>
    <w:rsid w:val="006454AF"/>
    <w:rsid w:val="00647A9E"/>
    <w:rsid w:val="006508EC"/>
    <w:rsid w:val="006525BF"/>
    <w:rsid w:val="00652B4B"/>
    <w:rsid w:val="00656880"/>
    <w:rsid w:val="00656F81"/>
    <w:rsid w:val="006572C7"/>
    <w:rsid w:val="0065738A"/>
    <w:rsid w:val="006573DF"/>
    <w:rsid w:val="00660D4A"/>
    <w:rsid w:val="0066277B"/>
    <w:rsid w:val="00664E76"/>
    <w:rsid w:val="00664F07"/>
    <w:rsid w:val="00667087"/>
    <w:rsid w:val="00667FEB"/>
    <w:rsid w:val="00671686"/>
    <w:rsid w:val="006734A5"/>
    <w:rsid w:val="0067368F"/>
    <w:rsid w:val="006767B5"/>
    <w:rsid w:val="006809A9"/>
    <w:rsid w:val="00685DBC"/>
    <w:rsid w:val="0068673E"/>
    <w:rsid w:val="00686CC5"/>
    <w:rsid w:val="00687A90"/>
    <w:rsid w:val="00691079"/>
    <w:rsid w:val="0069110A"/>
    <w:rsid w:val="0069452C"/>
    <w:rsid w:val="00695105"/>
    <w:rsid w:val="00697100"/>
    <w:rsid w:val="006975FF"/>
    <w:rsid w:val="006A062C"/>
    <w:rsid w:val="006A0689"/>
    <w:rsid w:val="006A07B2"/>
    <w:rsid w:val="006A12BA"/>
    <w:rsid w:val="006A1740"/>
    <w:rsid w:val="006A182C"/>
    <w:rsid w:val="006A31D0"/>
    <w:rsid w:val="006A450C"/>
    <w:rsid w:val="006A496E"/>
    <w:rsid w:val="006A5C03"/>
    <w:rsid w:val="006B0C31"/>
    <w:rsid w:val="006B1855"/>
    <w:rsid w:val="006B1F37"/>
    <w:rsid w:val="006B4334"/>
    <w:rsid w:val="006B467F"/>
    <w:rsid w:val="006B538E"/>
    <w:rsid w:val="006B66FF"/>
    <w:rsid w:val="006C047D"/>
    <w:rsid w:val="006C055D"/>
    <w:rsid w:val="006C14D4"/>
    <w:rsid w:val="006C152A"/>
    <w:rsid w:val="006C213E"/>
    <w:rsid w:val="006C3072"/>
    <w:rsid w:val="006C3321"/>
    <w:rsid w:val="006C6F75"/>
    <w:rsid w:val="006C767F"/>
    <w:rsid w:val="006D4B5F"/>
    <w:rsid w:val="006D5076"/>
    <w:rsid w:val="006D55A8"/>
    <w:rsid w:val="006D5A34"/>
    <w:rsid w:val="006D70E5"/>
    <w:rsid w:val="006E07CF"/>
    <w:rsid w:val="006E082C"/>
    <w:rsid w:val="006E0952"/>
    <w:rsid w:val="006E097B"/>
    <w:rsid w:val="006E19FA"/>
    <w:rsid w:val="006E245C"/>
    <w:rsid w:val="006E2514"/>
    <w:rsid w:val="006E3904"/>
    <w:rsid w:val="006E4D3B"/>
    <w:rsid w:val="006E5935"/>
    <w:rsid w:val="006E69F2"/>
    <w:rsid w:val="006E6B4D"/>
    <w:rsid w:val="006E7264"/>
    <w:rsid w:val="006E7DBF"/>
    <w:rsid w:val="006F23A2"/>
    <w:rsid w:val="006F30D5"/>
    <w:rsid w:val="006F49DC"/>
    <w:rsid w:val="00704F99"/>
    <w:rsid w:val="00705692"/>
    <w:rsid w:val="00712144"/>
    <w:rsid w:val="007138E5"/>
    <w:rsid w:val="00715AF8"/>
    <w:rsid w:val="00715E89"/>
    <w:rsid w:val="007215EF"/>
    <w:rsid w:val="007227ED"/>
    <w:rsid w:val="00722D9F"/>
    <w:rsid w:val="00724CCF"/>
    <w:rsid w:val="0072625E"/>
    <w:rsid w:val="0073434E"/>
    <w:rsid w:val="00734FAA"/>
    <w:rsid w:val="007356E6"/>
    <w:rsid w:val="00736427"/>
    <w:rsid w:val="007365D8"/>
    <w:rsid w:val="00740CF8"/>
    <w:rsid w:val="00741429"/>
    <w:rsid w:val="00741CCC"/>
    <w:rsid w:val="007432B1"/>
    <w:rsid w:val="00743576"/>
    <w:rsid w:val="00746768"/>
    <w:rsid w:val="00746EAF"/>
    <w:rsid w:val="00752C93"/>
    <w:rsid w:val="00753569"/>
    <w:rsid w:val="00753790"/>
    <w:rsid w:val="00754175"/>
    <w:rsid w:val="00754BF0"/>
    <w:rsid w:val="0075764E"/>
    <w:rsid w:val="00757A56"/>
    <w:rsid w:val="00757C0E"/>
    <w:rsid w:val="00757E76"/>
    <w:rsid w:val="00760D8A"/>
    <w:rsid w:val="00760EE3"/>
    <w:rsid w:val="00761205"/>
    <w:rsid w:val="00766A3F"/>
    <w:rsid w:val="007731A9"/>
    <w:rsid w:val="007734EA"/>
    <w:rsid w:val="00774109"/>
    <w:rsid w:val="00774D1C"/>
    <w:rsid w:val="00774E27"/>
    <w:rsid w:val="0077573F"/>
    <w:rsid w:val="007768B5"/>
    <w:rsid w:val="00777205"/>
    <w:rsid w:val="007812CC"/>
    <w:rsid w:val="00782B30"/>
    <w:rsid w:val="007830CD"/>
    <w:rsid w:val="00783397"/>
    <w:rsid w:val="0078473D"/>
    <w:rsid w:val="00786474"/>
    <w:rsid w:val="00786D99"/>
    <w:rsid w:val="00787996"/>
    <w:rsid w:val="00793562"/>
    <w:rsid w:val="00793BCF"/>
    <w:rsid w:val="00793ED2"/>
    <w:rsid w:val="00794A55"/>
    <w:rsid w:val="00795A65"/>
    <w:rsid w:val="00796139"/>
    <w:rsid w:val="00796F79"/>
    <w:rsid w:val="00797225"/>
    <w:rsid w:val="007973ED"/>
    <w:rsid w:val="007A09E6"/>
    <w:rsid w:val="007A216A"/>
    <w:rsid w:val="007A31E5"/>
    <w:rsid w:val="007A3A24"/>
    <w:rsid w:val="007A4510"/>
    <w:rsid w:val="007A4A28"/>
    <w:rsid w:val="007A77C7"/>
    <w:rsid w:val="007B00B9"/>
    <w:rsid w:val="007B0F17"/>
    <w:rsid w:val="007B1CE2"/>
    <w:rsid w:val="007B26BC"/>
    <w:rsid w:val="007B2B68"/>
    <w:rsid w:val="007B462E"/>
    <w:rsid w:val="007B5608"/>
    <w:rsid w:val="007B69C3"/>
    <w:rsid w:val="007C1711"/>
    <w:rsid w:val="007C1806"/>
    <w:rsid w:val="007C3DA2"/>
    <w:rsid w:val="007C4A97"/>
    <w:rsid w:val="007C5011"/>
    <w:rsid w:val="007C52AD"/>
    <w:rsid w:val="007C6777"/>
    <w:rsid w:val="007C6D54"/>
    <w:rsid w:val="007D132D"/>
    <w:rsid w:val="007D4492"/>
    <w:rsid w:val="007D69F0"/>
    <w:rsid w:val="007D7811"/>
    <w:rsid w:val="007E0624"/>
    <w:rsid w:val="007E094E"/>
    <w:rsid w:val="007E10B2"/>
    <w:rsid w:val="007E174E"/>
    <w:rsid w:val="007E17D8"/>
    <w:rsid w:val="007E4FE1"/>
    <w:rsid w:val="007E50E6"/>
    <w:rsid w:val="007E7F97"/>
    <w:rsid w:val="007F17C4"/>
    <w:rsid w:val="007F26EC"/>
    <w:rsid w:val="007F2FCD"/>
    <w:rsid w:val="007F3C34"/>
    <w:rsid w:val="007F4EC8"/>
    <w:rsid w:val="007F515C"/>
    <w:rsid w:val="007F5658"/>
    <w:rsid w:val="007F5E92"/>
    <w:rsid w:val="007F5F23"/>
    <w:rsid w:val="008012A7"/>
    <w:rsid w:val="008014B0"/>
    <w:rsid w:val="00801F63"/>
    <w:rsid w:val="008023C9"/>
    <w:rsid w:val="0080274A"/>
    <w:rsid w:val="008031DE"/>
    <w:rsid w:val="0080649D"/>
    <w:rsid w:val="0080657A"/>
    <w:rsid w:val="0080659B"/>
    <w:rsid w:val="00807737"/>
    <w:rsid w:val="0081105C"/>
    <w:rsid w:val="00811B77"/>
    <w:rsid w:val="0081568E"/>
    <w:rsid w:val="00816DC6"/>
    <w:rsid w:val="008207D4"/>
    <w:rsid w:val="008231EE"/>
    <w:rsid w:val="00823FDF"/>
    <w:rsid w:val="00830251"/>
    <w:rsid w:val="0083070D"/>
    <w:rsid w:val="00830F54"/>
    <w:rsid w:val="008310A9"/>
    <w:rsid w:val="00831335"/>
    <w:rsid w:val="00831A69"/>
    <w:rsid w:val="008329DE"/>
    <w:rsid w:val="00834A70"/>
    <w:rsid w:val="00834AA8"/>
    <w:rsid w:val="0084065F"/>
    <w:rsid w:val="00840BD0"/>
    <w:rsid w:val="00840BD9"/>
    <w:rsid w:val="00840D67"/>
    <w:rsid w:val="008410EC"/>
    <w:rsid w:val="0084326F"/>
    <w:rsid w:val="00844F8D"/>
    <w:rsid w:val="008451F8"/>
    <w:rsid w:val="0084530B"/>
    <w:rsid w:val="008469AD"/>
    <w:rsid w:val="00846C22"/>
    <w:rsid w:val="00850A7C"/>
    <w:rsid w:val="00851176"/>
    <w:rsid w:val="008511CA"/>
    <w:rsid w:val="008549B4"/>
    <w:rsid w:val="00854CD9"/>
    <w:rsid w:val="00856169"/>
    <w:rsid w:val="008569B1"/>
    <w:rsid w:val="008571EE"/>
    <w:rsid w:val="008575C1"/>
    <w:rsid w:val="00860E22"/>
    <w:rsid w:val="00860F09"/>
    <w:rsid w:val="00861BBA"/>
    <w:rsid w:val="008624BD"/>
    <w:rsid w:val="00864CE9"/>
    <w:rsid w:val="008652B7"/>
    <w:rsid w:val="008656E4"/>
    <w:rsid w:val="00866BC0"/>
    <w:rsid w:val="00867951"/>
    <w:rsid w:val="00867AF0"/>
    <w:rsid w:val="00867EBB"/>
    <w:rsid w:val="00870729"/>
    <w:rsid w:val="00873159"/>
    <w:rsid w:val="00873528"/>
    <w:rsid w:val="00875608"/>
    <w:rsid w:val="00875FA2"/>
    <w:rsid w:val="00876459"/>
    <w:rsid w:val="00876511"/>
    <w:rsid w:val="008816D9"/>
    <w:rsid w:val="0088258B"/>
    <w:rsid w:val="00882C9E"/>
    <w:rsid w:val="00885307"/>
    <w:rsid w:val="00886CB3"/>
    <w:rsid w:val="00886DA7"/>
    <w:rsid w:val="00886FEE"/>
    <w:rsid w:val="0088761F"/>
    <w:rsid w:val="00887E51"/>
    <w:rsid w:val="008920B5"/>
    <w:rsid w:val="008930E6"/>
    <w:rsid w:val="0089447A"/>
    <w:rsid w:val="00895A5C"/>
    <w:rsid w:val="008A3BD0"/>
    <w:rsid w:val="008A4E2D"/>
    <w:rsid w:val="008A57EE"/>
    <w:rsid w:val="008A5C3B"/>
    <w:rsid w:val="008A6C0C"/>
    <w:rsid w:val="008A7C66"/>
    <w:rsid w:val="008B1BC2"/>
    <w:rsid w:val="008B2716"/>
    <w:rsid w:val="008B30F2"/>
    <w:rsid w:val="008B597B"/>
    <w:rsid w:val="008B691A"/>
    <w:rsid w:val="008C0E54"/>
    <w:rsid w:val="008C1EC7"/>
    <w:rsid w:val="008C3CB6"/>
    <w:rsid w:val="008C7407"/>
    <w:rsid w:val="008C7D74"/>
    <w:rsid w:val="008C7FCF"/>
    <w:rsid w:val="008D01B2"/>
    <w:rsid w:val="008D0843"/>
    <w:rsid w:val="008D22ED"/>
    <w:rsid w:val="008D5BDB"/>
    <w:rsid w:val="008D61D8"/>
    <w:rsid w:val="008D631A"/>
    <w:rsid w:val="008E0661"/>
    <w:rsid w:val="008E1083"/>
    <w:rsid w:val="008E1600"/>
    <w:rsid w:val="008E19C7"/>
    <w:rsid w:val="008E2E88"/>
    <w:rsid w:val="008E2FC8"/>
    <w:rsid w:val="008E4B48"/>
    <w:rsid w:val="008E50DC"/>
    <w:rsid w:val="008E6F4D"/>
    <w:rsid w:val="008E71DE"/>
    <w:rsid w:val="008E7D50"/>
    <w:rsid w:val="008F0494"/>
    <w:rsid w:val="008F0DD5"/>
    <w:rsid w:val="008F1974"/>
    <w:rsid w:val="009000F1"/>
    <w:rsid w:val="00900AB8"/>
    <w:rsid w:val="00904153"/>
    <w:rsid w:val="00906394"/>
    <w:rsid w:val="009068C5"/>
    <w:rsid w:val="00911393"/>
    <w:rsid w:val="009127D5"/>
    <w:rsid w:val="00912C0A"/>
    <w:rsid w:val="00913956"/>
    <w:rsid w:val="00915C9F"/>
    <w:rsid w:val="009210EE"/>
    <w:rsid w:val="009214F5"/>
    <w:rsid w:val="00921F35"/>
    <w:rsid w:val="00922D6E"/>
    <w:rsid w:val="00922DB5"/>
    <w:rsid w:val="00923324"/>
    <w:rsid w:val="009237E7"/>
    <w:rsid w:val="009245D9"/>
    <w:rsid w:val="00924D5C"/>
    <w:rsid w:val="00925A89"/>
    <w:rsid w:val="00926B48"/>
    <w:rsid w:val="00930807"/>
    <w:rsid w:val="0093113E"/>
    <w:rsid w:val="009346C4"/>
    <w:rsid w:val="00935B15"/>
    <w:rsid w:val="0094038D"/>
    <w:rsid w:val="00940B6A"/>
    <w:rsid w:val="00943A94"/>
    <w:rsid w:val="00946982"/>
    <w:rsid w:val="009474E6"/>
    <w:rsid w:val="00947A6E"/>
    <w:rsid w:val="0095398C"/>
    <w:rsid w:val="00955FE6"/>
    <w:rsid w:val="00956C82"/>
    <w:rsid w:val="0095709A"/>
    <w:rsid w:val="009576FD"/>
    <w:rsid w:val="00957CEA"/>
    <w:rsid w:val="009618D2"/>
    <w:rsid w:val="00963B6F"/>
    <w:rsid w:val="009646EB"/>
    <w:rsid w:val="00964E91"/>
    <w:rsid w:val="00965429"/>
    <w:rsid w:val="00965BEA"/>
    <w:rsid w:val="00970E21"/>
    <w:rsid w:val="00970F0A"/>
    <w:rsid w:val="009717C3"/>
    <w:rsid w:val="00972148"/>
    <w:rsid w:val="00973062"/>
    <w:rsid w:val="0097359F"/>
    <w:rsid w:val="0097398C"/>
    <w:rsid w:val="00973E43"/>
    <w:rsid w:val="009756AA"/>
    <w:rsid w:val="00975C4C"/>
    <w:rsid w:val="0097710C"/>
    <w:rsid w:val="009771D5"/>
    <w:rsid w:val="0098050B"/>
    <w:rsid w:val="0098282A"/>
    <w:rsid w:val="00982FA3"/>
    <w:rsid w:val="009836AF"/>
    <w:rsid w:val="00983774"/>
    <w:rsid w:val="009837D5"/>
    <w:rsid w:val="00983DFF"/>
    <w:rsid w:val="0098472B"/>
    <w:rsid w:val="00984BB6"/>
    <w:rsid w:val="00984D89"/>
    <w:rsid w:val="00987620"/>
    <w:rsid w:val="009878EF"/>
    <w:rsid w:val="00990CA8"/>
    <w:rsid w:val="00991244"/>
    <w:rsid w:val="0099143C"/>
    <w:rsid w:val="0099259D"/>
    <w:rsid w:val="0099310A"/>
    <w:rsid w:val="00993D54"/>
    <w:rsid w:val="00993E05"/>
    <w:rsid w:val="00995D3B"/>
    <w:rsid w:val="009976B9"/>
    <w:rsid w:val="009A0B66"/>
    <w:rsid w:val="009A221A"/>
    <w:rsid w:val="009A2934"/>
    <w:rsid w:val="009A2C9E"/>
    <w:rsid w:val="009A3E6C"/>
    <w:rsid w:val="009A628F"/>
    <w:rsid w:val="009A7260"/>
    <w:rsid w:val="009A794C"/>
    <w:rsid w:val="009A7A53"/>
    <w:rsid w:val="009B01DA"/>
    <w:rsid w:val="009B2EBE"/>
    <w:rsid w:val="009B334C"/>
    <w:rsid w:val="009B366D"/>
    <w:rsid w:val="009C0EC1"/>
    <w:rsid w:val="009C488A"/>
    <w:rsid w:val="009C6A97"/>
    <w:rsid w:val="009C7508"/>
    <w:rsid w:val="009D22F6"/>
    <w:rsid w:val="009D4750"/>
    <w:rsid w:val="009D488C"/>
    <w:rsid w:val="009D5577"/>
    <w:rsid w:val="009D5E83"/>
    <w:rsid w:val="009D70DF"/>
    <w:rsid w:val="009E0179"/>
    <w:rsid w:val="009E1E51"/>
    <w:rsid w:val="009E4DF2"/>
    <w:rsid w:val="009E5BBB"/>
    <w:rsid w:val="009E6946"/>
    <w:rsid w:val="009E7ECB"/>
    <w:rsid w:val="009F30C7"/>
    <w:rsid w:val="009F5DCE"/>
    <w:rsid w:val="009F621A"/>
    <w:rsid w:val="009F6354"/>
    <w:rsid w:val="00A00456"/>
    <w:rsid w:val="00A0247D"/>
    <w:rsid w:val="00A04018"/>
    <w:rsid w:val="00A04432"/>
    <w:rsid w:val="00A0559F"/>
    <w:rsid w:val="00A0631A"/>
    <w:rsid w:val="00A073BE"/>
    <w:rsid w:val="00A07B92"/>
    <w:rsid w:val="00A10F0B"/>
    <w:rsid w:val="00A12B2D"/>
    <w:rsid w:val="00A139F8"/>
    <w:rsid w:val="00A13B3A"/>
    <w:rsid w:val="00A13FF3"/>
    <w:rsid w:val="00A167B4"/>
    <w:rsid w:val="00A16E12"/>
    <w:rsid w:val="00A1749C"/>
    <w:rsid w:val="00A177F2"/>
    <w:rsid w:val="00A20823"/>
    <w:rsid w:val="00A20E11"/>
    <w:rsid w:val="00A21573"/>
    <w:rsid w:val="00A218FA"/>
    <w:rsid w:val="00A22639"/>
    <w:rsid w:val="00A23CDD"/>
    <w:rsid w:val="00A263D6"/>
    <w:rsid w:val="00A26494"/>
    <w:rsid w:val="00A26DC2"/>
    <w:rsid w:val="00A27FA2"/>
    <w:rsid w:val="00A30B96"/>
    <w:rsid w:val="00A318E4"/>
    <w:rsid w:val="00A324A0"/>
    <w:rsid w:val="00A350C3"/>
    <w:rsid w:val="00A3521A"/>
    <w:rsid w:val="00A37A74"/>
    <w:rsid w:val="00A40A56"/>
    <w:rsid w:val="00A428A3"/>
    <w:rsid w:val="00A434E6"/>
    <w:rsid w:val="00A44406"/>
    <w:rsid w:val="00A460E8"/>
    <w:rsid w:val="00A46C5D"/>
    <w:rsid w:val="00A470AA"/>
    <w:rsid w:val="00A50056"/>
    <w:rsid w:val="00A5132F"/>
    <w:rsid w:val="00A528BF"/>
    <w:rsid w:val="00A53CCE"/>
    <w:rsid w:val="00A55BE9"/>
    <w:rsid w:val="00A605D0"/>
    <w:rsid w:val="00A60B64"/>
    <w:rsid w:val="00A60C6C"/>
    <w:rsid w:val="00A63BEE"/>
    <w:rsid w:val="00A6521D"/>
    <w:rsid w:val="00A6532C"/>
    <w:rsid w:val="00A656C6"/>
    <w:rsid w:val="00A657E9"/>
    <w:rsid w:val="00A65B86"/>
    <w:rsid w:val="00A71A6F"/>
    <w:rsid w:val="00A723B0"/>
    <w:rsid w:val="00A72D4E"/>
    <w:rsid w:val="00A72DE3"/>
    <w:rsid w:val="00A7307C"/>
    <w:rsid w:val="00A73874"/>
    <w:rsid w:val="00A758FC"/>
    <w:rsid w:val="00A807A6"/>
    <w:rsid w:val="00A80843"/>
    <w:rsid w:val="00A811C4"/>
    <w:rsid w:val="00A81308"/>
    <w:rsid w:val="00A814C0"/>
    <w:rsid w:val="00A82165"/>
    <w:rsid w:val="00A82A3E"/>
    <w:rsid w:val="00A82E45"/>
    <w:rsid w:val="00A85112"/>
    <w:rsid w:val="00A852E4"/>
    <w:rsid w:val="00A857CE"/>
    <w:rsid w:val="00A85B78"/>
    <w:rsid w:val="00A90215"/>
    <w:rsid w:val="00A91EA9"/>
    <w:rsid w:val="00A92F88"/>
    <w:rsid w:val="00A94C9B"/>
    <w:rsid w:val="00A975D3"/>
    <w:rsid w:val="00AA055A"/>
    <w:rsid w:val="00AA12A1"/>
    <w:rsid w:val="00AA19A4"/>
    <w:rsid w:val="00AA1D5F"/>
    <w:rsid w:val="00AA22EC"/>
    <w:rsid w:val="00AA24C3"/>
    <w:rsid w:val="00AA67DF"/>
    <w:rsid w:val="00AB351D"/>
    <w:rsid w:val="00AB4734"/>
    <w:rsid w:val="00AB510E"/>
    <w:rsid w:val="00AB63BD"/>
    <w:rsid w:val="00AB65DC"/>
    <w:rsid w:val="00AC0991"/>
    <w:rsid w:val="00AC0A62"/>
    <w:rsid w:val="00AC0E4D"/>
    <w:rsid w:val="00AC196D"/>
    <w:rsid w:val="00AC1A52"/>
    <w:rsid w:val="00AC3308"/>
    <w:rsid w:val="00AC3DF3"/>
    <w:rsid w:val="00AC4361"/>
    <w:rsid w:val="00AC48BB"/>
    <w:rsid w:val="00AC4D06"/>
    <w:rsid w:val="00AC602C"/>
    <w:rsid w:val="00AC7FAE"/>
    <w:rsid w:val="00AD1072"/>
    <w:rsid w:val="00AD2AC0"/>
    <w:rsid w:val="00AD7437"/>
    <w:rsid w:val="00AE01E6"/>
    <w:rsid w:val="00AE0687"/>
    <w:rsid w:val="00AE2F07"/>
    <w:rsid w:val="00AE638A"/>
    <w:rsid w:val="00AE661F"/>
    <w:rsid w:val="00AE68D9"/>
    <w:rsid w:val="00AF107B"/>
    <w:rsid w:val="00AF1D8E"/>
    <w:rsid w:val="00AF2A6F"/>
    <w:rsid w:val="00AF4907"/>
    <w:rsid w:val="00AF7C2E"/>
    <w:rsid w:val="00AF7CFA"/>
    <w:rsid w:val="00B00120"/>
    <w:rsid w:val="00B01762"/>
    <w:rsid w:val="00B01D2C"/>
    <w:rsid w:val="00B06E88"/>
    <w:rsid w:val="00B109EA"/>
    <w:rsid w:val="00B10C41"/>
    <w:rsid w:val="00B133BB"/>
    <w:rsid w:val="00B13CAA"/>
    <w:rsid w:val="00B151AE"/>
    <w:rsid w:val="00B16036"/>
    <w:rsid w:val="00B161B4"/>
    <w:rsid w:val="00B17B3A"/>
    <w:rsid w:val="00B20B1F"/>
    <w:rsid w:val="00B20D75"/>
    <w:rsid w:val="00B21C71"/>
    <w:rsid w:val="00B21D02"/>
    <w:rsid w:val="00B21F4A"/>
    <w:rsid w:val="00B220C3"/>
    <w:rsid w:val="00B23802"/>
    <w:rsid w:val="00B23FE0"/>
    <w:rsid w:val="00B24A81"/>
    <w:rsid w:val="00B27B60"/>
    <w:rsid w:val="00B309B6"/>
    <w:rsid w:val="00B343C9"/>
    <w:rsid w:val="00B3514B"/>
    <w:rsid w:val="00B35FC2"/>
    <w:rsid w:val="00B36D86"/>
    <w:rsid w:val="00B37973"/>
    <w:rsid w:val="00B400CC"/>
    <w:rsid w:val="00B41C62"/>
    <w:rsid w:val="00B45F8C"/>
    <w:rsid w:val="00B472F1"/>
    <w:rsid w:val="00B50F3E"/>
    <w:rsid w:val="00B51FF2"/>
    <w:rsid w:val="00B522DB"/>
    <w:rsid w:val="00B55DB4"/>
    <w:rsid w:val="00B606B4"/>
    <w:rsid w:val="00B62D94"/>
    <w:rsid w:val="00B62EF4"/>
    <w:rsid w:val="00B645B9"/>
    <w:rsid w:val="00B64805"/>
    <w:rsid w:val="00B65A0F"/>
    <w:rsid w:val="00B6620D"/>
    <w:rsid w:val="00B66293"/>
    <w:rsid w:val="00B66BAF"/>
    <w:rsid w:val="00B72D42"/>
    <w:rsid w:val="00B74402"/>
    <w:rsid w:val="00B746B4"/>
    <w:rsid w:val="00B74CDB"/>
    <w:rsid w:val="00B759E2"/>
    <w:rsid w:val="00B7764F"/>
    <w:rsid w:val="00B77854"/>
    <w:rsid w:val="00B77C93"/>
    <w:rsid w:val="00B829F5"/>
    <w:rsid w:val="00B85C84"/>
    <w:rsid w:val="00B875C8"/>
    <w:rsid w:val="00B90B7C"/>
    <w:rsid w:val="00B93A69"/>
    <w:rsid w:val="00B94BE9"/>
    <w:rsid w:val="00B95971"/>
    <w:rsid w:val="00B96DCD"/>
    <w:rsid w:val="00B97A86"/>
    <w:rsid w:val="00BA0713"/>
    <w:rsid w:val="00BA0AAF"/>
    <w:rsid w:val="00BA1D8C"/>
    <w:rsid w:val="00BA2534"/>
    <w:rsid w:val="00BA273F"/>
    <w:rsid w:val="00BA2E13"/>
    <w:rsid w:val="00BA3A5E"/>
    <w:rsid w:val="00BA3BBA"/>
    <w:rsid w:val="00BA41E3"/>
    <w:rsid w:val="00BA502D"/>
    <w:rsid w:val="00BB0E8B"/>
    <w:rsid w:val="00BB295F"/>
    <w:rsid w:val="00BB2AC7"/>
    <w:rsid w:val="00BB2DC4"/>
    <w:rsid w:val="00BB333C"/>
    <w:rsid w:val="00BB4A31"/>
    <w:rsid w:val="00BB68A2"/>
    <w:rsid w:val="00BB7E2E"/>
    <w:rsid w:val="00BC0751"/>
    <w:rsid w:val="00BC0B6E"/>
    <w:rsid w:val="00BC3F0B"/>
    <w:rsid w:val="00BC552E"/>
    <w:rsid w:val="00BC6089"/>
    <w:rsid w:val="00BC7930"/>
    <w:rsid w:val="00BD0688"/>
    <w:rsid w:val="00BD1F5B"/>
    <w:rsid w:val="00BD244E"/>
    <w:rsid w:val="00BD3194"/>
    <w:rsid w:val="00BD401F"/>
    <w:rsid w:val="00BD4966"/>
    <w:rsid w:val="00BD4AFE"/>
    <w:rsid w:val="00BD507F"/>
    <w:rsid w:val="00BD57ED"/>
    <w:rsid w:val="00BD6EC7"/>
    <w:rsid w:val="00BE3EBB"/>
    <w:rsid w:val="00BE4E92"/>
    <w:rsid w:val="00BE5B1E"/>
    <w:rsid w:val="00BE748B"/>
    <w:rsid w:val="00BF0AD2"/>
    <w:rsid w:val="00BF0D65"/>
    <w:rsid w:val="00BF1363"/>
    <w:rsid w:val="00BF2B90"/>
    <w:rsid w:val="00BF371B"/>
    <w:rsid w:val="00BF3DA8"/>
    <w:rsid w:val="00BF4600"/>
    <w:rsid w:val="00BF7C40"/>
    <w:rsid w:val="00C00402"/>
    <w:rsid w:val="00C00EFB"/>
    <w:rsid w:val="00C0102C"/>
    <w:rsid w:val="00C043BF"/>
    <w:rsid w:val="00C05BAB"/>
    <w:rsid w:val="00C10C5D"/>
    <w:rsid w:val="00C1128D"/>
    <w:rsid w:val="00C13814"/>
    <w:rsid w:val="00C15947"/>
    <w:rsid w:val="00C21585"/>
    <w:rsid w:val="00C2166C"/>
    <w:rsid w:val="00C22086"/>
    <w:rsid w:val="00C23A8F"/>
    <w:rsid w:val="00C23FA3"/>
    <w:rsid w:val="00C24C23"/>
    <w:rsid w:val="00C252E5"/>
    <w:rsid w:val="00C26568"/>
    <w:rsid w:val="00C32A59"/>
    <w:rsid w:val="00C32DD2"/>
    <w:rsid w:val="00C332E5"/>
    <w:rsid w:val="00C34137"/>
    <w:rsid w:val="00C3510E"/>
    <w:rsid w:val="00C36738"/>
    <w:rsid w:val="00C36A1D"/>
    <w:rsid w:val="00C41670"/>
    <w:rsid w:val="00C42C1E"/>
    <w:rsid w:val="00C44156"/>
    <w:rsid w:val="00C4534B"/>
    <w:rsid w:val="00C453EE"/>
    <w:rsid w:val="00C45C9D"/>
    <w:rsid w:val="00C46CAB"/>
    <w:rsid w:val="00C46E2D"/>
    <w:rsid w:val="00C46EBB"/>
    <w:rsid w:val="00C521ED"/>
    <w:rsid w:val="00C523BC"/>
    <w:rsid w:val="00C5244A"/>
    <w:rsid w:val="00C57CE1"/>
    <w:rsid w:val="00C6019B"/>
    <w:rsid w:val="00C618DC"/>
    <w:rsid w:val="00C61A1D"/>
    <w:rsid w:val="00C65FCC"/>
    <w:rsid w:val="00C70601"/>
    <w:rsid w:val="00C713EB"/>
    <w:rsid w:val="00C71A22"/>
    <w:rsid w:val="00C7336E"/>
    <w:rsid w:val="00C765D6"/>
    <w:rsid w:val="00C76CD1"/>
    <w:rsid w:val="00C76D31"/>
    <w:rsid w:val="00C7785F"/>
    <w:rsid w:val="00C77BFF"/>
    <w:rsid w:val="00C81EA8"/>
    <w:rsid w:val="00C82BEC"/>
    <w:rsid w:val="00C86588"/>
    <w:rsid w:val="00C86B9F"/>
    <w:rsid w:val="00C877E8"/>
    <w:rsid w:val="00C87EC4"/>
    <w:rsid w:val="00C95116"/>
    <w:rsid w:val="00C9671C"/>
    <w:rsid w:val="00C97417"/>
    <w:rsid w:val="00CA1EBA"/>
    <w:rsid w:val="00CA298B"/>
    <w:rsid w:val="00CA3913"/>
    <w:rsid w:val="00CA4877"/>
    <w:rsid w:val="00CA5DA5"/>
    <w:rsid w:val="00CB054C"/>
    <w:rsid w:val="00CB21A8"/>
    <w:rsid w:val="00CB2D49"/>
    <w:rsid w:val="00CB3B52"/>
    <w:rsid w:val="00CB463E"/>
    <w:rsid w:val="00CB4F96"/>
    <w:rsid w:val="00CB6A88"/>
    <w:rsid w:val="00CC0798"/>
    <w:rsid w:val="00CC443A"/>
    <w:rsid w:val="00CC49DA"/>
    <w:rsid w:val="00CC5F0B"/>
    <w:rsid w:val="00CC7139"/>
    <w:rsid w:val="00CD0D85"/>
    <w:rsid w:val="00CD4F84"/>
    <w:rsid w:val="00CD5C5B"/>
    <w:rsid w:val="00CD69CF"/>
    <w:rsid w:val="00CD6CA2"/>
    <w:rsid w:val="00CE1285"/>
    <w:rsid w:val="00CE216E"/>
    <w:rsid w:val="00CE4A3E"/>
    <w:rsid w:val="00CE5841"/>
    <w:rsid w:val="00CE58BB"/>
    <w:rsid w:val="00CE5FA1"/>
    <w:rsid w:val="00CE7198"/>
    <w:rsid w:val="00CE72DD"/>
    <w:rsid w:val="00CF07DC"/>
    <w:rsid w:val="00CF0FAF"/>
    <w:rsid w:val="00CF1413"/>
    <w:rsid w:val="00CF1E73"/>
    <w:rsid w:val="00CF2421"/>
    <w:rsid w:val="00CF2B2D"/>
    <w:rsid w:val="00CF30F3"/>
    <w:rsid w:val="00CF405B"/>
    <w:rsid w:val="00D0203D"/>
    <w:rsid w:val="00D0347A"/>
    <w:rsid w:val="00D04009"/>
    <w:rsid w:val="00D0439F"/>
    <w:rsid w:val="00D05483"/>
    <w:rsid w:val="00D05AAD"/>
    <w:rsid w:val="00D0634A"/>
    <w:rsid w:val="00D07770"/>
    <w:rsid w:val="00D12B72"/>
    <w:rsid w:val="00D130D7"/>
    <w:rsid w:val="00D2149D"/>
    <w:rsid w:val="00D21790"/>
    <w:rsid w:val="00D22A5F"/>
    <w:rsid w:val="00D2365B"/>
    <w:rsid w:val="00D237F8"/>
    <w:rsid w:val="00D24983"/>
    <w:rsid w:val="00D269FA"/>
    <w:rsid w:val="00D3059D"/>
    <w:rsid w:val="00D332EE"/>
    <w:rsid w:val="00D332F5"/>
    <w:rsid w:val="00D355BC"/>
    <w:rsid w:val="00D367E3"/>
    <w:rsid w:val="00D36956"/>
    <w:rsid w:val="00D37AB4"/>
    <w:rsid w:val="00D5205F"/>
    <w:rsid w:val="00D5585C"/>
    <w:rsid w:val="00D56150"/>
    <w:rsid w:val="00D56BDE"/>
    <w:rsid w:val="00D61094"/>
    <w:rsid w:val="00D6187A"/>
    <w:rsid w:val="00D61890"/>
    <w:rsid w:val="00D621BC"/>
    <w:rsid w:val="00D66DE5"/>
    <w:rsid w:val="00D67B4C"/>
    <w:rsid w:val="00D70349"/>
    <w:rsid w:val="00D70BEF"/>
    <w:rsid w:val="00D71828"/>
    <w:rsid w:val="00D71BF9"/>
    <w:rsid w:val="00D735FA"/>
    <w:rsid w:val="00D73F76"/>
    <w:rsid w:val="00D74BFE"/>
    <w:rsid w:val="00D75185"/>
    <w:rsid w:val="00D76C2A"/>
    <w:rsid w:val="00D80D0A"/>
    <w:rsid w:val="00D816DF"/>
    <w:rsid w:val="00D8333C"/>
    <w:rsid w:val="00D865C3"/>
    <w:rsid w:val="00D87BCB"/>
    <w:rsid w:val="00D91104"/>
    <w:rsid w:val="00D92262"/>
    <w:rsid w:val="00D9346A"/>
    <w:rsid w:val="00D935F0"/>
    <w:rsid w:val="00D97209"/>
    <w:rsid w:val="00DA0412"/>
    <w:rsid w:val="00DA06EC"/>
    <w:rsid w:val="00DA16A2"/>
    <w:rsid w:val="00DA2612"/>
    <w:rsid w:val="00DA3440"/>
    <w:rsid w:val="00DA58F7"/>
    <w:rsid w:val="00DA5F98"/>
    <w:rsid w:val="00DA71C9"/>
    <w:rsid w:val="00DA7CCE"/>
    <w:rsid w:val="00DA7F01"/>
    <w:rsid w:val="00DB6E44"/>
    <w:rsid w:val="00DC09AA"/>
    <w:rsid w:val="00DC371D"/>
    <w:rsid w:val="00DC5B15"/>
    <w:rsid w:val="00DC5DAD"/>
    <w:rsid w:val="00DC6290"/>
    <w:rsid w:val="00DC6891"/>
    <w:rsid w:val="00DC78E8"/>
    <w:rsid w:val="00DD12F9"/>
    <w:rsid w:val="00DD1306"/>
    <w:rsid w:val="00DD1780"/>
    <w:rsid w:val="00DD190E"/>
    <w:rsid w:val="00DD316F"/>
    <w:rsid w:val="00DD519D"/>
    <w:rsid w:val="00DD6A3E"/>
    <w:rsid w:val="00DD6C7B"/>
    <w:rsid w:val="00DD7385"/>
    <w:rsid w:val="00DE15AC"/>
    <w:rsid w:val="00DE2715"/>
    <w:rsid w:val="00DE374A"/>
    <w:rsid w:val="00DE618D"/>
    <w:rsid w:val="00DE6420"/>
    <w:rsid w:val="00DE6517"/>
    <w:rsid w:val="00DF13D3"/>
    <w:rsid w:val="00DF205C"/>
    <w:rsid w:val="00DF2B88"/>
    <w:rsid w:val="00DF2F28"/>
    <w:rsid w:val="00DF3261"/>
    <w:rsid w:val="00DF40AC"/>
    <w:rsid w:val="00DF5F7F"/>
    <w:rsid w:val="00DF697F"/>
    <w:rsid w:val="00DF7F19"/>
    <w:rsid w:val="00E005D0"/>
    <w:rsid w:val="00E0349A"/>
    <w:rsid w:val="00E05A4C"/>
    <w:rsid w:val="00E06303"/>
    <w:rsid w:val="00E069C1"/>
    <w:rsid w:val="00E07060"/>
    <w:rsid w:val="00E07400"/>
    <w:rsid w:val="00E1069F"/>
    <w:rsid w:val="00E1086F"/>
    <w:rsid w:val="00E10C7B"/>
    <w:rsid w:val="00E11DBA"/>
    <w:rsid w:val="00E124DB"/>
    <w:rsid w:val="00E16A08"/>
    <w:rsid w:val="00E16FA8"/>
    <w:rsid w:val="00E170F3"/>
    <w:rsid w:val="00E22371"/>
    <w:rsid w:val="00E22D71"/>
    <w:rsid w:val="00E23188"/>
    <w:rsid w:val="00E233C1"/>
    <w:rsid w:val="00E234B6"/>
    <w:rsid w:val="00E33B03"/>
    <w:rsid w:val="00E35789"/>
    <w:rsid w:val="00E36111"/>
    <w:rsid w:val="00E36280"/>
    <w:rsid w:val="00E3641A"/>
    <w:rsid w:val="00E36D41"/>
    <w:rsid w:val="00E40103"/>
    <w:rsid w:val="00E41A7E"/>
    <w:rsid w:val="00E42DAB"/>
    <w:rsid w:val="00E43381"/>
    <w:rsid w:val="00E447C2"/>
    <w:rsid w:val="00E46E2E"/>
    <w:rsid w:val="00E4707F"/>
    <w:rsid w:val="00E474C3"/>
    <w:rsid w:val="00E479AA"/>
    <w:rsid w:val="00E47C79"/>
    <w:rsid w:val="00E50799"/>
    <w:rsid w:val="00E519CD"/>
    <w:rsid w:val="00E52B49"/>
    <w:rsid w:val="00E52BC6"/>
    <w:rsid w:val="00E6059A"/>
    <w:rsid w:val="00E617A8"/>
    <w:rsid w:val="00E62FB8"/>
    <w:rsid w:val="00E6357B"/>
    <w:rsid w:val="00E71300"/>
    <w:rsid w:val="00E735CB"/>
    <w:rsid w:val="00E739B7"/>
    <w:rsid w:val="00E73E94"/>
    <w:rsid w:val="00E756C0"/>
    <w:rsid w:val="00E7576A"/>
    <w:rsid w:val="00E7696A"/>
    <w:rsid w:val="00E77118"/>
    <w:rsid w:val="00E84BE2"/>
    <w:rsid w:val="00E877F2"/>
    <w:rsid w:val="00E90B58"/>
    <w:rsid w:val="00E90CBD"/>
    <w:rsid w:val="00E911AC"/>
    <w:rsid w:val="00E91BB8"/>
    <w:rsid w:val="00E92E08"/>
    <w:rsid w:val="00E931A9"/>
    <w:rsid w:val="00E93A36"/>
    <w:rsid w:val="00E951F3"/>
    <w:rsid w:val="00E95476"/>
    <w:rsid w:val="00E966A2"/>
    <w:rsid w:val="00E97746"/>
    <w:rsid w:val="00E97F77"/>
    <w:rsid w:val="00EA0BCD"/>
    <w:rsid w:val="00EA0F5A"/>
    <w:rsid w:val="00EA3D40"/>
    <w:rsid w:val="00EA52E7"/>
    <w:rsid w:val="00EA5ACA"/>
    <w:rsid w:val="00EA6625"/>
    <w:rsid w:val="00EB1179"/>
    <w:rsid w:val="00EB2691"/>
    <w:rsid w:val="00EB2C23"/>
    <w:rsid w:val="00EB3335"/>
    <w:rsid w:val="00EB3850"/>
    <w:rsid w:val="00EB4DDB"/>
    <w:rsid w:val="00EB51E7"/>
    <w:rsid w:val="00EB5333"/>
    <w:rsid w:val="00EB66C1"/>
    <w:rsid w:val="00EB6930"/>
    <w:rsid w:val="00EB6ACE"/>
    <w:rsid w:val="00EC13AD"/>
    <w:rsid w:val="00EC151A"/>
    <w:rsid w:val="00EC180D"/>
    <w:rsid w:val="00EC4797"/>
    <w:rsid w:val="00EC4CFC"/>
    <w:rsid w:val="00EC73EF"/>
    <w:rsid w:val="00EC76C6"/>
    <w:rsid w:val="00ED0B7F"/>
    <w:rsid w:val="00ED1330"/>
    <w:rsid w:val="00ED25C0"/>
    <w:rsid w:val="00ED35F7"/>
    <w:rsid w:val="00ED3F79"/>
    <w:rsid w:val="00ED5304"/>
    <w:rsid w:val="00EE44F2"/>
    <w:rsid w:val="00EE7C9F"/>
    <w:rsid w:val="00EF0801"/>
    <w:rsid w:val="00EF35E8"/>
    <w:rsid w:val="00EF463E"/>
    <w:rsid w:val="00EF6249"/>
    <w:rsid w:val="00EF6D5B"/>
    <w:rsid w:val="00EF7361"/>
    <w:rsid w:val="00F00002"/>
    <w:rsid w:val="00F015D5"/>
    <w:rsid w:val="00F019D9"/>
    <w:rsid w:val="00F01FC7"/>
    <w:rsid w:val="00F04692"/>
    <w:rsid w:val="00F04C4B"/>
    <w:rsid w:val="00F10BC1"/>
    <w:rsid w:val="00F11C66"/>
    <w:rsid w:val="00F121E0"/>
    <w:rsid w:val="00F12830"/>
    <w:rsid w:val="00F13540"/>
    <w:rsid w:val="00F20B44"/>
    <w:rsid w:val="00F22FCE"/>
    <w:rsid w:val="00F23431"/>
    <w:rsid w:val="00F259CB"/>
    <w:rsid w:val="00F26514"/>
    <w:rsid w:val="00F26C2A"/>
    <w:rsid w:val="00F30CEB"/>
    <w:rsid w:val="00F310FC"/>
    <w:rsid w:val="00F33C91"/>
    <w:rsid w:val="00F3429F"/>
    <w:rsid w:val="00F352E9"/>
    <w:rsid w:val="00F3552A"/>
    <w:rsid w:val="00F35CFC"/>
    <w:rsid w:val="00F402D9"/>
    <w:rsid w:val="00F40507"/>
    <w:rsid w:val="00F4227D"/>
    <w:rsid w:val="00F424D6"/>
    <w:rsid w:val="00F46EED"/>
    <w:rsid w:val="00F51278"/>
    <w:rsid w:val="00F52379"/>
    <w:rsid w:val="00F5398A"/>
    <w:rsid w:val="00F54F5F"/>
    <w:rsid w:val="00F564B8"/>
    <w:rsid w:val="00F56E08"/>
    <w:rsid w:val="00F6301D"/>
    <w:rsid w:val="00F63252"/>
    <w:rsid w:val="00F64CE5"/>
    <w:rsid w:val="00F66554"/>
    <w:rsid w:val="00F66FB9"/>
    <w:rsid w:val="00F6716B"/>
    <w:rsid w:val="00F6775B"/>
    <w:rsid w:val="00F67A4A"/>
    <w:rsid w:val="00F701D9"/>
    <w:rsid w:val="00F714EA"/>
    <w:rsid w:val="00F743A3"/>
    <w:rsid w:val="00F75C79"/>
    <w:rsid w:val="00F76316"/>
    <w:rsid w:val="00F76C92"/>
    <w:rsid w:val="00F77140"/>
    <w:rsid w:val="00F812C6"/>
    <w:rsid w:val="00F82378"/>
    <w:rsid w:val="00F8465A"/>
    <w:rsid w:val="00F85EB7"/>
    <w:rsid w:val="00F8650C"/>
    <w:rsid w:val="00F86BE6"/>
    <w:rsid w:val="00F90B5F"/>
    <w:rsid w:val="00F91247"/>
    <w:rsid w:val="00F93059"/>
    <w:rsid w:val="00F945F7"/>
    <w:rsid w:val="00F95412"/>
    <w:rsid w:val="00F97658"/>
    <w:rsid w:val="00F97BE1"/>
    <w:rsid w:val="00FA02F2"/>
    <w:rsid w:val="00FA069B"/>
    <w:rsid w:val="00FA209A"/>
    <w:rsid w:val="00FA3C0F"/>
    <w:rsid w:val="00FB3359"/>
    <w:rsid w:val="00FB4491"/>
    <w:rsid w:val="00FB77D6"/>
    <w:rsid w:val="00FC022C"/>
    <w:rsid w:val="00FC0BF4"/>
    <w:rsid w:val="00FC13FB"/>
    <w:rsid w:val="00FC2EFB"/>
    <w:rsid w:val="00FC64DD"/>
    <w:rsid w:val="00FD1190"/>
    <w:rsid w:val="00FD1476"/>
    <w:rsid w:val="00FD5C11"/>
    <w:rsid w:val="00FD5C75"/>
    <w:rsid w:val="00FE272C"/>
    <w:rsid w:val="00FE346D"/>
    <w:rsid w:val="00FE36C7"/>
    <w:rsid w:val="00FE3A12"/>
    <w:rsid w:val="00FE4FD3"/>
    <w:rsid w:val="00FE529F"/>
    <w:rsid w:val="00FF11D9"/>
    <w:rsid w:val="00FF2607"/>
    <w:rsid w:val="00FF2A43"/>
    <w:rsid w:val="00FF3EA0"/>
    <w:rsid w:val="00FF4822"/>
    <w:rsid w:val="00FF4C07"/>
    <w:rsid w:val="00FF5EDB"/>
    <w:rsid w:val="00FF620B"/>
    <w:rsid w:val="00FF7042"/>
    <w:rsid w:val="00FF7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41BB7"/>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D41"/>
    <w:pPr>
      <w:spacing w:before="120"/>
      <w:ind w:left="-360" w:right="2880"/>
      <w:jc w:val="both"/>
    </w:pPr>
    <w:rPr>
      <w:noProof/>
    </w:rPr>
  </w:style>
  <w:style w:type="paragraph" w:styleId="Heading1">
    <w:name w:val="heading 1"/>
    <w:aliases w:val="SHA HEADING 1"/>
    <w:basedOn w:val="Normal"/>
    <w:next w:val="Normal"/>
    <w:link w:val="Heading1Char"/>
    <w:uiPriority w:val="9"/>
    <w:qFormat/>
    <w:rsid w:val="00EF7361"/>
    <w:pPr>
      <w:keepNext/>
      <w:keepLines/>
      <w:spacing w:before="360" w:after="240"/>
      <w:ind w:right="-360"/>
      <w:jc w:val="left"/>
      <w:outlineLvl w:val="0"/>
    </w:pPr>
    <w:rPr>
      <w:rFonts w:eastAsiaTheme="majorEastAsia" w:cstheme="majorBidi"/>
      <w:b/>
      <w:sz w:val="40"/>
      <w:szCs w:val="40"/>
    </w:rPr>
  </w:style>
  <w:style w:type="paragraph" w:styleId="Heading2">
    <w:name w:val="heading 2"/>
    <w:basedOn w:val="Normal"/>
    <w:next w:val="Normal"/>
    <w:link w:val="Heading2Char"/>
    <w:uiPriority w:val="9"/>
    <w:unhideWhenUsed/>
    <w:qFormat/>
    <w:rsid w:val="00EF7361"/>
    <w:pPr>
      <w:spacing w:before="360"/>
      <w:outlineLvl w:val="1"/>
    </w:pPr>
    <w:rPr>
      <w:b/>
      <w:sz w:val="30"/>
      <w:szCs w:val="30"/>
    </w:rPr>
  </w:style>
  <w:style w:type="paragraph" w:styleId="Heading3">
    <w:name w:val="heading 3"/>
    <w:basedOn w:val="Normal"/>
    <w:next w:val="Normal"/>
    <w:link w:val="Heading3Char"/>
    <w:uiPriority w:val="9"/>
    <w:unhideWhenUsed/>
    <w:qFormat/>
    <w:rsid w:val="007D7811"/>
    <w:pPr>
      <w:keepNext/>
      <w:keepLines/>
      <w:spacing w:before="240" w:after="0"/>
      <w:ind w:right="-360"/>
      <w:jc w:val="left"/>
      <w:outlineLvl w:val="2"/>
    </w:pPr>
    <w:rPr>
      <w:rFonts w:eastAsiaTheme="majorEastAsia" w:cstheme="majorBidi"/>
      <w:color w:val="203864"/>
      <w:sz w:val="26"/>
      <w:szCs w:val="26"/>
    </w:rPr>
  </w:style>
  <w:style w:type="paragraph" w:styleId="Heading4">
    <w:name w:val="heading 4"/>
    <w:basedOn w:val="Heading2"/>
    <w:next w:val="Normal"/>
    <w:link w:val="Heading4Char"/>
    <w:uiPriority w:val="9"/>
    <w:unhideWhenUsed/>
    <w:qFormat/>
    <w:rsid w:val="00EF7361"/>
    <w:pPr>
      <w:spacing w:before="240"/>
      <w:ind w:right="-360"/>
      <w:outlineLvl w:val="3"/>
    </w:pPr>
    <w:rPr>
      <w:sz w:val="24"/>
      <w:szCs w:val="24"/>
    </w:rPr>
  </w:style>
  <w:style w:type="paragraph" w:styleId="Heading5">
    <w:name w:val="heading 5"/>
    <w:basedOn w:val="Normal"/>
    <w:next w:val="Normal"/>
    <w:link w:val="Heading5Char"/>
    <w:uiPriority w:val="9"/>
    <w:unhideWhenUsed/>
    <w:qFormat/>
    <w:rsid w:val="004D187E"/>
    <w:pPr>
      <w:ind w:right="-360"/>
      <w:outlineLvl w:val="4"/>
    </w:pPr>
    <w:rPr>
      <w:b/>
      <w:color w:val="203864"/>
    </w:rPr>
  </w:style>
  <w:style w:type="paragraph" w:styleId="Heading6">
    <w:name w:val="heading 6"/>
    <w:basedOn w:val="Normal"/>
    <w:next w:val="Normal"/>
    <w:link w:val="Heading6Char"/>
    <w:uiPriority w:val="9"/>
    <w:unhideWhenUsed/>
    <w:qFormat/>
    <w:rsid w:val="00492AB1"/>
    <w:pPr>
      <w:spacing w:after="0" w:line="271" w:lineRule="auto"/>
      <w:ind w:left="0" w:right="0"/>
      <w:outlineLvl w:val="5"/>
    </w:pPr>
    <w:rPr>
      <w:rFonts w:asciiTheme="majorHAnsi" w:eastAsiaTheme="majorEastAsia" w:hAnsiTheme="majorHAnsi" w:cstheme="majorBidi"/>
      <w:b/>
      <w:bCs/>
      <w:i/>
      <w:iCs/>
      <w:noProof w:val="0"/>
      <w:color w:val="7F7F7F" w:themeColor="text1" w:themeTint="80"/>
    </w:rPr>
  </w:style>
  <w:style w:type="paragraph" w:styleId="Heading7">
    <w:name w:val="heading 7"/>
    <w:basedOn w:val="Normal"/>
    <w:next w:val="Normal"/>
    <w:link w:val="Heading7Char"/>
    <w:uiPriority w:val="9"/>
    <w:semiHidden/>
    <w:unhideWhenUsed/>
    <w:qFormat/>
    <w:rsid w:val="00492AB1"/>
    <w:pPr>
      <w:spacing w:after="0" w:line="276" w:lineRule="auto"/>
      <w:ind w:left="0" w:right="0"/>
      <w:outlineLvl w:val="6"/>
    </w:pPr>
    <w:rPr>
      <w:rFonts w:asciiTheme="majorHAnsi" w:eastAsiaTheme="majorEastAsia" w:hAnsiTheme="majorHAnsi" w:cstheme="majorBidi"/>
      <w:i/>
      <w:iCs/>
      <w:noProof w:val="0"/>
    </w:rPr>
  </w:style>
  <w:style w:type="paragraph" w:styleId="Heading8">
    <w:name w:val="heading 8"/>
    <w:basedOn w:val="Normal"/>
    <w:next w:val="Normal"/>
    <w:link w:val="Heading8Char"/>
    <w:uiPriority w:val="9"/>
    <w:semiHidden/>
    <w:unhideWhenUsed/>
    <w:qFormat/>
    <w:rsid w:val="00492AB1"/>
    <w:pPr>
      <w:spacing w:after="0" w:line="276" w:lineRule="auto"/>
      <w:ind w:left="0" w:right="0"/>
      <w:outlineLvl w:val="7"/>
    </w:pPr>
    <w:rPr>
      <w:rFonts w:asciiTheme="majorHAnsi" w:eastAsiaTheme="majorEastAsia" w:hAnsiTheme="majorHAnsi" w:cstheme="majorBidi"/>
      <w:noProof w:val="0"/>
      <w:sz w:val="20"/>
      <w:szCs w:val="20"/>
    </w:rPr>
  </w:style>
  <w:style w:type="paragraph" w:styleId="Heading9">
    <w:name w:val="heading 9"/>
    <w:basedOn w:val="Normal"/>
    <w:next w:val="Normal"/>
    <w:link w:val="Heading9Char"/>
    <w:uiPriority w:val="9"/>
    <w:semiHidden/>
    <w:unhideWhenUsed/>
    <w:qFormat/>
    <w:rsid w:val="00492AB1"/>
    <w:pPr>
      <w:spacing w:after="0" w:line="276" w:lineRule="auto"/>
      <w:ind w:left="0" w:right="0"/>
      <w:outlineLvl w:val="8"/>
    </w:pPr>
    <w:rPr>
      <w:rFonts w:asciiTheme="majorHAnsi" w:eastAsiaTheme="majorEastAsia" w:hAnsiTheme="majorHAnsi" w:cstheme="majorBidi"/>
      <w:i/>
      <w:iCs/>
      <w:noProof w:val="0"/>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rialHermann">
    <w:name w:val="Memorial Hermann"/>
    <w:basedOn w:val="Heading1"/>
    <w:rsid w:val="001503C2"/>
    <w:pPr>
      <w:spacing w:before="0" w:line="240" w:lineRule="auto"/>
    </w:pPr>
    <w:rPr>
      <w:b w:val="0"/>
      <w:color w:val="195974"/>
    </w:rPr>
  </w:style>
  <w:style w:type="character" w:customStyle="1" w:styleId="Heading1Char">
    <w:name w:val="Heading 1 Char"/>
    <w:aliases w:val="SHA HEADING 1 Char"/>
    <w:basedOn w:val="DefaultParagraphFont"/>
    <w:link w:val="Heading1"/>
    <w:uiPriority w:val="9"/>
    <w:rsid w:val="00EF7361"/>
    <w:rPr>
      <w:rFonts w:eastAsiaTheme="majorEastAsia" w:cstheme="majorBidi"/>
      <w:b/>
      <w:noProof/>
      <w:sz w:val="40"/>
      <w:szCs w:val="40"/>
    </w:rPr>
  </w:style>
  <w:style w:type="paragraph" w:customStyle="1" w:styleId="SHA">
    <w:name w:val="SHA"/>
    <w:basedOn w:val="Normal"/>
    <w:link w:val="SHAChar"/>
    <w:autoRedefine/>
    <w:qFormat/>
    <w:rsid w:val="00EF6249"/>
    <w:rPr>
      <w:rFonts w:ascii="Aileron Heavy" w:hAnsi="Aileron Heavy"/>
      <w:b/>
      <w:sz w:val="32"/>
      <w:szCs w:val="32"/>
    </w:rPr>
  </w:style>
  <w:style w:type="character" w:customStyle="1" w:styleId="SHAChar">
    <w:name w:val="SHA Char"/>
    <w:basedOn w:val="DefaultParagraphFont"/>
    <w:link w:val="SHA"/>
    <w:rsid w:val="00EF6249"/>
    <w:rPr>
      <w:rFonts w:ascii="Aileron Heavy" w:hAnsi="Aileron Heavy"/>
      <w:b/>
      <w:sz w:val="32"/>
      <w:szCs w:val="32"/>
    </w:rPr>
  </w:style>
  <w:style w:type="paragraph" w:styleId="Title">
    <w:name w:val="Title"/>
    <w:basedOn w:val="Normal"/>
    <w:next w:val="Normal"/>
    <w:link w:val="TitleChar"/>
    <w:uiPriority w:val="10"/>
    <w:qFormat/>
    <w:rsid w:val="006E3904"/>
    <w:pPr>
      <w:spacing w:before="360" w:after="0" w:line="240" w:lineRule="auto"/>
      <w:ind w:right="2160"/>
    </w:pPr>
    <w:rPr>
      <w:rFonts w:eastAsiaTheme="majorEastAsia" w:cstheme="majorBidi"/>
      <w:spacing w:val="-10"/>
      <w:kern w:val="28"/>
      <w:sz w:val="60"/>
      <w:szCs w:val="60"/>
    </w:rPr>
  </w:style>
  <w:style w:type="character" w:customStyle="1" w:styleId="TitleChar">
    <w:name w:val="Title Char"/>
    <w:basedOn w:val="DefaultParagraphFont"/>
    <w:link w:val="Title"/>
    <w:uiPriority w:val="10"/>
    <w:rsid w:val="006E3904"/>
    <w:rPr>
      <w:rFonts w:eastAsiaTheme="majorEastAsia" w:cstheme="majorBidi"/>
      <w:noProof/>
      <w:spacing w:val="-10"/>
      <w:kern w:val="28"/>
      <w:sz w:val="60"/>
      <w:szCs w:val="60"/>
    </w:rPr>
  </w:style>
  <w:style w:type="character" w:customStyle="1" w:styleId="Heading2Char">
    <w:name w:val="Heading 2 Char"/>
    <w:basedOn w:val="DefaultParagraphFont"/>
    <w:link w:val="Heading2"/>
    <w:uiPriority w:val="9"/>
    <w:rsid w:val="00EF7361"/>
    <w:rPr>
      <w:b/>
      <w:noProof/>
      <w:sz w:val="30"/>
      <w:szCs w:val="30"/>
    </w:rPr>
  </w:style>
  <w:style w:type="paragraph" w:styleId="Header">
    <w:name w:val="header"/>
    <w:basedOn w:val="Normal"/>
    <w:link w:val="HeaderChar"/>
    <w:uiPriority w:val="99"/>
    <w:unhideWhenUsed/>
    <w:rsid w:val="00195F0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95F02"/>
    <w:rPr>
      <w:rFonts w:ascii="Aileron" w:hAnsi="Aileron"/>
    </w:rPr>
  </w:style>
  <w:style w:type="paragraph" w:styleId="Footer">
    <w:name w:val="footer"/>
    <w:basedOn w:val="Normal"/>
    <w:link w:val="FooterChar"/>
    <w:uiPriority w:val="99"/>
    <w:unhideWhenUsed/>
    <w:rsid w:val="00195F0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95F02"/>
    <w:rPr>
      <w:rFonts w:ascii="Aileron" w:hAnsi="Aileron"/>
    </w:rPr>
  </w:style>
  <w:style w:type="paragraph" w:styleId="NoSpacing">
    <w:name w:val="No Spacing"/>
    <w:link w:val="NoSpacingChar"/>
    <w:uiPriority w:val="1"/>
    <w:qFormat/>
    <w:rsid w:val="00561BF0"/>
    <w:pPr>
      <w:spacing w:after="0" w:line="240" w:lineRule="auto"/>
      <w:jc w:val="both"/>
    </w:pPr>
    <w:rPr>
      <w:rFonts w:ascii="Aileron" w:hAnsi="Aileron"/>
      <w:sz w:val="21"/>
      <w:szCs w:val="21"/>
    </w:rPr>
  </w:style>
  <w:style w:type="paragraph" w:customStyle="1" w:styleId="Chapter">
    <w:name w:val="Chapter"/>
    <w:basedOn w:val="NoSpacing"/>
    <w:link w:val="ChapterChar"/>
    <w:qFormat/>
    <w:rsid w:val="00FC64DD"/>
    <w:pPr>
      <w:ind w:left="-360"/>
    </w:pPr>
    <w:rPr>
      <w:rFonts w:asciiTheme="minorHAnsi" w:hAnsiTheme="minorHAnsi"/>
      <w:b/>
      <w:sz w:val="60"/>
      <w:szCs w:val="60"/>
    </w:rPr>
  </w:style>
  <w:style w:type="paragraph" w:customStyle="1" w:styleId="ChapterName">
    <w:name w:val="Chapter Name"/>
    <w:basedOn w:val="NoSpacing"/>
    <w:link w:val="ChapterNameChar"/>
    <w:qFormat/>
    <w:rsid w:val="00E36D41"/>
    <w:pPr>
      <w:ind w:firstLine="720"/>
    </w:pPr>
    <w:rPr>
      <w:rFonts w:asciiTheme="minorHAnsi" w:hAnsiTheme="minorHAnsi"/>
      <w:sz w:val="68"/>
      <w:szCs w:val="68"/>
    </w:rPr>
  </w:style>
  <w:style w:type="character" w:customStyle="1" w:styleId="NoSpacingChar">
    <w:name w:val="No Spacing Char"/>
    <w:basedOn w:val="DefaultParagraphFont"/>
    <w:link w:val="NoSpacing"/>
    <w:uiPriority w:val="1"/>
    <w:rsid w:val="000B4605"/>
    <w:rPr>
      <w:rFonts w:ascii="Aileron" w:hAnsi="Aileron"/>
      <w:sz w:val="21"/>
      <w:szCs w:val="21"/>
    </w:rPr>
  </w:style>
  <w:style w:type="character" w:customStyle="1" w:styleId="ChapterChar">
    <w:name w:val="Chapter Char"/>
    <w:basedOn w:val="NoSpacingChar"/>
    <w:link w:val="Chapter"/>
    <w:rsid w:val="00FC64DD"/>
    <w:rPr>
      <w:rFonts w:ascii="Aileron" w:hAnsi="Aileron"/>
      <w:b/>
      <w:sz w:val="60"/>
      <w:szCs w:val="60"/>
    </w:rPr>
  </w:style>
  <w:style w:type="paragraph" w:styleId="ListParagraph">
    <w:name w:val="List Paragraph"/>
    <w:basedOn w:val="Normal"/>
    <w:uiPriority w:val="34"/>
    <w:qFormat/>
    <w:rsid w:val="002C6F32"/>
    <w:pPr>
      <w:ind w:left="720"/>
      <w:contextualSpacing/>
    </w:pPr>
  </w:style>
  <w:style w:type="character" w:customStyle="1" w:styleId="ChapterNameChar">
    <w:name w:val="Chapter Name Char"/>
    <w:basedOn w:val="NoSpacingChar"/>
    <w:link w:val="ChapterName"/>
    <w:rsid w:val="00E36D41"/>
    <w:rPr>
      <w:rFonts w:ascii="Aileron" w:hAnsi="Aileron"/>
      <w:sz w:val="68"/>
      <w:szCs w:val="68"/>
    </w:rPr>
  </w:style>
  <w:style w:type="paragraph" w:styleId="NormalWeb">
    <w:name w:val="Normal (Web)"/>
    <w:basedOn w:val="Normal"/>
    <w:uiPriority w:val="99"/>
    <w:rsid w:val="00033EA5"/>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character" w:customStyle="1" w:styleId="Heading3Char">
    <w:name w:val="Heading 3 Char"/>
    <w:basedOn w:val="DefaultParagraphFont"/>
    <w:link w:val="Heading3"/>
    <w:uiPriority w:val="9"/>
    <w:rsid w:val="007D7811"/>
    <w:rPr>
      <w:rFonts w:eastAsiaTheme="majorEastAsia" w:cstheme="majorBidi"/>
      <w:noProof/>
      <w:color w:val="203864"/>
      <w:sz w:val="26"/>
      <w:szCs w:val="26"/>
    </w:rPr>
  </w:style>
  <w:style w:type="paragraph" w:styleId="BalloonText">
    <w:name w:val="Balloon Text"/>
    <w:basedOn w:val="Normal"/>
    <w:link w:val="BalloonTextChar"/>
    <w:uiPriority w:val="99"/>
    <w:semiHidden/>
    <w:unhideWhenUsed/>
    <w:rsid w:val="006165F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5F4"/>
    <w:rPr>
      <w:rFonts w:ascii="Tahoma" w:hAnsi="Tahoma" w:cs="Tahoma"/>
      <w:sz w:val="16"/>
      <w:szCs w:val="16"/>
    </w:rPr>
  </w:style>
  <w:style w:type="character" w:styleId="CommentReference">
    <w:name w:val="annotation reference"/>
    <w:basedOn w:val="DefaultParagraphFont"/>
    <w:uiPriority w:val="99"/>
    <w:unhideWhenUsed/>
    <w:rsid w:val="00746EAF"/>
    <w:rPr>
      <w:sz w:val="16"/>
      <w:szCs w:val="16"/>
    </w:rPr>
  </w:style>
  <w:style w:type="paragraph" w:styleId="CommentText">
    <w:name w:val="annotation text"/>
    <w:basedOn w:val="Normal"/>
    <w:link w:val="CommentTextChar"/>
    <w:unhideWhenUsed/>
    <w:rsid w:val="00746EAF"/>
    <w:pPr>
      <w:spacing w:line="240" w:lineRule="auto"/>
    </w:pPr>
    <w:rPr>
      <w:sz w:val="20"/>
      <w:szCs w:val="20"/>
    </w:rPr>
  </w:style>
  <w:style w:type="character" w:customStyle="1" w:styleId="CommentTextChar">
    <w:name w:val="Comment Text Char"/>
    <w:basedOn w:val="DefaultParagraphFont"/>
    <w:link w:val="CommentText"/>
    <w:rsid w:val="00746EAF"/>
    <w:rPr>
      <w:rFonts w:ascii="Aileron" w:hAnsi="Aileron"/>
      <w:sz w:val="20"/>
      <w:szCs w:val="20"/>
    </w:rPr>
  </w:style>
  <w:style w:type="paragraph" w:styleId="CommentSubject">
    <w:name w:val="annotation subject"/>
    <w:basedOn w:val="CommentText"/>
    <w:next w:val="CommentText"/>
    <w:link w:val="CommentSubjectChar"/>
    <w:uiPriority w:val="99"/>
    <w:semiHidden/>
    <w:unhideWhenUsed/>
    <w:rsid w:val="00746EAF"/>
    <w:rPr>
      <w:b/>
      <w:bCs/>
    </w:rPr>
  </w:style>
  <w:style w:type="character" w:customStyle="1" w:styleId="CommentSubjectChar">
    <w:name w:val="Comment Subject Char"/>
    <w:basedOn w:val="CommentTextChar"/>
    <w:link w:val="CommentSubject"/>
    <w:uiPriority w:val="99"/>
    <w:semiHidden/>
    <w:rsid w:val="00746EAF"/>
    <w:rPr>
      <w:rFonts w:ascii="Aileron" w:hAnsi="Aileron"/>
      <w:b/>
      <w:bCs/>
      <w:sz w:val="20"/>
      <w:szCs w:val="20"/>
    </w:rPr>
  </w:style>
  <w:style w:type="paragraph" w:styleId="FootnoteText">
    <w:name w:val="footnote text"/>
    <w:basedOn w:val="Normal"/>
    <w:link w:val="FootnoteTextChar"/>
    <w:uiPriority w:val="99"/>
    <w:unhideWhenUsed/>
    <w:rsid w:val="00C9671C"/>
    <w:pPr>
      <w:spacing w:before="0" w:after="0" w:line="240" w:lineRule="auto"/>
    </w:pPr>
    <w:rPr>
      <w:sz w:val="20"/>
      <w:szCs w:val="20"/>
    </w:rPr>
  </w:style>
  <w:style w:type="character" w:customStyle="1" w:styleId="FootnoteTextChar">
    <w:name w:val="Footnote Text Char"/>
    <w:basedOn w:val="DefaultParagraphFont"/>
    <w:link w:val="FootnoteText"/>
    <w:uiPriority w:val="99"/>
    <w:rsid w:val="00C9671C"/>
    <w:rPr>
      <w:noProof/>
      <w:sz w:val="20"/>
      <w:szCs w:val="20"/>
    </w:rPr>
  </w:style>
  <w:style w:type="character" w:styleId="FootnoteReference">
    <w:name w:val="footnote reference"/>
    <w:basedOn w:val="DefaultParagraphFont"/>
    <w:uiPriority w:val="99"/>
    <w:unhideWhenUsed/>
    <w:rsid w:val="00C9671C"/>
    <w:rPr>
      <w:vertAlign w:val="superscript"/>
    </w:rPr>
  </w:style>
  <w:style w:type="paragraph" w:customStyle="1" w:styleId="Fignum">
    <w:name w:val="Fignum"/>
    <w:basedOn w:val="NoSpacing"/>
    <w:link w:val="FignumChar"/>
    <w:rsid w:val="00C9671C"/>
    <w:pPr>
      <w:spacing w:before="120" w:after="160"/>
      <w:ind w:left="-360" w:right="-360"/>
    </w:pPr>
    <w:rPr>
      <w:rFonts w:asciiTheme="minorHAnsi" w:hAnsiTheme="minorHAnsi"/>
      <w:smallCaps/>
      <w:sz w:val="22"/>
      <w:szCs w:val="22"/>
    </w:rPr>
  </w:style>
  <w:style w:type="paragraph" w:customStyle="1" w:styleId="FigName">
    <w:name w:val="FigName"/>
    <w:basedOn w:val="NoSpacing"/>
    <w:link w:val="FigNameChar"/>
    <w:rsid w:val="00C9671C"/>
    <w:pPr>
      <w:spacing w:before="120" w:after="160"/>
      <w:ind w:left="-360" w:right="-360"/>
    </w:pPr>
    <w:rPr>
      <w:rFonts w:asciiTheme="minorHAnsi" w:hAnsiTheme="minorHAnsi"/>
      <w:b/>
      <w:sz w:val="22"/>
      <w:szCs w:val="22"/>
    </w:rPr>
  </w:style>
  <w:style w:type="character" w:customStyle="1" w:styleId="FignumChar">
    <w:name w:val="Fignum Char"/>
    <w:basedOn w:val="NoSpacingChar"/>
    <w:link w:val="Fignum"/>
    <w:rsid w:val="00C9671C"/>
    <w:rPr>
      <w:rFonts w:ascii="Aileron" w:hAnsi="Aileron"/>
      <w:smallCaps/>
      <w:sz w:val="21"/>
      <w:szCs w:val="21"/>
    </w:rPr>
  </w:style>
  <w:style w:type="character" w:customStyle="1" w:styleId="FigNameChar">
    <w:name w:val="FigName Char"/>
    <w:basedOn w:val="NoSpacingChar"/>
    <w:link w:val="FigName"/>
    <w:rsid w:val="00C9671C"/>
    <w:rPr>
      <w:rFonts w:ascii="Aileron" w:hAnsi="Aileron"/>
      <w:b/>
      <w:sz w:val="21"/>
      <w:szCs w:val="21"/>
    </w:rPr>
  </w:style>
  <w:style w:type="character" w:customStyle="1" w:styleId="Heading4Char">
    <w:name w:val="Heading 4 Char"/>
    <w:basedOn w:val="DefaultParagraphFont"/>
    <w:link w:val="Heading4"/>
    <w:uiPriority w:val="9"/>
    <w:rsid w:val="00EF7361"/>
    <w:rPr>
      <w:b/>
      <w:noProof/>
      <w:sz w:val="24"/>
      <w:szCs w:val="24"/>
    </w:rPr>
  </w:style>
  <w:style w:type="paragraph" w:styleId="EndnoteText">
    <w:name w:val="endnote text"/>
    <w:basedOn w:val="Normal"/>
    <w:link w:val="EndnoteTextChar"/>
    <w:uiPriority w:val="99"/>
    <w:unhideWhenUsed/>
    <w:rsid w:val="00FB3359"/>
    <w:pPr>
      <w:spacing w:before="0" w:after="0" w:line="240" w:lineRule="auto"/>
    </w:pPr>
    <w:rPr>
      <w:sz w:val="20"/>
      <w:szCs w:val="20"/>
    </w:rPr>
  </w:style>
  <w:style w:type="character" w:customStyle="1" w:styleId="EndnoteTextChar">
    <w:name w:val="Endnote Text Char"/>
    <w:basedOn w:val="DefaultParagraphFont"/>
    <w:link w:val="EndnoteText"/>
    <w:uiPriority w:val="99"/>
    <w:rsid w:val="00FB3359"/>
    <w:rPr>
      <w:noProof/>
      <w:sz w:val="20"/>
      <w:szCs w:val="20"/>
    </w:rPr>
  </w:style>
  <w:style w:type="character" w:styleId="EndnoteReference">
    <w:name w:val="endnote reference"/>
    <w:basedOn w:val="DefaultParagraphFont"/>
    <w:uiPriority w:val="99"/>
    <w:unhideWhenUsed/>
    <w:rsid w:val="00FB3359"/>
    <w:rPr>
      <w:vertAlign w:val="superscript"/>
    </w:rPr>
  </w:style>
  <w:style w:type="paragraph" w:styleId="Revision">
    <w:name w:val="Revision"/>
    <w:hidden/>
    <w:uiPriority w:val="99"/>
    <w:semiHidden/>
    <w:rsid w:val="000F3675"/>
    <w:pPr>
      <w:spacing w:after="0" w:line="240" w:lineRule="auto"/>
    </w:pPr>
    <w:rPr>
      <w:noProof/>
    </w:rPr>
  </w:style>
  <w:style w:type="character" w:styleId="Hyperlink">
    <w:name w:val="Hyperlink"/>
    <w:uiPriority w:val="99"/>
    <w:unhideWhenUsed/>
    <w:rsid w:val="001E2DF1"/>
    <w:rPr>
      <w:rFonts w:cstheme="minorHAnsi"/>
      <w:color w:val="303030"/>
      <w:shd w:val="clear" w:color="auto" w:fill="FFFFFF"/>
    </w:rPr>
  </w:style>
  <w:style w:type="table" w:styleId="TableGrid">
    <w:name w:val="Table Grid"/>
    <w:basedOn w:val="TableNormal"/>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EF0801"/>
    <w:pPr>
      <w:spacing w:before="0" w:after="200" w:line="240" w:lineRule="auto"/>
      <w:ind w:left="0" w:right="0"/>
    </w:pPr>
    <w:rPr>
      <w:rFonts w:cstheme="minorHAnsi"/>
      <w:iCs/>
      <w:smallCaps/>
      <w:color w:val="000000" w:themeColor="text1"/>
      <w:sz w:val="20"/>
      <w:szCs w:val="18"/>
    </w:rPr>
  </w:style>
  <w:style w:type="character" w:customStyle="1" w:styleId="apple-converted-space">
    <w:name w:val="apple-converted-space"/>
    <w:basedOn w:val="DefaultParagraphFont"/>
    <w:rsid w:val="00EF0801"/>
  </w:style>
  <w:style w:type="character" w:styleId="FollowedHyperlink">
    <w:name w:val="FollowedHyperlink"/>
    <w:basedOn w:val="DefaultParagraphFont"/>
    <w:uiPriority w:val="99"/>
    <w:semiHidden/>
    <w:unhideWhenUsed/>
    <w:rsid w:val="00EF0801"/>
    <w:rPr>
      <w:color w:val="954F72" w:themeColor="followedHyperlink"/>
      <w:u w:val="single"/>
    </w:rPr>
  </w:style>
  <w:style w:type="table" w:customStyle="1" w:styleId="PlainTable31">
    <w:name w:val="Plain Table 3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32">
    <w:name w:val="Plain Table 32"/>
    <w:basedOn w:val="TableNormal"/>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ubtitle">
    <w:name w:val="Subtitle"/>
    <w:aliases w:val="FigNum"/>
    <w:basedOn w:val="Normal"/>
    <w:next w:val="Normal"/>
    <w:link w:val="SubtitleChar"/>
    <w:uiPriority w:val="11"/>
    <w:qFormat/>
    <w:rsid w:val="00EF0801"/>
    <w:pPr>
      <w:numPr>
        <w:ilvl w:val="1"/>
      </w:numPr>
      <w:ind w:left="-360" w:right="0"/>
    </w:pPr>
    <w:rPr>
      <w:rFonts w:eastAsiaTheme="minorEastAsia" w:cstheme="minorHAnsi"/>
      <w:b/>
      <w:color w:val="000000" w:themeColor="text1"/>
    </w:rPr>
  </w:style>
  <w:style w:type="character" w:customStyle="1" w:styleId="SubtitleChar">
    <w:name w:val="Subtitle Char"/>
    <w:aliases w:val="FigNum Char"/>
    <w:basedOn w:val="DefaultParagraphFont"/>
    <w:link w:val="Subtitle"/>
    <w:uiPriority w:val="11"/>
    <w:rsid w:val="00EF0801"/>
    <w:rPr>
      <w:rFonts w:eastAsiaTheme="minorEastAsia" w:cstheme="minorHAnsi"/>
      <w:b/>
      <w:noProof/>
      <w:color w:val="000000" w:themeColor="text1"/>
    </w:rPr>
  </w:style>
  <w:style w:type="character" w:styleId="Strong">
    <w:name w:val="Strong"/>
    <w:uiPriority w:val="22"/>
    <w:qFormat/>
    <w:rsid w:val="00EF0801"/>
    <w:rPr>
      <w:smallCaps/>
    </w:rPr>
  </w:style>
  <w:style w:type="paragraph" w:customStyle="1" w:styleId="FigureorTable">
    <w:name w:val="Figure or Table"/>
    <w:basedOn w:val="FigTitle"/>
    <w:link w:val="FigureorTableChar"/>
    <w:rsid w:val="00EF0801"/>
    <w:rPr>
      <w:b w:val="0"/>
    </w:rPr>
  </w:style>
  <w:style w:type="paragraph" w:customStyle="1" w:styleId="FigTitle">
    <w:name w:val="FigTitle"/>
    <w:basedOn w:val="Subtitle"/>
    <w:link w:val="FigTitleChar"/>
    <w:rsid w:val="00EF0801"/>
  </w:style>
  <w:style w:type="character" w:customStyle="1" w:styleId="FigureorTableChar">
    <w:name w:val="Figure or Table Char"/>
    <w:basedOn w:val="SubtitleChar"/>
    <w:link w:val="FigureorTable"/>
    <w:rsid w:val="00EF0801"/>
    <w:rPr>
      <w:rFonts w:eastAsiaTheme="minorEastAsia" w:cstheme="minorHAnsi"/>
      <w:b w:val="0"/>
      <w:noProof/>
      <w:color w:val="000000" w:themeColor="text1"/>
    </w:rPr>
  </w:style>
  <w:style w:type="paragraph" w:customStyle="1" w:styleId="Source">
    <w:name w:val="Source"/>
    <w:basedOn w:val="Caption"/>
    <w:link w:val="SourceChar"/>
    <w:rsid w:val="00EF0801"/>
  </w:style>
  <w:style w:type="character" w:customStyle="1" w:styleId="FigTitleChar">
    <w:name w:val="FigTitle Char"/>
    <w:basedOn w:val="SubtitleChar"/>
    <w:link w:val="FigTitle"/>
    <w:rsid w:val="00EF0801"/>
    <w:rPr>
      <w:rFonts w:eastAsiaTheme="minorEastAsia" w:cstheme="minorHAnsi"/>
      <w:b/>
      <w:noProof/>
      <w:color w:val="000000" w:themeColor="text1"/>
    </w:rPr>
  </w:style>
  <w:style w:type="table" w:customStyle="1" w:styleId="TableGrid1">
    <w:name w:val="Table Grid1"/>
    <w:basedOn w:val="TableNormal"/>
    <w:next w:val="TableGrid"/>
    <w:uiPriority w:val="39"/>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basedOn w:val="DefaultParagraphFont"/>
    <w:link w:val="Caption"/>
    <w:uiPriority w:val="35"/>
    <w:rsid w:val="00EF0801"/>
    <w:rPr>
      <w:rFonts w:cstheme="minorHAnsi"/>
      <w:iCs/>
      <w:smallCaps/>
      <w:noProof/>
      <w:color w:val="000000" w:themeColor="text1"/>
      <w:sz w:val="20"/>
      <w:szCs w:val="18"/>
    </w:rPr>
  </w:style>
  <w:style w:type="character" w:customStyle="1" w:styleId="SourceChar">
    <w:name w:val="Source Char"/>
    <w:basedOn w:val="CaptionChar"/>
    <w:link w:val="Source"/>
    <w:rsid w:val="00EF0801"/>
    <w:rPr>
      <w:rFonts w:cstheme="minorHAnsi"/>
      <w:iCs/>
      <w:smallCaps/>
      <w:noProof/>
      <w:color w:val="000000" w:themeColor="text1"/>
      <w:sz w:val="20"/>
      <w:szCs w:val="18"/>
    </w:rPr>
  </w:style>
  <w:style w:type="table" w:customStyle="1" w:styleId="PlainTable311">
    <w:name w:val="Plain Table 31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fIGnUM0">
    <w:name w:val="fIG nUM"/>
    <w:basedOn w:val="FigureorTable"/>
    <w:link w:val="fIGnUMChar0"/>
    <w:qFormat/>
    <w:rsid w:val="00EF0801"/>
  </w:style>
  <w:style w:type="character" w:customStyle="1" w:styleId="fIGnUMChar0">
    <w:name w:val="fIG nUM Char"/>
    <w:basedOn w:val="FigTitleChar"/>
    <w:link w:val="fIGnUM0"/>
    <w:rsid w:val="00EF0801"/>
    <w:rPr>
      <w:rFonts w:eastAsiaTheme="minorEastAsia" w:cstheme="minorHAnsi"/>
      <w:b w:val="0"/>
      <w:noProof/>
      <w:color w:val="000000" w:themeColor="text1"/>
    </w:rPr>
  </w:style>
  <w:style w:type="paragraph" w:customStyle="1" w:styleId="Normal1">
    <w:name w:val="Normal1"/>
    <w:rsid w:val="00EF0801"/>
    <w:pPr>
      <w:widowControl w:val="0"/>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character" w:customStyle="1" w:styleId="sr-only">
    <w:name w:val="sr-only"/>
    <w:basedOn w:val="DefaultParagraphFont"/>
    <w:rsid w:val="00EF0801"/>
  </w:style>
  <w:style w:type="character" w:customStyle="1" w:styleId="text">
    <w:name w:val="text"/>
    <w:basedOn w:val="DefaultParagraphFont"/>
    <w:rsid w:val="00EF0801"/>
  </w:style>
  <w:style w:type="character" w:customStyle="1" w:styleId="author-ref">
    <w:name w:val="author-ref"/>
    <w:basedOn w:val="DefaultParagraphFont"/>
    <w:rsid w:val="00EF0801"/>
  </w:style>
  <w:style w:type="paragraph" w:styleId="HTMLPreformatted">
    <w:name w:val="HTML Preformatted"/>
    <w:basedOn w:val="Normal"/>
    <w:link w:val="HTMLPreformattedChar"/>
    <w:uiPriority w:val="99"/>
    <w:unhideWhenUsed/>
    <w:rsid w:val="00BA2E13"/>
    <w:pPr>
      <w:spacing w:before="0" w:after="0" w:line="240" w:lineRule="auto"/>
      <w:ind w:left="0" w:right="0"/>
      <w:jc w:val="left"/>
    </w:pPr>
    <w:rPr>
      <w:rFonts w:ascii="Consolas" w:hAnsi="Consolas" w:cs="Consolas"/>
      <w:noProof w:val="0"/>
      <w:sz w:val="20"/>
      <w:szCs w:val="20"/>
    </w:rPr>
  </w:style>
  <w:style w:type="character" w:customStyle="1" w:styleId="HTMLPreformattedChar">
    <w:name w:val="HTML Preformatted Char"/>
    <w:basedOn w:val="DefaultParagraphFont"/>
    <w:link w:val="HTMLPreformatted"/>
    <w:uiPriority w:val="99"/>
    <w:rsid w:val="00BA2E13"/>
    <w:rPr>
      <w:rFonts w:ascii="Consolas" w:hAnsi="Consolas" w:cs="Consolas"/>
      <w:sz w:val="20"/>
      <w:szCs w:val="20"/>
    </w:rPr>
  </w:style>
  <w:style w:type="character" w:styleId="Emphasis">
    <w:name w:val="Emphasis"/>
    <w:basedOn w:val="DefaultParagraphFont"/>
    <w:uiPriority w:val="20"/>
    <w:qFormat/>
    <w:rsid w:val="00BA2E13"/>
    <w:rPr>
      <w:i/>
      <w:iCs/>
    </w:rPr>
  </w:style>
  <w:style w:type="character" w:customStyle="1" w:styleId="A15">
    <w:name w:val="A15"/>
    <w:uiPriority w:val="99"/>
    <w:rsid w:val="00BA2E13"/>
    <w:rPr>
      <w:rFonts w:cs="TradeGothic Light"/>
      <w:color w:val="000000"/>
      <w:sz w:val="16"/>
      <w:szCs w:val="16"/>
    </w:rPr>
  </w:style>
  <w:style w:type="character" w:customStyle="1" w:styleId="wi-fullname">
    <w:name w:val="wi-fullname"/>
    <w:basedOn w:val="DefaultParagraphFont"/>
    <w:rsid w:val="00BA2E13"/>
  </w:style>
  <w:style w:type="character" w:customStyle="1" w:styleId="meta-citation-journal-name">
    <w:name w:val="meta-citation-journal-name"/>
    <w:basedOn w:val="DefaultParagraphFont"/>
    <w:rsid w:val="00BA2E13"/>
  </w:style>
  <w:style w:type="character" w:customStyle="1" w:styleId="meta-citation">
    <w:name w:val="meta-citation"/>
    <w:basedOn w:val="DefaultParagraphFont"/>
    <w:rsid w:val="00BA2E13"/>
  </w:style>
  <w:style w:type="character" w:customStyle="1" w:styleId="ms-rtefontface-5">
    <w:name w:val="ms-rtefontface-5"/>
    <w:basedOn w:val="DefaultParagraphFont"/>
    <w:rsid w:val="00BA2E13"/>
  </w:style>
  <w:style w:type="paragraph" w:customStyle="1" w:styleId="Default">
    <w:name w:val="Default"/>
    <w:rsid w:val="00BA2E13"/>
    <w:pPr>
      <w:autoSpaceDE w:val="0"/>
      <w:autoSpaceDN w:val="0"/>
      <w:adjustRightInd w:val="0"/>
      <w:spacing w:after="0" w:line="240" w:lineRule="auto"/>
    </w:pPr>
    <w:rPr>
      <w:rFonts w:ascii="Arial" w:hAnsi="Arial" w:cs="Arial"/>
      <w:color w:val="000000"/>
      <w:sz w:val="24"/>
      <w:szCs w:val="24"/>
    </w:rPr>
  </w:style>
  <w:style w:type="character" w:customStyle="1" w:styleId="highlight">
    <w:name w:val="highlight"/>
    <w:basedOn w:val="DefaultParagraphFont"/>
    <w:rsid w:val="00BA2E13"/>
  </w:style>
  <w:style w:type="paragraph" w:customStyle="1" w:styleId="fignum1">
    <w:name w:val="fignum"/>
    <w:basedOn w:val="Normal"/>
    <w:link w:val="fignumChar1"/>
    <w:rsid w:val="00BA2E13"/>
    <w:pPr>
      <w:ind w:left="0" w:right="0"/>
      <w:jc w:val="left"/>
    </w:pPr>
    <w:rPr>
      <w:smallCaps/>
      <w:noProof w:val="0"/>
    </w:rPr>
  </w:style>
  <w:style w:type="paragraph" w:customStyle="1" w:styleId="figtitle0">
    <w:name w:val="figtitle"/>
    <w:basedOn w:val="Normal"/>
    <w:link w:val="figtitleChar0"/>
    <w:rsid w:val="00BA2E13"/>
    <w:pPr>
      <w:ind w:left="0" w:right="0"/>
      <w:jc w:val="left"/>
    </w:pPr>
    <w:rPr>
      <w:b/>
      <w:noProof w:val="0"/>
    </w:rPr>
  </w:style>
  <w:style w:type="character" w:customStyle="1" w:styleId="fignumChar1">
    <w:name w:val="fignum Char"/>
    <w:basedOn w:val="DefaultParagraphFont"/>
    <w:link w:val="fignum1"/>
    <w:rsid w:val="00BA2E13"/>
    <w:rPr>
      <w:smallCaps/>
    </w:rPr>
  </w:style>
  <w:style w:type="paragraph" w:customStyle="1" w:styleId="source0">
    <w:name w:val="source"/>
    <w:basedOn w:val="Normal"/>
    <w:link w:val="sourceChar0"/>
    <w:rsid w:val="00BA2E13"/>
    <w:pPr>
      <w:spacing w:after="120"/>
      <w:ind w:left="0" w:right="0"/>
      <w:jc w:val="left"/>
    </w:pPr>
    <w:rPr>
      <w:smallCaps/>
      <w:noProof w:val="0"/>
      <w:sz w:val="21"/>
      <w:szCs w:val="21"/>
    </w:rPr>
  </w:style>
  <w:style w:type="character" w:customStyle="1" w:styleId="figtitleChar0">
    <w:name w:val="figtitle Char"/>
    <w:basedOn w:val="DefaultParagraphFont"/>
    <w:link w:val="figtitle0"/>
    <w:rsid w:val="00BA2E13"/>
    <w:rPr>
      <w:b/>
    </w:rPr>
  </w:style>
  <w:style w:type="character" w:customStyle="1" w:styleId="sourceChar0">
    <w:name w:val="source Char"/>
    <w:basedOn w:val="DefaultParagraphFont"/>
    <w:link w:val="source0"/>
    <w:rsid w:val="00BA2E13"/>
    <w:rPr>
      <w:smallCaps/>
      <w:sz w:val="21"/>
      <w:szCs w:val="21"/>
    </w:rPr>
  </w:style>
  <w:style w:type="character" w:customStyle="1" w:styleId="cit-auth">
    <w:name w:val="cit-auth"/>
    <w:basedOn w:val="DefaultParagraphFont"/>
    <w:rsid w:val="00BA2E13"/>
  </w:style>
  <w:style w:type="character" w:customStyle="1" w:styleId="cit-name-surname">
    <w:name w:val="cit-name-surname"/>
    <w:basedOn w:val="DefaultParagraphFont"/>
    <w:rsid w:val="00BA2E13"/>
  </w:style>
  <w:style w:type="character" w:customStyle="1" w:styleId="cit-name-given-names">
    <w:name w:val="cit-name-given-names"/>
    <w:basedOn w:val="DefaultParagraphFont"/>
    <w:rsid w:val="00BA2E13"/>
  </w:style>
  <w:style w:type="character" w:styleId="HTMLCite">
    <w:name w:val="HTML Cite"/>
    <w:basedOn w:val="DefaultParagraphFont"/>
    <w:uiPriority w:val="99"/>
    <w:semiHidden/>
    <w:unhideWhenUsed/>
    <w:rsid w:val="00BA2E13"/>
    <w:rPr>
      <w:i/>
      <w:iCs/>
    </w:rPr>
  </w:style>
  <w:style w:type="character" w:customStyle="1" w:styleId="cit-article-title">
    <w:name w:val="cit-article-title"/>
    <w:basedOn w:val="DefaultParagraphFont"/>
    <w:rsid w:val="00BA2E13"/>
  </w:style>
  <w:style w:type="character" w:customStyle="1" w:styleId="cit-pub-date">
    <w:name w:val="cit-pub-date"/>
    <w:basedOn w:val="DefaultParagraphFont"/>
    <w:rsid w:val="00BA2E13"/>
  </w:style>
  <w:style w:type="character" w:customStyle="1" w:styleId="cit-vol">
    <w:name w:val="cit-vol"/>
    <w:basedOn w:val="DefaultParagraphFont"/>
    <w:rsid w:val="00BA2E13"/>
  </w:style>
  <w:style w:type="character" w:customStyle="1" w:styleId="cit-issue">
    <w:name w:val="cit-issue"/>
    <w:basedOn w:val="DefaultParagraphFont"/>
    <w:rsid w:val="00BA2E13"/>
  </w:style>
  <w:style w:type="character" w:customStyle="1" w:styleId="cit-pub-id">
    <w:name w:val="cit-pub-id"/>
    <w:basedOn w:val="DefaultParagraphFont"/>
    <w:rsid w:val="00BA2E13"/>
  </w:style>
  <w:style w:type="character" w:customStyle="1" w:styleId="cit-pub-id-scheme-pmid">
    <w:name w:val="cit-pub-id-scheme-pmid"/>
    <w:basedOn w:val="DefaultParagraphFont"/>
    <w:rsid w:val="00BA2E13"/>
  </w:style>
  <w:style w:type="character" w:customStyle="1" w:styleId="cit-etal">
    <w:name w:val="cit-etal"/>
    <w:basedOn w:val="DefaultParagraphFont"/>
    <w:rsid w:val="00BA2E13"/>
  </w:style>
  <w:style w:type="character" w:customStyle="1" w:styleId="Mention1">
    <w:name w:val="Mention1"/>
    <w:basedOn w:val="DefaultParagraphFont"/>
    <w:uiPriority w:val="99"/>
    <w:semiHidden/>
    <w:unhideWhenUsed/>
    <w:rsid w:val="00367354"/>
    <w:rPr>
      <w:color w:val="2B579A"/>
      <w:shd w:val="clear" w:color="auto" w:fill="E6E6E6"/>
    </w:rPr>
  </w:style>
  <w:style w:type="character" w:styleId="SubtleEmphasis">
    <w:name w:val="Subtle Emphasis"/>
    <w:uiPriority w:val="19"/>
    <w:qFormat/>
    <w:rsid w:val="00367354"/>
    <w:rPr>
      <w:rFonts w:asciiTheme="minorHAnsi" w:hAnsiTheme="minorHAnsi"/>
      <w:b/>
      <w:i w:val="0"/>
      <w:iCs/>
      <w:color w:val="404040" w:themeColor="text1" w:themeTint="BF"/>
      <w:sz w:val="22"/>
    </w:rPr>
  </w:style>
  <w:style w:type="character" w:styleId="PlaceholderText">
    <w:name w:val="Placeholder Text"/>
    <w:basedOn w:val="DefaultParagraphFont"/>
    <w:uiPriority w:val="99"/>
    <w:semiHidden/>
    <w:rsid w:val="00367354"/>
    <w:rPr>
      <w:color w:val="808080"/>
    </w:rPr>
  </w:style>
  <w:style w:type="character" w:customStyle="1" w:styleId="Hyperlink1">
    <w:name w:val="Hyperlink1"/>
    <w:basedOn w:val="DefaultParagraphFont"/>
    <w:unhideWhenUsed/>
    <w:rsid w:val="00367354"/>
    <w:rPr>
      <w:color w:val="0563C1"/>
      <w:u w:val="single"/>
    </w:rPr>
  </w:style>
  <w:style w:type="character" w:customStyle="1" w:styleId="print-only">
    <w:name w:val="print-only"/>
    <w:basedOn w:val="DefaultParagraphFont"/>
    <w:rsid w:val="00AA055A"/>
  </w:style>
  <w:style w:type="character" w:customStyle="1" w:styleId="Heading5Char">
    <w:name w:val="Heading 5 Char"/>
    <w:basedOn w:val="DefaultParagraphFont"/>
    <w:link w:val="Heading5"/>
    <w:uiPriority w:val="9"/>
    <w:rsid w:val="004D187E"/>
    <w:rPr>
      <w:b/>
      <w:noProof/>
      <w:color w:val="203864"/>
    </w:rPr>
  </w:style>
  <w:style w:type="character" w:customStyle="1" w:styleId="label">
    <w:name w:val="label"/>
    <w:basedOn w:val="DefaultParagraphFont"/>
    <w:rsid w:val="00197870"/>
  </w:style>
  <w:style w:type="character" w:customStyle="1" w:styleId="mixed-citation">
    <w:name w:val="mixed-citation"/>
    <w:basedOn w:val="DefaultParagraphFont"/>
    <w:rsid w:val="00197870"/>
  </w:style>
  <w:style w:type="paragraph" w:customStyle="1" w:styleId="Figtitle1">
    <w:name w:val="Figtitle"/>
    <w:basedOn w:val="figtitle0"/>
    <w:link w:val="FigtitleChar1"/>
    <w:rsid w:val="00197870"/>
    <w:pPr>
      <w:jc w:val="both"/>
    </w:pPr>
  </w:style>
  <w:style w:type="character" w:customStyle="1" w:styleId="FigtitleChar1">
    <w:name w:val="Figtitle Char"/>
    <w:basedOn w:val="figtitleChar0"/>
    <w:link w:val="Figtitle1"/>
    <w:rsid w:val="00197870"/>
    <w:rPr>
      <w:b/>
    </w:rPr>
  </w:style>
  <w:style w:type="paragraph" w:customStyle="1" w:styleId="CM20">
    <w:name w:val="CM20"/>
    <w:basedOn w:val="Normal"/>
    <w:next w:val="Normal"/>
    <w:uiPriority w:val="99"/>
    <w:rsid w:val="00197870"/>
    <w:pPr>
      <w:autoSpaceDE w:val="0"/>
      <w:autoSpaceDN w:val="0"/>
      <w:adjustRightInd w:val="0"/>
      <w:spacing w:before="0" w:after="0" w:line="240" w:lineRule="auto"/>
      <w:ind w:left="0" w:right="0"/>
    </w:pPr>
    <w:rPr>
      <w:rFonts w:ascii="Adobe Caslon Pro" w:hAnsi="Adobe Caslon Pro"/>
      <w:noProof w:val="0"/>
      <w:sz w:val="24"/>
      <w:szCs w:val="24"/>
    </w:rPr>
  </w:style>
  <w:style w:type="character" w:customStyle="1" w:styleId="footnote0020textchar">
    <w:name w:val="footnote_0020text__char"/>
    <w:basedOn w:val="DefaultParagraphFont"/>
    <w:rsid w:val="00197870"/>
  </w:style>
  <w:style w:type="character" w:customStyle="1" w:styleId="hyperlinkchar">
    <w:name w:val="hyperlink__char"/>
    <w:basedOn w:val="DefaultParagraphFont"/>
    <w:rsid w:val="00197870"/>
  </w:style>
  <w:style w:type="paragraph" w:customStyle="1" w:styleId="Style1">
    <w:name w:val="Style1"/>
    <w:basedOn w:val="Heading2"/>
    <w:link w:val="Style1Char"/>
    <w:qFormat/>
    <w:rsid w:val="00197870"/>
    <w:pPr>
      <w:ind w:left="0" w:right="0"/>
    </w:pPr>
    <w:rPr>
      <w:sz w:val="36"/>
      <w:szCs w:val="36"/>
    </w:rPr>
  </w:style>
  <w:style w:type="character" w:customStyle="1" w:styleId="Style1Char">
    <w:name w:val="Style1 Char"/>
    <w:basedOn w:val="Heading2Char"/>
    <w:link w:val="Style1"/>
    <w:rsid w:val="00197870"/>
    <w:rPr>
      <w:b/>
      <w:noProof/>
      <w:sz w:val="36"/>
      <w:szCs w:val="36"/>
    </w:rPr>
  </w:style>
  <w:style w:type="paragraph" w:styleId="BodyText">
    <w:name w:val="Body Text"/>
    <w:basedOn w:val="Normal"/>
    <w:link w:val="BodyTextChar"/>
    <w:uiPriority w:val="99"/>
    <w:unhideWhenUsed/>
    <w:rsid w:val="000902A4"/>
    <w:pPr>
      <w:spacing w:after="120"/>
      <w:ind w:left="0" w:right="0"/>
    </w:pPr>
    <w:rPr>
      <w:noProof w:val="0"/>
    </w:rPr>
  </w:style>
  <w:style w:type="character" w:customStyle="1" w:styleId="BodyTextChar">
    <w:name w:val="Body Text Char"/>
    <w:basedOn w:val="DefaultParagraphFont"/>
    <w:link w:val="BodyText"/>
    <w:uiPriority w:val="99"/>
    <w:rsid w:val="000902A4"/>
  </w:style>
  <w:style w:type="paragraph" w:styleId="BodyTextFirstIndent">
    <w:name w:val="Body Text First Indent"/>
    <w:basedOn w:val="BodyText"/>
    <w:link w:val="BodyTextFirstIndentChar"/>
    <w:uiPriority w:val="99"/>
    <w:unhideWhenUsed/>
    <w:rsid w:val="000902A4"/>
    <w:pPr>
      <w:autoSpaceDE w:val="0"/>
      <w:autoSpaceDN w:val="0"/>
      <w:spacing w:before="0" w:line="360" w:lineRule="auto"/>
      <w:ind w:firstLine="432"/>
      <w:jc w:val="left"/>
    </w:pPr>
    <w:rPr>
      <w:rFonts w:ascii="Times New Roman" w:eastAsia="Times New Roman" w:hAnsi="Times New Roman" w:cs="Times New Roman"/>
    </w:rPr>
  </w:style>
  <w:style w:type="character" w:customStyle="1" w:styleId="BodyTextFirstIndentChar">
    <w:name w:val="Body Text First Indent Char"/>
    <w:basedOn w:val="BodyTextChar"/>
    <w:link w:val="BodyTextFirstIndent"/>
    <w:uiPriority w:val="99"/>
    <w:rsid w:val="000902A4"/>
    <w:rPr>
      <w:rFonts w:ascii="Times New Roman" w:eastAsia="Times New Roman" w:hAnsi="Times New Roman" w:cs="Times New Roman"/>
    </w:rPr>
  </w:style>
  <w:style w:type="character" w:customStyle="1" w:styleId="pagefirst">
    <w:name w:val="pagefirst"/>
    <w:basedOn w:val="DefaultParagraphFont"/>
    <w:rsid w:val="000902A4"/>
  </w:style>
  <w:style w:type="character" w:customStyle="1" w:styleId="hlfld-fulltext">
    <w:name w:val="hlfld-fulltext"/>
    <w:basedOn w:val="DefaultParagraphFont"/>
    <w:rsid w:val="000902A4"/>
  </w:style>
  <w:style w:type="character" w:customStyle="1" w:styleId="button">
    <w:name w:val="button"/>
    <w:basedOn w:val="DefaultParagraphFont"/>
    <w:rsid w:val="000902A4"/>
  </w:style>
  <w:style w:type="character" w:customStyle="1" w:styleId="fieldset-legend">
    <w:name w:val="fieldset-legend"/>
    <w:basedOn w:val="DefaultParagraphFont"/>
    <w:rsid w:val="000902A4"/>
  </w:style>
  <w:style w:type="character" w:customStyle="1" w:styleId="date-display-single">
    <w:name w:val="date-display-single"/>
    <w:basedOn w:val="DefaultParagraphFont"/>
    <w:rsid w:val="000902A4"/>
  </w:style>
  <w:style w:type="character" w:customStyle="1" w:styleId="ref-journal">
    <w:name w:val="ref-journal"/>
    <w:basedOn w:val="DefaultParagraphFont"/>
    <w:rsid w:val="000902A4"/>
  </w:style>
  <w:style w:type="character" w:customStyle="1" w:styleId="ref-vol">
    <w:name w:val="ref-vol"/>
    <w:basedOn w:val="DefaultParagraphFont"/>
    <w:rsid w:val="000902A4"/>
  </w:style>
  <w:style w:type="character" w:customStyle="1" w:styleId="ProTextChar">
    <w:name w:val="ProText Char"/>
    <w:basedOn w:val="DefaultParagraphFont"/>
    <w:link w:val="ProText"/>
    <w:locked/>
    <w:rsid w:val="000902A4"/>
    <w:rPr>
      <w:rFonts w:ascii="Calibri" w:hAnsi="Calibri"/>
      <w:color w:val="000000"/>
    </w:rPr>
  </w:style>
  <w:style w:type="paragraph" w:customStyle="1" w:styleId="ProText">
    <w:name w:val="ProText"/>
    <w:basedOn w:val="Normal"/>
    <w:link w:val="ProTextChar"/>
    <w:rsid w:val="000902A4"/>
    <w:pPr>
      <w:autoSpaceDE w:val="0"/>
      <w:autoSpaceDN w:val="0"/>
      <w:spacing w:before="0" w:after="240" w:line="240" w:lineRule="auto"/>
      <w:ind w:left="0" w:right="0"/>
      <w:jc w:val="left"/>
    </w:pPr>
    <w:rPr>
      <w:rFonts w:ascii="Calibri" w:hAnsi="Calibri"/>
      <w:noProof w:val="0"/>
      <w:color w:val="000000"/>
    </w:rPr>
  </w:style>
  <w:style w:type="character" w:customStyle="1" w:styleId="bkciteavail">
    <w:name w:val="bk_cite_avail"/>
    <w:basedOn w:val="DefaultParagraphFont"/>
    <w:rsid w:val="000902A4"/>
  </w:style>
  <w:style w:type="paragraph" w:customStyle="1" w:styleId="msonormal0">
    <w:name w:val="msonormal"/>
    <w:basedOn w:val="Normal"/>
    <w:uiPriority w:val="99"/>
    <w:rsid w:val="006508EC"/>
    <w:pPr>
      <w:spacing w:before="100" w:beforeAutospacing="1" w:after="100" w:afterAutospacing="1" w:line="240" w:lineRule="auto"/>
      <w:ind w:left="0" w:right="0"/>
      <w:jc w:val="left"/>
    </w:pPr>
    <w:rPr>
      <w:rFonts w:ascii="Times New Roman" w:eastAsia="Times New Roman" w:hAnsi="Times New Roman" w:cs="Times New Roman"/>
      <w:noProof w:val="0"/>
      <w:color w:val="000000"/>
      <w:sz w:val="24"/>
      <w:szCs w:val="24"/>
    </w:rPr>
  </w:style>
  <w:style w:type="character" w:customStyle="1" w:styleId="Mention2">
    <w:name w:val="Mention2"/>
    <w:basedOn w:val="DefaultParagraphFont"/>
    <w:uiPriority w:val="99"/>
    <w:semiHidden/>
    <w:rsid w:val="006508EC"/>
    <w:rPr>
      <w:color w:val="2B579A"/>
      <w:shd w:val="clear" w:color="auto" w:fill="E6E6E6"/>
    </w:rPr>
  </w:style>
  <w:style w:type="table" w:customStyle="1" w:styleId="GridTable1Light-Accent11">
    <w:name w:val="Grid Table 1 Light - Accent 11"/>
    <w:basedOn w:val="TableNormal"/>
    <w:uiPriority w:val="46"/>
    <w:rsid w:val="006508E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6508E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3-Accent11">
    <w:name w:val="Grid Table 3 - Accent 11"/>
    <w:basedOn w:val="TableNormal"/>
    <w:uiPriority w:val="48"/>
    <w:rsid w:val="006508E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2-Accent51">
    <w:name w:val="Grid Table 2 - Accent 51"/>
    <w:basedOn w:val="TableNormal"/>
    <w:uiPriority w:val="47"/>
    <w:rsid w:val="006508EC"/>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HAFigureNumber">
    <w:name w:val="SHA Figure Number"/>
    <w:basedOn w:val="FigName"/>
    <w:link w:val="SHAFigureNumberChar"/>
    <w:qFormat/>
    <w:rsid w:val="00EF7361"/>
    <w:pPr>
      <w:jc w:val="center"/>
    </w:pPr>
  </w:style>
  <w:style w:type="paragraph" w:customStyle="1" w:styleId="SHAFigureNote">
    <w:name w:val="SHA Figure Note"/>
    <w:basedOn w:val="SHAFigureNumber"/>
    <w:link w:val="SHAFigureNoteChar"/>
    <w:qFormat/>
    <w:rsid w:val="00F6716B"/>
    <w:rPr>
      <w:b w:val="0"/>
      <w:sz w:val="20"/>
      <w:szCs w:val="20"/>
    </w:rPr>
  </w:style>
  <w:style w:type="character" w:customStyle="1" w:styleId="SHAFigureNumberChar">
    <w:name w:val="SHA Figure Number Char"/>
    <w:basedOn w:val="FigNameChar"/>
    <w:link w:val="SHAFigureNumber"/>
    <w:rsid w:val="00EF7361"/>
    <w:rPr>
      <w:rFonts w:ascii="Aileron" w:hAnsi="Aileron"/>
      <w:b/>
      <w:sz w:val="21"/>
      <w:szCs w:val="21"/>
    </w:rPr>
  </w:style>
  <w:style w:type="table" w:customStyle="1" w:styleId="GridTable3-Accent111">
    <w:name w:val="Grid Table 3 - Accent 111"/>
    <w:basedOn w:val="TableNormal"/>
    <w:uiPriority w:val="48"/>
    <w:rsid w:val="0044423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SHAFigureNoteChar">
    <w:name w:val="SHA Figure Note Char"/>
    <w:basedOn w:val="SHAFigureNumberChar"/>
    <w:link w:val="SHAFigureNote"/>
    <w:rsid w:val="00F6716B"/>
    <w:rPr>
      <w:rFonts w:ascii="Aileron" w:hAnsi="Aileron"/>
      <w:b w:val="0"/>
      <w:sz w:val="20"/>
      <w:szCs w:val="20"/>
    </w:rPr>
  </w:style>
  <w:style w:type="paragraph" w:customStyle="1" w:styleId="Body1">
    <w:name w:val="Body1"/>
    <w:basedOn w:val="NoSpacing"/>
    <w:link w:val="Body1Char"/>
    <w:qFormat/>
    <w:rsid w:val="009646EB"/>
    <w:pPr>
      <w:spacing w:after="120"/>
      <w:jc w:val="left"/>
    </w:pPr>
    <w:rPr>
      <w:sz w:val="24"/>
      <w:szCs w:val="24"/>
    </w:rPr>
  </w:style>
  <w:style w:type="character" w:customStyle="1" w:styleId="Body1Char">
    <w:name w:val="Body1 Char"/>
    <w:basedOn w:val="NoSpacingChar"/>
    <w:link w:val="Body1"/>
    <w:rsid w:val="009646EB"/>
    <w:rPr>
      <w:rFonts w:ascii="Aileron" w:hAnsi="Aileron"/>
      <w:sz w:val="24"/>
      <w:szCs w:val="24"/>
    </w:rPr>
  </w:style>
  <w:style w:type="table" w:customStyle="1" w:styleId="TableGrid2">
    <w:name w:val="Table Grid2"/>
    <w:basedOn w:val="TableNormal"/>
    <w:next w:val="TableGrid"/>
    <w:rsid w:val="00840D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1">
    <w:name w:val="Plain Table 3111"/>
    <w:basedOn w:val="TableNormal"/>
    <w:next w:val="PlainTable32"/>
    <w:uiPriority w:val="43"/>
    <w:rsid w:val="001B52C7"/>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Heading6Char">
    <w:name w:val="Heading 6 Char"/>
    <w:basedOn w:val="DefaultParagraphFont"/>
    <w:link w:val="Heading6"/>
    <w:uiPriority w:val="9"/>
    <w:rsid w:val="00492AB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92AB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92AB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92AB1"/>
    <w:rPr>
      <w:rFonts w:asciiTheme="majorHAnsi" w:eastAsiaTheme="majorEastAsia" w:hAnsiTheme="majorHAnsi" w:cstheme="majorBidi"/>
      <w:i/>
      <w:iCs/>
      <w:spacing w:val="5"/>
      <w:sz w:val="20"/>
      <w:szCs w:val="20"/>
    </w:rPr>
  </w:style>
  <w:style w:type="paragraph" w:styleId="Quote">
    <w:name w:val="Quote"/>
    <w:basedOn w:val="Normal"/>
    <w:next w:val="Normal"/>
    <w:link w:val="QuoteChar"/>
    <w:uiPriority w:val="29"/>
    <w:qFormat/>
    <w:rsid w:val="00492AB1"/>
    <w:pPr>
      <w:spacing w:before="200" w:after="0" w:line="276" w:lineRule="auto"/>
      <w:ind w:left="360" w:right="360"/>
    </w:pPr>
    <w:rPr>
      <w:rFonts w:eastAsiaTheme="minorEastAsia"/>
      <w:i/>
      <w:iCs/>
      <w:noProof w:val="0"/>
    </w:rPr>
  </w:style>
  <w:style w:type="character" w:customStyle="1" w:styleId="QuoteChar">
    <w:name w:val="Quote Char"/>
    <w:basedOn w:val="DefaultParagraphFont"/>
    <w:link w:val="Quote"/>
    <w:uiPriority w:val="29"/>
    <w:rsid w:val="00492AB1"/>
    <w:rPr>
      <w:rFonts w:eastAsiaTheme="minorEastAsia"/>
      <w:i/>
      <w:iCs/>
    </w:rPr>
  </w:style>
  <w:style w:type="paragraph" w:styleId="IntenseQuote">
    <w:name w:val="Intense Quote"/>
    <w:basedOn w:val="Normal"/>
    <w:next w:val="Normal"/>
    <w:link w:val="IntenseQuoteChar"/>
    <w:uiPriority w:val="30"/>
    <w:qFormat/>
    <w:rsid w:val="00492AB1"/>
    <w:pPr>
      <w:pBdr>
        <w:bottom w:val="single" w:sz="4" w:space="1" w:color="auto"/>
      </w:pBdr>
      <w:spacing w:before="200" w:after="280" w:line="276" w:lineRule="auto"/>
      <w:ind w:left="1008" w:right="1152"/>
    </w:pPr>
    <w:rPr>
      <w:rFonts w:eastAsiaTheme="minorEastAsia"/>
      <w:b/>
      <w:bCs/>
      <w:i/>
      <w:iCs/>
      <w:noProof w:val="0"/>
    </w:rPr>
  </w:style>
  <w:style w:type="character" w:customStyle="1" w:styleId="IntenseQuoteChar">
    <w:name w:val="Intense Quote Char"/>
    <w:basedOn w:val="DefaultParagraphFont"/>
    <w:link w:val="IntenseQuote"/>
    <w:uiPriority w:val="30"/>
    <w:rsid w:val="00492AB1"/>
    <w:rPr>
      <w:rFonts w:eastAsiaTheme="minorEastAsia"/>
      <w:b/>
      <w:bCs/>
      <w:i/>
      <w:iCs/>
    </w:rPr>
  </w:style>
  <w:style w:type="character" w:styleId="IntenseEmphasis">
    <w:name w:val="Intense Emphasis"/>
    <w:uiPriority w:val="21"/>
    <w:qFormat/>
    <w:rsid w:val="00492AB1"/>
    <w:rPr>
      <w:b/>
      <w:bCs/>
    </w:rPr>
  </w:style>
  <w:style w:type="character" w:styleId="SubtleReference">
    <w:name w:val="Subtle Reference"/>
    <w:uiPriority w:val="31"/>
    <w:qFormat/>
    <w:rsid w:val="00492AB1"/>
    <w:rPr>
      <w:smallCaps/>
    </w:rPr>
  </w:style>
  <w:style w:type="character" w:styleId="IntenseReference">
    <w:name w:val="Intense Reference"/>
    <w:uiPriority w:val="32"/>
    <w:qFormat/>
    <w:rsid w:val="00492AB1"/>
    <w:rPr>
      <w:smallCaps/>
      <w:spacing w:val="5"/>
      <w:u w:val="single"/>
    </w:rPr>
  </w:style>
  <w:style w:type="character" w:styleId="BookTitle">
    <w:name w:val="Book Title"/>
    <w:uiPriority w:val="33"/>
    <w:qFormat/>
    <w:rsid w:val="00492AB1"/>
    <w:rPr>
      <w:i/>
      <w:iCs/>
      <w:smallCaps/>
      <w:spacing w:val="5"/>
    </w:rPr>
  </w:style>
  <w:style w:type="paragraph" w:styleId="TOCHeading">
    <w:name w:val="TOC Heading"/>
    <w:basedOn w:val="Heading1"/>
    <w:next w:val="Normal"/>
    <w:uiPriority w:val="39"/>
    <w:semiHidden/>
    <w:unhideWhenUsed/>
    <w:qFormat/>
    <w:rsid w:val="00492AB1"/>
    <w:pPr>
      <w:keepNext w:val="0"/>
      <w:keepLines w:val="0"/>
      <w:spacing w:before="160" w:after="120" w:line="276" w:lineRule="auto"/>
      <w:ind w:left="0" w:right="0"/>
      <w:outlineLvl w:val="9"/>
    </w:pPr>
    <w:rPr>
      <w:bCs/>
      <w:noProof w:val="0"/>
      <w:sz w:val="48"/>
      <w:lang w:bidi="en-US"/>
    </w:rPr>
  </w:style>
  <w:style w:type="character" w:customStyle="1" w:styleId="element-citation">
    <w:name w:val="element-citation"/>
    <w:basedOn w:val="DefaultParagraphFont"/>
    <w:rsid w:val="00492AB1"/>
  </w:style>
  <w:style w:type="character" w:customStyle="1" w:styleId="nowrap">
    <w:name w:val="nowrap"/>
    <w:basedOn w:val="DefaultParagraphFont"/>
    <w:rsid w:val="00492AB1"/>
  </w:style>
  <w:style w:type="paragraph" w:customStyle="1" w:styleId="REFERENCES">
    <w:name w:val="REFERENCES"/>
    <w:basedOn w:val="NoSpacing"/>
    <w:link w:val="REFERENCESChar"/>
    <w:qFormat/>
    <w:rsid w:val="00C97417"/>
    <w:pPr>
      <w:ind w:left="-360" w:right="-360"/>
      <w:jc w:val="left"/>
    </w:pPr>
    <w:rPr>
      <w:rFonts w:asciiTheme="minorHAnsi" w:hAnsiTheme="minorHAnsi"/>
      <w:sz w:val="22"/>
      <w:szCs w:val="22"/>
    </w:rPr>
  </w:style>
  <w:style w:type="character" w:customStyle="1" w:styleId="UnresolvedMention1">
    <w:name w:val="Unresolved Mention1"/>
    <w:basedOn w:val="DefaultParagraphFont"/>
    <w:uiPriority w:val="99"/>
    <w:semiHidden/>
    <w:unhideWhenUsed/>
    <w:rsid w:val="00636067"/>
    <w:rPr>
      <w:color w:val="808080"/>
      <w:shd w:val="clear" w:color="auto" w:fill="E6E6E6"/>
    </w:rPr>
  </w:style>
  <w:style w:type="character" w:customStyle="1" w:styleId="REFERENCESChar">
    <w:name w:val="REFERENCES Char"/>
    <w:basedOn w:val="NoSpacingChar"/>
    <w:link w:val="REFERENCES"/>
    <w:rsid w:val="00C97417"/>
    <w:rPr>
      <w:rFonts w:ascii="Aileron" w:hAnsi="Aileron"/>
      <w:sz w:val="21"/>
      <w:szCs w:val="21"/>
    </w:rPr>
  </w:style>
  <w:style w:type="numbering" w:customStyle="1" w:styleId="NoList1">
    <w:name w:val="No List1"/>
    <w:next w:val="NoList"/>
    <w:uiPriority w:val="99"/>
    <w:semiHidden/>
    <w:unhideWhenUsed/>
    <w:rsid w:val="005A0277"/>
  </w:style>
  <w:style w:type="table" w:customStyle="1" w:styleId="GridTable4-Accent11">
    <w:name w:val="Grid Table 4 - Accent 11"/>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Heading11">
    <w:name w:val="Heading 11"/>
    <w:basedOn w:val="Normal"/>
    <w:next w:val="Normal"/>
    <w:uiPriority w:val="9"/>
    <w:rsid w:val="005A0277"/>
    <w:pPr>
      <w:keepNext/>
      <w:keepLines/>
      <w:spacing w:before="240" w:after="0"/>
      <w:ind w:left="0" w:right="0"/>
      <w:outlineLvl w:val="0"/>
    </w:pPr>
    <w:rPr>
      <w:rFonts w:ascii="Aileron" w:eastAsia="Times New Roman" w:hAnsi="Aileron" w:cs="Times New Roman"/>
      <w:noProof w:val="0"/>
      <w:color w:val="0B5294"/>
      <w:sz w:val="32"/>
      <w:szCs w:val="32"/>
    </w:rPr>
  </w:style>
  <w:style w:type="paragraph" w:customStyle="1" w:styleId="Heading21">
    <w:name w:val="Heading 21"/>
    <w:basedOn w:val="Normal"/>
    <w:next w:val="Normal"/>
    <w:uiPriority w:val="9"/>
    <w:unhideWhenUsed/>
    <w:rsid w:val="005A0277"/>
    <w:pPr>
      <w:keepNext/>
      <w:keepLines/>
      <w:spacing w:before="40" w:after="0"/>
      <w:ind w:left="0" w:right="0"/>
      <w:outlineLvl w:val="1"/>
    </w:pPr>
    <w:rPr>
      <w:rFonts w:ascii="Aileron Bold" w:eastAsia="Times New Roman" w:hAnsi="Aileron Bold" w:cs="Times New Roman"/>
      <w:noProof w:val="0"/>
      <w:color w:val="0B5294"/>
      <w:sz w:val="32"/>
      <w:szCs w:val="26"/>
    </w:rPr>
  </w:style>
  <w:style w:type="paragraph" w:customStyle="1" w:styleId="Heading31">
    <w:name w:val="Heading 31"/>
    <w:basedOn w:val="Normal"/>
    <w:next w:val="Normal"/>
    <w:uiPriority w:val="9"/>
    <w:unhideWhenUsed/>
    <w:rsid w:val="005A0277"/>
    <w:pPr>
      <w:keepNext/>
      <w:keepLines/>
      <w:spacing w:before="40" w:after="0"/>
      <w:ind w:left="0" w:right="0"/>
      <w:outlineLvl w:val="2"/>
    </w:pPr>
    <w:rPr>
      <w:rFonts w:ascii="Aileron" w:eastAsia="Times New Roman" w:hAnsi="Aileron" w:cs="Times New Roman"/>
      <w:noProof w:val="0"/>
      <w:color w:val="073662"/>
      <w:sz w:val="24"/>
      <w:szCs w:val="24"/>
    </w:rPr>
  </w:style>
  <w:style w:type="paragraph" w:customStyle="1" w:styleId="Heading41">
    <w:name w:val="Heading 41"/>
    <w:basedOn w:val="Normal"/>
    <w:next w:val="Normal"/>
    <w:uiPriority w:val="9"/>
    <w:unhideWhenUsed/>
    <w:qFormat/>
    <w:rsid w:val="005A0277"/>
    <w:pPr>
      <w:keepNext/>
      <w:keepLines/>
      <w:spacing w:before="40" w:after="0"/>
      <w:ind w:left="0" w:right="0"/>
      <w:outlineLvl w:val="3"/>
    </w:pPr>
    <w:rPr>
      <w:rFonts w:ascii="Aileron Bold" w:eastAsia="Times New Roman" w:hAnsi="Aileron Bold" w:cs="Times New Roman"/>
      <w:b/>
      <w:iCs/>
      <w:noProof w:val="0"/>
      <w:color w:val="0F6FC6"/>
      <w:sz w:val="26"/>
    </w:rPr>
  </w:style>
  <w:style w:type="paragraph" w:customStyle="1" w:styleId="Heading51">
    <w:name w:val="Heading 51"/>
    <w:basedOn w:val="Normal"/>
    <w:next w:val="Normal"/>
    <w:uiPriority w:val="9"/>
    <w:unhideWhenUsed/>
    <w:qFormat/>
    <w:rsid w:val="005A0277"/>
    <w:pPr>
      <w:keepNext/>
      <w:keepLines/>
      <w:spacing w:before="40" w:after="0"/>
      <w:ind w:left="0" w:right="0"/>
      <w:outlineLvl w:val="4"/>
    </w:pPr>
    <w:rPr>
      <w:rFonts w:ascii="Aileron" w:eastAsia="Times New Roman" w:hAnsi="Aileron" w:cs="Times New Roman"/>
      <w:noProof w:val="0"/>
      <w:color w:val="0B5294"/>
      <w:sz w:val="23"/>
    </w:rPr>
  </w:style>
  <w:style w:type="paragraph" w:customStyle="1" w:styleId="Heading61">
    <w:name w:val="Heading 61"/>
    <w:basedOn w:val="Normal"/>
    <w:next w:val="Normal"/>
    <w:uiPriority w:val="9"/>
    <w:unhideWhenUsed/>
    <w:qFormat/>
    <w:rsid w:val="005A0277"/>
    <w:pPr>
      <w:keepNext/>
      <w:keepLines/>
      <w:spacing w:before="40" w:after="0"/>
      <w:ind w:left="0" w:right="0"/>
      <w:outlineLvl w:val="5"/>
    </w:pPr>
    <w:rPr>
      <w:rFonts w:ascii="Aileron" w:eastAsia="Times New Roman" w:hAnsi="Aileron" w:cs="Times New Roman"/>
      <w:b/>
      <w:noProof w:val="0"/>
      <w:color w:val="073662"/>
      <w:sz w:val="24"/>
    </w:rPr>
  </w:style>
  <w:style w:type="numbering" w:customStyle="1" w:styleId="NoList11">
    <w:name w:val="No List11"/>
    <w:next w:val="NoList"/>
    <w:uiPriority w:val="99"/>
    <w:semiHidden/>
    <w:unhideWhenUsed/>
    <w:rsid w:val="005A0277"/>
  </w:style>
  <w:style w:type="paragraph" w:customStyle="1" w:styleId="Title1">
    <w:name w:val="Title1"/>
    <w:basedOn w:val="Normal"/>
    <w:next w:val="Normal"/>
    <w:uiPriority w:val="10"/>
    <w:qFormat/>
    <w:rsid w:val="005A0277"/>
    <w:pPr>
      <w:spacing w:before="0" w:after="0" w:line="240" w:lineRule="auto"/>
      <w:ind w:left="0" w:right="0"/>
      <w:contextualSpacing/>
    </w:pPr>
    <w:rPr>
      <w:rFonts w:ascii="Arial" w:eastAsia="Times New Roman" w:hAnsi="Arial" w:cs="Times New Roman"/>
      <w:noProof w:val="0"/>
      <w:spacing w:val="-10"/>
      <w:kern w:val="28"/>
      <w:sz w:val="44"/>
      <w:szCs w:val="56"/>
    </w:rPr>
  </w:style>
  <w:style w:type="paragraph" w:customStyle="1" w:styleId="Subtitle1">
    <w:name w:val="Subtitle1"/>
    <w:basedOn w:val="Normal"/>
    <w:next w:val="Normal"/>
    <w:uiPriority w:val="11"/>
    <w:qFormat/>
    <w:rsid w:val="005A0277"/>
    <w:pPr>
      <w:numPr>
        <w:ilvl w:val="1"/>
      </w:numPr>
      <w:spacing w:before="0"/>
      <w:ind w:left="-360" w:right="0"/>
    </w:pPr>
    <w:rPr>
      <w:rFonts w:ascii="Times New Roman" w:eastAsia="Times New Roman" w:hAnsi="Times New Roman"/>
      <w:noProof w:val="0"/>
      <w:color w:val="5A5A5A"/>
      <w:spacing w:val="15"/>
      <w:sz w:val="23"/>
    </w:rPr>
  </w:style>
  <w:style w:type="table" w:customStyle="1" w:styleId="TableGrid3">
    <w:name w:val="Table Grid3"/>
    <w:basedOn w:val="TableNormal"/>
    <w:next w:val="TableGrid"/>
    <w:uiPriority w:val="39"/>
    <w:rsid w:val="005A0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uiPriority w:val="46"/>
    <w:rsid w:val="005A0277"/>
    <w:pPr>
      <w:spacing w:after="0" w:line="240" w:lineRule="auto"/>
    </w:pPr>
    <w:tblPr>
      <w:tblStyleRowBandSize w:val="1"/>
      <w:tblStyleColBandSize w:val="1"/>
      <w:tblBorders>
        <w:top w:val="single" w:sz="4" w:space="0" w:color="90C5F6"/>
        <w:left w:val="single" w:sz="4" w:space="0" w:color="90C5F6"/>
        <w:bottom w:val="single" w:sz="4" w:space="0" w:color="90C5F6"/>
        <w:right w:val="single" w:sz="4" w:space="0" w:color="90C5F6"/>
        <w:insideH w:val="single" w:sz="4" w:space="0" w:color="90C5F6"/>
        <w:insideV w:val="single" w:sz="4" w:space="0" w:color="90C5F6"/>
      </w:tblBorders>
    </w:tblPr>
    <w:tblStylePr w:type="firstRow">
      <w:rPr>
        <w:b/>
        <w:bCs/>
      </w:rPr>
      <w:tblPr/>
      <w:tcPr>
        <w:tcBorders>
          <w:bottom w:val="single" w:sz="12" w:space="0" w:color="59A9F2"/>
        </w:tcBorders>
      </w:tcPr>
    </w:tblStylePr>
    <w:tblStylePr w:type="lastRow">
      <w:rPr>
        <w:b/>
        <w:bCs/>
      </w:rPr>
      <w:tblPr/>
      <w:tcPr>
        <w:tcBorders>
          <w:top w:val="double" w:sz="2" w:space="0" w:color="59A9F2"/>
        </w:tcBorders>
      </w:tcPr>
    </w:tblStylePr>
    <w:tblStylePr w:type="firstCol">
      <w:rPr>
        <w:b/>
        <w:bCs/>
      </w:rPr>
    </w:tblStylePr>
    <w:tblStylePr w:type="lastCol">
      <w:rPr>
        <w:b/>
        <w:bCs/>
      </w:rPr>
    </w:tblStylePr>
  </w:style>
  <w:style w:type="table" w:customStyle="1" w:styleId="GridTable2-Accent111">
    <w:name w:val="Grid Table 2 - Accent 111"/>
    <w:basedOn w:val="TableNormal"/>
    <w:uiPriority w:val="47"/>
    <w:rsid w:val="005A0277"/>
    <w:pPr>
      <w:spacing w:after="0" w:line="240" w:lineRule="auto"/>
    </w:pPr>
    <w:tblPr>
      <w:tblStyleRowBandSize w:val="1"/>
      <w:tblStyleColBandSize w:val="1"/>
      <w:tblBorders>
        <w:top w:val="single" w:sz="2" w:space="0" w:color="59A9F2"/>
        <w:bottom w:val="single" w:sz="2" w:space="0" w:color="59A9F2"/>
        <w:insideH w:val="single" w:sz="2" w:space="0" w:color="59A9F2"/>
        <w:insideV w:val="single" w:sz="2" w:space="0" w:color="59A9F2"/>
      </w:tblBorders>
    </w:tblPr>
    <w:tblStylePr w:type="firstRow">
      <w:rPr>
        <w:b/>
        <w:bCs/>
      </w:rPr>
      <w:tblPr/>
      <w:tcPr>
        <w:tcBorders>
          <w:top w:val="nil"/>
          <w:bottom w:val="single" w:sz="12" w:space="0" w:color="59A9F2"/>
          <w:insideH w:val="nil"/>
          <w:insideV w:val="nil"/>
        </w:tcBorders>
        <w:shd w:val="clear" w:color="auto" w:fill="FFFFFF"/>
      </w:tcPr>
    </w:tblStylePr>
    <w:tblStylePr w:type="lastRow">
      <w:rPr>
        <w:b/>
        <w:bCs/>
      </w:rPr>
      <w:tblPr/>
      <w:tcPr>
        <w:tcBorders>
          <w:top w:val="double" w:sz="2" w:space="0" w:color="59A9F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11">
    <w:name w:val="Grid Table 4 - Accent 111"/>
    <w:basedOn w:val="TableNormal"/>
    <w:uiPriority w:val="49"/>
    <w:rsid w:val="005A0277"/>
    <w:pPr>
      <w:spacing w:after="0" w:line="240" w:lineRule="auto"/>
    </w:pPr>
    <w:tblPr>
      <w:tblStyleRowBandSize w:val="1"/>
      <w:tblStyleColBandSize w:val="1"/>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character" w:customStyle="1" w:styleId="TitleChar1">
    <w:name w:val="Title Char1"/>
    <w:basedOn w:val="DefaultParagraphFont"/>
    <w:uiPriority w:val="10"/>
    <w:rsid w:val="005A0277"/>
    <w:rPr>
      <w:rFonts w:ascii="Calibri Light" w:eastAsia="Times New Roman" w:hAnsi="Calibri Light" w:cs="Times New Roman"/>
      <w:spacing w:val="-10"/>
      <w:kern w:val="28"/>
      <w:sz w:val="56"/>
      <w:szCs w:val="56"/>
    </w:rPr>
  </w:style>
  <w:style w:type="character" w:customStyle="1" w:styleId="SubtitleChar1">
    <w:name w:val="Subtitle Char1"/>
    <w:basedOn w:val="DefaultParagraphFont"/>
    <w:uiPriority w:val="11"/>
    <w:rsid w:val="005A0277"/>
    <w:rPr>
      <w:rFonts w:eastAsia="Times New Roman"/>
      <w:color w:val="5A5A5A"/>
      <w:spacing w:val="15"/>
    </w:rPr>
  </w:style>
  <w:style w:type="character" w:customStyle="1" w:styleId="Heading1Char1">
    <w:name w:val="Heading 1 Char1"/>
    <w:basedOn w:val="DefaultParagraphFont"/>
    <w:uiPriority w:val="9"/>
    <w:rsid w:val="005A0277"/>
    <w:rPr>
      <w:rFonts w:ascii="Calibri Light" w:eastAsia="Times New Roman" w:hAnsi="Calibri Light" w:cs="Times New Roman"/>
      <w:color w:val="2E74B5"/>
      <w:sz w:val="32"/>
      <w:szCs w:val="32"/>
    </w:rPr>
  </w:style>
  <w:style w:type="character" w:customStyle="1" w:styleId="Heading2Char1">
    <w:name w:val="Heading 2 Char1"/>
    <w:basedOn w:val="DefaultParagraphFont"/>
    <w:uiPriority w:val="9"/>
    <w:semiHidden/>
    <w:rsid w:val="005A0277"/>
    <w:rPr>
      <w:rFonts w:ascii="Calibri Light" w:eastAsia="Times New Roman" w:hAnsi="Calibri Light" w:cs="Times New Roman"/>
      <w:color w:val="2E74B5"/>
      <w:sz w:val="26"/>
      <w:szCs w:val="26"/>
    </w:rPr>
  </w:style>
  <w:style w:type="character" w:customStyle="1" w:styleId="Heading3Char1">
    <w:name w:val="Heading 3 Char1"/>
    <w:basedOn w:val="DefaultParagraphFont"/>
    <w:uiPriority w:val="9"/>
    <w:semiHidden/>
    <w:rsid w:val="005A0277"/>
    <w:rPr>
      <w:rFonts w:ascii="Calibri Light" w:eastAsia="Times New Roman" w:hAnsi="Calibri Light" w:cs="Times New Roman"/>
      <w:color w:val="1F4D78"/>
      <w:sz w:val="24"/>
      <w:szCs w:val="24"/>
    </w:rPr>
  </w:style>
  <w:style w:type="character" w:customStyle="1" w:styleId="Heading4Char1">
    <w:name w:val="Heading 4 Char1"/>
    <w:basedOn w:val="DefaultParagraphFont"/>
    <w:uiPriority w:val="9"/>
    <w:semiHidden/>
    <w:rsid w:val="005A0277"/>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5A0277"/>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5A0277"/>
    <w:rPr>
      <w:rFonts w:ascii="Calibri Light" w:eastAsia="Times New Roman" w:hAnsi="Calibri Light" w:cs="Times New Roman"/>
      <w:color w:val="1F4D78"/>
    </w:rPr>
  </w:style>
  <w:style w:type="paragraph" w:customStyle="1" w:styleId="ColorfulList-Accent11">
    <w:name w:val="Colorful List - Accent 11"/>
    <w:basedOn w:val="Normal"/>
    <w:qFormat/>
    <w:rsid w:val="005A0277"/>
    <w:pPr>
      <w:spacing w:before="0" w:after="0" w:line="240" w:lineRule="auto"/>
      <w:ind w:left="720" w:right="0"/>
      <w:contextualSpacing/>
      <w:jc w:val="left"/>
    </w:pPr>
    <w:rPr>
      <w:rFonts w:ascii="Calibri" w:eastAsia="Calibri" w:hAnsi="Calibri" w:cs="Times New Roman"/>
      <w:noProof w:val="0"/>
    </w:rPr>
  </w:style>
  <w:style w:type="paragraph" w:customStyle="1" w:styleId="Heading71">
    <w:name w:val="Heading 71"/>
    <w:basedOn w:val="Normal"/>
    <w:next w:val="Normal"/>
    <w:uiPriority w:val="9"/>
    <w:semiHidden/>
    <w:unhideWhenUsed/>
    <w:qFormat/>
    <w:rsid w:val="005A0277"/>
    <w:pPr>
      <w:spacing w:before="280" w:after="0" w:line="360" w:lineRule="auto"/>
      <w:ind w:left="0" w:right="0"/>
      <w:jc w:val="left"/>
      <w:outlineLvl w:val="6"/>
    </w:pPr>
    <w:rPr>
      <w:rFonts w:ascii="Cambria" w:eastAsia="Times New Roman" w:hAnsi="Cambria" w:cs="Times New Roman"/>
      <w:b/>
      <w:bCs/>
      <w:i/>
      <w:iCs/>
      <w:noProof w:val="0"/>
      <w:sz w:val="20"/>
      <w:szCs w:val="20"/>
    </w:rPr>
  </w:style>
  <w:style w:type="paragraph" w:customStyle="1" w:styleId="Heading81">
    <w:name w:val="Heading 81"/>
    <w:basedOn w:val="Normal"/>
    <w:next w:val="Normal"/>
    <w:uiPriority w:val="9"/>
    <w:semiHidden/>
    <w:unhideWhenUsed/>
    <w:qFormat/>
    <w:rsid w:val="005A0277"/>
    <w:pPr>
      <w:spacing w:before="280" w:after="0" w:line="360" w:lineRule="auto"/>
      <w:ind w:left="0" w:right="0"/>
      <w:jc w:val="left"/>
      <w:outlineLvl w:val="7"/>
    </w:pPr>
    <w:rPr>
      <w:rFonts w:ascii="Cambria" w:eastAsia="Times New Roman" w:hAnsi="Cambria" w:cs="Times New Roman"/>
      <w:b/>
      <w:bCs/>
      <w:i/>
      <w:iCs/>
      <w:noProof w:val="0"/>
      <w:sz w:val="18"/>
      <w:szCs w:val="18"/>
    </w:rPr>
  </w:style>
  <w:style w:type="paragraph" w:customStyle="1" w:styleId="Heading91">
    <w:name w:val="Heading 91"/>
    <w:basedOn w:val="Normal"/>
    <w:next w:val="Normal"/>
    <w:uiPriority w:val="9"/>
    <w:semiHidden/>
    <w:unhideWhenUsed/>
    <w:qFormat/>
    <w:rsid w:val="005A0277"/>
    <w:pPr>
      <w:spacing w:before="280" w:after="0" w:line="360" w:lineRule="auto"/>
      <w:ind w:left="0" w:right="0"/>
      <w:jc w:val="left"/>
      <w:outlineLvl w:val="8"/>
    </w:pPr>
    <w:rPr>
      <w:rFonts w:ascii="Cambria" w:eastAsia="Times New Roman" w:hAnsi="Cambria" w:cs="Times New Roman"/>
      <w:i/>
      <w:iCs/>
      <w:noProof w:val="0"/>
      <w:sz w:val="18"/>
      <w:szCs w:val="18"/>
    </w:rPr>
  </w:style>
  <w:style w:type="numbering" w:customStyle="1" w:styleId="NoList2">
    <w:name w:val="No List2"/>
    <w:next w:val="NoList"/>
    <w:uiPriority w:val="99"/>
    <w:semiHidden/>
    <w:unhideWhenUsed/>
    <w:rsid w:val="005A0277"/>
  </w:style>
  <w:style w:type="table" w:customStyle="1" w:styleId="LightShading-Accent11">
    <w:name w:val="Light Shading - Accent 11"/>
    <w:basedOn w:val="TableNormal"/>
    <w:next w:val="LightShading-Accent1"/>
    <w:uiPriority w:val="60"/>
    <w:rsid w:val="005A0277"/>
    <w:pPr>
      <w:spacing w:before="100" w:after="100" w:line="480" w:lineRule="auto"/>
      <w:ind w:firstLine="360"/>
    </w:pPr>
    <w:rPr>
      <w:rFonts w:eastAsia="Times New Roma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Quote1">
    <w:name w:val="Quote1"/>
    <w:basedOn w:val="Normal"/>
    <w:next w:val="Normal"/>
    <w:uiPriority w:val="29"/>
    <w:qFormat/>
    <w:rsid w:val="005A0277"/>
    <w:pPr>
      <w:spacing w:line="240" w:lineRule="auto"/>
      <w:ind w:left="0" w:right="0"/>
      <w:jc w:val="left"/>
    </w:pPr>
    <w:rPr>
      <w:rFonts w:eastAsia="Times New Roman"/>
      <w:noProof w:val="0"/>
      <w:color w:val="5A5A5A"/>
    </w:rPr>
  </w:style>
  <w:style w:type="paragraph" w:customStyle="1" w:styleId="IntenseQuote1">
    <w:name w:val="Intense Quote1"/>
    <w:basedOn w:val="Normal"/>
    <w:next w:val="Normal"/>
    <w:uiPriority w:val="30"/>
    <w:qFormat/>
    <w:rsid w:val="005A0277"/>
    <w:pPr>
      <w:spacing w:before="320" w:after="480" w:line="240" w:lineRule="auto"/>
      <w:ind w:left="720" w:right="720"/>
      <w:jc w:val="center"/>
    </w:pPr>
    <w:rPr>
      <w:rFonts w:ascii="Cambria" w:eastAsia="Times New Roman" w:hAnsi="Cambria" w:cs="Times New Roman"/>
      <w:i/>
      <w:iCs/>
      <w:noProof w:val="0"/>
      <w:sz w:val="20"/>
      <w:szCs w:val="20"/>
    </w:rPr>
  </w:style>
  <w:style w:type="character" w:customStyle="1" w:styleId="SubtleEmphasis1">
    <w:name w:val="Subtle Emphasis1"/>
    <w:uiPriority w:val="19"/>
    <w:qFormat/>
    <w:rsid w:val="005A0277"/>
    <w:rPr>
      <w:i/>
      <w:iCs/>
      <w:color w:val="5A5A5A"/>
    </w:rPr>
  </w:style>
  <w:style w:type="character" w:customStyle="1" w:styleId="BookTitle1">
    <w:name w:val="Book Title1"/>
    <w:uiPriority w:val="33"/>
    <w:qFormat/>
    <w:rsid w:val="005A0277"/>
    <w:rPr>
      <w:rFonts w:ascii="Cambria" w:eastAsia="Times New Roman" w:hAnsi="Cambria" w:cs="Times New Roman"/>
      <w:b/>
      <w:bCs/>
      <w:smallCaps/>
      <w:color w:val="auto"/>
      <w:u w:val="single"/>
    </w:rPr>
  </w:style>
  <w:style w:type="character" w:styleId="PageNumber">
    <w:name w:val="page number"/>
    <w:basedOn w:val="DefaultParagraphFont"/>
    <w:uiPriority w:val="99"/>
    <w:semiHidden/>
    <w:unhideWhenUsed/>
    <w:rsid w:val="005A0277"/>
  </w:style>
  <w:style w:type="paragraph" w:customStyle="1" w:styleId="CM13">
    <w:name w:val="CM13"/>
    <w:basedOn w:val="Normal"/>
    <w:next w:val="Normal"/>
    <w:uiPriority w:val="99"/>
    <w:rsid w:val="005A0277"/>
    <w:pPr>
      <w:widowControl w:val="0"/>
      <w:autoSpaceDE w:val="0"/>
      <w:autoSpaceDN w:val="0"/>
      <w:adjustRightInd w:val="0"/>
      <w:spacing w:before="0" w:after="0" w:line="240" w:lineRule="auto"/>
      <w:ind w:left="0" w:right="0"/>
      <w:jc w:val="left"/>
    </w:pPr>
    <w:rPr>
      <w:rFonts w:ascii="DINMittelschrift" w:eastAsia="Times New Roman" w:hAnsi="DINMittelschrift" w:cs="Times New Roman"/>
      <w:noProof w:val="0"/>
      <w:sz w:val="24"/>
      <w:szCs w:val="24"/>
    </w:rPr>
  </w:style>
  <w:style w:type="table" w:customStyle="1" w:styleId="LightShading-Accent12">
    <w:name w:val="Light Shading - Accent 12"/>
    <w:basedOn w:val="TableNormal"/>
    <w:next w:val="LightShading-Accent1"/>
    <w:uiPriority w:val="60"/>
    <w:rsid w:val="005A0277"/>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customStyle="1" w:styleId="Heading7Char1">
    <w:name w:val="Heading 7 Char1"/>
    <w:basedOn w:val="DefaultParagraphFont"/>
    <w:uiPriority w:val="9"/>
    <w:semiHidden/>
    <w:rsid w:val="005A0277"/>
    <w:rPr>
      <w:rFonts w:ascii="Calibri Light" w:eastAsia="Times New Roman" w:hAnsi="Calibri Light" w:cs="Times New Roman"/>
      <w:i/>
      <w:iCs/>
      <w:color w:val="404040"/>
    </w:rPr>
  </w:style>
  <w:style w:type="character" w:customStyle="1" w:styleId="Heading8Char1">
    <w:name w:val="Heading 8 Char1"/>
    <w:basedOn w:val="DefaultParagraphFont"/>
    <w:uiPriority w:val="9"/>
    <w:semiHidden/>
    <w:rsid w:val="005A0277"/>
    <w:rPr>
      <w:rFonts w:ascii="Calibri Light" w:eastAsia="Times New Roman" w:hAnsi="Calibri Light" w:cs="Times New Roman"/>
      <w:color w:val="404040"/>
      <w:sz w:val="20"/>
      <w:szCs w:val="20"/>
    </w:rPr>
  </w:style>
  <w:style w:type="character" w:customStyle="1" w:styleId="Heading9Char1">
    <w:name w:val="Heading 9 Char1"/>
    <w:basedOn w:val="DefaultParagraphFont"/>
    <w:uiPriority w:val="9"/>
    <w:semiHidden/>
    <w:rsid w:val="005A0277"/>
    <w:rPr>
      <w:rFonts w:ascii="Calibri Light" w:eastAsia="Times New Roman" w:hAnsi="Calibri Light" w:cs="Times New Roman"/>
      <w:i/>
      <w:iCs/>
      <w:color w:val="404040"/>
      <w:sz w:val="20"/>
      <w:szCs w:val="20"/>
    </w:rPr>
  </w:style>
  <w:style w:type="character" w:customStyle="1" w:styleId="QuoteChar1">
    <w:name w:val="Quote Char1"/>
    <w:basedOn w:val="DefaultParagraphFont"/>
    <w:uiPriority w:val="29"/>
    <w:rsid w:val="005A0277"/>
    <w:rPr>
      <w:i/>
      <w:iCs/>
      <w:color w:val="000000"/>
    </w:rPr>
  </w:style>
  <w:style w:type="character" w:customStyle="1" w:styleId="IntenseQuoteChar1">
    <w:name w:val="Intense Quote Char1"/>
    <w:basedOn w:val="DefaultParagraphFont"/>
    <w:uiPriority w:val="30"/>
    <w:rsid w:val="005A0277"/>
    <w:rPr>
      <w:b/>
      <w:bCs/>
      <w:i/>
      <w:iCs/>
      <w:color w:val="5B9BD5"/>
    </w:rPr>
  </w:style>
  <w:style w:type="table" w:styleId="LightShading-Accent1">
    <w:name w:val="Light Shading Accent 1"/>
    <w:basedOn w:val="TableNormal"/>
    <w:uiPriority w:val="60"/>
    <w:rsid w:val="005A0277"/>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GridTable4-Accent112">
    <w:name w:val="Grid Table 4 - Accent 112"/>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UnresolvedMention2">
    <w:name w:val="Unresolved Mention2"/>
    <w:basedOn w:val="DefaultParagraphFont"/>
    <w:uiPriority w:val="99"/>
    <w:semiHidden/>
    <w:unhideWhenUsed/>
    <w:rsid w:val="006A1740"/>
    <w:rPr>
      <w:color w:val="808080"/>
      <w:shd w:val="clear" w:color="auto" w:fill="E6E6E6"/>
    </w:rPr>
  </w:style>
  <w:style w:type="character" w:customStyle="1" w:styleId="UnresolvedMention">
    <w:name w:val="Unresolved Mention"/>
    <w:basedOn w:val="DefaultParagraphFont"/>
    <w:uiPriority w:val="99"/>
    <w:semiHidden/>
    <w:unhideWhenUsed/>
    <w:rsid w:val="005B3F14"/>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D41"/>
    <w:pPr>
      <w:spacing w:before="120"/>
      <w:ind w:left="-360" w:right="2880"/>
      <w:jc w:val="both"/>
    </w:pPr>
    <w:rPr>
      <w:noProof/>
    </w:rPr>
  </w:style>
  <w:style w:type="paragraph" w:styleId="Heading1">
    <w:name w:val="heading 1"/>
    <w:aliases w:val="SHA HEADING 1"/>
    <w:basedOn w:val="Normal"/>
    <w:next w:val="Normal"/>
    <w:link w:val="Heading1Char"/>
    <w:uiPriority w:val="9"/>
    <w:qFormat/>
    <w:rsid w:val="00EF7361"/>
    <w:pPr>
      <w:keepNext/>
      <w:keepLines/>
      <w:spacing w:before="360" w:after="240"/>
      <w:ind w:right="-360"/>
      <w:jc w:val="left"/>
      <w:outlineLvl w:val="0"/>
    </w:pPr>
    <w:rPr>
      <w:rFonts w:eastAsiaTheme="majorEastAsia" w:cstheme="majorBidi"/>
      <w:b/>
      <w:sz w:val="40"/>
      <w:szCs w:val="40"/>
    </w:rPr>
  </w:style>
  <w:style w:type="paragraph" w:styleId="Heading2">
    <w:name w:val="heading 2"/>
    <w:basedOn w:val="Normal"/>
    <w:next w:val="Normal"/>
    <w:link w:val="Heading2Char"/>
    <w:uiPriority w:val="9"/>
    <w:unhideWhenUsed/>
    <w:qFormat/>
    <w:rsid w:val="00EF7361"/>
    <w:pPr>
      <w:spacing w:before="360"/>
      <w:outlineLvl w:val="1"/>
    </w:pPr>
    <w:rPr>
      <w:b/>
      <w:sz w:val="30"/>
      <w:szCs w:val="30"/>
    </w:rPr>
  </w:style>
  <w:style w:type="paragraph" w:styleId="Heading3">
    <w:name w:val="heading 3"/>
    <w:basedOn w:val="Normal"/>
    <w:next w:val="Normal"/>
    <w:link w:val="Heading3Char"/>
    <w:uiPriority w:val="9"/>
    <w:unhideWhenUsed/>
    <w:qFormat/>
    <w:rsid w:val="007D7811"/>
    <w:pPr>
      <w:keepNext/>
      <w:keepLines/>
      <w:spacing w:before="240" w:after="0"/>
      <w:ind w:right="-360"/>
      <w:jc w:val="left"/>
      <w:outlineLvl w:val="2"/>
    </w:pPr>
    <w:rPr>
      <w:rFonts w:eastAsiaTheme="majorEastAsia" w:cstheme="majorBidi"/>
      <w:color w:val="203864"/>
      <w:sz w:val="26"/>
      <w:szCs w:val="26"/>
    </w:rPr>
  </w:style>
  <w:style w:type="paragraph" w:styleId="Heading4">
    <w:name w:val="heading 4"/>
    <w:basedOn w:val="Heading2"/>
    <w:next w:val="Normal"/>
    <w:link w:val="Heading4Char"/>
    <w:uiPriority w:val="9"/>
    <w:unhideWhenUsed/>
    <w:qFormat/>
    <w:rsid w:val="00EF7361"/>
    <w:pPr>
      <w:spacing w:before="240"/>
      <w:ind w:right="-360"/>
      <w:outlineLvl w:val="3"/>
    </w:pPr>
    <w:rPr>
      <w:sz w:val="24"/>
      <w:szCs w:val="24"/>
    </w:rPr>
  </w:style>
  <w:style w:type="paragraph" w:styleId="Heading5">
    <w:name w:val="heading 5"/>
    <w:basedOn w:val="Normal"/>
    <w:next w:val="Normal"/>
    <w:link w:val="Heading5Char"/>
    <w:uiPriority w:val="9"/>
    <w:unhideWhenUsed/>
    <w:qFormat/>
    <w:rsid w:val="004D187E"/>
    <w:pPr>
      <w:ind w:right="-360"/>
      <w:outlineLvl w:val="4"/>
    </w:pPr>
    <w:rPr>
      <w:b/>
      <w:color w:val="203864"/>
    </w:rPr>
  </w:style>
  <w:style w:type="paragraph" w:styleId="Heading6">
    <w:name w:val="heading 6"/>
    <w:basedOn w:val="Normal"/>
    <w:next w:val="Normal"/>
    <w:link w:val="Heading6Char"/>
    <w:uiPriority w:val="9"/>
    <w:unhideWhenUsed/>
    <w:qFormat/>
    <w:rsid w:val="00492AB1"/>
    <w:pPr>
      <w:spacing w:after="0" w:line="271" w:lineRule="auto"/>
      <w:ind w:left="0" w:right="0"/>
      <w:outlineLvl w:val="5"/>
    </w:pPr>
    <w:rPr>
      <w:rFonts w:asciiTheme="majorHAnsi" w:eastAsiaTheme="majorEastAsia" w:hAnsiTheme="majorHAnsi" w:cstheme="majorBidi"/>
      <w:b/>
      <w:bCs/>
      <w:i/>
      <w:iCs/>
      <w:noProof w:val="0"/>
      <w:color w:val="7F7F7F" w:themeColor="text1" w:themeTint="80"/>
    </w:rPr>
  </w:style>
  <w:style w:type="paragraph" w:styleId="Heading7">
    <w:name w:val="heading 7"/>
    <w:basedOn w:val="Normal"/>
    <w:next w:val="Normal"/>
    <w:link w:val="Heading7Char"/>
    <w:uiPriority w:val="9"/>
    <w:semiHidden/>
    <w:unhideWhenUsed/>
    <w:qFormat/>
    <w:rsid w:val="00492AB1"/>
    <w:pPr>
      <w:spacing w:after="0" w:line="276" w:lineRule="auto"/>
      <w:ind w:left="0" w:right="0"/>
      <w:outlineLvl w:val="6"/>
    </w:pPr>
    <w:rPr>
      <w:rFonts w:asciiTheme="majorHAnsi" w:eastAsiaTheme="majorEastAsia" w:hAnsiTheme="majorHAnsi" w:cstheme="majorBidi"/>
      <w:i/>
      <w:iCs/>
      <w:noProof w:val="0"/>
    </w:rPr>
  </w:style>
  <w:style w:type="paragraph" w:styleId="Heading8">
    <w:name w:val="heading 8"/>
    <w:basedOn w:val="Normal"/>
    <w:next w:val="Normal"/>
    <w:link w:val="Heading8Char"/>
    <w:uiPriority w:val="9"/>
    <w:semiHidden/>
    <w:unhideWhenUsed/>
    <w:qFormat/>
    <w:rsid w:val="00492AB1"/>
    <w:pPr>
      <w:spacing w:after="0" w:line="276" w:lineRule="auto"/>
      <w:ind w:left="0" w:right="0"/>
      <w:outlineLvl w:val="7"/>
    </w:pPr>
    <w:rPr>
      <w:rFonts w:asciiTheme="majorHAnsi" w:eastAsiaTheme="majorEastAsia" w:hAnsiTheme="majorHAnsi" w:cstheme="majorBidi"/>
      <w:noProof w:val="0"/>
      <w:sz w:val="20"/>
      <w:szCs w:val="20"/>
    </w:rPr>
  </w:style>
  <w:style w:type="paragraph" w:styleId="Heading9">
    <w:name w:val="heading 9"/>
    <w:basedOn w:val="Normal"/>
    <w:next w:val="Normal"/>
    <w:link w:val="Heading9Char"/>
    <w:uiPriority w:val="9"/>
    <w:semiHidden/>
    <w:unhideWhenUsed/>
    <w:qFormat/>
    <w:rsid w:val="00492AB1"/>
    <w:pPr>
      <w:spacing w:after="0" w:line="276" w:lineRule="auto"/>
      <w:ind w:left="0" w:right="0"/>
      <w:outlineLvl w:val="8"/>
    </w:pPr>
    <w:rPr>
      <w:rFonts w:asciiTheme="majorHAnsi" w:eastAsiaTheme="majorEastAsia" w:hAnsiTheme="majorHAnsi" w:cstheme="majorBidi"/>
      <w:i/>
      <w:iCs/>
      <w:noProof w:val="0"/>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rialHermann">
    <w:name w:val="Memorial Hermann"/>
    <w:basedOn w:val="Heading1"/>
    <w:rsid w:val="001503C2"/>
    <w:pPr>
      <w:spacing w:before="0" w:line="240" w:lineRule="auto"/>
    </w:pPr>
    <w:rPr>
      <w:b w:val="0"/>
      <w:color w:val="195974"/>
    </w:rPr>
  </w:style>
  <w:style w:type="character" w:customStyle="1" w:styleId="Heading1Char">
    <w:name w:val="Heading 1 Char"/>
    <w:aliases w:val="SHA HEADING 1 Char"/>
    <w:basedOn w:val="DefaultParagraphFont"/>
    <w:link w:val="Heading1"/>
    <w:uiPriority w:val="9"/>
    <w:rsid w:val="00EF7361"/>
    <w:rPr>
      <w:rFonts w:eastAsiaTheme="majorEastAsia" w:cstheme="majorBidi"/>
      <w:b/>
      <w:noProof/>
      <w:sz w:val="40"/>
      <w:szCs w:val="40"/>
    </w:rPr>
  </w:style>
  <w:style w:type="paragraph" w:customStyle="1" w:styleId="SHA">
    <w:name w:val="SHA"/>
    <w:basedOn w:val="Normal"/>
    <w:link w:val="SHAChar"/>
    <w:autoRedefine/>
    <w:qFormat/>
    <w:rsid w:val="00EF6249"/>
    <w:rPr>
      <w:rFonts w:ascii="Aileron Heavy" w:hAnsi="Aileron Heavy"/>
      <w:b/>
      <w:sz w:val="32"/>
      <w:szCs w:val="32"/>
    </w:rPr>
  </w:style>
  <w:style w:type="character" w:customStyle="1" w:styleId="SHAChar">
    <w:name w:val="SHA Char"/>
    <w:basedOn w:val="DefaultParagraphFont"/>
    <w:link w:val="SHA"/>
    <w:rsid w:val="00EF6249"/>
    <w:rPr>
      <w:rFonts w:ascii="Aileron Heavy" w:hAnsi="Aileron Heavy"/>
      <w:b/>
      <w:sz w:val="32"/>
      <w:szCs w:val="32"/>
    </w:rPr>
  </w:style>
  <w:style w:type="paragraph" w:styleId="Title">
    <w:name w:val="Title"/>
    <w:basedOn w:val="Normal"/>
    <w:next w:val="Normal"/>
    <w:link w:val="TitleChar"/>
    <w:uiPriority w:val="10"/>
    <w:qFormat/>
    <w:rsid w:val="006E3904"/>
    <w:pPr>
      <w:spacing w:before="360" w:after="0" w:line="240" w:lineRule="auto"/>
      <w:ind w:right="2160"/>
    </w:pPr>
    <w:rPr>
      <w:rFonts w:eastAsiaTheme="majorEastAsia" w:cstheme="majorBidi"/>
      <w:spacing w:val="-10"/>
      <w:kern w:val="28"/>
      <w:sz w:val="60"/>
      <w:szCs w:val="60"/>
    </w:rPr>
  </w:style>
  <w:style w:type="character" w:customStyle="1" w:styleId="TitleChar">
    <w:name w:val="Title Char"/>
    <w:basedOn w:val="DefaultParagraphFont"/>
    <w:link w:val="Title"/>
    <w:uiPriority w:val="10"/>
    <w:rsid w:val="006E3904"/>
    <w:rPr>
      <w:rFonts w:eastAsiaTheme="majorEastAsia" w:cstheme="majorBidi"/>
      <w:noProof/>
      <w:spacing w:val="-10"/>
      <w:kern w:val="28"/>
      <w:sz w:val="60"/>
      <w:szCs w:val="60"/>
    </w:rPr>
  </w:style>
  <w:style w:type="character" w:customStyle="1" w:styleId="Heading2Char">
    <w:name w:val="Heading 2 Char"/>
    <w:basedOn w:val="DefaultParagraphFont"/>
    <w:link w:val="Heading2"/>
    <w:uiPriority w:val="9"/>
    <w:rsid w:val="00EF7361"/>
    <w:rPr>
      <w:b/>
      <w:noProof/>
      <w:sz w:val="30"/>
      <w:szCs w:val="30"/>
    </w:rPr>
  </w:style>
  <w:style w:type="paragraph" w:styleId="Header">
    <w:name w:val="header"/>
    <w:basedOn w:val="Normal"/>
    <w:link w:val="HeaderChar"/>
    <w:uiPriority w:val="99"/>
    <w:unhideWhenUsed/>
    <w:rsid w:val="00195F0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95F02"/>
    <w:rPr>
      <w:rFonts w:ascii="Aileron" w:hAnsi="Aileron"/>
    </w:rPr>
  </w:style>
  <w:style w:type="paragraph" w:styleId="Footer">
    <w:name w:val="footer"/>
    <w:basedOn w:val="Normal"/>
    <w:link w:val="FooterChar"/>
    <w:uiPriority w:val="99"/>
    <w:unhideWhenUsed/>
    <w:rsid w:val="00195F0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95F02"/>
    <w:rPr>
      <w:rFonts w:ascii="Aileron" w:hAnsi="Aileron"/>
    </w:rPr>
  </w:style>
  <w:style w:type="paragraph" w:styleId="NoSpacing">
    <w:name w:val="No Spacing"/>
    <w:link w:val="NoSpacingChar"/>
    <w:uiPriority w:val="1"/>
    <w:qFormat/>
    <w:rsid w:val="00561BF0"/>
    <w:pPr>
      <w:spacing w:after="0" w:line="240" w:lineRule="auto"/>
      <w:jc w:val="both"/>
    </w:pPr>
    <w:rPr>
      <w:rFonts w:ascii="Aileron" w:hAnsi="Aileron"/>
      <w:sz w:val="21"/>
      <w:szCs w:val="21"/>
    </w:rPr>
  </w:style>
  <w:style w:type="paragraph" w:customStyle="1" w:styleId="Chapter">
    <w:name w:val="Chapter"/>
    <w:basedOn w:val="NoSpacing"/>
    <w:link w:val="ChapterChar"/>
    <w:qFormat/>
    <w:rsid w:val="00FC64DD"/>
    <w:pPr>
      <w:ind w:left="-360"/>
    </w:pPr>
    <w:rPr>
      <w:rFonts w:asciiTheme="minorHAnsi" w:hAnsiTheme="minorHAnsi"/>
      <w:b/>
      <w:sz w:val="60"/>
      <w:szCs w:val="60"/>
    </w:rPr>
  </w:style>
  <w:style w:type="paragraph" w:customStyle="1" w:styleId="ChapterName">
    <w:name w:val="Chapter Name"/>
    <w:basedOn w:val="NoSpacing"/>
    <w:link w:val="ChapterNameChar"/>
    <w:qFormat/>
    <w:rsid w:val="00E36D41"/>
    <w:pPr>
      <w:ind w:firstLine="720"/>
    </w:pPr>
    <w:rPr>
      <w:rFonts w:asciiTheme="minorHAnsi" w:hAnsiTheme="minorHAnsi"/>
      <w:sz w:val="68"/>
      <w:szCs w:val="68"/>
    </w:rPr>
  </w:style>
  <w:style w:type="character" w:customStyle="1" w:styleId="NoSpacingChar">
    <w:name w:val="No Spacing Char"/>
    <w:basedOn w:val="DefaultParagraphFont"/>
    <w:link w:val="NoSpacing"/>
    <w:uiPriority w:val="1"/>
    <w:rsid w:val="000B4605"/>
    <w:rPr>
      <w:rFonts w:ascii="Aileron" w:hAnsi="Aileron"/>
      <w:sz w:val="21"/>
      <w:szCs w:val="21"/>
    </w:rPr>
  </w:style>
  <w:style w:type="character" w:customStyle="1" w:styleId="ChapterChar">
    <w:name w:val="Chapter Char"/>
    <w:basedOn w:val="NoSpacingChar"/>
    <w:link w:val="Chapter"/>
    <w:rsid w:val="00FC64DD"/>
    <w:rPr>
      <w:rFonts w:ascii="Aileron" w:hAnsi="Aileron"/>
      <w:b/>
      <w:sz w:val="60"/>
      <w:szCs w:val="60"/>
    </w:rPr>
  </w:style>
  <w:style w:type="paragraph" w:styleId="ListParagraph">
    <w:name w:val="List Paragraph"/>
    <w:basedOn w:val="Normal"/>
    <w:uiPriority w:val="34"/>
    <w:qFormat/>
    <w:rsid w:val="002C6F32"/>
    <w:pPr>
      <w:ind w:left="720"/>
      <w:contextualSpacing/>
    </w:pPr>
  </w:style>
  <w:style w:type="character" w:customStyle="1" w:styleId="ChapterNameChar">
    <w:name w:val="Chapter Name Char"/>
    <w:basedOn w:val="NoSpacingChar"/>
    <w:link w:val="ChapterName"/>
    <w:rsid w:val="00E36D41"/>
    <w:rPr>
      <w:rFonts w:ascii="Aileron" w:hAnsi="Aileron"/>
      <w:sz w:val="68"/>
      <w:szCs w:val="68"/>
    </w:rPr>
  </w:style>
  <w:style w:type="paragraph" w:styleId="NormalWeb">
    <w:name w:val="Normal (Web)"/>
    <w:basedOn w:val="Normal"/>
    <w:uiPriority w:val="99"/>
    <w:rsid w:val="00033EA5"/>
    <w:pPr>
      <w:spacing w:before="100" w:beforeAutospacing="1" w:after="100" w:afterAutospacing="1" w:line="240" w:lineRule="auto"/>
      <w:jc w:val="left"/>
    </w:pPr>
    <w:rPr>
      <w:rFonts w:ascii="Times New Roman" w:eastAsia="Times New Roman" w:hAnsi="Times New Roman" w:cs="Times New Roman"/>
      <w:color w:val="000000"/>
      <w:sz w:val="24"/>
      <w:szCs w:val="24"/>
    </w:rPr>
  </w:style>
  <w:style w:type="character" w:customStyle="1" w:styleId="Heading3Char">
    <w:name w:val="Heading 3 Char"/>
    <w:basedOn w:val="DefaultParagraphFont"/>
    <w:link w:val="Heading3"/>
    <w:uiPriority w:val="9"/>
    <w:rsid w:val="007D7811"/>
    <w:rPr>
      <w:rFonts w:eastAsiaTheme="majorEastAsia" w:cstheme="majorBidi"/>
      <w:noProof/>
      <w:color w:val="203864"/>
      <w:sz w:val="26"/>
      <w:szCs w:val="26"/>
    </w:rPr>
  </w:style>
  <w:style w:type="paragraph" w:styleId="BalloonText">
    <w:name w:val="Balloon Text"/>
    <w:basedOn w:val="Normal"/>
    <w:link w:val="BalloonTextChar"/>
    <w:uiPriority w:val="99"/>
    <w:semiHidden/>
    <w:unhideWhenUsed/>
    <w:rsid w:val="006165F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5F4"/>
    <w:rPr>
      <w:rFonts w:ascii="Tahoma" w:hAnsi="Tahoma" w:cs="Tahoma"/>
      <w:sz w:val="16"/>
      <w:szCs w:val="16"/>
    </w:rPr>
  </w:style>
  <w:style w:type="character" w:styleId="CommentReference">
    <w:name w:val="annotation reference"/>
    <w:basedOn w:val="DefaultParagraphFont"/>
    <w:uiPriority w:val="99"/>
    <w:unhideWhenUsed/>
    <w:rsid w:val="00746EAF"/>
    <w:rPr>
      <w:sz w:val="16"/>
      <w:szCs w:val="16"/>
    </w:rPr>
  </w:style>
  <w:style w:type="paragraph" w:styleId="CommentText">
    <w:name w:val="annotation text"/>
    <w:basedOn w:val="Normal"/>
    <w:link w:val="CommentTextChar"/>
    <w:unhideWhenUsed/>
    <w:rsid w:val="00746EAF"/>
    <w:pPr>
      <w:spacing w:line="240" w:lineRule="auto"/>
    </w:pPr>
    <w:rPr>
      <w:sz w:val="20"/>
      <w:szCs w:val="20"/>
    </w:rPr>
  </w:style>
  <w:style w:type="character" w:customStyle="1" w:styleId="CommentTextChar">
    <w:name w:val="Comment Text Char"/>
    <w:basedOn w:val="DefaultParagraphFont"/>
    <w:link w:val="CommentText"/>
    <w:rsid w:val="00746EAF"/>
    <w:rPr>
      <w:rFonts w:ascii="Aileron" w:hAnsi="Aileron"/>
      <w:sz w:val="20"/>
      <w:szCs w:val="20"/>
    </w:rPr>
  </w:style>
  <w:style w:type="paragraph" w:styleId="CommentSubject">
    <w:name w:val="annotation subject"/>
    <w:basedOn w:val="CommentText"/>
    <w:next w:val="CommentText"/>
    <w:link w:val="CommentSubjectChar"/>
    <w:uiPriority w:val="99"/>
    <w:semiHidden/>
    <w:unhideWhenUsed/>
    <w:rsid w:val="00746EAF"/>
    <w:rPr>
      <w:b/>
      <w:bCs/>
    </w:rPr>
  </w:style>
  <w:style w:type="character" w:customStyle="1" w:styleId="CommentSubjectChar">
    <w:name w:val="Comment Subject Char"/>
    <w:basedOn w:val="CommentTextChar"/>
    <w:link w:val="CommentSubject"/>
    <w:uiPriority w:val="99"/>
    <w:semiHidden/>
    <w:rsid w:val="00746EAF"/>
    <w:rPr>
      <w:rFonts w:ascii="Aileron" w:hAnsi="Aileron"/>
      <w:b/>
      <w:bCs/>
      <w:sz w:val="20"/>
      <w:szCs w:val="20"/>
    </w:rPr>
  </w:style>
  <w:style w:type="paragraph" w:styleId="FootnoteText">
    <w:name w:val="footnote text"/>
    <w:basedOn w:val="Normal"/>
    <w:link w:val="FootnoteTextChar"/>
    <w:uiPriority w:val="99"/>
    <w:unhideWhenUsed/>
    <w:rsid w:val="00C9671C"/>
    <w:pPr>
      <w:spacing w:before="0" w:after="0" w:line="240" w:lineRule="auto"/>
    </w:pPr>
    <w:rPr>
      <w:sz w:val="20"/>
      <w:szCs w:val="20"/>
    </w:rPr>
  </w:style>
  <w:style w:type="character" w:customStyle="1" w:styleId="FootnoteTextChar">
    <w:name w:val="Footnote Text Char"/>
    <w:basedOn w:val="DefaultParagraphFont"/>
    <w:link w:val="FootnoteText"/>
    <w:uiPriority w:val="99"/>
    <w:rsid w:val="00C9671C"/>
    <w:rPr>
      <w:noProof/>
      <w:sz w:val="20"/>
      <w:szCs w:val="20"/>
    </w:rPr>
  </w:style>
  <w:style w:type="character" w:styleId="FootnoteReference">
    <w:name w:val="footnote reference"/>
    <w:basedOn w:val="DefaultParagraphFont"/>
    <w:uiPriority w:val="99"/>
    <w:unhideWhenUsed/>
    <w:rsid w:val="00C9671C"/>
    <w:rPr>
      <w:vertAlign w:val="superscript"/>
    </w:rPr>
  </w:style>
  <w:style w:type="paragraph" w:customStyle="1" w:styleId="Fignum">
    <w:name w:val="Fignum"/>
    <w:basedOn w:val="NoSpacing"/>
    <w:link w:val="FignumChar"/>
    <w:rsid w:val="00C9671C"/>
    <w:pPr>
      <w:spacing w:before="120" w:after="160"/>
      <w:ind w:left="-360" w:right="-360"/>
    </w:pPr>
    <w:rPr>
      <w:rFonts w:asciiTheme="minorHAnsi" w:hAnsiTheme="minorHAnsi"/>
      <w:smallCaps/>
      <w:sz w:val="22"/>
      <w:szCs w:val="22"/>
    </w:rPr>
  </w:style>
  <w:style w:type="paragraph" w:customStyle="1" w:styleId="FigName">
    <w:name w:val="FigName"/>
    <w:basedOn w:val="NoSpacing"/>
    <w:link w:val="FigNameChar"/>
    <w:rsid w:val="00C9671C"/>
    <w:pPr>
      <w:spacing w:before="120" w:after="160"/>
      <w:ind w:left="-360" w:right="-360"/>
    </w:pPr>
    <w:rPr>
      <w:rFonts w:asciiTheme="minorHAnsi" w:hAnsiTheme="minorHAnsi"/>
      <w:b/>
      <w:sz w:val="22"/>
      <w:szCs w:val="22"/>
    </w:rPr>
  </w:style>
  <w:style w:type="character" w:customStyle="1" w:styleId="FignumChar">
    <w:name w:val="Fignum Char"/>
    <w:basedOn w:val="NoSpacingChar"/>
    <w:link w:val="Fignum"/>
    <w:rsid w:val="00C9671C"/>
    <w:rPr>
      <w:rFonts w:ascii="Aileron" w:hAnsi="Aileron"/>
      <w:smallCaps/>
      <w:sz w:val="21"/>
      <w:szCs w:val="21"/>
    </w:rPr>
  </w:style>
  <w:style w:type="character" w:customStyle="1" w:styleId="FigNameChar">
    <w:name w:val="FigName Char"/>
    <w:basedOn w:val="NoSpacingChar"/>
    <w:link w:val="FigName"/>
    <w:rsid w:val="00C9671C"/>
    <w:rPr>
      <w:rFonts w:ascii="Aileron" w:hAnsi="Aileron"/>
      <w:b/>
      <w:sz w:val="21"/>
      <w:szCs w:val="21"/>
    </w:rPr>
  </w:style>
  <w:style w:type="character" w:customStyle="1" w:styleId="Heading4Char">
    <w:name w:val="Heading 4 Char"/>
    <w:basedOn w:val="DefaultParagraphFont"/>
    <w:link w:val="Heading4"/>
    <w:uiPriority w:val="9"/>
    <w:rsid w:val="00EF7361"/>
    <w:rPr>
      <w:b/>
      <w:noProof/>
      <w:sz w:val="24"/>
      <w:szCs w:val="24"/>
    </w:rPr>
  </w:style>
  <w:style w:type="paragraph" w:styleId="EndnoteText">
    <w:name w:val="endnote text"/>
    <w:basedOn w:val="Normal"/>
    <w:link w:val="EndnoteTextChar"/>
    <w:uiPriority w:val="99"/>
    <w:unhideWhenUsed/>
    <w:rsid w:val="00FB3359"/>
    <w:pPr>
      <w:spacing w:before="0" w:after="0" w:line="240" w:lineRule="auto"/>
    </w:pPr>
    <w:rPr>
      <w:sz w:val="20"/>
      <w:szCs w:val="20"/>
    </w:rPr>
  </w:style>
  <w:style w:type="character" w:customStyle="1" w:styleId="EndnoteTextChar">
    <w:name w:val="Endnote Text Char"/>
    <w:basedOn w:val="DefaultParagraphFont"/>
    <w:link w:val="EndnoteText"/>
    <w:uiPriority w:val="99"/>
    <w:rsid w:val="00FB3359"/>
    <w:rPr>
      <w:noProof/>
      <w:sz w:val="20"/>
      <w:szCs w:val="20"/>
    </w:rPr>
  </w:style>
  <w:style w:type="character" w:styleId="EndnoteReference">
    <w:name w:val="endnote reference"/>
    <w:basedOn w:val="DefaultParagraphFont"/>
    <w:uiPriority w:val="99"/>
    <w:unhideWhenUsed/>
    <w:rsid w:val="00FB3359"/>
    <w:rPr>
      <w:vertAlign w:val="superscript"/>
    </w:rPr>
  </w:style>
  <w:style w:type="paragraph" w:styleId="Revision">
    <w:name w:val="Revision"/>
    <w:hidden/>
    <w:uiPriority w:val="99"/>
    <w:semiHidden/>
    <w:rsid w:val="000F3675"/>
    <w:pPr>
      <w:spacing w:after="0" w:line="240" w:lineRule="auto"/>
    </w:pPr>
    <w:rPr>
      <w:noProof/>
    </w:rPr>
  </w:style>
  <w:style w:type="character" w:styleId="Hyperlink">
    <w:name w:val="Hyperlink"/>
    <w:uiPriority w:val="99"/>
    <w:unhideWhenUsed/>
    <w:rsid w:val="001E2DF1"/>
    <w:rPr>
      <w:rFonts w:cstheme="minorHAnsi"/>
      <w:color w:val="303030"/>
      <w:shd w:val="clear" w:color="auto" w:fill="FFFFFF"/>
    </w:rPr>
  </w:style>
  <w:style w:type="table" w:styleId="TableGrid">
    <w:name w:val="Table Grid"/>
    <w:basedOn w:val="TableNormal"/>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EF0801"/>
    <w:pPr>
      <w:spacing w:before="0" w:after="200" w:line="240" w:lineRule="auto"/>
      <w:ind w:left="0" w:right="0"/>
    </w:pPr>
    <w:rPr>
      <w:rFonts w:cstheme="minorHAnsi"/>
      <w:iCs/>
      <w:smallCaps/>
      <w:color w:val="000000" w:themeColor="text1"/>
      <w:sz w:val="20"/>
      <w:szCs w:val="18"/>
    </w:rPr>
  </w:style>
  <w:style w:type="character" w:customStyle="1" w:styleId="apple-converted-space">
    <w:name w:val="apple-converted-space"/>
    <w:basedOn w:val="DefaultParagraphFont"/>
    <w:rsid w:val="00EF0801"/>
  </w:style>
  <w:style w:type="character" w:styleId="FollowedHyperlink">
    <w:name w:val="FollowedHyperlink"/>
    <w:basedOn w:val="DefaultParagraphFont"/>
    <w:uiPriority w:val="99"/>
    <w:semiHidden/>
    <w:unhideWhenUsed/>
    <w:rsid w:val="00EF0801"/>
    <w:rPr>
      <w:color w:val="954F72" w:themeColor="followedHyperlink"/>
      <w:u w:val="single"/>
    </w:rPr>
  </w:style>
  <w:style w:type="table" w:customStyle="1" w:styleId="PlainTable31">
    <w:name w:val="Plain Table 3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32">
    <w:name w:val="Plain Table 32"/>
    <w:basedOn w:val="TableNormal"/>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ubtitle">
    <w:name w:val="Subtitle"/>
    <w:aliases w:val="FigNum"/>
    <w:basedOn w:val="Normal"/>
    <w:next w:val="Normal"/>
    <w:link w:val="SubtitleChar"/>
    <w:uiPriority w:val="11"/>
    <w:qFormat/>
    <w:rsid w:val="00EF0801"/>
    <w:pPr>
      <w:numPr>
        <w:ilvl w:val="1"/>
      </w:numPr>
      <w:ind w:left="-360" w:right="0"/>
    </w:pPr>
    <w:rPr>
      <w:rFonts w:eastAsiaTheme="minorEastAsia" w:cstheme="minorHAnsi"/>
      <w:b/>
      <w:color w:val="000000" w:themeColor="text1"/>
    </w:rPr>
  </w:style>
  <w:style w:type="character" w:customStyle="1" w:styleId="SubtitleChar">
    <w:name w:val="Subtitle Char"/>
    <w:aliases w:val="FigNum Char"/>
    <w:basedOn w:val="DefaultParagraphFont"/>
    <w:link w:val="Subtitle"/>
    <w:uiPriority w:val="11"/>
    <w:rsid w:val="00EF0801"/>
    <w:rPr>
      <w:rFonts w:eastAsiaTheme="minorEastAsia" w:cstheme="minorHAnsi"/>
      <w:b/>
      <w:noProof/>
      <w:color w:val="000000" w:themeColor="text1"/>
    </w:rPr>
  </w:style>
  <w:style w:type="character" w:styleId="Strong">
    <w:name w:val="Strong"/>
    <w:uiPriority w:val="22"/>
    <w:qFormat/>
    <w:rsid w:val="00EF0801"/>
    <w:rPr>
      <w:smallCaps/>
    </w:rPr>
  </w:style>
  <w:style w:type="paragraph" w:customStyle="1" w:styleId="FigureorTable">
    <w:name w:val="Figure or Table"/>
    <w:basedOn w:val="FigTitle"/>
    <w:link w:val="FigureorTableChar"/>
    <w:rsid w:val="00EF0801"/>
    <w:rPr>
      <w:b w:val="0"/>
    </w:rPr>
  </w:style>
  <w:style w:type="paragraph" w:customStyle="1" w:styleId="FigTitle">
    <w:name w:val="FigTitle"/>
    <w:basedOn w:val="Subtitle"/>
    <w:link w:val="FigTitleChar"/>
    <w:rsid w:val="00EF0801"/>
  </w:style>
  <w:style w:type="character" w:customStyle="1" w:styleId="FigureorTableChar">
    <w:name w:val="Figure or Table Char"/>
    <w:basedOn w:val="SubtitleChar"/>
    <w:link w:val="FigureorTable"/>
    <w:rsid w:val="00EF0801"/>
    <w:rPr>
      <w:rFonts w:eastAsiaTheme="minorEastAsia" w:cstheme="minorHAnsi"/>
      <w:b w:val="0"/>
      <w:noProof/>
      <w:color w:val="000000" w:themeColor="text1"/>
    </w:rPr>
  </w:style>
  <w:style w:type="paragraph" w:customStyle="1" w:styleId="Source">
    <w:name w:val="Source"/>
    <w:basedOn w:val="Caption"/>
    <w:link w:val="SourceChar"/>
    <w:rsid w:val="00EF0801"/>
  </w:style>
  <w:style w:type="character" w:customStyle="1" w:styleId="FigTitleChar">
    <w:name w:val="FigTitle Char"/>
    <w:basedOn w:val="SubtitleChar"/>
    <w:link w:val="FigTitle"/>
    <w:rsid w:val="00EF0801"/>
    <w:rPr>
      <w:rFonts w:eastAsiaTheme="minorEastAsia" w:cstheme="minorHAnsi"/>
      <w:b/>
      <w:noProof/>
      <w:color w:val="000000" w:themeColor="text1"/>
    </w:rPr>
  </w:style>
  <w:style w:type="table" w:customStyle="1" w:styleId="TableGrid1">
    <w:name w:val="Table Grid1"/>
    <w:basedOn w:val="TableNormal"/>
    <w:next w:val="TableGrid"/>
    <w:uiPriority w:val="39"/>
    <w:rsid w:val="00EF0801"/>
    <w:pPr>
      <w:spacing w:before="120" w:after="0" w:line="240" w:lineRule="auto"/>
      <w:ind w:left="-360" w:right="-3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basedOn w:val="DefaultParagraphFont"/>
    <w:link w:val="Caption"/>
    <w:uiPriority w:val="35"/>
    <w:rsid w:val="00EF0801"/>
    <w:rPr>
      <w:rFonts w:cstheme="minorHAnsi"/>
      <w:iCs/>
      <w:smallCaps/>
      <w:noProof/>
      <w:color w:val="000000" w:themeColor="text1"/>
      <w:sz w:val="20"/>
      <w:szCs w:val="18"/>
    </w:rPr>
  </w:style>
  <w:style w:type="character" w:customStyle="1" w:styleId="SourceChar">
    <w:name w:val="Source Char"/>
    <w:basedOn w:val="CaptionChar"/>
    <w:link w:val="Source"/>
    <w:rsid w:val="00EF0801"/>
    <w:rPr>
      <w:rFonts w:cstheme="minorHAnsi"/>
      <w:iCs/>
      <w:smallCaps/>
      <w:noProof/>
      <w:color w:val="000000" w:themeColor="text1"/>
      <w:sz w:val="20"/>
      <w:szCs w:val="18"/>
    </w:rPr>
  </w:style>
  <w:style w:type="table" w:customStyle="1" w:styleId="PlainTable311">
    <w:name w:val="Plain Table 311"/>
    <w:basedOn w:val="TableNormal"/>
    <w:next w:val="PlainTable32"/>
    <w:uiPriority w:val="43"/>
    <w:rsid w:val="00EF0801"/>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fIGnUM0">
    <w:name w:val="fIG nUM"/>
    <w:basedOn w:val="FigureorTable"/>
    <w:link w:val="fIGnUMChar0"/>
    <w:qFormat/>
    <w:rsid w:val="00EF0801"/>
  </w:style>
  <w:style w:type="character" w:customStyle="1" w:styleId="fIGnUMChar0">
    <w:name w:val="fIG nUM Char"/>
    <w:basedOn w:val="FigTitleChar"/>
    <w:link w:val="fIGnUM0"/>
    <w:rsid w:val="00EF0801"/>
    <w:rPr>
      <w:rFonts w:eastAsiaTheme="minorEastAsia" w:cstheme="minorHAnsi"/>
      <w:b w:val="0"/>
      <w:noProof/>
      <w:color w:val="000000" w:themeColor="text1"/>
    </w:rPr>
  </w:style>
  <w:style w:type="paragraph" w:customStyle="1" w:styleId="Normal1">
    <w:name w:val="Normal1"/>
    <w:rsid w:val="00EF0801"/>
    <w:pPr>
      <w:widowControl w:val="0"/>
      <w:pBdr>
        <w:top w:val="nil"/>
        <w:left w:val="nil"/>
        <w:bottom w:val="nil"/>
        <w:right w:val="nil"/>
        <w:between w:val="nil"/>
        <w:bar w:val="nil"/>
      </w:pBdr>
      <w:spacing w:after="200" w:line="276" w:lineRule="auto"/>
    </w:pPr>
    <w:rPr>
      <w:rFonts w:ascii="Calibri" w:eastAsia="Calibri" w:hAnsi="Calibri" w:cs="Calibri"/>
      <w:color w:val="000000"/>
      <w:u w:color="000000"/>
      <w:bdr w:val="nil"/>
    </w:rPr>
  </w:style>
  <w:style w:type="character" w:customStyle="1" w:styleId="sr-only">
    <w:name w:val="sr-only"/>
    <w:basedOn w:val="DefaultParagraphFont"/>
    <w:rsid w:val="00EF0801"/>
  </w:style>
  <w:style w:type="character" w:customStyle="1" w:styleId="text">
    <w:name w:val="text"/>
    <w:basedOn w:val="DefaultParagraphFont"/>
    <w:rsid w:val="00EF0801"/>
  </w:style>
  <w:style w:type="character" w:customStyle="1" w:styleId="author-ref">
    <w:name w:val="author-ref"/>
    <w:basedOn w:val="DefaultParagraphFont"/>
    <w:rsid w:val="00EF0801"/>
  </w:style>
  <w:style w:type="paragraph" w:styleId="HTMLPreformatted">
    <w:name w:val="HTML Preformatted"/>
    <w:basedOn w:val="Normal"/>
    <w:link w:val="HTMLPreformattedChar"/>
    <w:uiPriority w:val="99"/>
    <w:unhideWhenUsed/>
    <w:rsid w:val="00BA2E13"/>
    <w:pPr>
      <w:spacing w:before="0" w:after="0" w:line="240" w:lineRule="auto"/>
      <w:ind w:left="0" w:right="0"/>
      <w:jc w:val="left"/>
    </w:pPr>
    <w:rPr>
      <w:rFonts w:ascii="Consolas" w:hAnsi="Consolas" w:cs="Consolas"/>
      <w:noProof w:val="0"/>
      <w:sz w:val="20"/>
      <w:szCs w:val="20"/>
    </w:rPr>
  </w:style>
  <w:style w:type="character" w:customStyle="1" w:styleId="HTMLPreformattedChar">
    <w:name w:val="HTML Preformatted Char"/>
    <w:basedOn w:val="DefaultParagraphFont"/>
    <w:link w:val="HTMLPreformatted"/>
    <w:uiPriority w:val="99"/>
    <w:rsid w:val="00BA2E13"/>
    <w:rPr>
      <w:rFonts w:ascii="Consolas" w:hAnsi="Consolas" w:cs="Consolas"/>
      <w:sz w:val="20"/>
      <w:szCs w:val="20"/>
    </w:rPr>
  </w:style>
  <w:style w:type="character" w:styleId="Emphasis">
    <w:name w:val="Emphasis"/>
    <w:basedOn w:val="DefaultParagraphFont"/>
    <w:uiPriority w:val="20"/>
    <w:qFormat/>
    <w:rsid w:val="00BA2E13"/>
    <w:rPr>
      <w:i/>
      <w:iCs/>
    </w:rPr>
  </w:style>
  <w:style w:type="character" w:customStyle="1" w:styleId="A15">
    <w:name w:val="A15"/>
    <w:uiPriority w:val="99"/>
    <w:rsid w:val="00BA2E13"/>
    <w:rPr>
      <w:rFonts w:cs="TradeGothic Light"/>
      <w:color w:val="000000"/>
      <w:sz w:val="16"/>
      <w:szCs w:val="16"/>
    </w:rPr>
  </w:style>
  <w:style w:type="character" w:customStyle="1" w:styleId="wi-fullname">
    <w:name w:val="wi-fullname"/>
    <w:basedOn w:val="DefaultParagraphFont"/>
    <w:rsid w:val="00BA2E13"/>
  </w:style>
  <w:style w:type="character" w:customStyle="1" w:styleId="meta-citation-journal-name">
    <w:name w:val="meta-citation-journal-name"/>
    <w:basedOn w:val="DefaultParagraphFont"/>
    <w:rsid w:val="00BA2E13"/>
  </w:style>
  <w:style w:type="character" w:customStyle="1" w:styleId="meta-citation">
    <w:name w:val="meta-citation"/>
    <w:basedOn w:val="DefaultParagraphFont"/>
    <w:rsid w:val="00BA2E13"/>
  </w:style>
  <w:style w:type="character" w:customStyle="1" w:styleId="ms-rtefontface-5">
    <w:name w:val="ms-rtefontface-5"/>
    <w:basedOn w:val="DefaultParagraphFont"/>
    <w:rsid w:val="00BA2E13"/>
  </w:style>
  <w:style w:type="paragraph" w:customStyle="1" w:styleId="Default">
    <w:name w:val="Default"/>
    <w:rsid w:val="00BA2E13"/>
    <w:pPr>
      <w:autoSpaceDE w:val="0"/>
      <w:autoSpaceDN w:val="0"/>
      <w:adjustRightInd w:val="0"/>
      <w:spacing w:after="0" w:line="240" w:lineRule="auto"/>
    </w:pPr>
    <w:rPr>
      <w:rFonts w:ascii="Arial" w:hAnsi="Arial" w:cs="Arial"/>
      <w:color w:val="000000"/>
      <w:sz w:val="24"/>
      <w:szCs w:val="24"/>
    </w:rPr>
  </w:style>
  <w:style w:type="character" w:customStyle="1" w:styleId="highlight">
    <w:name w:val="highlight"/>
    <w:basedOn w:val="DefaultParagraphFont"/>
    <w:rsid w:val="00BA2E13"/>
  </w:style>
  <w:style w:type="paragraph" w:customStyle="1" w:styleId="fignum1">
    <w:name w:val="fignum"/>
    <w:basedOn w:val="Normal"/>
    <w:link w:val="fignumChar1"/>
    <w:rsid w:val="00BA2E13"/>
    <w:pPr>
      <w:ind w:left="0" w:right="0"/>
      <w:jc w:val="left"/>
    </w:pPr>
    <w:rPr>
      <w:smallCaps/>
      <w:noProof w:val="0"/>
    </w:rPr>
  </w:style>
  <w:style w:type="paragraph" w:customStyle="1" w:styleId="figtitle0">
    <w:name w:val="figtitle"/>
    <w:basedOn w:val="Normal"/>
    <w:link w:val="figtitleChar0"/>
    <w:rsid w:val="00BA2E13"/>
    <w:pPr>
      <w:ind w:left="0" w:right="0"/>
      <w:jc w:val="left"/>
    </w:pPr>
    <w:rPr>
      <w:b/>
      <w:noProof w:val="0"/>
    </w:rPr>
  </w:style>
  <w:style w:type="character" w:customStyle="1" w:styleId="fignumChar1">
    <w:name w:val="fignum Char"/>
    <w:basedOn w:val="DefaultParagraphFont"/>
    <w:link w:val="fignum1"/>
    <w:rsid w:val="00BA2E13"/>
    <w:rPr>
      <w:smallCaps/>
    </w:rPr>
  </w:style>
  <w:style w:type="paragraph" w:customStyle="1" w:styleId="source0">
    <w:name w:val="source"/>
    <w:basedOn w:val="Normal"/>
    <w:link w:val="sourceChar0"/>
    <w:rsid w:val="00BA2E13"/>
    <w:pPr>
      <w:spacing w:after="120"/>
      <w:ind w:left="0" w:right="0"/>
      <w:jc w:val="left"/>
    </w:pPr>
    <w:rPr>
      <w:smallCaps/>
      <w:noProof w:val="0"/>
      <w:sz w:val="21"/>
      <w:szCs w:val="21"/>
    </w:rPr>
  </w:style>
  <w:style w:type="character" w:customStyle="1" w:styleId="figtitleChar0">
    <w:name w:val="figtitle Char"/>
    <w:basedOn w:val="DefaultParagraphFont"/>
    <w:link w:val="figtitle0"/>
    <w:rsid w:val="00BA2E13"/>
    <w:rPr>
      <w:b/>
    </w:rPr>
  </w:style>
  <w:style w:type="character" w:customStyle="1" w:styleId="sourceChar0">
    <w:name w:val="source Char"/>
    <w:basedOn w:val="DefaultParagraphFont"/>
    <w:link w:val="source0"/>
    <w:rsid w:val="00BA2E13"/>
    <w:rPr>
      <w:smallCaps/>
      <w:sz w:val="21"/>
      <w:szCs w:val="21"/>
    </w:rPr>
  </w:style>
  <w:style w:type="character" w:customStyle="1" w:styleId="cit-auth">
    <w:name w:val="cit-auth"/>
    <w:basedOn w:val="DefaultParagraphFont"/>
    <w:rsid w:val="00BA2E13"/>
  </w:style>
  <w:style w:type="character" w:customStyle="1" w:styleId="cit-name-surname">
    <w:name w:val="cit-name-surname"/>
    <w:basedOn w:val="DefaultParagraphFont"/>
    <w:rsid w:val="00BA2E13"/>
  </w:style>
  <w:style w:type="character" w:customStyle="1" w:styleId="cit-name-given-names">
    <w:name w:val="cit-name-given-names"/>
    <w:basedOn w:val="DefaultParagraphFont"/>
    <w:rsid w:val="00BA2E13"/>
  </w:style>
  <w:style w:type="character" w:styleId="HTMLCite">
    <w:name w:val="HTML Cite"/>
    <w:basedOn w:val="DefaultParagraphFont"/>
    <w:uiPriority w:val="99"/>
    <w:semiHidden/>
    <w:unhideWhenUsed/>
    <w:rsid w:val="00BA2E13"/>
    <w:rPr>
      <w:i/>
      <w:iCs/>
    </w:rPr>
  </w:style>
  <w:style w:type="character" w:customStyle="1" w:styleId="cit-article-title">
    <w:name w:val="cit-article-title"/>
    <w:basedOn w:val="DefaultParagraphFont"/>
    <w:rsid w:val="00BA2E13"/>
  </w:style>
  <w:style w:type="character" w:customStyle="1" w:styleId="cit-pub-date">
    <w:name w:val="cit-pub-date"/>
    <w:basedOn w:val="DefaultParagraphFont"/>
    <w:rsid w:val="00BA2E13"/>
  </w:style>
  <w:style w:type="character" w:customStyle="1" w:styleId="cit-vol">
    <w:name w:val="cit-vol"/>
    <w:basedOn w:val="DefaultParagraphFont"/>
    <w:rsid w:val="00BA2E13"/>
  </w:style>
  <w:style w:type="character" w:customStyle="1" w:styleId="cit-issue">
    <w:name w:val="cit-issue"/>
    <w:basedOn w:val="DefaultParagraphFont"/>
    <w:rsid w:val="00BA2E13"/>
  </w:style>
  <w:style w:type="character" w:customStyle="1" w:styleId="cit-pub-id">
    <w:name w:val="cit-pub-id"/>
    <w:basedOn w:val="DefaultParagraphFont"/>
    <w:rsid w:val="00BA2E13"/>
  </w:style>
  <w:style w:type="character" w:customStyle="1" w:styleId="cit-pub-id-scheme-pmid">
    <w:name w:val="cit-pub-id-scheme-pmid"/>
    <w:basedOn w:val="DefaultParagraphFont"/>
    <w:rsid w:val="00BA2E13"/>
  </w:style>
  <w:style w:type="character" w:customStyle="1" w:styleId="cit-etal">
    <w:name w:val="cit-etal"/>
    <w:basedOn w:val="DefaultParagraphFont"/>
    <w:rsid w:val="00BA2E13"/>
  </w:style>
  <w:style w:type="character" w:customStyle="1" w:styleId="Mention1">
    <w:name w:val="Mention1"/>
    <w:basedOn w:val="DefaultParagraphFont"/>
    <w:uiPriority w:val="99"/>
    <w:semiHidden/>
    <w:unhideWhenUsed/>
    <w:rsid w:val="00367354"/>
    <w:rPr>
      <w:color w:val="2B579A"/>
      <w:shd w:val="clear" w:color="auto" w:fill="E6E6E6"/>
    </w:rPr>
  </w:style>
  <w:style w:type="character" w:styleId="SubtleEmphasis">
    <w:name w:val="Subtle Emphasis"/>
    <w:uiPriority w:val="19"/>
    <w:qFormat/>
    <w:rsid w:val="00367354"/>
    <w:rPr>
      <w:rFonts w:asciiTheme="minorHAnsi" w:hAnsiTheme="minorHAnsi"/>
      <w:b/>
      <w:i w:val="0"/>
      <w:iCs/>
      <w:color w:val="404040" w:themeColor="text1" w:themeTint="BF"/>
      <w:sz w:val="22"/>
    </w:rPr>
  </w:style>
  <w:style w:type="character" w:styleId="PlaceholderText">
    <w:name w:val="Placeholder Text"/>
    <w:basedOn w:val="DefaultParagraphFont"/>
    <w:uiPriority w:val="99"/>
    <w:semiHidden/>
    <w:rsid w:val="00367354"/>
    <w:rPr>
      <w:color w:val="808080"/>
    </w:rPr>
  </w:style>
  <w:style w:type="character" w:customStyle="1" w:styleId="Hyperlink1">
    <w:name w:val="Hyperlink1"/>
    <w:basedOn w:val="DefaultParagraphFont"/>
    <w:unhideWhenUsed/>
    <w:rsid w:val="00367354"/>
    <w:rPr>
      <w:color w:val="0563C1"/>
      <w:u w:val="single"/>
    </w:rPr>
  </w:style>
  <w:style w:type="character" w:customStyle="1" w:styleId="print-only">
    <w:name w:val="print-only"/>
    <w:basedOn w:val="DefaultParagraphFont"/>
    <w:rsid w:val="00AA055A"/>
  </w:style>
  <w:style w:type="character" w:customStyle="1" w:styleId="Heading5Char">
    <w:name w:val="Heading 5 Char"/>
    <w:basedOn w:val="DefaultParagraphFont"/>
    <w:link w:val="Heading5"/>
    <w:uiPriority w:val="9"/>
    <w:rsid w:val="004D187E"/>
    <w:rPr>
      <w:b/>
      <w:noProof/>
      <w:color w:val="203864"/>
    </w:rPr>
  </w:style>
  <w:style w:type="character" w:customStyle="1" w:styleId="label">
    <w:name w:val="label"/>
    <w:basedOn w:val="DefaultParagraphFont"/>
    <w:rsid w:val="00197870"/>
  </w:style>
  <w:style w:type="character" w:customStyle="1" w:styleId="mixed-citation">
    <w:name w:val="mixed-citation"/>
    <w:basedOn w:val="DefaultParagraphFont"/>
    <w:rsid w:val="00197870"/>
  </w:style>
  <w:style w:type="paragraph" w:customStyle="1" w:styleId="Figtitle1">
    <w:name w:val="Figtitle"/>
    <w:basedOn w:val="figtitle0"/>
    <w:link w:val="FigtitleChar1"/>
    <w:rsid w:val="00197870"/>
    <w:pPr>
      <w:jc w:val="both"/>
    </w:pPr>
  </w:style>
  <w:style w:type="character" w:customStyle="1" w:styleId="FigtitleChar1">
    <w:name w:val="Figtitle Char"/>
    <w:basedOn w:val="figtitleChar0"/>
    <w:link w:val="Figtitle1"/>
    <w:rsid w:val="00197870"/>
    <w:rPr>
      <w:b/>
    </w:rPr>
  </w:style>
  <w:style w:type="paragraph" w:customStyle="1" w:styleId="CM20">
    <w:name w:val="CM20"/>
    <w:basedOn w:val="Normal"/>
    <w:next w:val="Normal"/>
    <w:uiPriority w:val="99"/>
    <w:rsid w:val="00197870"/>
    <w:pPr>
      <w:autoSpaceDE w:val="0"/>
      <w:autoSpaceDN w:val="0"/>
      <w:adjustRightInd w:val="0"/>
      <w:spacing w:before="0" w:after="0" w:line="240" w:lineRule="auto"/>
      <w:ind w:left="0" w:right="0"/>
    </w:pPr>
    <w:rPr>
      <w:rFonts w:ascii="Adobe Caslon Pro" w:hAnsi="Adobe Caslon Pro"/>
      <w:noProof w:val="0"/>
      <w:sz w:val="24"/>
      <w:szCs w:val="24"/>
    </w:rPr>
  </w:style>
  <w:style w:type="character" w:customStyle="1" w:styleId="footnote0020textchar">
    <w:name w:val="footnote_0020text__char"/>
    <w:basedOn w:val="DefaultParagraphFont"/>
    <w:rsid w:val="00197870"/>
  </w:style>
  <w:style w:type="character" w:customStyle="1" w:styleId="hyperlinkchar">
    <w:name w:val="hyperlink__char"/>
    <w:basedOn w:val="DefaultParagraphFont"/>
    <w:rsid w:val="00197870"/>
  </w:style>
  <w:style w:type="paragraph" w:customStyle="1" w:styleId="Style1">
    <w:name w:val="Style1"/>
    <w:basedOn w:val="Heading2"/>
    <w:link w:val="Style1Char"/>
    <w:qFormat/>
    <w:rsid w:val="00197870"/>
    <w:pPr>
      <w:ind w:left="0" w:right="0"/>
    </w:pPr>
    <w:rPr>
      <w:sz w:val="36"/>
      <w:szCs w:val="36"/>
    </w:rPr>
  </w:style>
  <w:style w:type="character" w:customStyle="1" w:styleId="Style1Char">
    <w:name w:val="Style1 Char"/>
    <w:basedOn w:val="Heading2Char"/>
    <w:link w:val="Style1"/>
    <w:rsid w:val="00197870"/>
    <w:rPr>
      <w:b/>
      <w:noProof/>
      <w:sz w:val="36"/>
      <w:szCs w:val="36"/>
    </w:rPr>
  </w:style>
  <w:style w:type="paragraph" w:styleId="BodyText">
    <w:name w:val="Body Text"/>
    <w:basedOn w:val="Normal"/>
    <w:link w:val="BodyTextChar"/>
    <w:uiPriority w:val="99"/>
    <w:unhideWhenUsed/>
    <w:rsid w:val="000902A4"/>
    <w:pPr>
      <w:spacing w:after="120"/>
      <w:ind w:left="0" w:right="0"/>
    </w:pPr>
    <w:rPr>
      <w:noProof w:val="0"/>
    </w:rPr>
  </w:style>
  <w:style w:type="character" w:customStyle="1" w:styleId="BodyTextChar">
    <w:name w:val="Body Text Char"/>
    <w:basedOn w:val="DefaultParagraphFont"/>
    <w:link w:val="BodyText"/>
    <w:uiPriority w:val="99"/>
    <w:rsid w:val="000902A4"/>
  </w:style>
  <w:style w:type="paragraph" w:styleId="BodyTextFirstIndent">
    <w:name w:val="Body Text First Indent"/>
    <w:basedOn w:val="BodyText"/>
    <w:link w:val="BodyTextFirstIndentChar"/>
    <w:uiPriority w:val="99"/>
    <w:unhideWhenUsed/>
    <w:rsid w:val="000902A4"/>
    <w:pPr>
      <w:autoSpaceDE w:val="0"/>
      <w:autoSpaceDN w:val="0"/>
      <w:spacing w:before="0" w:line="360" w:lineRule="auto"/>
      <w:ind w:firstLine="432"/>
      <w:jc w:val="left"/>
    </w:pPr>
    <w:rPr>
      <w:rFonts w:ascii="Times New Roman" w:eastAsia="Times New Roman" w:hAnsi="Times New Roman" w:cs="Times New Roman"/>
    </w:rPr>
  </w:style>
  <w:style w:type="character" w:customStyle="1" w:styleId="BodyTextFirstIndentChar">
    <w:name w:val="Body Text First Indent Char"/>
    <w:basedOn w:val="BodyTextChar"/>
    <w:link w:val="BodyTextFirstIndent"/>
    <w:uiPriority w:val="99"/>
    <w:rsid w:val="000902A4"/>
    <w:rPr>
      <w:rFonts w:ascii="Times New Roman" w:eastAsia="Times New Roman" w:hAnsi="Times New Roman" w:cs="Times New Roman"/>
    </w:rPr>
  </w:style>
  <w:style w:type="character" w:customStyle="1" w:styleId="pagefirst">
    <w:name w:val="pagefirst"/>
    <w:basedOn w:val="DefaultParagraphFont"/>
    <w:rsid w:val="000902A4"/>
  </w:style>
  <w:style w:type="character" w:customStyle="1" w:styleId="hlfld-fulltext">
    <w:name w:val="hlfld-fulltext"/>
    <w:basedOn w:val="DefaultParagraphFont"/>
    <w:rsid w:val="000902A4"/>
  </w:style>
  <w:style w:type="character" w:customStyle="1" w:styleId="button">
    <w:name w:val="button"/>
    <w:basedOn w:val="DefaultParagraphFont"/>
    <w:rsid w:val="000902A4"/>
  </w:style>
  <w:style w:type="character" w:customStyle="1" w:styleId="fieldset-legend">
    <w:name w:val="fieldset-legend"/>
    <w:basedOn w:val="DefaultParagraphFont"/>
    <w:rsid w:val="000902A4"/>
  </w:style>
  <w:style w:type="character" w:customStyle="1" w:styleId="date-display-single">
    <w:name w:val="date-display-single"/>
    <w:basedOn w:val="DefaultParagraphFont"/>
    <w:rsid w:val="000902A4"/>
  </w:style>
  <w:style w:type="character" w:customStyle="1" w:styleId="ref-journal">
    <w:name w:val="ref-journal"/>
    <w:basedOn w:val="DefaultParagraphFont"/>
    <w:rsid w:val="000902A4"/>
  </w:style>
  <w:style w:type="character" w:customStyle="1" w:styleId="ref-vol">
    <w:name w:val="ref-vol"/>
    <w:basedOn w:val="DefaultParagraphFont"/>
    <w:rsid w:val="000902A4"/>
  </w:style>
  <w:style w:type="character" w:customStyle="1" w:styleId="ProTextChar">
    <w:name w:val="ProText Char"/>
    <w:basedOn w:val="DefaultParagraphFont"/>
    <w:link w:val="ProText"/>
    <w:locked/>
    <w:rsid w:val="000902A4"/>
    <w:rPr>
      <w:rFonts w:ascii="Calibri" w:hAnsi="Calibri"/>
      <w:color w:val="000000"/>
    </w:rPr>
  </w:style>
  <w:style w:type="paragraph" w:customStyle="1" w:styleId="ProText">
    <w:name w:val="ProText"/>
    <w:basedOn w:val="Normal"/>
    <w:link w:val="ProTextChar"/>
    <w:rsid w:val="000902A4"/>
    <w:pPr>
      <w:autoSpaceDE w:val="0"/>
      <w:autoSpaceDN w:val="0"/>
      <w:spacing w:before="0" w:after="240" w:line="240" w:lineRule="auto"/>
      <w:ind w:left="0" w:right="0"/>
      <w:jc w:val="left"/>
    </w:pPr>
    <w:rPr>
      <w:rFonts w:ascii="Calibri" w:hAnsi="Calibri"/>
      <w:noProof w:val="0"/>
      <w:color w:val="000000"/>
    </w:rPr>
  </w:style>
  <w:style w:type="character" w:customStyle="1" w:styleId="bkciteavail">
    <w:name w:val="bk_cite_avail"/>
    <w:basedOn w:val="DefaultParagraphFont"/>
    <w:rsid w:val="000902A4"/>
  </w:style>
  <w:style w:type="paragraph" w:customStyle="1" w:styleId="msonormal0">
    <w:name w:val="msonormal"/>
    <w:basedOn w:val="Normal"/>
    <w:uiPriority w:val="99"/>
    <w:rsid w:val="006508EC"/>
    <w:pPr>
      <w:spacing w:before="100" w:beforeAutospacing="1" w:after="100" w:afterAutospacing="1" w:line="240" w:lineRule="auto"/>
      <w:ind w:left="0" w:right="0"/>
      <w:jc w:val="left"/>
    </w:pPr>
    <w:rPr>
      <w:rFonts w:ascii="Times New Roman" w:eastAsia="Times New Roman" w:hAnsi="Times New Roman" w:cs="Times New Roman"/>
      <w:noProof w:val="0"/>
      <w:color w:val="000000"/>
      <w:sz w:val="24"/>
      <w:szCs w:val="24"/>
    </w:rPr>
  </w:style>
  <w:style w:type="character" w:customStyle="1" w:styleId="Mention2">
    <w:name w:val="Mention2"/>
    <w:basedOn w:val="DefaultParagraphFont"/>
    <w:uiPriority w:val="99"/>
    <w:semiHidden/>
    <w:rsid w:val="006508EC"/>
    <w:rPr>
      <w:color w:val="2B579A"/>
      <w:shd w:val="clear" w:color="auto" w:fill="E6E6E6"/>
    </w:rPr>
  </w:style>
  <w:style w:type="table" w:customStyle="1" w:styleId="GridTable1Light-Accent11">
    <w:name w:val="Grid Table 1 Light - Accent 11"/>
    <w:basedOn w:val="TableNormal"/>
    <w:uiPriority w:val="46"/>
    <w:rsid w:val="006508E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6508E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3-Accent11">
    <w:name w:val="Grid Table 3 - Accent 11"/>
    <w:basedOn w:val="TableNormal"/>
    <w:uiPriority w:val="48"/>
    <w:rsid w:val="006508E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2-Accent51">
    <w:name w:val="Grid Table 2 - Accent 51"/>
    <w:basedOn w:val="TableNormal"/>
    <w:uiPriority w:val="47"/>
    <w:rsid w:val="006508EC"/>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HAFigureNumber">
    <w:name w:val="SHA Figure Number"/>
    <w:basedOn w:val="FigName"/>
    <w:link w:val="SHAFigureNumberChar"/>
    <w:qFormat/>
    <w:rsid w:val="00EF7361"/>
    <w:pPr>
      <w:jc w:val="center"/>
    </w:pPr>
  </w:style>
  <w:style w:type="paragraph" w:customStyle="1" w:styleId="SHAFigureNote">
    <w:name w:val="SHA Figure Note"/>
    <w:basedOn w:val="SHAFigureNumber"/>
    <w:link w:val="SHAFigureNoteChar"/>
    <w:qFormat/>
    <w:rsid w:val="00F6716B"/>
    <w:rPr>
      <w:b w:val="0"/>
      <w:sz w:val="20"/>
      <w:szCs w:val="20"/>
    </w:rPr>
  </w:style>
  <w:style w:type="character" w:customStyle="1" w:styleId="SHAFigureNumberChar">
    <w:name w:val="SHA Figure Number Char"/>
    <w:basedOn w:val="FigNameChar"/>
    <w:link w:val="SHAFigureNumber"/>
    <w:rsid w:val="00EF7361"/>
    <w:rPr>
      <w:rFonts w:ascii="Aileron" w:hAnsi="Aileron"/>
      <w:b/>
      <w:sz w:val="21"/>
      <w:szCs w:val="21"/>
    </w:rPr>
  </w:style>
  <w:style w:type="table" w:customStyle="1" w:styleId="GridTable3-Accent111">
    <w:name w:val="Grid Table 3 - Accent 111"/>
    <w:basedOn w:val="TableNormal"/>
    <w:uiPriority w:val="48"/>
    <w:rsid w:val="0044423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SHAFigureNoteChar">
    <w:name w:val="SHA Figure Note Char"/>
    <w:basedOn w:val="SHAFigureNumberChar"/>
    <w:link w:val="SHAFigureNote"/>
    <w:rsid w:val="00F6716B"/>
    <w:rPr>
      <w:rFonts w:ascii="Aileron" w:hAnsi="Aileron"/>
      <w:b w:val="0"/>
      <w:sz w:val="20"/>
      <w:szCs w:val="20"/>
    </w:rPr>
  </w:style>
  <w:style w:type="paragraph" w:customStyle="1" w:styleId="Body1">
    <w:name w:val="Body1"/>
    <w:basedOn w:val="NoSpacing"/>
    <w:link w:val="Body1Char"/>
    <w:qFormat/>
    <w:rsid w:val="009646EB"/>
    <w:pPr>
      <w:spacing w:after="120"/>
      <w:jc w:val="left"/>
    </w:pPr>
    <w:rPr>
      <w:sz w:val="24"/>
      <w:szCs w:val="24"/>
    </w:rPr>
  </w:style>
  <w:style w:type="character" w:customStyle="1" w:styleId="Body1Char">
    <w:name w:val="Body1 Char"/>
    <w:basedOn w:val="NoSpacingChar"/>
    <w:link w:val="Body1"/>
    <w:rsid w:val="009646EB"/>
    <w:rPr>
      <w:rFonts w:ascii="Aileron" w:hAnsi="Aileron"/>
      <w:sz w:val="24"/>
      <w:szCs w:val="24"/>
    </w:rPr>
  </w:style>
  <w:style w:type="table" w:customStyle="1" w:styleId="TableGrid2">
    <w:name w:val="Table Grid2"/>
    <w:basedOn w:val="TableNormal"/>
    <w:next w:val="TableGrid"/>
    <w:rsid w:val="00840D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1">
    <w:name w:val="Plain Table 3111"/>
    <w:basedOn w:val="TableNormal"/>
    <w:next w:val="PlainTable32"/>
    <w:uiPriority w:val="43"/>
    <w:rsid w:val="001B52C7"/>
    <w:pPr>
      <w:spacing w:before="120" w:after="0" w:line="240" w:lineRule="auto"/>
      <w:ind w:left="-360" w:right="-360"/>
      <w:jc w:val="both"/>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Heading6Char">
    <w:name w:val="Heading 6 Char"/>
    <w:basedOn w:val="DefaultParagraphFont"/>
    <w:link w:val="Heading6"/>
    <w:uiPriority w:val="9"/>
    <w:rsid w:val="00492AB1"/>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92AB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92AB1"/>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92AB1"/>
    <w:rPr>
      <w:rFonts w:asciiTheme="majorHAnsi" w:eastAsiaTheme="majorEastAsia" w:hAnsiTheme="majorHAnsi" w:cstheme="majorBidi"/>
      <w:i/>
      <w:iCs/>
      <w:spacing w:val="5"/>
      <w:sz w:val="20"/>
      <w:szCs w:val="20"/>
    </w:rPr>
  </w:style>
  <w:style w:type="paragraph" w:styleId="Quote">
    <w:name w:val="Quote"/>
    <w:basedOn w:val="Normal"/>
    <w:next w:val="Normal"/>
    <w:link w:val="QuoteChar"/>
    <w:uiPriority w:val="29"/>
    <w:qFormat/>
    <w:rsid w:val="00492AB1"/>
    <w:pPr>
      <w:spacing w:before="200" w:after="0" w:line="276" w:lineRule="auto"/>
      <w:ind w:left="360" w:right="360"/>
    </w:pPr>
    <w:rPr>
      <w:rFonts w:eastAsiaTheme="minorEastAsia"/>
      <w:i/>
      <w:iCs/>
      <w:noProof w:val="0"/>
    </w:rPr>
  </w:style>
  <w:style w:type="character" w:customStyle="1" w:styleId="QuoteChar">
    <w:name w:val="Quote Char"/>
    <w:basedOn w:val="DefaultParagraphFont"/>
    <w:link w:val="Quote"/>
    <w:uiPriority w:val="29"/>
    <w:rsid w:val="00492AB1"/>
    <w:rPr>
      <w:rFonts w:eastAsiaTheme="minorEastAsia"/>
      <w:i/>
      <w:iCs/>
    </w:rPr>
  </w:style>
  <w:style w:type="paragraph" w:styleId="IntenseQuote">
    <w:name w:val="Intense Quote"/>
    <w:basedOn w:val="Normal"/>
    <w:next w:val="Normal"/>
    <w:link w:val="IntenseQuoteChar"/>
    <w:uiPriority w:val="30"/>
    <w:qFormat/>
    <w:rsid w:val="00492AB1"/>
    <w:pPr>
      <w:pBdr>
        <w:bottom w:val="single" w:sz="4" w:space="1" w:color="auto"/>
      </w:pBdr>
      <w:spacing w:before="200" w:after="280" w:line="276" w:lineRule="auto"/>
      <w:ind w:left="1008" w:right="1152"/>
    </w:pPr>
    <w:rPr>
      <w:rFonts w:eastAsiaTheme="minorEastAsia"/>
      <w:b/>
      <w:bCs/>
      <w:i/>
      <w:iCs/>
      <w:noProof w:val="0"/>
    </w:rPr>
  </w:style>
  <w:style w:type="character" w:customStyle="1" w:styleId="IntenseQuoteChar">
    <w:name w:val="Intense Quote Char"/>
    <w:basedOn w:val="DefaultParagraphFont"/>
    <w:link w:val="IntenseQuote"/>
    <w:uiPriority w:val="30"/>
    <w:rsid w:val="00492AB1"/>
    <w:rPr>
      <w:rFonts w:eastAsiaTheme="minorEastAsia"/>
      <w:b/>
      <w:bCs/>
      <w:i/>
      <w:iCs/>
    </w:rPr>
  </w:style>
  <w:style w:type="character" w:styleId="IntenseEmphasis">
    <w:name w:val="Intense Emphasis"/>
    <w:uiPriority w:val="21"/>
    <w:qFormat/>
    <w:rsid w:val="00492AB1"/>
    <w:rPr>
      <w:b/>
      <w:bCs/>
    </w:rPr>
  </w:style>
  <w:style w:type="character" w:styleId="SubtleReference">
    <w:name w:val="Subtle Reference"/>
    <w:uiPriority w:val="31"/>
    <w:qFormat/>
    <w:rsid w:val="00492AB1"/>
    <w:rPr>
      <w:smallCaps/>
    </w:rPr>
  </w:style>
  <w:style w:type="character" w:styleId="IntenseReference">
    <w:name w:val="Intense Reference"/>
    <w:uiPriority w:val="32"/>
    <w:qFormat/>
    <w:rsid w:val="00492AB1"/>
    <w:rPr>
      <w:smallCaps/>
      <w:spacing w:val="5"/>
      <w:u w:val="single"/>
    </w:rPr>
  </w:style>
  <w:style w:type="character" w:styleId="BookTitle">
    <w:name w:val="Book Title"/>
    <w:uiPriority w:val="33"/>
    <w:qFormat/>
    <w:rsid w:val="00492AB1"/>
    <w:rPr>
      <w:i/>
      <w:iCs/>
      <w:smallCaps/>
      <w:spacing w:val="5"/>
    </w:rPr>
  </w:style>
  <w:style w:type="paragraph" w:styleId="TOCHeading">
    <w:name w:val="TOC Heading"/>
    <w:basedOn w:val="Heading1"/>
    <w:next w:val="Normal"/>
    <w:uiPriority w:val="39"/>
    <w:semiHidden/>
    <w:unhideWhenUsed/>
    <w:qFormat/>
    <w:rsid w:val="00492AB1"/>
    <w:pPr>
      <w:keepNext w:val="0"/>
      <w:keepLines w:val="0"/>
      <w:spacing w:before="160" w:after="120" w:line="276" w:lineRule="auto"/>
      <w:ind w:left="0" w:right="0"/>
      <w:outlineLvl w:val="9"/>
    </w:pPr>
    <w:rPr>
      <w:bCs/>
      <w:noProof w:val="0"/>
      <w:sz w:val="48"/>
      <w:lang w:bidi="en-US"/>
    </w:rPr>
  </w:style>
  <w:style w:type="character" w:customStyle="1" w:styleId="element-citation">
    <w:name w:val="element-citation"/>
    <w:basedOn w:val="DefaultParagraphFont"/>
    <w:rsid w:val="00492AB1"/>
  </w:style>
  <w:style w:type="character" w:customStyle="1" w:styleId="nowrap">
    <w:name w:val="nowrap"/>
    <w:basedOn w:val="DefaultParagraphFont"/>
    <w:rsid w:val="00492AB1"/>
  </w:style>
  <w:style w:type="paragraph" w:customStyle="1" w:styleId="REFERENCES">
    <w:name w:val="REFERENCES"/>
    <w:basedOn w:val="NoSpacing"/>
    <w:link w:val="REFERENCESChar"/>
    <w:qFormat/>
    <w:rsid w:val="00C97417"/>
    <w:pPr>
      <w:ind w:left="-360" w:right="-360"/>
      <w:jc w:val="left"/>
    </w:pPr>
    <w:rPr>
      <w:rFonts w:asciiTheme="minorHAnsi" w:hAnsiTheme="minorHAnsi"/>
      <w:sz w:val="22"/>
      <w:szCs w:val="22"/>
    </w:rPr>
  </w:style>
  <w:style w:type="character" w:customStyle="1" w:styleId="UnresolvedMention1">
    <w:name w:val="Unresolved Mention1"/>
    <w:basedOn w:val="DefaultParagraphFont"/>
    <w:uiPriority w:val="99"/>
    <w:semiHidden/>
    <w:unhideWhenUsed/>
    <w:rsid w:val="00636067"/>
    <w:rPr>
      <w:color w:val="808080"/>
      <w:shd w:val="clear" w:color="auto" w:fill="E6E6E6"/>
    </w:rPr>
  </w:style>
  <w:style w:type="character" w:customStyle="1" w:styleId="REFERENCESChar">
    <w:name w:val="REFERENCES Char"/>
    <w:basedOn w:val="NoSpacingChar"/>
    <w:link w:val="REFERENCES"/>
    <w:rsid w:val="00C97417"/>
    <w:rPr>
      <w:rFonts w:ascii="Aileron" w:hAnsi="Aileron"/>
      <w:sz w:val="21"/>
      <w:szCs w:val="21"/>
    </w:rPr>
  </w:style>
  <w:style w:type="numbering" w:customStyle="1" w:styleId="NoList1">
    <w:name w:val="No List1"/>
    <w:next w:val="NoList"/>
    <w:uiPriority w:val="99"/>
    <w:semiHidden/>
    <w:unhideWhenUsed/>
    <w:rsid w:val="005A0277"/>
  </w:style>
  <w:style w:type="table" w:customStyle="1" w:styleId="GridTable4-Accent11">
    <w:name w:val="Grid Table 4 - Accent 11"/>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Heading11">
    <w:name w:val="Heading 11"/>
    <w:basedOn w:val="Normal"/>
    <w:next w:val="Normal"/>
    <w:uiPriority w:val="9"/>
    <w:rsid w:val="005A0277"/>
    <w:pPr>
      <w:keepNext/>
      <w:keepLines/>
      <w:spacing w:before="240" w:after="0"/>
      <w:ind w:left="0" w:right="0"/>
      <w:outlineLvl w:val="0"/>
    </w:pPr>
    <w:rPr>
      <w:rFonts w:ascii="Aileron" w:eastAsia="Times New Roman" w:hAnsi="Aileron" w:cs="Times New Roman"/>
      <w:noProof w:val="0"/>
      <w:color w:val="0B5294"/>
      <w:sz w:val="32"/>
      <w:szCs w:val="32"/>
    </w:rPr>
  </w:style>
  <w:style w:type="paragraph" w:customStyle="1" w:styleId="Heading21">
    <w:name w:val="Heading 21"/>
    <w:basedOn w:val="Normal"/>
    <w:next w:val="Normal"/>
    <w:uiPriority w:val="9"/>
    <w:unhideWhenUsed/>
    <w:rsid w:val="005A0277"/>
    <w:pPr>
      <w:keepNext/>
      <w:keepLines/>
      <w:spacing w:before="40" w:after="0"/>
      <w:ind w:left="0" w:right="0"/>
      <w:outlineLvl w:val="1"/>
    </w:pPr>
    <w:rPr>
      <w:rFonts w:ascii="Aileron Bold" w:eastAsia="Times New Roman" w:hAnsi="Aileron Bold" w:cs="Times New Roman"/>
      <w:noProof w:val="0"/>
      <w:color w:val="0B5294"/>
      <w:sz w:val="32"/>
      <w:szCs w:val="26"/>
    </w:rPr>
  </w:style>
  <w:style w:type="paragraph" w:customStyle="1" w:styleId="Heading31">
    <w:name w:val="Heading 31"/>
    <w:basedOn w:val="Normal"/>
    <w:next w:val="Normal"/>
    <w:uiPriority w:val="9"/>
    <w:unhideWhenUsed/>
    <w:rsid w:val="005A0277"/>
    <w:pPr>
      <w:keepNext/>
      <w:keepLines/>
      <w:spacing w:before="40" w:after="0"/>
      <w:ind w:left="0" w:right="0"/>
      <w:outlineLvl w:val="2"/>
    </w:pPr>
    <w:rPr>
      <w:rFonts w:ascii="Aileron" w:eastAsia="Times New Roman" w:hAnsi="Aileron" w:cs="Times New Roman"/>
      <w:noProof w:val="0"/>
      <w:color w:val="073662"/>
      <w:sz w:val="24"/>
      <w:szCs w:val="24"/>
    </w:rPr>
  </w:style>
  <w:style w:type="paragraph" w:customStyle="1" w:styleId="Heading41">
    <w:name w:val="Heading 41"/>
    <w:basedOn w:val="Normal"/>
    <w:next w:val="Normal"/>
    <w:uiPriority w:val="9"/>
    <w:unhideWhenUsed/>
    <w:qFormat/>
    <w:rsid w:val="005A0277"/>
    <w:pPr>
      <w:keepNext/>
      <w:keepLines/>
      <w:spacing w:before="40" w:after="0"/>
      <w:ind w:left="0" w:right="0"/>
      <w:outlineLvl w:val="3"/>
    </w:pPr>
    <w:rPr>
      <w:rFonts w:ascii="Aileron Bold" w:eastAsia="Times New Roman" w:hAnsi="Aileron Bold" w:cs="Times New Roman"/>
      <w:b/>
      <w:iCs/>
      <w:noProof w:val="0"/>
      <w:color w:val="0F6FC6"/>
      <w:sz w:val="26"/>
    </w:rPr>
  </w:style>
  <w:style w:type="paragraph" w:customStyle="1" w:styleId="Heading51">
    <w:name w:val="Heading 51"/>
    <w:basedOn w:val="Normal"/>
    <w:next w:val="Normal"/>
    <w:uiPriority w:val="9"/>
    <w:unhideWhenUsed/>
    <w:qFormat/>
    <w:rsid w:val="005A0277"/>
    <w:pPr>
      <w:keepNext/>
      <w:keepLines/>
      <w:spacing w:before="40" w:after="0"/>
      <w:ind w:left="0" w:right="0"/>
      <w:outlineLvl w:val="4"/>
    </w:pPr>
    <w:rPr>
      <w:rFonts w:ascii="Aileron" w:eastAsia="Times New Roman" w:hAnsi="Aileron" w:cs="Times New Roman"/>
      <w:noProof w:val="0"/>
      <w:color w:val="0B5294"/>
      <w:sz w:val="23"/>
    </w:rPr>
  </w:style>
  <w:style w:type="paragraph" w:customStyle="1" w:styleId="Heading61">
    <w:name w:val="Heading 61"/>
    <w:basedOn w:val="Normal"/>
    <w:next w:val="Normal"/>
    <w:uiPriority w:val="9"/>
    <w:unhideWhenUsed/>
    <w:qFormat/>
    <w:rsid w:val="005A0277"/>
    <w:pPr>
      <w:keepNext/>
      <w:keepLines/>
      <w:spacing w:before="40" w:after="0"/>
      <w:ind w:left="0" w:right="0"/>
      <w:outlineLvl w:val="5"/>
    </w:pPr>
    <w:rPr>
      <w:rFonts w:ascii="Aileron" w:eastAsia="Times New Roman" w:hAnsi="Aileron" w:cs="Times New Roman"/>
      <w:b/>
      <w:noProof w:val="0"/>
      <w:color w:val="073662"/>
      <w:sz w:val="24"/>
    </w:rPr>
  </w:style>
  <w:style w:type="numbering" w:customStyle="1" w:styleId="NoList11">
    <w:name w:val="No List11"/>
    <w:next w:val="NoList"/>
    <w:uiPriority w:val="99"/>
    <w:semiHidden/>
    <w:unhideWhenUsed/>
    <w:rsid w:val="005A0277"/>
  </w:style>
  <w:style w:type="paragraph" w:customStyle="1" w:styleId="Title1">
    <w:name w:val="Title1"/>
    <w:basedOn w:val="Normal"/>
    <w:next w:val="Normal"/>
    <w:uiPriority w:val="10"/>
    <w:qFormat/>
    <w:rsid w:val="005A0277"/>
    <w:pPr>
      <w:spacing w:before="0" w:after="0" w:line="240" w:lineRule="auto"/>
      <w:ind w:left="0" w:right="0"/>
      <w:contextualSpacing/>
    </w:pPr>
    <w:rPr>
      <w:rFonts w:ascii="Arial" w:eastAsia="Times New Roman" w:hAnsi="Arial" w:cs="Times New Roman"/>
      <w:noProof w:val="0"/>
      <w:spacing w:val="-10"/>
      <w:kern w:val="28"/>
      <w:sz w:val="44"/>
      <w:szCs w:val="56"/>
    </w:rPr>
  </w:style>
  <w:style w:type="paragraph" w:customStyle="1" w:styleId="Subtitle1">
    <w:name w:val="Subtitle1"/>
    <w:basedOn w:val="Normal"/>
    <w:next w:val="Normal"/>
    <w:uiPriority w:val="11"/>
    <w:qFormat/>
    <w:rsid w:val="005A0277"/>
    <w:pPr>
      <w:numPr>
        <w:ilvl w:val="1"/>
      </w:numPr>
      <w:spacing w:before="0"/>
      <w:ind w:left="-360" w:right="0"/>
    </w:pPr>
    <w:rPr>
      <w:rFonts w:ascii="Times New Roman" w:eastAsia="Times New Roman" w:hAnsi="Times New Roman"/>
      <w:noProof w:val="0"/>
      <w:color w:val="5A5A5A"/>
      <w:spacing w:val="15"/>
      <w:sz w:val="23"/>
    </w:rPr>
  </w:style>
  <w:style w:type="table" w:customStyle="1" w:styleId="TableGrid3">
    <w:name w:val="Table Grid3"/>
    <w:basedOn w:val="TableNormal"/>
    <w:next w:val="TableGrid"/>
    <w:uiPriority w:val="39"/>
    <w:rsid w:val="005A0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uiPriority w:val="46"/>
    <w:rsid w:val="005A0277"/>
    <w:pPr>
      <w:spacing w:after="0" w:line="240" w:lineRule="auto"/>
    </w:pPr>
    <w:tblPr>
      <w:tblStyleRowBandSize w:val="1"/>
      <w:tblStyleColBandSize w:val="1"/>
      <w:tblBorders>
        <w:top w:val="single" w:sz="4" w:space="0" w:color="90C5F6"/>
        <w:left w:val="single" w:sz="4" w:space="0" w:color="90C5F6"/>
        <w:bottom w:val="single" w:sz="4" w:space="0" w:color="90C5F6"/>
        <w:right w:val="single" w:sz="4" w:space="0" w:color="90C5F6"/>
        <w:insideH w:val="single" w:sz="4" w:space="0" w:color="90C5F6"/>
        <w:insideV w:val="single" w:sz="4" w:space="0" w:color="90C5F6"/>
      </w:tblBorders>
    </w:tblPr>
    <w:tblStylePr w:type="firstRow">
      <w:rPr>
        <w:b/>
        <w:bCs/>
      </w:rPr>
      <w:tblPr/>
      <w:tcPr>
        <w:tcBorders>
          <w:bottom w:val="single" w:sz="12" w:space="0" w:color="59A9F2"/>
        </w:tcBorders>
      </w:tcPr>
    </w:tblStylePr>
    <w:tblStylePr w:type="lastRow">
      <w:rPr>
        <w:b/>
        <w:bCs/>
      </w:rPr>
      <w:tblPr/>
      <w:tcPr>
        <w:tcBorders>
          <w:top w:val="double" w:sz="2" w:space="0" w:color="59A9F2"/>
        </w:tcBorders>
      </w:tcPr>
    </w:tblStylePr>
    <w:tblStylePr w:type="firstCol">
      <w:rPr>
        <w:b/>
        <w:bCs/>
      </w:rPr>
    </w:tblStylePr>
    <w:tblStylePr w:type="lastCol">
      <w:rPr>
        <w:b/>
        <w:bCs/>
      </w:rPr>
    </w:tblStylePr>
  </w:style>
  <w:style w:type="table" w:customStyle="1" w:styleId="GridTable2-Accent111">
    <w:name w:val="Grid Table 2 - Accent 111"/>
    <w:basedOn w:val="TableNormal"/>
    <w:uiPriority w:val="47"/>
    <w:rsid w:val="005A0277"/>
    <w:pPr>
      <w:spacing w:after="0" w:line="240" w:lineRule="auto"/>
    </w:pPr>
    <w:tblPr>
      <w:tblStyleRowBandSize w:val="1"/>
      <w:tblStyleColBandSize w:val="1"/>
      <w:tblBorders>
        <w:top w:val="single" w:sz="2" w:space="0" w:color="59A9F2"/>
        <w:bottom w:val="single" w:sz="2" w:space="0" w:color="59A9F2"/>
        <w:insideH w:val="single" w:sz="2" w:space="0" w:color="59A9F2"/>
        <w:insideV w:val="single" w:sz="2" w:space="0" w:color="59A9F2"/>
      </w:tblBorders>
    </w:tblPr>
    <w:tblStylePr w:type="firstRow">
      <w:rPr>
        <w:b/>
        <w:bCs/>
      </w:rPr>
      <w:tblPr/>
      <w:tcPr>
        <w:tcBorders>
          <w:top w:val="nil"/>
          <w:bottom w:val="single" w:sz="12" w:space="0" w:color="59A9F2"/>
          <w:insideH w:val="nil"/>
          <w:insideV w:val="nil"/>
        </w:tcBorders>
        <w:shd w:val="clear" w:color="auto" w:fill="FFFFFF"/>
      </w:tcPr>
    </w:tblStylePr>
    <w:tblStylePr w:type="lastRow">
      <w:rPr>
        <w:b/>
        <w:bCs/>
      </w:rPr>
      <w:tblPr/>
      <w:tcPr>
        <w:tcBorders>
          <w:top w:val="double" w:sz="2" w:space="0" w:color="59A9F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11">
    <w:name w:val="Grid Table 4 - Accent 111"/>
    <w:basedOn w:val="TableNormal"/>
    <w:uiPriority w:val="49"/>
    <w:rsid w:val="005A0277"/>
    <w:pPr>
      <w:spacing w:after="0" w:line="240" w:lineRule="auto"/>
    </w:pPr>
    <w:tblPr>
      <w:tblStyleRowBandSize w:val="1"/>
      <w:tblStyleColBandSize w:val="1"/>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character" w:customStyle="1" w:styleId="TitleChar1">
    <w:name w:val="Title Char1"/>
    <w:basedOn w:val="DefaultParagraphFont"/>
    <w:uiPriority w:val="10"/>
    <w:rsid w:val="005A0277"/>
    <w:rPr>
      <w:rFonts w:ascii="Calibri Light" w:eastAsia="Times New Roman" w:hAnsi="Calibri Light" w:cs="Times New Roman"/>
      <w:spacing w:val="-10"/>
      <w:kern w:val="28"/>
      <w:sz w:val="56"/>
      <w:szCs w:val="56"/>
    </w:rPr>
  </w:style>
  <w:style w:type="character" w:customStyle="1" w:styleId="SubtitleChar1">
    <w:name w:val="Subtitle Char1"/>
    <w:basedOn w:val="DefaultParagraphFont"/>
    <w:uiPriority w:val="11"/>
    <w:rsid w:val="005A0277"/>
    <w:rPr>
      <w:rFonts w:eastAsia="Times New Roman"/>
      <w:color w:val="5A5A5A"/>
      <w:spacing w:val="15"/>
    </w:rPr>
  </w:style>
  <w:style w:type="character" w:customStyle="1" w:styleId="Heading1Char1">
    <w:name w:val="Heading 1 Char1"/>
    <w:basedOn w:val="DefaultParagraphFont"/>
    <w:uiPriority w:val="9"/>
    <w:rsid w:val="005A0277"/>
    <w:rPr>
      <w:rFonts w:ascii="Calibri Light" w:eastAsia="Times New Roman" w:hAnsi="Calibri Light" w:cs="Times New Roman"/>
      <w:color w:val="2E74B5"/>
      <w:sz w:val="32"/>
      <w:szCs w:val="32"/>
    </w:rPr>
  </w:style>
  <w:style w:type="character" w:customStyle="1" w:styleId="Heading2Char1">
    <w:name w:val="Heading 2 Char1"/>
    <w:basedOn w:val="DefaultParagraphFont"/>
    <w:uiPriority w:val="9"/>
    <w:semiHidden/>
    <w:rsid w:val="005A0277"/>
    <w:rPr>
      <w:rFonts w:ascii="Calibri Light" w:eastAsia="Times New Roman" w:hAnsi="Calibri Light" w:cs="Times New Roman"/>
      <w:color w:val="2E74B5"/>
      <w:sz w:val="26"/>
      <w:szCs w:val="26"/>
    </w:rPr>
  </w:style>
  <w:style w:type="character" w:customStyle="1" w:styleId="Heading3Char1">
    <w:name w:val="Heading 3 Char1"/>
    <w:basedOn w:val="DefaultParagraphFont"/>
    <w:uiPriority w:val="9"/>
    <w:semiHidden/>
    <w:rsid w:val="005A0277"/>
    <w:rPr>
      <w:rFonts w:ascii="Calibri Light" w:eastAsia="Times New Roman" w:hAnsi="Calibri Light" w:cs="Times New Roman"/>
      <w:color w:val="1F4D78"/>
      <w:sz w:val="24"/>
      <w:szCs w:val="24"/>
    </w:rPr>
  </w:style>
  <w:style w:type="character" w:customStyle="1" w:styleId="Heading4Char1">
    <w:name w:val="Heading 4 Char1"/>
    <w:basedOn w:val="DefaultParagraphFont"/>
    <w:uiPriority w:val="9"/>
    <w:semiHidden/>
    <w:rsid w:val="005A0277"/>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5A0277"/>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5A0277"/>
    <w:rPr>
      <w:rFonts w:ascii="Calibri Light" w:eastAsia="Times New Roman" w:hAnsi="Calibri Light" w:cs="Times New Roman"/>
      <w:color w:val="1F4D78"/>
    </w:rPr>
  </w:style>
  <w:style w:type="paragraph" w:customStyle="1" w:styleId="ColorfulList-Accent11">
    <w:name w:val="Colorful List - Accent 11"/>
    <w:basedOn w:val="Normal"/>
    <w:qFormat/>
    <w:rsid w:val="005A0277"/>
    <w:pPr>
      <w:spacing w:before="0" w:after="0" w:line="240" w:lineRule="auto"/>
      <w:ind w:left="720" w:right="0"/>
      <w:contextualSpacing/>
      <w:jc w:val="left"/>
    </w:pPr>
    <w:rPr>
      <w:rFonts w:ascii="Calibri" w:eastAsia="Calibri" w:hAnsi="Calibri" w:cs="Times New Roman"/>
      <w:noProof w:val="0"/>
    </w:rPr>
  </w:style>
  <w:style w:type="paragraph" w:customStyle="1" w:styleId="Heading71">
    <w:name w:val="Heading 71"/>
    <w:basedOn w:val="Normal"/>
    <w:next w:val="Normal"/>
    <w:uiPriority w:val="9"/>
    <w:semiHidden/>
    <w:unhideWhenUsed/>
    <w:qFormat/>
    <w:rsid w:val="005A0277"/>
    <w:pPr>
      <w:spacing w:before="280" w:after="0" w:line="360" w:lineRule="auto"/>
      <w:ind w:left="0" w:right="0"/>
      <w:jc w:val="left"/>
      <w:outlineLvl w:val="6"/>
    </w:pPr>
    <w:rPr>
      <w:rFonts w:ascii="Cambria" w:eastAsia="Times New Roman" w:hAnsi="Cambria" w:cs="Times New Roman"/>
      <w:b/>
      <w:bCs/>
      <w:i/>
      <w:iCs/>
      <w:noProof w:val="0"/>
      <w:sz w:val="20"/>
      <w:szCs w:val="20"/>
    </w:rPr>
  </w:style>
  <w:style w:type="paragraph" w:customStyle="1" w:styleId="Heading81">
    <w:name w:val="Heading 81"/>
    <w:basedOn w:val="Normal"/>
    <w:next w:val="Normal"/>
    <w:uiPriority w:val="9"/>
    <w:semiHidden/>
    <w:unhideWhenUsed/>
    <w:qFormat/>
    <w:rsid w:val="005A0277"/>
    <w:pPr>
      <w:spacing w:before="280" w:after="0" w:line="360" w:lineRule="auto"/>
      <w:ind w:left="0" w:right="0"/>
      <w:jc w:val="left"/>
      <w:outlineLvl w:val="7"/>
    </w:pPr>
    <w:rPr>
      <w:rFonts w:ascii="Cambria" w:eastAsia="Times New Roman" w:hAnsi="Cambria" w:cs="Times New Roman"/>
      <w:b/>
      <w:bCs/>
      <w:i/>
      <w:iCs/>
      <w:noProof w:val="0"/>
      <w:sz w:val="18"/>
      <w:szCs w:val="18"/>
    </w:rPr>
  </w:style>
  <w:style w:type="paragraph" w:customStyle="1" w:styleId="Heading91">
    <w:name w:val="Heading 91"/>
    <w:basedOn w:val="Normal"/>
    <w:next w:val="Normal"/>
    <w:uiPriority w:val="9"/>
    <w:semiHidden/>
    <w:unhideWhenUsed/>
    <w:qFormat/>
    <w:rsid w:val="005A0277"/>
    <w:pPr>
      <w:spacing w:before="280" w:after="0" w:line="360" w:lineRule="auto"/>
      <w:ind w:left="0" w:right="0"/>
      <w:jc w:val="left"/>
      <w:outlineLvl w:val="8"/>
    </w:pPr>
    <w:rPr>
      <w:rFonts w:ascii="Cambria" w:eastAsia="Times New Roman" w:hAnsi="Cambria" w:cs="Times New Roman"/>
      <w:i/>
      <w:iCs/>
      <w:noProof w:val="0"/>
      <w:sz w:val="18"/>
      <w:szCs w:val="18"/>
    </w:rPr>
  </w:style>
  <w:style w:type="numbering" w:customStyle="1" w:styleId="NoList2">
    <w:name w:val="No List2"/>
    <w:next w:val="NoList"/>
    <w:uiPriority w:val="99"/>
    <w:semiHidden/>
    <w:unhideWhenUsed/>
    <w:rsid w:val="005A0277"/>
  </w:style>
  <w:style w:type="table" w:customStyle="1" w:styleId="LightShading-Accent11">
    <w:name w:val="Light Shading - Accent 11"/>
    <w:basedOn w:val="TableNormal"/>
    <w:next w:val="LightShading-Accent1"/>
    <w:uiPriority w:val="60"/>
    <w:rsid w:val="005A0277"/>
    <w:pPr>
      <w:spacing w:before="100" w:after="100" w:line="480" w:lineRule="auto"/>
      <w:ind w:firstLine="360"/>
    </w:pPr>
    <w:rPr>
      <w:rFonts w:eastAsia="Times New Roma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Quote1">
    <w:name w:val="Quote1"/>
    <w:basedOn w:val="Normal"/>
    <w:next w:val="Normal"/>
    <w:uiPriority w:val="29"/>
    <w:qFormat/>
    <w:rsid w:val="005A0277"/>
    <w:pPr>
      <w:spacing w:line="240" w:lineRule="auto"/>
      <w:ind w:left="0" w:right="0"/>
      <w:jc w:val="left"/>
    </w:pPr>
    <w:rPr>
      <w:rFonts w:eastAsia="Times New Roman"/>
      <w:noProof w:val="0"/>
      <w:color w:val="5A5A5A"/>
    </w:rPr>
  </w:style>
  <w:style w:type="paragraph" w:customStyle="1" w:styleId="IntenseQuote1">
    <w:name w:val="Intense Quote1"/>
    <w:basedOn w:val="Normal"/>
    <w:next w:val="Normal"/>
    <w:uiPriority w:val="30"/>
    <w:qFormat/>
    <w:rsid w:val="005A0277"/>
    <w:pPr>
      <w:spacing w:before="320" w:after="480" w:line="240" w:lineRule="auto"/>
      <w:ind w:left="720" w:right="720"/>
      <w:jc w:val="center"/>
    </w:pPr>
    <w:rPr>
      <w:rFonts w:ascii="Cambria" w:eastAsia="Times New Roman" w:hAnsi="Cambria" w:cs="Times New Roman"/>
      <w:i/>
      <w:iCs/>
      <w:noProof w:val="0"/>
      <w:sz w:val="20"/>
      <w:szCs w:val="20"/>
    </w:rPr>
  </w:style>
  <w:style w:type="character" w:customStyle="1" w:styleId="SubtleEmphasis1">
    <w:name w:val="Subtle Emphasis1"/>
    <w:uiPriority w:val="19"/>
    <w:qFormat/>
    <w:rsid w:val="005A0277"/>
    <w:rPr>
      <w:i/>
      <w:iCs/>
      <w:color w:val="5A5A5A"/>
    </w:rPr>
  </w:style>
  <w:style w:type="character" w:customStyle="1" w:styleId="BookTitle1">
    <w:name w:val="Book Title1"/>
    <w:uiPriority w:val="33"/>
    <w:qFormat/>
    <w:rsid w:val="005A0277"/>
    <w:rPr>
      <w:rFonts w:ascii="Cambria" w:eastAsia="Times New Roman" w:hAnsi="Cambria" w:cs="Times New Roman"/>
      <w:b/>
      <w:bCs/>
      <w:smallCaps/>
      <w:color w:val="auto"/>
      <w:u w:val="single"/>
    </w:rPr>
  </w:style>
  <w:style w:type="character" w:styleId="PageNumber">
    <w:name w:val="page number"/>
    <w:basedOn w:val="DefaultParagraphFont"/>
    <w:uiPriority w:val="99"/>
    <w:semiHidden/>
    <w:unhideWhenUsed/>
    <w:rsid w:val="005A0277"/>
  </w:style>
  <w:style w:type="paragraph" w:customStyle="1" w:styleId="CM13">
    <w:name w:val="CM13"/>
    <w:basedOn w:val="Normal"/>
    <w:next w:val="Normal"/>
    <w:uiPriority w:val="99"/>
    <w:rsid w:val="005A0277"/>
    <w:pPr>
      <w:widowControl w:val="0"/>
      <w:autoSpaceDE w:val="0"/>
      <w:autoSpaceDN w:val="0"/>
      <w:adjustRightInd w:val="0"/>
      <w:spacing w:before="0" w:after="0" w:line="240" w:lineRule="auto"/>
      <w:ind w:left="0" w:right="0"/>
      <w:jc w:val="left"/>
    </w:pPr>
    <w:rPr>
      <w:rFonts w:ascii="DINMittelschrift" w:eastAsia="Times New Roman" w:hAnsi="DINMittelschrift" w:cs="Times New Roman"/>
      <w:noProof w:val="0"/>
      <w:sz w:val="24"/>
      <w:szCs w:val="24"/>
    </w:rPr>
  </w:style>
  <w:style w:type="table" w:customStyle="1" w:styleId="LightShading-Accent12">
    <w:name w:val="Light Shading - Accent 12"/>
    <w:basedOn w:val="TableNormal"/>
    <w:next w:val="LightShading-Accent1"/>
    <w:uiPriority w:val="60"/>
    <w:rsid w:val="005A0277"/>
    <w:pPr>
      <w:spacing w:after="0" w:line="240" w:lineRule="auto"/>
    </w:pPr>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customStyle="1" w:styleId="Heading7Char1">
    <w:name w:val="Heading 7 Char1"/>
    <w:basedOn w:val="DefaultParagraphFont"/>
    <w:uiPriority w:val="9"/>
    <w:semiHidden/>
    <w:rsid w:val="005A0277"/>
    <w:rPr>
      <w:rFonts w:ascii="Calibri Light" w:eastAsia="Times New Roman" w:hAnsi="Calibri Light" w:cs="Times New Roman"/>
      <w:i/>
      <w:iCs/>
      <w:color w:val="404040"/>
    </w:rPr>
  </w:style>
  <w:style w:type="character" w:customStyle="1" w:styleId="Heading8Char1">
    <w:name w:val="Heading 8 Char1"/>
    <w:basedOn w:val="DefaultParagraphFont"/>
    <w:uiPriority w:val="9"/>
    <w:semiHidden/>
    <w:rsid w:val="005A0277"/>
    <w:rPr>
      <w:rFonts w:ascii="Calibri Light" w:eastAsia="Times New Roman" w:hAnsi="Calibri Light" w:cs="Times New Roman"/>
      <w:color w:val="404040"/>
      <w:sz w:val="20"/>
      <w:szCs w:val="20"/>
    </w:rPr>
  </w:style>
  <w:style w:type="character" w:customStyle="1" w:styleId="Heading9Char1">
    <w:name w:val="Heading 9 Char1"/>
    <w:basedOn w:val="DefaultParagraphFont"/>
    <w:uiPriority w:val="9"/>
    <w:semiHidden/>
    <w:rsid w:val="005A0277"/>
    <w:rPr>
      <w:rFonts w:ascii="Calibri Light" w:eastAsia="Times New Roman" w:hAnsi="Calibri Light" w:cs="Times New Roman"/>
      <w:i/>
      <w:iCs/>
      <w:color w:val="404040"/>
      <w:sz w:val="20"/>
      <w:szCs w:val="20"/>
    </w:rPr>
  </w:style>
  <w:style w:type="character" w:customStyle="1" w:styleId="QuoteChar1">
    <w:name w:val="Quote Char1"/>
    <w:basedOn w:val="DefaultParagraphFont"/>
    <w:uiPriority w:val="29"/>
    <w:rsid w:val="005A0277"/>
    <w:rPr>
      <w:i/>
      <w:iCs/>
      <w:color w:val="000000"/>
    </w:rPr>
  </w:style>
  <w:style w:type="character" w:customStyle="1" w:styleId="IntenseQuoteChar1">
    <w:name w:val="Intense Quote Char1"/>
    <w:basedOn w:val="DefaultParagraphFont"/>
    <w:uiPriority w:val="30"/>
    <w:rsid w:val="005A0277"/>
    <w:rPr>
      <w:b/>
      <w:bCs/>
      <w:i/>
      <w:iCs/>
      <w:color w:val="5B9BD5"/>
    </w:rPr>
  </w:style>
  <w:style w:type="table" w:styleId="LightShading-Accent1">
    <w:name w:val="Light Shading Accent 1"/>
    <w:basedOn w:val="TableNormal"/>
    <w:uiPriority w:val="60"/>
    <w:rsid w:val="005A0277"/>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GridTable4-Accent112">
    <w:name w:val="Grid Table 4 - Accent 112"/>
    <w:basedOn w:val="TableNormal"/>
    <w:uiPriority w:val="49"/>
    <w:rsid w:val="005A027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UnresolvedMention2">
    <w:name w:val="Unresolved Mention2"/>
    <w:basedOn w:val="DefaultParagraphFont"/>
    <w:uiPriority w:val="99"/>
    <w:semiHidden/>
    <w:unhideWhenUsed/>
    <w:rsid w:val="006A1740"/>
    <w:rPr>
      <w:color w:val="808080"/>
      <w:shd w:val="clear" w:color="auto" w:fill="E6E6E6"/>
    </w:rPr>
  </w:style>
  <w:style w:type="character" w:customStyle="1" w:styleId="UnresolvedMention">
    <w:name w:val="Unresolved Mention"/>
    <w:basedOn w:val="DefaultParagraphFont"/>
    <w:uiPriority w:val="99"/>
    <w:semiHidden/>
    <w:unhideWhenUsed/>
    <w:rsid w:val="005B3F1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87940">
      <w:bodyDiv w:val="1"/>
      <w:marLeft w:val="0"/>
      <w:marRight w:val="0"/>
      <w:marTop w:val="0"/>
      <w:marBottom w:val="0"/>
      <w:divBdr>
        <w:top w:val="none" w:sz="0" w:space="0" w:color="auto"/>
        <w:left w:val="none" w:sz="0" w:space="0" w:color="auto"/>
        <w:bottom w:val="none" w:sz="0" w:space="0" w:color="auto"/>
        <w:right w:val="none" w:sz="0" w:space="0" w:color="auto"/>
      </w:divBdr>
    </w:div>
    <w:div w:id="96758068">
      <w:bodyDiv w:val="1"/>
      <w:marLeft w:val="0"/>
      <w:marRight w:val="0"/>
      <w:marTop w:val="0"/>
      <w:marBottom w:val="0"/>
      <w:divBdr>
        <w:top w:val="none" w:sz="0" w:space="0" w:color="auto"/>
        <w:left w:val="none" w:sz="0" w:space="0" w:color="auto"/>
        <w:bottom w:val="none" w:sz="0" w:space="0" w:color="auto"/>
        <w:right w:val="none" w:sz="0" w:space="0" w:color="auto"/>
      </w:divBdr>
    </w:div>
    <w:div w:id="292563808">
      <w:bodyDiv w:val="1"/>
      <w:marLeft w:val="0"/>
      <w:marRight w:val="0"/>
      <w:marTop w:val="0"/>
      <w:marBottom w:val="0"/>
      <w:divBdr>
        <w:top w:val="none" w:sz="0" w:space="0" w:color="auto"/>
        <w:left w:val="none" w:sz="0" w:space="0" w:color="auto"/>
        <w:bottom w:val="none" w:sz="0" w:space="0" w:color="auto"/>
        <w:right w:val="none" w:sz="0" w:space="0" w:color="auto"/>
      </w:divBdr>
    </w:div>
    <w:div w:id="307058535">
      <w:bodyDiv w:val="1"/>
      <w:marLeft w:val="0"/>
      <w:marRight w:val="0"/>
      <w:marTop w:val="0"/>
      <w:marBottom w:val="0"/>
      <w:divBdr>
        <w:top w:val="none" w:sz="0" w:space="0" w:color="auto"/>
        <w:left w:val="none" w:sz="0" w:space="0" w:color="auto"/>
        <w:bottom w:val="none" w:sz="0" w:space="0" w:color="auto"/>
        <w:right w:val="none" w:sz="0" w:space="0" w:color="auto"/>
      </w:divBdr>
    </w:div>
    <w:div w:id="334193270">
      <w:bodyDiv w:val="1"/>
      <w:marLeft w:val="0"/>
      <w:marRight w:val="0"/>
      <w:marTop w:val="0"/>
      <w:marBottom w:val="0"/>
      <w:divBdr>
        <w:top w:val="none" w:sz="0" w:space="0" w:color="auto"/>
        <w:left w:val="none" w:sz="0" w:space="0" w:color="auto"/>
        <w:bottom w:val="none" w:sz="0" w:space="0" w:color="auto"/>
        <w:right w:val="none" w:sz="0" w:space="0" w:color="auto"/>
      </w:divBdr>
    </w:div>
    <w:div w:id="527643209">
      <w:bodyDiv w:val="1"/>
      <w:marLeft w:val="0"/>
      <w:marRight w:val="0"/>
      <w:marTop w:val="0"/>
      <w:marBottom w:val="0"/>
      <w:divBdr>
        <w:top w:val="none" w:sz="0" w:space="0" w:color="auto"/>
        <w:left w:val="none" w:sz="0" w:space="0" w:color="auto"/>
        <w:bottom w:val="none" w:sz="0" w:space="0" w:color="auto"/>
        <w:right w:val="none" w:sz="0" w:space="0" w:color="auto"/>
      </w:divBdr>
    </w:div>
    <w:div w:id="854076380">
      <w:bodyDiv w:val="1"/>
      <w:marLeft w:val="0"/>
      <w:marRight w:val="0"/>
      <w:marTop w:val="0"/>
      <w:marBottom w:val="0"/>
      <w:divBdr>
        <w:top w:val="none" w:sz="0" w:space="0" w:color="auto"/>
        <w:left w:val="none" w:sz="0" w:space="0" w:color="auto"/>
        <w:bottom w:val="none" w:sz="0" w:space="0" w:color="auto"/>
        <w:right w:val="none" w:sz="0" w:space="0" w:color="auto"/>
      </w:divBdr>
    </w:div>
    <w:div w:id="909390300">
      <w:bodyDiv w:val="1"/>
      <w:marLeft w:val="0"/>
      <w:marRight w:val="0"/>
      <w:marTop w:val="0"/>
      <w:marBottom w:val="0"/>
      <w:divBdr>
        <w:top w:val="none" w:sz="0" w:space="0" w:color="auto"/>
        <w:left w:val="none" w:sz="0" w:space="0" w:color="auto"/>
        <w:bottom w:val="none" w:sz="0" w:space="0" w:color="auto"/>
        <w:right w:val="none" w:sz="0" w:space="0" w:color="auto"/>
      </w:divBdr>
    </w:div>
    <w:div w:id="1045251880">
      <w:bodyDiv w:val="1"/>
      <w:marLeft w:val="0"/>
      <w:marRight w:val="0"/>
      <w:marTop w:val="0"/>
      <w:marBottom w:val="0"/>
      <w:divBdr>
        <w:top w:val="none" w:sz="0" w:space="0" w:color="auto"/>
        <w:left w:val="none" w:sz="0" w:space="0" w:color="auto"/>
        <w:bottom w:val="none" w:sz="0" w:space="0" w:color="auto"/>
        <w:right w:val="none" w:sz="0" w:space="0" w:color="auto"/>
      </w:divBdr>
    </w:div>
    <w:div w:id="1372413967">
      <w:bodyDiv w:val="1"/>
      <w:marLeft w:val="0"/>
      <w:marRight w:val="0"/>
      <w:marTop w:val="0"/>
      <w:marBottom w:val="0"/>
      <w:divBdr>
        <w:top w:val="none" w:sz="0" w:space="0" w:color="auto"/>
        <w:left w:val="none" w:sz="0" w:space="0" w:color="auto"/>
        <w:bottom w:val="none" w:sz="0" w:space="0" w:color="auto"/>
        <w:right w:val="none" w:sz="0" w:space="0" w:color="auto"/>
      </w:divBdr>
    </w:div>
    <w:div w:id="1398242743">
      <w:bodyDiv w:val="1"/>
      <w:marLeft w:val="0"/>
      <w:marRight w:val="0"/>
      <w:marTop w:val="0"/>
      <w:marBottom w:val="0"/>
      <w:divBdr>
        <w:top w:val="none" w:sz="0" w:space="0" w:color="auto"/>
        <w:left w:val="none" w:sz="0" w:space="0" w:color="auto"/>
        <w:bottom w:val="none" w:sz="0" w:space="0" w:color="auto"/>
        <w:right w:val="none" w:sz="0" w:space="0" w:color="auto"/>
      </w:divBdr>
    </w:div>
    <w:div w:id="1415128611">
      <w:bodyDiv w:val="1"/>
      <w:marLeft w:val="0"/>
      <w:marRight w:val="0"/>
      <w:marTop w:val="0"/>
      <w:marBottom w:val="0"/>
      <w:divBdr>
        <w:top w:val="none" w:sz="0" w:space="0" w:color="auto"/>
        <w:left w:val="none" w:sz="0" w:space="0" w:color="auto"/>
        <w:bottom w:val="none" w:sz="0" w:space="0" w:color="auto"/>
        <w:right w:val="none" w:sz="0" w:space="0" w:color="auto"/>
      </w:divBdr>
    </w:div>
    <w:div w:id="1420560347">
      <w:bodyDiv w:val="1"/>
      <w:marLeft w:val="0"/>
      <w:marRight w:val="0"/>
      <w:marTop w:val="0"/>
      <w:marBottom w:val="0"/>
      <w:divBdr>
        <w:top w:val="none" w:sz="0" w:space="0" w:color="auto"/>
        <w:left w:val="none" w:sz="0" w:space="0" w:color="auto"/>
        <w:bottom w:val="none" w:sz="0" w:space="0" w:color="auto"/>
        <w:right w:val="none" w:sz="0" w:space="0" w:color="auto"/>
      </w:divBdr>
    </w:div>
    <w:div w:id="1498837511">
      <w:bodyDiv w:val="1"/>
      <w:marLeft w:val="0"/>
      <w:marRight w:val="0"/>
      <w:marTop w:val="0"/>
      <w:marBottom w:val="0"/>
      <w:divBdr>
        <w:top w:val="none" w:sz="0" w:space="0" w:color="auto"/>
        <w:left w:val="none" w:sz="0" w:space="0" w:color="auto"/>
        <w:bottom w:val="none" w:sz="0" w:space="0" w:color="auto"/>
        <w:right w:val="none" w:sz="0" w:space="0" w:color="auto"/>
      </w:divBdr>
    </w:div>
    <w:div w:id="1575430149">
      <w:bodyDiv w:val="1"/>
      <w:marLeft w:val="0"/>
      <w:marRight w:val="0"/>
      <w:marTop w:val="0"/>
      <w:marBottom w:val="0"/>
      <w:divBdr>
        <w:top w:val="none" w:sz="0" w:space="0" w:color="auto"/>
        <w:left w:val="none" w:sz="0" w:space="0" w:color="auto"/>
        <w:bottom w:val="none" w:sz="0" w:space="0" w:color="auto"/>
        <w:right w:val="none" w:sz="0" w:space="0" w:color="auto"/>
      </w:divBdr>
    </w:div>
    <w:div w:id="1576937838">
      <w:bodyDiv w:val="1"/>
      <w:marLeft w:val="0"/>
      <w:marRight w:val="0"/>
      <w:marTop w:val="0"/>
      <w:marBottom w:val="0"/>
      <w:divBdr>
        <w:top w:val="none" w:sz="0" w:space="0" w:color="auto"/>
        <w:left w:val="none" w:sz="0" w:space="0" w:color="auto"/>
        <w:bottom w:val="none" w:sz="0" w:space="0" w:color="auto"/>
        <w:right w:val="none" w:sz="0" w:space="0" w:color="auto"/>
      </w:divBdr>
    </w:div>
    <w:div w:id="1601524420">
      <w:bodyDiv w:val="1"/>
      <w:marLeft w:val="0"/>
      <w:marRight w:val="0"/>
      <w:marTop w:val="0"/>
      <w:marBottom w:val="0"/>
      <w:divBdr>
        <w:top w:val="none" w:sz="0" w:space="0" w:color="auto"/>
        <w:left w:val="none" w:sz="0" w:space="0" w:color="auto"/>
        <w:bottom w:val="none" w:sz="0" w:space="0" w:color="auto"/>
        <w:right w:val="none" w:sz="0" w:space="0" w:color="auto"/>
      </w:divBdr>
    </w:div>
    <w:div w:id="1819152905">
      <w:bodyDiv w:val="1"/>
      <w:marLeft w:val="0"/>
      <w:marRight w:val="0"/>
      <w:marTop w:val="0"/>
      <w:marBottom w:val="0"/>
      <w:divBdr>
        <w:top w:val="none" w:sz="0" w:space="0" w:color="auto"/>
        <w:left w:val="none" w:sz="0" w:space="0" w:color="auto"/>
        <w:bottom w:val="none" w:sz="0" w:space="0" w:color="auto"/>
        <w:right w:val="none" w:sz="0" w:space="0" w:color="auto"/>
      </w:divBdr>
    </w:div>
    <w:div w:id="1898054132">
      <w:bodyDiv w:val="1"/>
      <w:marLeft w:val="0"/>
      <w:marRight w:val="0"/>
      <w:marTop w:val="0"/>
      <w:marBottom w:val="0"/>
      <w:divBdr>
        <w:top w:val="none" w:sz="0" w:space="0" w:color="auto"/>
        <w:left w:val="none" w:sz="0" w:space="0" w:color="auto"/>
        <w:bottom w:val="none" w:sz="0" w:space="0" w:color="auto"/>
        <w:right w:val="none" w:sz="0" w:space="0" w:color="auto"/>
      </w:divBdr>
    </w:div>
    <w:div w:id="1978685283">
      <w:bodyDiv w:val="1"/>
      <w:marLeft w:val="0"/>
      <w:marRight w:val="0"/>
      <w:marTop w:val="0"/>
      <w:marBottom w:val="0"/>
      <w:divBdr>
        <w:top w:val="none" w:sz="0" w:space="0" w:color="auto"/>
        <w:left w:val="none" w:sz="0" w:space="0" w:color="auto"/>
        <w:bottom w:val="none" w:sz="0" w:space="0" w:color="auto"/>
        <w:right w:val="none" w:sz="0" w:space="0" w:color="auto"/>
      </w:divBdr>
    </w:div>
    <w:div w:id="211736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6.png"/><Relationship Id="rId26"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chart" Target="charts/chart4.xml"/><Relationship Id="rId25"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chart" Target="charts/chart6.xm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chart" Target="charts/chart8.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image" Target="media/image8.png"/><Relationship Id="rId28"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chart" Target="charts/chart5.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2.xml"/><Relationship Id="rId22" Type="http://schemas.openxmlformats.org/officeDocument/2006/relationships/image" Target="media/image7.png"/><Relationship Id="rId27" Type="http://schemas.openxmlformats.org/officeDocument/2006/relationships/chart" Target="charts/chart11.xml"/><Relationship Id="rId30"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www.astho.org/Policy-and-Position-Statements/Position-Statement-on-Maternal-Mortality-and-Morbidity/" TargetMode="External"/><Relationship Id="rId2" Type="http://schemas.openxmlformats.org/officeDocument/2006/relationships/hyperlink" Target="http://www.pediatrics.org/cgi/content/full/123/3/e406" TargetMode="External"/><Relationship Id="rId1" Type="http://schemas.openxmlformats.org/officeDocument/2006/relationships/hyperlink" Target="http://www.mass.gov/eohhs/docs/dph/stop-addiction/legislative-report-chapter-55-aug-2017.pdf" TargetMode="External"/><Relationship Id="rId4" Type="http://schemas.openxmlformats.org/officeDocument/2006/relationships/hyperlink" Target="https://www.nimh.nih.gov/health/publications/postpartum-depression-facts/index.shtml"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2\MA%20SHA_Chapter%202_Figures_9.20.17.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2\MA%20SHA_Chapter%202_Figures_9.20.17.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2\MA%20SHA_Chapter%202_Figures_9.20.17.xlsx" TargetMode="External"/><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2\MA%20SHA_Chapter%202_Figures_9.20.17.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2\MA%20SHA_Chapter%202_Figures_9.20.17.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2\MA%20SHA_Chapter%202_Figures_9.20.17.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2\MA%20SHA_Chapter%202_Figures_9.20.17.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2\MA%20SHA_Chapter%202_Figures_9.20.17.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2\MA%20SHA_Chapter%202_Figures_9.20.17.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2\MA%20SHA_Chapter%202_Figures_9.20.17.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hria-fs\Berkeley\Common\Research&amp;Eval%20Dept\R&amp;E%20ACTIVE%20PROJECTS\MA%20SHA\SHA%20Report\Chapter%202\MA%20SHA_Chapter%202_Figures_9.20.17.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635480460775736"/>
          <c:y val="5.536332179930796E-2"/>
          <c:w val="0.71237204724409453"/>
          <c:h val="0.67593613298337718"/>
        </c:manualLayout>
      </c:layout>
      <c:barChart>
        <c:barDir val="bar"/>
        <c:grouping val="clustered"/>
        <c:varyColors val="0"/>
        <c:ser>
          <c:idx val="0"/>
          <c:order val="0"/>
          <c:tx>
            <c:strRef>
              <c:f>'Figure 2.1'!$B$4</c:f>
              <c:strCache>
                <c:ptCount val="1"/>
                <c:pt idx="0">
                  <c:v>% of Preterm Births</c:v>
                </c:pt>
              </c:strCache>
            </c:strRef>
          </c:tx>
          <c:spPr>
            <a:solidFill>
              <a:srgbClr val="203864"/>
            </a:solidFill>
            <a:ln>
              <a:noFill/>
            </a:ln>
            <a:effectLst/>
          </c:spPr>
          <c:invertIfNegative val="0"/>
          <c:dPt>
            <c:idx val="5"/>
            <c:invertIfNegative val="0"/>
            <c:bubble3D val="0"/>
            <c:spPr>
              <a:solidFill>
                <a:srgbClr val="9ECAE1"/>
              </a:solidFill>
              <a:ln>
                <a:noFill/>
              </a:ln>
              <a:effectLst/>
            </c:spPr>
            <c:extLst xmlns:c16r2="http://schemas.microsoft.com/office/drawing/2015/06/chart">
              <c:ext xmlns:c16="http://schemas.microsoft.com/office/drawing/2014/chart" uri="{C3380CC4-5D6E-409C-BE32-E72D297353CC}">
                <c16:uniqueId val="{00000001-70BD-4EBE-BC03-7B220C32A7EE}"/>
              </c:ext>
            </c:extLst>
          </c:dPt>
          <c:dLbls>
            <c:dLbl>
              <c:idx val="5"/>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dLbl>
            <c:spPr>
              <a:noFill/>
              <a:ln>
                <a:noFill/>
              </a:ln>
              <a:effectLst/>
            </c:spPr>
            <c:txPr>
              <a:bodyPr rot="0" spcFirstLastPara="1" vertOverflow="ellipsis" vert="horz" wrap="square" anchor="ctr" anchorCtr="1"/>
              <a:lstStyle/>
              <a:p>
                <a:pPr>
                  <a:defRPr sz="105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2.1'!$A$5:$A$10</c:f>
              <c:strCache>
                <c:ptCount val="6"/>
                <c:pt idx="0">
                  <c:v>Other</c:v>
                </c:pt>
                <c:pt idx="1">
                  <c:v>White non-Hispanic</c:v>
                </c:pt>
                <c:pt idx="2">
                  <c:v>Black non-Hispanic</c:v>
                </c:pt>
                <c:pt idx="3">
                  <c:v>Hispanic</c:v>
                </c:pt>
                <c:pt idx="4">
                  <c:v>Asian</c:v>
                </c:pt>
                <c:pt idx="5">
                  <c:v>MA</c:v>
                </c:pt>
              </c:strCache>
            </c:strRef>
          </c:cat>
          <c:val>
            <c:numRef>
              <c:f>'Figure 2.1'!$B$5:$B$10</c:f>
              <c:numCache>
                <c:formatCode>0</c:formatCode>
                <c:ptCount val="6"/>
                <c:pt idx="0">
                  <c:v>10</c:v>
                </c:pt>
                <c:pt idx="1">
                  <c:v>8</c:v>
                </c:pt>
                <c:pt idx="2">
                  <c:v>10</c:v>
                </c:pt>
                <c:pt idx="3">
                  <c:v>9</c:v>
                </c:pt>
                <c:pt idx="4">
                  <c:v>8</c:v>
                </c:pt>
                <c:pt idx="5">
                  <c:v>8</c:v>
                </c:pt>
              </c:numCache>
            </c:numRef>
          </c:val>
          <c:extLst xmlns:c16r2="http://schemas.microsoft.com/office/drawing/2015/06/chart">
            <c:ext xmlns:c16="http://schemas.microsoft.com/office/drawing/2014/chart" uri="{C3380CC4-5D6E-409C-BE32-E72D297353CC}">
              <c16:uniqueId val="{00000002-70BD-4EBE-BC03-7B220C32A7EE}"/>
            </c:ext>
          </c:extLst>
        </c:ser>
        <c:dLbls>
          <c:showLegendKey val="0"/>
          <c:showVal val="0"/>
          <c:showCatName val="0"/>
          <c:showSerName val="0"/>
          <c:showPercent val="0"/>
          <c:showBubbleSize val="0"/>
        </c:dLbls>
        <c:gapWidth val="108"/>
        <c:overlap val="-16"/>
        <c:axId val="230844672"/>
        <c:axId val="231276544"/>
      </c:barChart>
      <c:catAx>
        <c:axId val="2308446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231276544"/>
        <c:crosses val="autoZero"/>
        <c:auto val="1"/>
        <c:lblAlgn val="ctr"/>
        <c:lblOffset val="100"/>
        <c:noMultiLvlLbl val="0"/>
      </c:catAx>
      <c:valAx>
        <c:axId val="231276544"/>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lgn="ctr" rtl="0">
                  <a:defRPr sz="1000" b="1" i="0" u="none" strike="noStrike" kern="1200" baseline="0">
                    <a:solidFill>
                      <a:sysClr val="windowText" lastClr="000000"/>
                    </a:solidFill>
                    <a:latin typeface="+mn-lt"/>
                    <a:ea typeface="+mn-ea"/>
                    <a:cs typeface="+mn-cs"/>
                  </a:defRPr>
                </a:pPr>
                <a:r>
                  <a:rPr lang="en-US" b="1"/>
                  <a:t>Percent of Live Births</a:t>
                </a:r>
              </a:p>
            </c:rich>
          </c:tx>
          <c:layout>
            <c:manualLayout>
              <c:xMode val="edge"/>
              <c:yMode val="edge"/>
              <c:x val="0.48229768153980751"/>
              <c:y val="0.8518390930300379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230844672"/>
        <c:crosses val="autoZero"/>
        <c:crossBetween val="between"/>
        <c:minorUnit val="1.0000000000000002E-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mn-lt"/>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'Figure 2.16'!$B$1</c:f>
              <c:strCache>
                <c:ptCount val="1"/>
                <c:pt idx="0">
                  <c:v>SMM with blood transfusion</c:v>
                </c:pt>
              </c:strCache>
            </c:strRef>
          </c:tx>
          <c:spPr>
            <a:ln w="19050" cap="rnd">
              <a:solidFill>
                <a:srgbClr val="6BAED6"/>
              </a:solidFill>
              <a:round/>
            </a:ln>
            <a:effectLst/>
          </c:spPr>
          <c:marker>
            <c:symbol val="circle"/>
            <c:size val="6"/>
            <c:spPr>
              <a:solidFill>
                <a:schemeClr val="bg1"/>
              </a:solidFill>
              <a:ln w="9525">
                <a:solidFill>
                  <a:srgbClr val="2F5496"/>
                </a:solidFill>
              </a:ln>
              <a:effectLst/>
            </c:spPr>
          </c:marker>
          <c:dLbls>
            <c:dLbl>
              <c:idx val="0"/>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EFB-47D5-B811-B76F20B4F68F}"/>
                </c:ext>
              </c:extLst>
            </c:dLbl>
            <c:dLbl>
              <c:idx val="15"/>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EFB-47D5-B811-B76F20B4F68F}"/>
                </c:ext>
              </c:extLst>
            </c:dLbl>
            <c:dLbl>
              <c:idx val="16"/>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EFB-47D5-B811-B76F20B4F68F}"/>
                </c:ext>
              </c:extLst>
            </c:dLbl>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 2.16'!$A$2:$A$17</c:f>
              <c:numCache>
                <c:formatCode>General</c:formatCode>
                <c:ptCount val="16"/>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numCache>
            </c:numRef>
          </c:cat>
          <c:val>
            <c:numRef>
              <c:f>'Figure 2.16'!$B$2:$B$17</c:f>
              <c:numCache>
                <c:formatCode>0</c:formatCode>
                <c:ptCount val="16"/>
                <c:pt idx="0">
                  <c:v>56.915050441604393</c:v>
                </c:pt>
                <c:pt idx="1">
                  <c:v>57.798236313325923</c:v>
                </c:pt>
                <c:pt idx="2">
                  <c:v>58.655148618600968</c:v>
                </c:pt>
                <c:pt idx="3">
                  <c:v>64.058862119087735</c:v>
                </c:pt>
                <c:pt idx="4">
                  <c:v>69.09156901379238</c:v>
                </c:pt>
                <c:pt idx="5">
                  <c:v>83.364861515179186</c:v>
                </c:pt>
                <c:pt idx="6">
                  <c:v>83.790310744639683</c:v>
                </c:pt>
                <c:pt idx="7">
                  <c:v>91.728158506257898</c:v>
                </c:pt>
                <c:pt idx="8">
                  <c:v>94.592230788896515</c:v>
                </c:pt>
                <c:pt idx="9">
                  <c:v>111.61520857590236</c:v>
                </c:pt>
                <c:pt idx="10">
                  <c:v>120.45087693121549</c:v>
                </c:pt>
                <c:pt idx="11">
                  <c:v>126.00277206098535</c:v>
                </c:pt>
                <c:pt idx="12">
                  <c:v>138.71629627488946</c:v>
                </c:pt>
                <c:pt idx="13">
                  <c:v>142.45830052258574</c:v>
                </c:pt>
                <c:pt idx="14">
                  <c:v>145.19448001957031</c:v>
                </c:pt>
                <c:pt idx="15">
                  <c:v>159.36486702630393</c:v>
                </c:pt>
              </c:numCache>
            </c:numRef>
          </c:val>
          <c:smooth val="0"/>
          <c:extLst xmlns:c16r2="http://schemas.microsoft.com/office/drawing/2015/06/chart">
            <c:ext xmlns:c16="http://schemas.microsoft.com/office/drawing/2014/chart" uri="{C3380CC4-5D6E-409C-BE32-E72D297353CC}">
              <c16:uniqueId val="{00000003-CEFB-47D5-B811-B76F20B4F68F}"/>
            </c:ext>
          </c:extLst>
        </c:ser>
        <c:ser>
          <c:idx val="1"/>
          <c:order val="1"/>
          <c:tx>
            <c:strRef>
              <c:f>'Figure 2.16'!$C$1</c:f>
              <c:strCache>
                <c:ptCount val="1"/>
                <c:pt idx="0">
                  <c:v>SMM without blood transfusion</c:v>
                </c:pt>
              </c:strCache>
            </c:strRef>
          </c:tx>
          <c:spPr>
            <a:ln w="19050" cap="rnd">
              <a:solidFill>
                <a:srgbClr val="08519C"/>
              </a:solidFill>
              <a:round/>
            </a:ln>
            <a:effectLst/>
          </c:spPr>
          <c:marker>
            <c:symbol val="diamond"/>
            <c:size val="6"/>
            <c:spPr>
              <a:solidFill>
                <a:schemeClr val="bg1"/>
              </a:solidFill>
              <a:ln w="9525">
                <a:solidFill>
                  <a:srgbClr val="08519C"/>
                </a:solidFill>
              </a:ln>
              <a:effectLst/>
            </c:spPr>
          </c:marker>
          <c:dLbls>
            <c:dLbl>
              <c:idx val="0"/>
              <c:dLblPos val="b"/>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EFB-47D5-B811-B76F20B4F68F}"/>
                </c:ext>
              </c:extLst>
            </c:dLbl>
            <c:dLbl>
              <c:idx val="15"/>
              <c:layout>
                <c:manualLayout>
                  <c:x val="-4.3412737964716536E-2"/>
                  <c:y val="-5.595555555555555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EFB-47D5-B811-B76F20B4F68F}"/>
                </c:ext>
              </c:extLst>
            </c:dLbl>
            <c:dLbl>
              <c:idx val="16"/>
              <c:dLblPos val="b"/>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CEFB-47D5-B811-B76F20B4F68F}"/>
                </c:ext>
              </c:extLst>
            </c:dLbl>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dLblPos val="b"/>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numRef>
              <c:f>'Figure 2.16'!$A$2:$A$17</c:f>
              <c:numCache>
                <c:formatCode>General</c:formatCode>
                <c:ptCount val="16"/>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numCache>
            </c:numRef>
          </c:cat>
          <c:val>
            <c:numRef>
              <c:f>'Figure 2.16'!$C$2:$C$17</c:f>
              <c:numCache>
                <c:formatCode>0</c:formatCode>
                <c:ptCount val="16"/>
                <c:pt idx="0">
                  <c:v>35.507813000730664</c:v>
                </c:pt>
                <c:pt idx="1">
                  <c:v>36.592619410897619</c:v>
                </c:pt>
                <c:pt idx="2">
                  <c:v>36.803230505788839</c:v>
                </c:pt>
                <c:pt idx="3">
                  <c:v>35.373869644074553</c:v>
                </c:pt>
                <c:pt idx="4">
                  <c:v>34.999481489163124</c:v>
                </c:pt>
                <c:pt idx="5">
                  <c:v>44.748274647427955</c:v>
                </c:pt>
                <c:pt idx="6">
                  <c:v>44.563636606225565</c:v>
                </c:pt>
                <c:pt idx="7">
                  <c:v>41.855218992485085</c:v>
                </c:pt>
                <c:pt idx="8">
                  <c:v>44.806846163161509</c:v>
                </c:pt>
                <c:pt idx="9">
                  <c:v>47.643901982039857</c:v>
                </c:pt>
                <c:pt idx="10">
                  <c:v>49.374008111444191</c:v>
                </c:pt>
                <c:pt idx="11">
                  <c:v>46.341019502429056</c:v>
                </c:pt>
                <c:pt idx="12">
                  <c:v>51.296130393318499</c:v>
                </c:pt>
                <c:pt idx="13">
                  <c:v>54.263010952824111</c:v>
                </c:pt>
                <c:pt idx="14">
                  <c:v>54.825665894406633</c:v>
                </c:pt>
                <c:pt idx="15">
                  <c:v>65.14184345600745</c:v>
                </c:pt>
              </c:numCache>
            </c:numRef>
          </c:val>
          <c:smooth val="0"/>
          <c:extLst xmlns:c16r2="http://schemas.microsoft.com/office/drawing/2015/06/chart">
            <c:ext xmlns:c16="http://schemas.microsoft.com/office/drawing/2014/chart" uri="{C3380CC4-5D6E-409C-BE32-E72D297353CC}">
              <c16:uniqueId val="{00000007-CEFB-47D5-B811-B76F20B4F68F}"/>
            </c:ext>
          </c:extLst>
        </c:ser>
        <c:dLbls>
          <c:showLegendKey val="0"/>
          <c:showVal val="0"/>
          <c:showCatName val="0"/>
          <c:showSerName val="0"/>
          <c:showPercent val="0"/>
          <c:showBubbleSize val="0"/>
        </c:dLbls>
        <c:marker val="1"/>
        <c:smooth val="0"/>
        <c:axId val="107822080"/>
        <c:axId val="107827968"/>
      </c:lineChart>
      <c:catAx>
        <c:axId val="107822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07827968"/>
        <c:crosses val="autoZero"/>
        <c:auto val="1"/>
        <c:lblAlgn val="ctr"/>
        <c:lblOffset val="100"/>
        <c:noMultiLvlLbl val="0"/>
      </c:catAx>
      <c:valAx>
        <c:axId val="107827968"/>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Rate of SMM, per 10,000 Delivery Hospitalizations</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07822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mn-lt"/>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'Figure 2.17'!$B$1</c:f>
              <c:strCache>
                <c:ptCount val="1"/>
                <c:pt idx="0">
                  <c:v>Substance use indicated</c:v>
                </c:pt>
              </c:strCache>
            </c:strRef>
          </c:tx>
          <c:spPr>
            <a:solidFill>
              <a:srgbClr val="203864"/>
            </a:solidFill>
          </c:spPr>
          <c:invertIfNegative val="0"/>
          <c:dLbls>
            <c:spPr>
              <a:noFill/>
              <a:ln>
                <a:noFill/>
              </a:ln>
            </c:spPr>
            <c:txPr>
              <a:bodyPr rot="0" vert="horz" anchor="t" anchorCtr="1"/>
              <a:lstStyle/>
              <a:p>
                <a:pPr>
                  <a:defRPr sz="1050" b="1">
                    <a:solidFill>
                      <a:schemeClr val="bg1"/>
                    </a:solidFill>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'Figure 2.17'!$A$2:$A$6</c:f>
              <c:strCache>
                <c:ptCount val="5"/>
                <c:pt idx="0">
                  <c:v>2005/2006</c:v>
                </c:pt>
                <c:pt idx="1">
                  <c:v>2007/2008</c:v>
                </c:pt>
                <c:pt idx="2">
                  <c:v>2009/2010</c:v>
                </c:pt>
                <c:pt idx="3">
                  <c:v>2011/2012</c:v>
                </c:pt>
                <c:pt idx="4">
                  <c:v>2013/2014</c:v>
                </c:pt>
              </c:strCache>
            </c:strRef>
          </c:cat>
          <c:val>
            <c:numRef>
              <c:f>'Figure 2.17'!$B$2:$B$6</c:f>
              <c:numCache>
                <c:formatCode>0</c:formatCode>
                <c:ptCount val="5"/>
                <c:pt idx="0">
                  <c:v>6</c:v>
                </c:pt>
                <c:pt idx="1">
                  <c:v>7</c:v>
                </c:pt>
                <c:pt idx="2">
                  <c:v>5</c:v>
                </c:pt>
                <c:pt idx="3">
                  <c:v>6</c:v>
                </c:pt>
                <c:pt idx="4">
                  <c:v>17</c:v>
                </c:pt>
              </c:numCache>
            </c:numRef>
          </c:val>
          <c:extLst xmlns:c16r2="http://schemas.microsoft.com/office/drawing/2015/06/chart">
            <c:ext xmlns:c16="http://schemas.microsoft.com/office/drawing/2014/chart" uri="{C3380CC4-5D6E-409C-BE32-E72D297353CC}">
              <c16:uniqueId val="{00000000-2900-43E0-A01D-6E1842E6C878}"/>
            </c:ext>
          </c:extLst>
        </c:ser>
        <c:ser>
          <c:idx val="1"/>
          <c:order val="1"/>
          <c:tx>
            <c:strRef>
              <c:f>'Figure 2.17'!$C$1</c:f>
              <c:strCache>
                <c:ptCount val="1"/>
                <c:pt idx="0">
                  <c:v>No substance use indicated</c:v>
                </c:pt>
              </c:strCache>
            </c:strRef>
          </c:tx>
          <c:spPr>
            <a:solidFill>
              <a:srgbClr val="C6DBEF"/>
            </a:solidFill>
          </c:spPr>
          <c:invertIfNegative val="0"/>
          <c:dLbls>
            <c:spPr>
              <a:noFill/>
              <a:ln>
                <a:noFill/>
              </a:ln>
              <a:effectLst/>
            </c:spPr>
            <c:txPr>
              <a:bodyPr/>
              <a:lstStyle/>
              <a:p>
                <a:pPr>
                  <a:defRPr sz="1050" b="1"/>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'Figure 2.17'!$A$2:$A$6</c:f>
              <c:strCache>
                <c:ptCount val="5"/>
                <c:pt idx="0">
                  <c:v>2005/2006</c:v>
                </c:pt>
                <c:pt idx="1">
                  <c:v>2007/2008</c:v>
                </c:pt>
                <c:pt idx="2">
                  <c:v>2009/2010</c:v>
                </c:pt>
                <c:pt idx="3">
                  <c:v>2011/2012</c:v>
                </c:pt>
                <c:pt idx="4">
                  <c:v>2013/2014</c:v>
                </c:pt>
              </c:strCache>
            </c:strRef>
          </c:cat>
          <c:val>
            <c:numRef>
              <c:f>'Figure 2.17'!$C$2:$C$6</c:f>
              <c:numCache>
                <c:formatCode>0</c:formatCode>
                <c:ptCount val="5"/>
                <c:pt idx="0">
                  <c:v>39</c:v>
                </c:pt>
                <c:pt idx="1">
                  <c:v>38</c:v>
                </c:pt>
                <c:pt idx="2">
                  <c:v>21</c:v>
                </c:pt>
                <c:pt idx="3">
                  <c:v>29</c:v>
                </c:pt>
                <c:pt idx="4">
                  <c:v>31</c:v>
                </c:pt>
              </c:numCache>
            </c:numRef>
          </c:val>
          <c:extLst xmlns:c16r2="http://schemas.microsoft.com/office/drawing/2015/06/chart">
            <c:ext xmlns:c16="http://schemas.microsoft.com/office/drawing/2014/chart" uri="{C3380CC4-5D6E-409C-BE32-E72D297353CC}">
              <c16:uniqueId val="{00000001-2900-43E0-A01D-6E1842E6C878}"/>
            </c:ext>
          </c:extLst>
        </c:ser>
        <c:dLbls>
          <c:showLegendKey val="0"/>
          <c:showVal val="0"/>
          <c:showCatName val="0"/>
          <c:showSerName val="0"/>
          <c:showPercent val="0"/>
          <c:showBubbleSize val="0"/>
        </c:dLbls>
        <c:gapWidth val="150"/>
        <c:overlap val="100"/>
        <c:axId val="107839488"/>
        <c:axId val="107841024"/>
      </c:barChart>
      <c:catAx>
        <c:axId val="107839488"/>
        <c:scaling>
          <c:orientation val="minMax"/>
        </c:scaling>
        <c:delete val="0"/>
        <c:axPos val="b"/>
        <c:numFmt formatCode="General" sourceLinked="1"/>
        <c:majorTickMark val="out"/>
        <c:minorTickMark val="none"/>
        <c:tickLblPos val="nextTo"/>
        <c:crossAx val="107841024"/>
        <c:crosses val="autoZero"/>
        <c:auto val="1"/>
        <c:lblAlgn val="ctr"/>
        <c:lblOffset val="100"/>
        <c:noMultiLvlLbl val="0"/>
      </c:catAx>
      <c:valAx>
        <c:axId val="107841024"/>
        <c:scaling>
          <c:orientation val="minMax"/>
        </c:scaling>
        <c:delete val="0"/>
        <c:axPos val="l"/>
        <c:majorGridlines>
          <c:spPr>
            <a:ln>
              <a:noFill/>
            </a:ln>
          </c:spPr>
        </c:majorGridlines>
        <c:title>
          <c:tx>
            <c:rich>
              <a:bodyPr rot="-5400000" vert="horz"/>
              <a:lstStyle/>
              <a:p>
                <a:pPr>
                  <a:defRPr b="1"/>
                </a:pPr>
                <a:r>
                  <a:rPr lang="en-US" b="1"/>
                  <a:t>Deaths</a:t>
                </a:r>
              </a:p>
            </c:rich>
          </c:tx>
          <c:overlay val="0"/>
        </c:title>
        <c:numFmt formatCode="#,##0" sourceLinked="0"/>
        <c:majorTickMark val="out"/>
        <c:minorTickMark val="none"/>
        <c:tickLblPos val="nextTo"/>
        <c:crossAx val="107839488"/>
        <c:crosses val="autoZero"/>
        <c:crossBetween val="between"/>
      </c:valAx>
    </c:plotArea>
    <c:legend>
      <c:legendPos val="b"/>
      <c:overlay val="0"/>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363888888888901"/>
          <c:y val="5.0925925925925902E-2"/>
          <c:w val="0.82580555555555601"/>
          <c:h val="0.52733887430737802"/>
        </c:manualLayout>
      </c:layout>
      <c:barChart>
        <c:barDir val="col"/>
        <c:grouping val="clustered"/>
        <c:varyColors val="0"/>
        <c:ser>
          <c:idx val="0"/>
          <c:order val="0"/>
          <c:tx>
            <c:strRef>
              <c:f>'Figure 2.4'!$B$6:$C$6</c:f>
              <c:strCache>
                <c:ptCount val="1"/>
                <c:pt idx="0">
                  <c:v>Pregnant</c:v>
                </c:pt>
              </c:strCache>
            </c:strRef>
          </c:tx>
          <c:spPr>
            <a:solidFill>
              <a:srgbClr val="203864"/>
            </a:solidFill>
            <a:ln>
              <a:noFill/>
            </a:ln>
            <a:effectLst/>
          </c:spPr>
          <c:invertIfNegative val="0"/>
          <c:dLbls>
            <c:dLbl>
              <c:idx val="0"/>
              <c:layout>
                <c:manualLayout>
                  <c:x val="-4.8309178743961298E-3"/>
                  <c:y val="7.7205172746573304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49B-4B8D-B879-53B26B9FCA33}"/>
                </c:ext>
              </c:extLst>
            </c:dLbl>
            <c:dLbl>
              <c:idx val="3"/>
              <c:layout>
                <c:manualLayout>
                  <c:x val="-1.20772946859903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49B-4B8D-B879-53B26B9FCA33}"/>
                </c:ext>
              </c:extLst>
            </c:dLbl>
            <c:dLbl>
              <c:idx val="7"/>
              <c:layout>
                <c:manualLayout>
                  <c:x val="-1.4492753623188401E-2"/>
                  <c:y val="7.7205172746573304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49B-4B8D-B879-53B26B9FCA33}"/>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2.4'!$A$7:$A$14</c:f>
              <c:strCache>
                <c:ptCount val="8"/>
                <c:pt idx="0">
                  <c:v>Alcohol</c:v>
                </c:pt>
                <c:pt idx="1">
                  <c:v>Other Sedatives/Hypnotics</c:v>
                </c:pt>
                <c:pt idx="2">
                  <c:v>Crack/Cocaine</c:v>
                </c:pt>
                <c:pt idx="3">
                  <c:v>Other Stimulants</c:v>
                </c:pt>
                <c:pt idx="4">
                  <c:v>Heroin</c:v>
                </c:pt>
                <c:pt idx="5">
                  <c:v>Other Opioids</c:v>
                </c:pt>
                <c:pt idx="6">
                  <c:v>Marijuana</c:v>
                </c:pt>
                <c:pt idx="7">
                  <c:v>Other</c:v>
                </c:pt>
              </c:strCache>
            </c:strRef>
          </c:cat>
          <c:val>
            <c:numRef>
              <c:f>'Figure 2.4'!$C$7:$C$14</c:f>
              <c:numCache>
                <c:formatCode>0.0</c:formatCode>
                <c:ptCount val="8"/>
                <c:pt idx="0">
                  <c:v>35</c:v>
                </c:pt>
                <c:pt idx="1">
                  <c:v>33</c:v>
                </c:pt>
                <c:pt idx="2">
                  <c:v>44</c:v>
                </c:pt>
                <c:pt idx="3">
                  <c:v>7</c:v>
                </c:pt>
                <c:pt idx="4">
                  <c:v>71</c:v>
                </c:pt>
                <c:pt idx="5">
                  <c:v>20</c:v>
                </c:pt>
                <c:pt idx="6">
                  <c:v>37</c:v>
                </c:pt>
                <c:pt idx="7">
                  <c:v>2</c:v>
                </c:pt>
              </c:numCache>
            </c:numRef>
          </c:val>
          <c:extLst xmlns:c16r2="http://schemas.microsoft.com/office/drawing/2015/06/chart">
            <c:ext xmlns:c16="http://schemas.microsoft.com/office/drawing/2014/chart" uri="{C3380CC4-5D6E-409C-BE32-E72D297353CC}">
              <c16:uniqueId val="{00000001-6E30-4C20-A50B-2248297139D6}"/>
            </c:ext>
          </c:extLst>
        </c:ser>
        <c:ser>
          <c:idx val="1"/>
          <c:order val="1"/>
          <c:tx>
            <c:strRef>
              <c:f>'Figure 2.4'!$D$6:$E$6</c:f>
              <c:strCache>
                <c:ptCount val="1"/>
                <c:pt idx="0">
                  <c:v>All Women</c:v>
                </c:pt>
              </c:strCache>
            </c:strRef>
          </c:tx>
          <c:spPr>
            <a:pattFill prst="dkUpDiag">
              <a:fgClr>
                <a:srgbClr val="6BAED6"/>
              </a:fgClr>
              <a:bgClr>
                <a:sysClr val="window" lastClr="FFFFFF"/>
              </a:bgClr>
            </a:pattFill>
            <a:ln>
              <a:noFill/>
            </a:ln>
            <a:effectLst/>
          </c:spPr>
          <c:invertIfNegative val="0"/>
          <c:dLbls>
            <c:dLbl>
              <c:idx val="0"/>
              <c:layout>
                <c:manualLayout>
                  <c:x val="-2.6570048309178699E-2"/>
                  <c:y val="1.54410345493148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49B-4B8D-B879-53B26B9FCA33}"/>
                </c:ext>
              </c:extLst>
            </c:dLbl>
            <c:dLbl>
              <c:idx val="1"/>
              <c:layout>
                <c:manualLayout>
                  <c:x val="7.2463768115942004E-3"/>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349B-4B8D-B879-53B26B9FCA33}"/>
                </c:ext>
              </c:extLst>
            </c:dLbl>
            <c:dLbl>
              <c:idx val="2"/>
              <c:layout>
                <c:manualLayout>
                  <c:x val="1.20772946859903E-2"/>
                  <c:y val="3.8602586373286999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349B-4B8D-B879-53B26B9FCA33}"/>
                </c:ext>
              </c:extLst>
            </c:dLbl>
            <c:dLbl>
              <c:idx val="4"/>
              <c:layout>
                <c:manualLayout>
                  <c:x val="7.2463768115941197E-3"/>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349B-4B8D-B879-53B26B9FCA33}"/>
                </c:ext>
              </c:extLst>
            </c:dLbl>
            <c:dLbl>
              <c:idx val="6"/>
              <c:layout>
                <c:manualLayout>
                  <c:x val="9.6618357487921799E-3"/>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349B-4B8D-B879-53B26B9FCA33}"/>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2.4'!$A$7:$A$14</c:f>
              <c:strCache>
                <c:ptCount val="8"/>
                <c:pt idx="0">
                  <c:v>Alcohol</c:v>
                </c:pt>
                <c:pt idx="1">
                  <c:v>Other Sedatives/Hypnotics</c:v>
                </c:pt>
                <c:pt idx="2">
                  <c:v>Crack/Cocaine</c:v>
                </c:pt>
                <c:pt idx="3">
                  <c:v>Other Stimulants</c:v>
                </c:pt>
                <c:pt idx="4">
                  <c:v>Heroin</c:v>
                </c:pt>
                <c:pt idx="5">
                  <c:v>Other Opioids</c:v>
                </c:pt>
                <c:pt idx="6">
                  <c:v>Marijuana</c:v>
                </c:pt>
                <c:pt idx="7">
                  <c:v>Other</c:v>
                </c:pt>
              </c:strCache>
            </c:strRef>
          </c:cat>
          <c:val>
            <c:numRef>
              <c:f>'Figure 2.4'!$E$7:$E$14</c:f>
              <c:numCache>
                <c:formatCode>0.0</c:formatCode>
                <c:ptCount val="8"/>
                <c:pt idx="0">
                  <c:v>52</c:v>
                </c:pt>
                <c:pt idx="1">
                  <c:v>19</c:v>
                </c:pt>
                <c:pt idx="2">
                  <c:v>29</c:v>
                </c:pt>
                <c:pt idx="3">
                  <c:v>5</c:v>
                </c:pt>
                <c:pt idx="4">
                  <c:v>56</c:v>
                </c:pt>
                <c:pt idx="5">
                  <c:v>15</c:v>
                </c:pt>
                <c:pt idx="6">
                  <c:v>23</c:v>
                </c:pt>
                <c:pt idx="7">
                  <c:v>3</c:v>
                </c:pt>
              </c:numCache>
            </c:numRef>
          </c:val>
          <c:extLst xmlns:c16r2="http://schemas.microsoft.com/office/drawing/2015/06/chart">
            <c:ext xmlns:c16="http://schemas.microsoft.com/office/drawing/2014/chart" uri="{C3380CC4-5D6E-409C-BE32-E72D297353CC}">
              <c16:uniqueId val="{00000004-6E30-4C20-A50B-2248297139D6}"/>
            </c:ext>
          </c:extLst>
        </c:ser>
        <c:ser>
          <c:idx val="2"/>
          <c:order val="2"/>
          <c:tx>
            <c:strRef>
              <c:f>'Figure 2.4'!$F$6:$G$6</c:f>
              <c:strCache>
                <c:ptCount val="1"/>
                <c:pt idx="0">
                  <c:v>All Genders</c:v>
                </c:pt>
              </c:strCache>
            </c:strRef>
          </c:tx>
          <c:spPr>
            <a:solidFill>
              <a:srgbClr val="9ECAE1"/>
            </a:solidFill>
            <a:ln>
              <a:noFill/>
            </a:ln>
            <a:effectLst/>
          </c:spPr>
          <c:invertIfNegative val="0"/>
          <c:dLbls>
            <c:dLbl>
              <c:idx val="1"/>
              <c:layout>
                <c:manualLayout>
                  <c:x val="7.2463768115942004E-3"/>
                  <c:y val="7.7205172746573998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349B-4B8D-B879-53B26B9FCA33}"/>
                </c:ext>
              </c:extLst>
            </c:dLbl>
            <c:dLbl>
              <c:idx val="2"/>
              <c:layout>
                <c:manualLayout>
                  <c:x val="2.4154589371980801E-2"/>
                  <c:y val="2.316155182397219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349B-4B8D-B879-53B26B9FCA33}"/>
                </c:ext>
              </c:extLst>
            </c:dLbl>
            <c:dLbl>
              <c:idx val="3"/>
              <c:layout>
                <c:manualLayout>
                  <c:x val="1.4492753623188401E-2"/>
                  <c:y val="7.7205172746573998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349B-4B8D-B879-53B26B9FCA33}"/>
                </c:ext>
              </c:extLst>
            </c:dLbl>
            <c:dLbl>
              <c:idx val="4"/>
              <c:layout>
                <c:manualLayout>
                  <c:x val="3.8647342995168997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349B-4B8D-B879-53B26B9FCA33}"/>
                </c:ext>
              </c:extLst>
            </c:dLbl>
            <c:dLbl>
              <c:idx val="5"/>
              <c:layout>
                <c:manualLayout>
                  <c:x val="1.44927536231885E-2"/>
                  <c:y val="-7.0770590803122506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349B-4B8D-B879-53B26B9FCA33}"/>
                </c:ext>
              </c:extLst>
            </c:dLbl>
            <c:dLbl>
              <c:idx val="6"/>
              <c:layout>
                <c:manualLayout>
                  <c:x val="2.4154589371980499E-2"/>
                  <c:y val="1.9301293186643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349B-4B8D-B879-53B26B9FCA33}"/>
                </c:ext>
              </c:extLst>
            </c:dLbl>
            <c:dLbl>
              <c:idx val="7"/>
              <c:layout>
                <c:manualLayout>
                  <c:x val="9.6618357487922701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349B-4B8D-B879-53B26B9FCA33}"/>
                </c:ext>
              </c:extLst>
            </c:dLbl>
            <c:numFmt formatCode="#,##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2.4'!$A$7:$A$14</c:f>
              <c:strCache>
                <c:ptCount val="8"/>
                <c:pt idx="0">
                  <c:v>Alcohol</c:v>
                </c:pt>
                <c:pt idx="1">
                  <c:v>Other Sedatives/Hypnotics</c:v>
                </c:pt>
                <c:pt idx="2">
                  <c:v>Crack/Cocaine</c:v>
                </c:pt>
                <c:pt idx="3">
                  <c:v>Other Stimulants</c:v>
                </c:pt>
                <c:pt idx="4">
                  <c:v>Heroin</c:v>
                </c:pt>
                <c:pt idx="5">
                  <c:v>Other Opioids</c:v>
                </c:pt>
                <c:pt idx="6">
                  <c:v>Marijuana</c:v>
                </c:pt>
                <c:pt idx="7">
                  <c:v>Other</c:v>
                </c:pt>
              </c:strCache>
            </c:strRef>
          </c:cat>
          <c:val>
            <c:numRef>
              <c:f>'Figure 2.4'!$G$7:$G$14</c:f>
              <c:numCache>
                <c:formatCode>0.0</c:formatCode>
                <c:ptCount val="8"/>
                <c:pt idx="0">
                  <c:v>52</c:v>
                </c:pt>
                <c:pt idx="1">
                  <c:v>16</c:v>
                </c:pt>
                <c:pt idx="2">
                  <c:v>26</c:v>
                </c:pt>
                <c:pt idx="3">
                  <c:v>4</c:v>
                </c:pt>
                <c:pt idx="4">
                  <c:v>57</c:v>
                </c:pt>
                <c:pt idx="5">
                  <c:v>14</c:v>
                </c:pt>
                <c:pt idx="6">
                  <c:v>23</c:v>
                </c:pt>
                <c:pt idx="7">
                  <c:v>4</c:v>
                </c:pt>
              </c:numCache>
            </c:numRef>
          </c:val>
          <c:extLst xmlns:c16r2="http://schemas.microsoft.com/office/drawing/2015/06/chart">
            <c:ext xmlns:c16="http://schemas.microsoft.com/office/drawing/2014/chart" uri="{C3380CC4-5D6E-409C-BE32-E72D297353CC}">
              <c16:uniqueId val="{00000009-6E30-4C20-A50B-2248297139D6}"/>
            </c:ext>
          </c:extLst>
        </c:ser>
        <c:dLbls>
          <c:showLegendKey val="0"/>
          <c:showVal val="0"/>
          <c:showCatName val="0"/>
          <c:showSerName val="0"/>
          <c:showPercent val="0"/>
          <c:showBubbleSize val="0"/>
        </c:dLbls>
        <c:gapWidth val="108"/>
        <c:overlap val="-16"/>
        <c:axId val="233744256"/>
        <c:axId val="233745792"/>
        <c:extLst xmlns:c16r2="http://schemas.microsoft.com/office/drawing/2015/06/chart">
          <c:ext xmlns:c15="http://schemas.microsoft.com/office/drawing/2012/chart" uri="{02D57815-91ED-43cb-92C2-25804820EDAC}">
            <c15:filteredBarSeries>
              <c15:ser>
                <c:idx val="3"/>
                <c:order val="3"/>
                <c:spPr>
                  <a:pattFill prst="ltUpDiag">
                    <a:fgClr>
                      <a:srgbClr val="DAE3F3"/>
                    </a:fgClr>
                    <a:bgClr>
                      <a:srgbClr val="3182BD"/>
                    </a:bgClr>
                  </a:pattFill>
                  <a:ln>
                    <a:noFill/>
                  </a:ln>
                  <a:effectLst/>
                </c:spPr>
                <c:invertIfNegative val="0"/>
                <c:dLbls>
                  <c:dLbl>
                    <c:idx val="5"/>
                    <c:layout>
                      <c:manualLayout>
                        <c:x val="4.8309178743961298E-3"/>
                        <c:y val="0"/>
                      </c:manualLayout>
                    </c:layout>
                    <c:dLblPos val="outEnd"/>
                    <c:showLegendKey val="0"/>
                    <c:showVal val="1"/>
                    <c:showCatName val="0"/>
                    <c:showSerName val="0"/>
                    <c:showPercent val="0"/>
                    <c:showBubbleSize val="0"/>
                    <c:extLst>
                      <c:ext uri="{CE6537A1-D6FC-4f65-9D91-7224C49458BB}"/>
                      <c:ext xmlns:c16="http://schemas.microsoft.com/office/drawing/2014/chart" uri="{C3380CC4-5D6E-409C-BE32-E72D297353CC}">
                        <c16:uniqueId val="{00000000-E837-4FD6-8A7B-F546B45F0B29}"/>
                      </c:ext>
                    </c:extLst>
                  </c:dLbl>
                  <c:dLbl>
                    <c:idx val="7"/>
                    <c:layout>
                      <c:manualLayout>
                        <c:x val="2.4154589371980701E-3"/>
                        <c:y val="0"/>
                      </c:manualLayout>
                    </c:layout>
                    <c:dLblPos val="outEnd"/>
                    <c:showLegendKey val="0"/>
                    <c:showVal val="1"/>
                    <c:showCatName val="0"/>
                    <c:showSerName val="0"/>
                    <c:showPercent val="0"/>
                    <c:showBubbleSize val="0"/>
                    <c:extLst>
                      <c:ext uri="{CE6537A1-D6FC-4f65-9D91-7224C49458BB}"/>
                      <c:ext xmlns:c16="http://schemas.microsoft.com/office/drawing/2014/chart" uri="{C3380CC4-5D6E-409C-BE32-E72D297353CC}">
                        <c16:uniqueId val="{00000001-E837-4FD6-8A7B-F546B45F0B29}"/>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'Figure 2.4'!$A$7:$A$14</c15:sqref>
                        </c15:formulaRef>
                      </c:ext>
                    </c:extLst>
                    <c:strCache>
                      <c:ptCount val="8"/>
                      <c:pt idx="0">
                        <c:v>Alcohol</c:v>
                      </c:pt>
                      <c:pt idx="1">
                        <c:v>Other Sedatives/Hypnotics</c:v>
                      </c:pt>
                      <c:pt idx="2">
                        <c:v>Crack/Cocaine</c:v>
                      </c:pt>
                      <c:pt idx="3">
                        <c:v>Other Stimulants</c:v>
                      </c:pt>
                      <c:pt idx="4">
                        <c:v>Heroin</c:v>
                      </c:pt>
                      <c:pt idx="5">
                        <c:v>Other Opioids</c:v>
                      </c:pt>
                      <c:pt idx="6">
                        <c:v>Marijuana</c:v>
                      </c:pt>
                      <c:pt idx="7">
                        <c:v>Other</c:v>
                      </c:pt>
                    </c:strCache>
                  </c:strRef>
                </c:cat>
                <c:val>
                  <c:numRef>
                    <c:extLst>
                      <c:ext uri="{02D57815-91ED-43cb-92C2-25804820EDAC}">
                        <c15:formulaRef>
                          <c15:sqref>'Figure 2.4'!$E$6:$E$14</c15:sqref>
                        </c15:formulaRef>
                      </c:ext>
                    </c:extLst>
                    <c:numCache>
                      <c:formatCode>0.0</c:formatCode>
                      <c:ptCount val="9"/>
                      <c:pt idx="1">
                        <c:v>52</c:v>
                      </c:pt>
                      <c:pt idx="2">
                        <c:v>19</c:v>
                      </c:pt>
                      <c:pt idx="3">
                        <c:v>29</c:v>
                      </c:pt>
                      <c:pt idx="4">
                        <c:v>5</c:v>
                      </c:pt>
                      <c:pt idx="5">
                        <c:v>56</c:v>
                      </c:pt>
                      <c:pt idx="6">
                        <c:v>15</c:v>
                      </c:pt>
                      <c:pt idx="7">
                        <c:v>23</c:v>
                      </c:pt>
                      <c:pt idx="8">
                        <c:v>3</c:v>
                      </c:pt>
                    </c:numCache>
                  </c:numRef>
                </c:val>
                <c:extLst>
                  <c:ext xmlns:c16="http://schemas.microsoft.com/office/drawing/2014/chart" uri="{C3380CC4-5D6E-409C-BE32-E72D297353CC}">
                    <c16:uniqueId val="{0000000A-6E30-4C20-A50B-2248297139D6}"/>
                  </c:ext>
                </c:extLst>
              </c15:ser>
            </c15:filteredBarSeries>
            <c15:filteredBarSeries>
              <c15:ser>
                <c:idx val="4"/>
                <c:order val="4"/>
                <c:spPr>
                  <a:solidFill>
                    <a:schemeClr val="dk1">
                      <a:tint val="30000"/>
                    </a:schemeClr>
                  </a:solidFill>
                  <a:ln>
                    <a:noFill/>
                  </a:ln>
                  <a:effectLst/>
                </c:spPr>
                <c:invertIfNegative val="0"/>
                <c:cat>
                  <c:strRef>
                    <c:extLst xmlns:c15="http://schemas.microsoft.com/office/drawing/2012/chart">
                      <c:ext xmlns:c15="http://schemas.microsoft.com/office/drawing/2012/chart" uri="{02D57815-91ED-43cb-92C2-25804820EDAC}">
                        <c15:formulaRef>
                          <c15:sqref>'Figure 2.4'!$A$7:$A$14</c15:sqref>
                        </c15:formulaRef>
                      </c:ext>
                    </c:extLst>
                    <c:strCache>
                      <c:ptCount val="8"/>
                      <c:pt idx="0">
                        <c:v>Alcohol</c:v>
                      </c:pt>
                      <c:pt idx="1">
                        <c:v>Other Sedatives/Hypnotics</c:v>
                      </c:pt>
                      <c:pt idx="2">
                        <c:v>Crack/Cocaine</c:v>
                      </c:pt>
                      <c:pt idx="3">
                        <c:v>Other Stimulants</c:v>
                      </c:pt>
                      <c:pt idx="4">
                        <c:v>Heroin</c:v>
                      </c:pt>
                      <c:pt idx="5">
                        <c:v>Other Opioids</c:v>
                      </c:pt>
                      <c:pt idx="6">
                        <c:v>Marijuana</c:v>
                      </c:pt>
                      <c:pt idx="7">
                        <c:v>Other</c:v>
                      </c:pt>
                    </c:strCache>
                  </c:strRef>
                </c:cat>
                <c:val>
                  <c:numRef>
                    <c:extLst xmlns:c15="http://schemas.microsoft.com/office/drawing/2012/chart">
                      <c:ext xmlns:c15="http://schemas.microsoft.com/office/drawing/2012/chart" uri="{02D57815-91ED-43cb-92C2-25804820EDAC}">
                        <c15:formulaRef>
                          <c15:sqref>'Figure 2.4'!$F$6:$F$14</c15:sqref>
                        </c15:formulaRef>
                      </c:ext>
                    </c:extLst>
                    <c:numCache>
                      <c:formatCode>General</c:formatCode>
                      <c:ptCount val="9"/>
                      <c:pt idx="0">
                        <c:v>0</c:v>
                      </c:pt>
                      <c:pt idx="1">
                        <c:v>51099</c:v>
                      </c:pt>
                      <c:pt idx="2">
                        <c:v>15903</c:v>
                      </c:pt>
                      <c:pt idx="3">
                        <c:v>24985</c:v>
                      </c:pt>
                      <c:pt idx="4">
                        <c:v>3981</c:v>
                      </c:pt>
                      <c:pt idx="5">
                        <c:v>55875</c:v>
                      </c:pt>
                      <c:pt idx="6">
                        <c:v>13533</c:v>
                      </c:pt>
                      <c:pt idx="7">
                        <c:v>22790</c:v>
                      </c:pt>
                      <c:pt idx="8">
                        <c:v>3560</c:v>
                      </c:pt>
                    </c:numCache>
                  </c:numRef>
                </c:val>
                <c:extLst xmlns:c15="http://schemas.microsoft.com/office/drawing/2012/chart">
                  <c:ext xmlns:c16="http://schemas.microsoft.com/office/drawing/2014/chart" uri="{C3380CC4-5D6E-409C-BE32-E72D297353CC}">
                    <c16:uniqueId val="{0000000B-6E30-4C20-A50B-2248297139D6}"/>
                  </c:ext>
                </c:extLst>
              </c15:ser>
            </c15:filteredBarSeries>
            <c15:filteredBarSeries>
              <c15:ser>
                <c:idx val="5"/>
                <c:order val="5"/>
                <c:spPr>
                  <a:solidFill>
                    <a:srgbClr val="C6DBEF"/>
                  </a:solidFill>
                  <a:ln>
                    <a:noFill/>
                  </a:ln>
                  <a:effectLst/>
                </c:spPr>
                <c:invertIfNegative val="0"/>
                <c:dLbls>
                  <c:dLbl>
                    <c:idx val="1"/>
                    <c:layout>
                      <c:manualLayout>
                        <c:x val="1.20772946859903E-2"/>
                        <c:y val="0"/>
                      </c:manualLayout>
                    </c:layou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2-E837-4FD6-8A7B-F546B45F0B29}"/>
                      </c:ext>
                    </c:extLst>
                  </c:dLbl>
                  <c:dLbl>
                    <c:idx val="5"/>
                    <c:layout>
                      <c:manualLayout>
                        <c:x val="1.69082125603865E-2"/>
                        <c:y val="0"/>
                      </c:manualLayout>
                    </c:layou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3-E837-4FD6-8A7B-F546B45F0B29}"/>
                      </c:ext>
                    </c:extLst>
                  </c:dLbl>
                  <c:dLbl>
                    <c:idx val="6"/>
                    <c:layout>
                      <c:manualLayout>
                        <c:x val="9.6618357487921799E-3"/>
                        <c:y val="0"/>
                      </c:manualLayout>
                    </c:layou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4-E837-4FD6-8A7B-F546B45F0B29}"/>
                      </c:ext>
                    </c:extLst>
                  </c:dLbl>
                  <c:dLbl>
                    <c:idx val="7"/>
                    <c:layout>
                      <c:manualLayout>
                        <c:x val="1.69082125603865E-2"/>
                        <c:y val="0"/>
                      </c:manualLayout>
                    </c:layou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5-E837-4FD6-8A7B-F546B45F0B29}"/>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'Figure 2.4'!$A$7:$A$14</c15:sqref>
                        </c15:formulaRef>
                      </c:ext>
                    </c:extLst>
                    <c:strCache>
                      <c:ptCount val="8"/>
                      <c:pt idx="0">
                        <c:v>Alcohol</c:v>
                      </c:pt>
                      <c:pt idx="1">
                        <c:v>Other Sedatives/Hypnotics</c:v>
                      </c:pt>
                      <c:pt idx="2">
                        <c:v>Crack/Cocaine</c:v>
                      </c:pt>
                      <c:pt idx="3">
                        <c:v>Other Stimulants</c:v>
                      </c:pt>
                      <c:pt idx="4">
                        <c:v>Heroin</c:v>
                      </c:pt>
                      <c:pt idx="5">
                        <c:v>Other Opioids</c:v>
                      </c:pt>
                      <c:pt idx="6">
                        <c:v>Marijuana</c:v>
                      </c:pt>
                      <c:pt idx="7">
                        <c:v>Other</c:v>
                      </c:pt>
                    </c:strCache>
                  </c:strRef>
                </c:cat>
                <c:val>
                  <c:numRef>
                    <c:extLst xmlns:c15="http://schemas.microsoft.com/office/drawing/2012/chart">
                      <c:ext xmlns:c15="http://schemas.microsoft.com/office/drawing/2012/chart" uri="{02D57815-91ED-43cb-92C2-25804820EDAC}">
                        <c15:formulaRef>
                          <c15:sqref>'Figure 2.4'!$G$6:$G$14</c15:sqref>
                        </c15:formulaRef>
                      </c:ext>
                    </c:extLst>
                    <c:numCache>
                      <c:formatCode>0.0</c:formatCode>
                      <c:ptCount val="9"/>
                      <c:pt idx="1">
                        <c:v>52</c:v>
                      </c:pt>
                      <c:pt idx="2">
                        <c:v>16</c:v>
                      </c:pt>
                      <c:pt idx="3">
                        <c:v>26</c:v>
                      </c:pt>
                      <c:pt idx="4">
                        <c:v>4</c:v>
                      </c:pt>
                      <c:pt idx="5">
                        <c:v>57</c:v>
                      </c:pt>
                      <c:pt idx="6">
                        <c:v>14</c:v>
                      </c:pt>
                      <c:pt idx="7">
                        <c:v>23</c:v>
                      </c:pt>
                      <c:pt idx="8">
                        <c:v>4</c:v>
                      </c:pt>
                    </c:numCache>
                  </c:numRef>
                </c:val>
                <c:extLst xmlns:c15="http://schemas.microsoft.com/office/drawing/2012/chart">
                  <c:ext xmlns:c16="http://schemas.microsoft.com/office/drawing/2014/chart" uri="{C3380CC4-5D6E-409C-BE32-E72D297353CC}">
                    <c16:uniqueId val="{0000000C-6E30-4C20-A50B-2248297139D6}"/>
                  </c:ext>
                </c:extLst>
              </c15:ser>
            </c15:filteredBarSeries>
          </c:ext>
        </c:extLst>
      </c:barChart>
      <c:catAx>
        <c:axId val="233744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233745792"/>
        <c:crosses val="autoZero"/>
        <c:auto val="1"/>
        <c:lblAlgn val="ctr"/>
        <c:lblOffset val="100"/>
        <c:noMultiLvlLbl val="0"/>
      </c:catAx>
      <c:valAx>
        <c:axId val="23374579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Percent Enrolled</a:t>
                </a:r>
              </a:p>
            </c:rich>
          </c:tx>
          <c:layout>
            <c:manualLayout>
              <c:xMode val="edge"/>
              <c:yMode val="edge"/>
              <c:x val="3.9492753623188402E-2"/>
              <c:y val="0.1672115102578010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233744256"/>
        <c:crosses val="autoZero"/>
        <c:crossBetween val="between"/>
        <c:minorUnit val="0.01"/>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mn-lt"/>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635480460775736"/>
          <c:y val="5.536332179930796E-2"/>
          <c:w val="0.71237204724409453"/>
          <c:h val="0.67593613298337718"/>
        </c:manualLayout>
      </c:layout>
      <c:barChart>
        <c:barDir val="bar"/>
        <c:grouping val="clustered"/>
        <c:varyColors val="0"/>
        <c:ser>
          <c:idx val="0"/>
          <c:order val="0"/>
          <c:tx>
            <c:strRef>
              <c:f>'Figure 2.5'!$B$1</c:f>
              <c:strCache>
                <c:ptCount val="1"/>
                <c:pt idx="0">
                  <c:v>SUID Rate</c:v>
                </c:pt>
              </c:strCache>
            </c:strRef>
          </c:tx>
          <c:spPr>
            <a:solidFill>
              <a:srgbClr val="203864"/>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05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2.5'!$A$2:$A$4</c:f>
              <c:strCache>
                <c:ptCount val="3"/>
                <c:pt idx="0">
                  <c:v>Black non-Hispanic</c:v>
                </c:pt>
                <c:pt idx="1">
                  <c:v>Hispanic</c:v>
                </c:pt>
                <c:pt idx="2">
                  <c:v>White non-Hispanic</c:v>
                </c:pt>
              </c:strCache>
            </c:strRef>
          </c:cat>
          <c:val>
            <c:numRef>
              <c:f>'Figure 2.5'!$B$2:$B$4</c:f>
              <c:numCache>
                <c:formatCode>General</c:formatCode>
                <c:ptCount val="3"/>
                <c:pt idx="0">
                  <c:v>86.3</c:v>
                </c:pt>
                <c:pt idx="1">
                  <c:v>39.1</c:v>
                </c:pt>
                <c:pt idx="2">
                  <c:v>43.1</c:v>
                </c:pt>
              </c:numCache>
            </c:numRef>
          </c:val>
          <c:extLst xmlns:c16r2="http://schemas.microsoft.com/office/drawing/2015/06/chart">
            <c:ext xmlns:c16="http://schemas.microsoft.com/office/drawing/2014/chart" uri="{C3380CC4-5D6E-409C-BE32-E72D297353CC}">
              <c16:uniqueId val="{00000000-FA46-4B8F-9CAA-65574DDDA3C5}"/>
            </c:ext>
          </c:extLst>
        </c:ser>
        <c:dLbls>
          <c:showLegendKey val="0"/>
          <c:showVal val="0"/>
          <c:showCatName val="0"/>
          <c:showSerName val="0"/>
          <c:showPercent val="0"/>
          <c:showBubbleSize val="0"/>
        </c:dLbls>
        <c:gapWidth val="108"/>
        <c:overlap val="-16"/>
        <c:axId val="74937472"/>
        <c:axId val="74939008"/>
      </c:barChart>
      <c:catAx>
        <c:axId val="749374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74939008"/>
        <c:crosses val="autoZero"/>
        <c:auto val="1"/>
        <c:lblAlgn val="ctr"/>
        <c:lblOffset val="100"/>
        <c:noMultiLvlLbl val="0"/>
      </c:catAx>
      <c:valAx>
        <c:axId val="74939008"/>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lgn="ctr" rtl="0">
                  <a:defRPr sz="1000" b="1" i="0" u="none" strike="noStrike" kern="1200" baseline="0">
                    <a:solidFill>
                      <a:sysClr val="windowText" lastClr="000000"/>
                    </a:solidFill>
                    <a:latin typeface="+mn-lt"/>
                    <a:ea typeface="+mn-ea"/>
                    <a:cs typeface="+mn-cs"/>
                  </a:defRPr>
                </a:pPr>
                <a:r>
                  <a:rPr lang="en-US" sz="1000" b="1"/>
                  <a:t>Average Annual Rate of SUID per 100,000 infants</a:t>
                </a:r>
              </a:p>
            </c:rich>
          </c:tx>
          <c:layout>
            <c:manualLayout>
              <c:xMode val="edge"/>
              <c:yMode val="edge"/>
              <c:x val="0.33229768153980754"/>
              <c:y val="0.85183902012248469"/>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74937472"/>
        <c:crosses val="autoZero"/>
        <c:crossBetween val="between"/>
        <c:minorUnit val="1.0000000000000002E-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mn-lt"/>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96388888888889"/>
          <c:y val="5.0925925925925923E-2"/>
          <c:w val="0.82980555555555557"/>
          <c:h val="0.65079687955672194"/>
        </c:manualLayout>
      </c:layout>
      <c:barChart>
        <c:barDir val="col"/>
        <c:grouping val="clustered"/>
        <c:varyColors val="0"/>
        <c:ser>
          <c:idx val="0"/>
          <c:order val="0"/>
          <c:tx>
            <c:strRef>
              <c:f>'Figure 2.7'!$C$3:$E$3</c:f>
              <c:strCache>
                <c:ptCount val="1"/>
                <c:pt idx="0">
                  <c:v>No adverse family experiences</c:v>
                </c:pt>
              </c:strCache>
            </c:strRef>
          </c:tx>
          <c:spPr>
            <a:solidFill>
              <a:srgbClr val="203864"/>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2.7'!$A$5:$A$9</c:f>
              <c:strCache>
                <c:ptCount val="4"/>
                <c:pt idx="0">
                  <c:v>0 - 99% FPL</c:v>
                </c:pt>
                <c:pt idx="1">
                  <c:v>100 - 199% FPL</c:v>
                </c:pt>
                <c:pt idx="2">
                  <c:v>200 - 399% FPL</c:v>
                </c:pt>
                <c:pt idx="3">
                  <c:v>400% FPL or higher</c:v>
                </c:pt>
              </c:strCache>
            </c:strRef>
          </c:cat>
          <c:val>
            <c:numRef>
              <c:f>'Figure 2.7'!$C$5:$C$9</c:f>
              <c:numCache>
                <c:formatCode>0</c:formatCode>
                <c:ptCount val="4"/>
                <c:pt idx="0">
                  <c:v>33.700000000000003</c:v>
                </c:pt>
                <c:pt idx="1">
                  <c:v>35.700000000000003</c:v>
                </c:pt>
                <c:pt idx="2">
                  <c:v>49.4</c:v>
                </c:pt>
                <c:pt idx="3">
                  <c:v>76.2</c:v>
                </c:pt>
              </c:numCache>
            </c:numRef>
          </c:val>
          <c:extLst xmlns:c16r2="http://schemas.microsoft.com/office/drawing/2015/06/chart">
            <c:ext xmlns:c16="http://schemas.microsoft.com/office/drawing/2014/chart" uri="{C3380CC4-5D6E-409C-BE32-E72D297353CC}">
              <c16:uniqueId val="{00000000-5D1C-4DDC-95AC-7B59A8A67D44}"/>
            </c:ext>
          </c:extLst>
        </c:ser>
        <c:ser>
          <c:idx val="1"/>
          <c:order val="1"/>
          <c:tx>
            <c:strRef>
              <c:f>'Figure 2.7'!$F$3</c:f>
              <c:strCache>
                <c:ptCount val="1"/>
                <c:pt idx="0">
                  <c:v>One adverse family experience</c:v>
                </c:pt>
              </c:strCache>
            </c:strRef>
          </c:tx>
          <c:spPr>
            <a:pattFill prst="dkUpDiag">
              <a:fgClr>
                <a:srgbClr val="6BAED6"/>
              </a:fgClr>
              <a:bgClr>
                <a:sysClr val="window" lastClr="FFFFFF"/>
              </a:bgClr>
            </a:pattFill>
            <a:ln>
              <a:noFill/>
            </a:ln>
            <a:effectLst/>
          </c:spPr>
          <c:invertIfNegative val="0"/>
          <c:dLbls>
            <c:dLbl>
              <c:idx val="0"/>
              <c:layout>
                <c:manualLayout>
                  <c:x val="5.5555555555555558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D1C-4DDC-95AC-7B59A8A67D44}"/>
                </c:ext>
              </c:extLst>
            </c:dLbl>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2.7'!$A$5:$A$9</c:f>
              <c:strCache>
                <c:ptCount val="4"/>
                <c:pt idx="0">
                  <c:v>0 - 99% FPL</c:v>
                </c:pt>
                <c:pt idx="1">
                  <c:v>100 - 199% FPL</c:v>
                </c:pt>
                <c:pt idx="2">
                  <c:v>200 - 399% FPL</c:v>
                </c:pt>
                <c:pt idx="3">
                  <c:v>400% FPL or higher</c:v>
                </c:pt>
              </c:strCache>
            </c:strRef>
          </c:cat>
          <c:val>
            <c:numRef>
              <c:f>'Figure 2.7'!$F$5:$F$9</c:f>
              <c:numCache>
                <c:formatCode>0</c:formatCode>
                <c:ptCount val="4"/>
                <c:pt idx="0">
                  <c:v>28.3</c:v>
                </c:pt>
                <c:pt idx="1">
                  <c:v>29.1</c:v>
                </c:pt>
                <c:pt idx="2">
                  <c:v>30.7</c:v>
                </c:pt>
                <c:pt idx="3">
                  <c:v>14.1</c:v>
                </c:pt>
              </c:numCache>
            </c:numRef>
          </c:val>
          <c:extLst xmlns:c16r2="http://schemas.microsoft.com/office/drawing/2015/06/chart">
            <c:ext xmlns:c16="http://schemas.microsoft.com/office/drawing/2014/chart" uri="{C3380CC4-5D6E-409C-BE32-E72D297353CC}">
              <c16:uniqueId val="{00000002-5D1C-4DDC-95AC-7B59A8A67D44}"/>
            </c:ext>
          </c:extLst>
        </c:ser>
        <c:ser>
          <c:idx val="2"/>
          <c:order val="2"/>
          <c:tx>
            <c:strRef>
              <c:f>'Figure 2.7'!$I$3</c:f>
              <c:strCache>
                <c:ptCount val="1"/>
                <c:pt idx="0">
                  <c:v>Two or more adverse family experiences</c:v>
                </c:pt>
              </c:strCache>
            </c:strRef>
          </c:tx>
          <c:spPr>
            <a:solidFill>
              <a:srgbClr val="9ECAE1"/>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2.7'!$A$5:$A$9</c:f>
              <c:strCache>
                <c:ptCount val="4"/>
                <c:pt idx="0">
                  <c:v>0 - 99% FPL</c:v>
                </c:pt>
                <c:pt idx="1">
                  <c:v>100 - 199% FPL</c:v>
                </c:pt>
                <c:pt idx="2">
                  <c:v>200 - 399% FPL</c:v>
                </c:pt>
                <c:pt idx="3">
                  <c:v>400% FPL or higher</c:v>
                </c:pt>
              </c:strCache>
            </c:strRef>
          </c:cat>
          <c:val>
            <c:numRef>
              <c:f>'Figure 2.7'!$I$5:$I$9</c:f>
              <c:numCache>
                <c:formatCode>0</c:formatCode>
                <c:ptCount val="4"/>
                <c:pt idx="0">
                  <c:v>38</c:v>
                </c:pt>
                <c:pt idx="1">
                  <c:v>35.200000000000003</c:v>
                </c:pt>
                <c:pt idx="2">
                  <c:v>19.899999999999999</c:v>
                </c:pt>
                <c:pt idx="3">
                  <c:v>10</c:v>
                </c:pt>
              </c:numCache>
            </c:numRef>
          </c:val>
          <c:extLst xmlns:c16r2="http://schemas.microsoft.com/office/drawing/2015/06/chart">
            <c:ext xmlns:c16="http://schemas.microsoft.com/office/drawing/2014/chart" uri="{C3380CC4-5D6E-409C-BE32-E72D297353CC}">
              <c16:uniqueId val="{00000003-5D1C-4DDC-95AC-7B59A8A67D44}"/>
            </c:ext>
          </c:extLst>
        </c:ser>
        <c:dLbls>
          <c:showLegendKey val="0"/>
          <c:showVal val="0"/>
          <c:showCatName val="0"/>
          <c:showSerName val="0"/>
          <c:showPercent val="0"/>
          <c:showBubbleSize val="0"/>
        </c:dLbls>
        <c:gapWidth val="108"/>
        <c:overlap val="-16"/>
        <c:axId val="104693120"/>
        <c:axId val="106599552"/>
      </c:barChart>
      <c:catAx>
        <c:axId val="104693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06599552"/>
        <c:crosses val="autoZero"/>
        <c:auto val="1"/>
        <c:lblAlgn val="ctr"/>
        <c:lblOffset val="100"/>
        <c:noMultiLvlLbl val="0"/>
      </c:catAx>
      <c:valAx>
        <c:axId val="106599552"/>
        <c:scaling>
          <c:orientation val="minMax"/>
          <c:max val="10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Percent of Adverse Family Events</a:t>
                </a:r>
              </a:p>
            </c:rich>
          </c:tx>
          <c:layout>
            <c:manualLayout>
              <c:xMode val="edge"/>
              <c:yMode val="edge"/>
              <c:x val="2.2758311461067365E-2"/>
              <c:y val="5.9747375328083982E-2"/>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04693120"/>
        <c:crosses val="autoZero"/>
        <c:crossBetween val="between"/>
        <c:minorUnit val="1.0000000000000002E-2"/>
      </c:valAx>
      <c:spPr>
        <a:noFill/>
        <a:ln>
          <a:noFill/>
        </a:ln>
        <a:effectLst/>
      </c:spPr>
    </c:plotArea>
    <c:legend>
      <c:legendPos val="b"/>
      <c:layout>
        <c:manualLayout>
          <c:xMode val="edge"/>
          <c:yMode val="edge"/>
          <c:x val="0.12313801399825022"/>
          <c:y val="0.80751895596383783"/>
          <c:w val="0.82872397200349968"/>
          <c:h val="0.1600736366287547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mn-lt"/>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'Figure 2.9'!$L$4</c:f>
              <c:strCache>
                <c:ptCount val="1"/>
                <c:pt idx="0">
                  <c:v>MA</c:v>
                </c:pt>
              </c:strCache>
            </c:strRef>
          </c:tx>
          <c:spPr>
            <a:solidFill>
              <a:srgbClr val="203864"/>
            </a:solidFill>
          </c:spPr>
          <c:invertIfNegative val="0"/>
          <c:dLbls>
            <c:spPr>
              <a:noFill/>
              <a:ln>
                <a:noFill/>
              </a:ln>
              <a:effectLst/>
            </c:spPr>
            <c:txPr>
              <a:bodyPr/>
              <a:lstStyle/>
              <a:p>
                <a:pPr>
                  <a:defRPr sz="1050"/>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'Figure 2.9'!$M$3:$N$3</c:f>
              <c:strCache>
                <c:ptCount val="2"/>
                <c:pt idx="0">
                  <c:v>CSHCN</c:v>
                </c:pt>
                <c:pt idx="1">
                  <c:v>non-CSHCN</c:v>
                </c:pt>
              </c:strCache>
            </c:strRef>
          </c:cat>
          <c:val>
            <c:numRef>
              <c:f>'Figure 2.9'!$M$4:$N$4</c:f>
              <c:numCache>
                <c:formatCode>General</c:formatCode>
                <c:ptCount val="2"/>
                <c:pt idx="0">
                  <c:v>49</c:v>
                </c:pt>
                <c:pt idx="1">
                  <c:v>61</c:v>
                </c:pt>
              </c:numCache>
            </c:numRef>
          </c:val>
          <c:extLst xmlns:c16r2="http://schemas.microsoft.com/office/drawing/2015/06/chart">
            <c:ext xmlns:c16="http://schemas.microsoft.com/office/drawing/2014/chart" uri="{C3380CC4-5D6E-409C-BE32-E72D297353CC}">
              <c16:uniqueId val="{00000000-F000-4B0E-A229-1D14A5E832C2}"/>
            </c:ext>
          </c:extLst>
        </c:ser>
        <c:ser>
          <c:idx val="1"/>
          <c:order val="1"/>
          <c:tx>
            <c:strRef>
              <c:f>'Figure 2.9'!$L$5</c:f>
              <c:strCache>
                <c:ptCount val="1"/>
                <c:pt idx="0">
                  <c:v>US</c:v>
                </c:pt>
              </c:strCache>
            </c:strRef>
          </c:tx>
          <c:spPr>
            <a:pattFill prst="dkUpDiag">
              <a:fgClr>
                <a:srgbClr val="6BAED6"/>
              </a:fgClr>
              <a:bgClr>
                <a:schemeClr val="bg1"/>
              </a:bgClr>
            </a:pattFill>
          </c:spPr>
          <c:invertIfNegative val="0"/>
          <c:dLbls>
            <c:spPr>
              <a:noFill/>
              <a:ln>
                <a:noFill/>
              </a:ln>
              <a:effectLst/>
            </c:spPr>
            <c:txPr>
              <a:bodyPr/>
              <a:lstStyle/>
              <a:p>
                <a:pPr>
                  <a:defRPr sz="105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'Figure 2.9'!$M$3:$N$3</c:f>
              <c:strCache>
                <c:ptCount val="2"/>
                <c:pt idx="0">
                  <c:v>CSHCN</c:v>
                </c:pt>
                <c:pt idx="1">
                  <c:v>non-CSHCN</c:v>
                </c:pt>
              </c:strCache>
            </c:strRef>
          </c:cat>
          <c:val>
            <c:numRef>
              <c:f>'Figure 2.9'!$M$5:$N$5</c:f>
              <c:numCache>
                <c:formatCode>General</c:formatCode>
                <c:ptCount val="2"/>
                <c:pt idx="0">
                  <c:v>43</c:v>
                </c:pt>
                <c:pt idx="1">
                  <c:v>50</c:v>
                </c:pt>
              </c:numCache>
            </c:numRef>
          </c:val>
          <c:extLst xmlns:c16r2="http://schemas.microsoft.com/office/drawing/2015/06/chart">
            <c:ext xmlns:c16="http://schemas.microsoft.com/office/drawing/2014/chart" uri="{C3380CC4-5D6E-409C-BE32-E72D297353CC}">
              <c16:uniqueId val="{00000001-F000-4B0E-A229-1D14A5E832C2}"/>
            </c:ext>
          </c:extLst>
        </c:ser>
        <c:dLbls>
          <c:showLegendKey val="0"/>
          <c:showVal val="0"/>
          <c:showCatName val="0"/>
          <c:showSerName val="0"/>
          <c:showPercent val="0"/>
          <c:showBubbleSize val="0"/>
        </c:dLbls>
        <c:gapWidth val="108"/>
        <c:overlap val="-16"/>
        <c:axId val="106680704"/>
        <c:axId val="106682240"/>
      </c:barChart>
      <c:catAx>
        <c:axId val="106680704"/>
        <c:scaling>
          <c:orientation val="minMax"/>
        </c:scaling>
        <c:delete val="0"/>
        <c:axPos val="b"/>
        <c:numFmt formatCode="General" sourceLinked="1"/>
        <c:majorTickMark val="out"/>
        <c:minorTickMark val="none"/>
        <c:tickLblPos val="nextTo"/>
        <c:crossAx val="106682240"/>
        <c:crosses val="autoZero"/>
        <c:auto val="1"/>
        <c:lblAlgn val="ctr"/>
        <c:lblOffset val="100"/>
        <c:noMultiLvlLbl val="0"/>
      </c:catAx>
      <c:valAx>
        <c:axId val="106682240"/>
        <c:scaling>
          <c:orientation val="minMax"/>
          <c:max val="100"/>
        </c:scaling>
        <c:delete val="0"/>
        <c:axPos val="l"/>
        <c:majorGridlines>
          <c:spPr>
            <a:ln>
              <a:noFill/>
            </a:ln>
          </c:spPr>
        </c:majorGridlines>
        <c:title>
          <c:tx>
            <c:rich>
              <a:bodyPr rot="-5400000" vert="horz"/>
              <a:lstStyle/>
              <a:p>
                <a:pPr>
                  <a:defRPr/>
                </a:pPr>
                <a:r>
                  <a:rPr lang="en-US"/>
                  <a:t>Percent</a:t>
                </a:r>
              </a:p>
            </c:rich>
          </c:tx>
          <c:overlay val="0"/>
        </c:title>
        <c:numFmt formatCode="General" sourceLinked="1"/>
        <c:majorTickMark val="out"/>
        <c:minorTickMark val="none"/>
        <c:tickLblPos val="nextTo"/>
        <c:crossAx val="106680704"/>
        <c:crosses val="autoZero"/>
        <c:crossBetween val="between"/>
      </c:valAx>
    </c:plotArea>
    <c:legend>
      <c:legendPos val="b"/>
      <c:overlay val="0"/>
    </c:legend>
    <c:plotVisOnly val="1"/>
    <c:dispBlanksAs val="gap"/>
    <c:showDLblsOverMax val="0"/>
  </c:chart>
  <c:spPr>
    <a:ln>
      <a:noFill/>
    </a:ln>
  </c:spPr>
  <c:txPr>
    <a:bodyPr/>
    <a:lstStyle/>
    <a:p>
      <a:pPr>
        <a:defRPr sz="1000">
          <a:latin typeface="+mn-lt"/>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'Figure 2.10'!$B$3</c:f>
              <c:strCache>
                <c:ptCount val="1"/>
                <c:pt idx="0">
                  <c:v>MA</c:v>
                </c:pt>
              </c:strCache>
            </c:strRef>
          </c:tx>
          <c:spPr>
            <a:solidFill>
              <a:srgbClr val="203864"/>
            </a:solidFill>
          </c:spPr>
          <c:invertIfNegative val="0"/>
          <c:dLbls>
            <c:spPr>
              <a:noFill/>
              <a:ln>
                <a:noFill/>
              </a:ln>
              <a:effectLst/>
            </c:spPr>
            <c:txPr>
              <a:bodyPr/>
              <a:lstStyle/>
              <a:p>
                <a:pPr>
                  <a:defRPr sz="105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'Figure 2.10'!$C$2:$D$2</c:f>
              <c:strCache>
                <c:ptCount val="2"/>
                <c:pt idx="0">
                  <c:v>YSHCN</c:v>
                </c:pt>
                <c:pt idx="1">
                  <c:v>non-YSHCN</c:v>
                </c:pt>
              </c:strCache>
            </c:strRef>
          </c:cat>
          <c:val>
            <c:numRef>
              <c:f>'Figure 2.10'!$C$3:$D$3</c:f>
              <c:numCache>
                <c:formatCode>General</c:formatCode>
                <c:ptCount val="2"/>
                <c:pt idx="0">
                  <c:v>16</c:v>
                </c:pt>
                <c:pt idx="1">
                  <c:v>16</c:v>
                </c:pt>
              </c:numCache>
            </c:numRef>
          </c:val>
          <c:extLst xmlns:c16r2="http://schemas.microsoft.com/office/drawing/2015/06/chart">
            <c:ext xmlns:c16="http://schemas.microsoft.com/office/drawing/2014/chart" uri="{C3380CC4-5D6E-409C-BE32-E72D297353CC}">
              <c16:uniqueId val="{00000000-C02E-4EFD-BE1A-A3418622C80C}"/>
            </c:ext>
          </c:extLst>
        </c:ser>
        <c:ser>
          <c:idx val="1"/>
          <c:order val="1"/>
          <c:tx>
            <c:strRef>
              <c:f>'Figure 2.10'!$B$4</c:f>
              <c:strCache>
                <c:ptCount val="1"/>
                <c:pt idx="0">
                  <c:v>US</c:v>
                </c:pt>
              </c:strCache>
            </c:strRef>
          </c:tx>
          <c:spPr>
            <a:pattFill prst="dkUpDiag">
              <a:fgClr>
                <a:srgbClr val="6BAED6"/>
              </a:fgClr>
              <a:bgClr>
                <a:schemeClr val="bg1"/>
              </a:bgClr>
            </a:pattFill>
          </c:spPr>
          <c:invertIfNegative val="0"/>
          <c:dLbls>
            <c:spPr>
              <a:noFill/>
              <a:ln>
                <a:noFill/>
              </a:ln>
              <a:effectLst/>
            </c:spPr>
            <c:txPr>
              <a:bodyPr/>
              <a:lstStyle/>
              <a:p>
                <a:pPr>
                  <a:defRPr sz="1050"/>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'Figure 2.10'!$C$2:$D$2</c:f>
              <c:strCache>
                <c:ptCount val="2"/>
                <c:pt idx="0">
                  <c:v>YSHCN</c:v>
                </c:pt>
                <c:pt idx="1">
                  <c:v>non-YSHCN</c:v>
                </c:pt>
              </c:strCache>
            </c:strRef>
          </c:cat>
          <c:val>
            <c:numRef>
              <c:f>'Figure 2.10'!$C$4:$D$4</c:f>
              <c:numCache>
                <c:formatCode>General</c:formatCode>
                <c:ptCount val="2"/>
                <c:pt idx="0">
                  <c:v>17</c:v>
                </c:pt>
                <c:pt idx="1">
                  <c:v>14</c:v>
                </c:pt>
              </c:numCache>
            </c:numRef>
          </c:val>
          <c:extLst xmlns:c16r2="http://schemas.microsoft.com/office/drawing/2015/06/chart">
            <c:ext xmlns:c16="http://schemas.microsoft.com/office/drawing/2014/chart" uri="{C3380CC4-5D6E-409C-BE32-E72D297353CC}">
              <c16:uniqueId val="{00000001-C02E-4EFD-BE1A-A3418622C80C}"/>
            </c:ext>
          </c:extLst>
        </c:ser>
        <c:dLbls>
          <c:showLegendKey val="0"/>
          <c:showVal val="0"/>
          <c:showCatName val="0"/>
          <c:showSerName val="0"/>
          <c:showPercent val="0"/>
          <c:showBubbleSize val="0"/>
        </c:dLbls>
        <c:gapWidth val="108"/>
        <c:overlap val="-16"/>
        <c:axId val="107410560"/>
        <c:axId val="107412096"/>
      </c:barChart>
      <c:catAx>
        <c:axId val="107410560"/>
        <c:scaling>
          <c:orientation val="minMax"/>
        </c:scaling>
        <c:delete val="0"/>
        <c:axPos val="b"/>
        <c:numFmt formatCode="General" sourceLinked="1"/>
        <c:majorTickMark val="out"/>
        <c:minorTickMark val="none"/>
        <c:tickLblPos val="nextTo"/>
        <c:crossAx val="107412096"/>
        <c:crosses val="autoZero"/>
        <c:auto val="1"/>
        <c:lblAlgn val="ctr"/>
        <c:lblOffset val="100"/>
        <c:noMultiLvlLbl val="0"/>
      </c:catAx>
      <c:valAx>
        <c:axId val="107412096"/>
        <c:scaling>
          <c:orientation val="minMax"/>
          <c:max val="50"/>
        </c:scaling>
        <c:delete val="0"/>
        <c:axPos val="l"/>
        <c:majorGridlines>
          <c:spPr>
            <a:ln>
              <a:noFill/>
            </a:ln>
          </c:spPr>
        </c:majorGridlines>
        <c:title>
          <c:tx>
            <c:rich>
              <a:bodyPr rot="-5400000" vert="horz"/>
              <a:lstStyle/>
              <a:p>
                <a:pPr>
                  <a:defRPr/>
                </a:pPr>
                <a:r>
                  <a:rPr lang="en-US"/>
                  <a:t>Percent</a:t>
                </a:r>
              </a:p>
            </c:rich>
          </c:tx>
          <c:overlay val="0"/>
        </c:title>
        <c:numFmt formatCode="General" sourceLinked="1"/>
        <c:majorTickMark val="out"/>
        <c:minorTickMark val="none"/>
        <c:tickLblPos val="nextTo"/>
        <c:crossAx val="107410560"/>
        <c:crosses val="autoZero"/>
        <c:crossBetween val="between"/>
      </c:valAx>
    </c:plotArea>
    <c:legend>
      <c:legendPos val="b"/>
      <c:overlay val="0"/>
    </c:legend>
    <c:plotVisOnly val="1"/>
    <c:dispBlanksAs val="gap"/>
    <c:showDLblsOverMax val="0"/>
  </c:chart>
  <c:spPr>
    <a:ln>
      <a:noFill/>
    </a:ln>
  </c:spPr>
  <c:txPr>
    <a:bodyPr/>
    <a:lstStyle/>
    <a:p>
      <a:pPr>
        <a:defRPr sz="1000">
          <a:latin typeface="+mn-lt"/>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2"/>
          <c:order val="0"/>
          <c:tx>
            <c:strRef>
              <c:f>'Figure 2.11'!$D$2</c:f>
              <c:strCache>
                <c:ptCount val="1"/>
                <c:pt idx="0">
                  <c:v>Personal health care provider</c:v>
                </c:pt>
              </c:strCache>
            </c:strRef>
          </c:tx>
          <c:spPr>
            <a:ln w="19050" cap="rnd">
              <a:solidFill>
                <a:srgbClr val="6BAED6"/>
              </a:solidFill>
              <a:round/>
            </a:ln>
            <a:effectLst/>
          </c:spPr>
          <c:marker>
            <c:symbol val="circle"/>
            <c:size val="6"/>
            <c:spPr>
              <a:solidFill>
                <a:schemeClr val="bg1"/>
              </a:solidFill>
              <a:ln w="9525">
                <a:solidFill>
                  <a:srgbClr val="6BAED6"/>
                </a:solidFill>
              </a:ln>
              <a:effectLst/>
            </c:spPr>
          </c:marker>
          <c:dLbls>
            <c:dLbl>
              <c:idx val="0"/>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9FA-48B6-9F08-74037A5C4844}"/>
                </c:ext>
              </c:extLst>
            </c:dLbl>
            <c:dLbl>
              <c:idx val="4"/>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9FA-48B6-9F08-74037A5C4844}"/>
                </c:ext>
              </c:extLst>
            </c:dLbl>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 2.11'!$B$3:$B$7</c:f>
              <c:numCache>
                <c:formatCode>General</c:formatCode>
                <c:ptCount val="5"/>
                <c:pt idx="0">
                  <c:v>2011</c:v>
                </c:pt>
                <c:pt idx="1">
                  <c:v>2012</c:v>
                </c:pt>
                <c:pt idx="2">
                  <c:v>2013</c:v>
                </c:pt>
                <c:pt idx="3">
                  <c:v>2014</c:v>
                </c:pt>
                <c:pt idx="4">
                  <c:v>2015</c:v>
                </c:pt>
              </c:numCache>
            </c:numRef>
          </c:cat>
          <c:val>
            <c:numRef>
              <c:f>'Figure 2.11'!$D$3:$D$7</c:f>
              <c:numCache>
                <c:formatCode>0</c:formatCode>
                <c:ptCount val="5"/>
                <c:pt idx="0">
                  <c:v>92.4</c:v>
                </c:pt>
                <c:pt idx="1">
                  <c:v>92.5</c:v>
                </c:pt>
                <c:pt idx="2">
                  <c:v>91</c:v>
                </c:pt>
                <c:pt idx="3">
                  <c:v>93.1</c:v>
                </c:pt>
                <c:pt idx="4">
                  <c:v>92.4</c:v>
                </c:pt>
              </c:numCache>
            </c:numRef>
          </c:val>
          <c:smooth val="0"/>
          <c:extLst xmlns:c16r2="http://schemas.microsoft.com/office/drawing/2015/06/chart">
            <c:ext xmlns:c16="http://schemas.microsoft.com/office/drawing/2014/chart" uri="{C3380CC4-5D6E-409C-BE32-E72D297353CC}">
              <c16:uniqueId val="{00000008-4340-491B-8B96-40C75740DB1D}"/>
            </c:ext>
          </c:extLst>
        </c:ser>
        <c:ser>
          <c:idx val="4"/>
          <c:order val="1"/>
          <c:tx>
            <c:strRef>
              <c:f>'Figure 2.11'!$F$2</c:f>
              <c:strCache>
                <c:ptCount val="1"/>
                <c:pt idx="0">
                  <c:v>Routine checkup in past year </c:v>
                </c:pt>
              </c:strCache>
            </c:strRef>
          </c:tx>
          <c:spPr>
            <a:ln w="19050" cap="rnd">
              <a:solidFill>
                <a:srgbClr val="08519C"/>
              </a:solidFill>
              <a:round/>
            </a:ln>
            <a:effectLst/>
          </c:spPr>
          <c:marker>
            <c:symbol val="diamond"/>
            <c:size val="6"/>
            <c:spPr>
              <a:solidFill>
                <a:schemeClr val="bg1"/>
              </a:solidFill>
              <a:ln w="9525">
                <a:solidFill>
                  <a:srgbClr val="2F5496"/>
                </a:solidFill>
              </a:ln>
              <a:effectLst/>
            </c:spPr>
          </c:marker>
          <c:dLbls>
            <c:dLbl>
              <c:idx val="0"/>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9FA-48B6-9F08-74037A5C4844}"/>
                </c:ext>
              </c:extLst>
            </c:dLbl>
            <c:dLbl>
              <c:idx val="4"/>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9FA-48B6-9F08-74037A5C4844}"/>
                </c:ext>
              </c:extLst>
            </c:dLbl>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dLblPos val="t"/>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 2.11'!$B$3:$B$7</c:f>
              <c:numCache>
                <c:formatCode>General</c:formatCode>
                <c:ptCount val="5"/>
                <c:pt idx="0">
                  <c:v>2011</c:v>
                </c:pt>
                <c:pt idx="1">
                  <c:v>2012</c:v>
                </c:pt>
                <c:pt idx="2">
                  <c:v>2013</c:v>
                </c:pt>
                <c:pt idx="3">
                  <c:v>2014</c:v>
                </c:pt>
                <c:pt idx="4">
                  <c:v>2015</c:v>
                </c:pt>
              </c:numCache>
            </c:numRef>
          </c:cat>
          <c:val>
            <c:numRef>
              <c:f>'Figure 2.11'!$F$3:$F$7</c:f>
              <c:numCache>
                <c:formatCode>0</c:formatCode>
                <c:ptCount val="5"/>
                <c:pt idx="0">
                  <c:v>83.1</c:v>
                </c:pt>
                <c:pt idx="1">
                  <c:v>82.4</c:v>
                </c:pt>
                <c:pt idx="2">
                  <c:v>81.3</c:v>
                </c:pt>
                <c:pt idx="3">
                  <c:v>82</c:v>
                </c:pt>
                <c:pt idx="4">
                  <c:v>82</c:v>
                </c:pt>
              </c:numCache>
            </c:numRef>
          </c:val>
          <c:smooth val="0"/>
          <c:extLst xmlns:c16r2="http://schemas.microsoft.com/office/drawing/2015/06/chart">
            <c:ext xmlns:c16="http://schemas.microsoft.com/office/drawing/2014/chart" uri="{C3380CC4-5D6E-409C-BE32-E72D297353CC}">
              <c16:uniqueId val="{0000000A-4340-491B-8B96-40C75740DB1D}"/>
            </c:ext>
          </c:extLst>
        </c:ser>
        <c:dLbls>
          <c:showLegendKey val="0"/>
          <c:showVal val="0"/>
          <c:showCatName val="0"/>
          <c:showSerName val="0"/>
          <c:showPercent val="0"/>
          <c:showBubbleSize val="0"/>
        </c:dLbls>
        <c:marker val="1"/>
        <c:smooth val="0"/>
        <c:axId val="107499520"/>
        <c:axId val="107501056"/>
        <c:extLst xmlns:c16r2="http://schemas.microsoft.com/office/drawing/2015/06/chart">
          <c:ext xmlns:c15="http://schemas.microsoft.com/office/drawing/2012/chart" uri="{02D57815-91ED-43cb-92C2-25804820EDAC}">
            <c15:filteredLineSeries>
              <c15:ser>
                <c:idx val="0"/>
                <c:order val="0"/>
                <c:tx>
                  <c:strRef>
                    <c:extLst>
                      <c:ext uri="{02D57815-91ED-43cb-92C2-25804820EDAC}">
                        <c15:formulaRef>
                          <c15:sqref>'Figure 2.11'!$B$2</c15:sqref>
                        </c15:formulaRef>
                      </c:ext>
                    </c:extLst>
                    <c:strCache>
                      <c:ptCount val="1"/>
                      <c:pt idx="0">
                        <c:v> </c:v>
                      </c:pt>
                    </c:strCache>
                  </c:strRef>
                </c:tx>
                <c:spPr>
                  <a:ln w="28575" cap="rnd">
                    <a:solidFill>
                      <a:schemeClr val="accent1"/>
                    </a:solidFill>
                    <a:round/>
                  </a:ln>
                  <a:effectLst/>
                </c:spPr>
                <c:marker>
                  <c:symbol val="diamond"/>
                  <c:size val="7"/>
                  <c:spPr>
                    <a:solidFill>
                      <a:schemeClr val="bg1"/>
                    </a:solidFill>
                    <a:ln w="9525">
                      <a:solidFill>
                        <a:srgbClr val="2F5496"/>
                      </a:solidFill>
                    </a:ln>
                    <a:effectLst/>
                  </c:spPr>
                </c:marker>
                <c:cat>
                  <c:numRef>
                    <c:extLst>
                      <c:ext uri="{02D57815-91ED-43cb-92C2-25804820EDAC}">
                        <c15:formulaRef>
                          <c15:sqref>'Figure 2.11'!$B$3:$B$7</c15:sqref>
                        </c15:formulaRef>
                      </c:ext>
                    </c:extLst>
                    <c:numCache>
                      <c:formatCode>General</c:formatCode>
                      <c:ptCount val="5"/>
                      <c:pt idx="0">
                        <c:v>2011</c:v>
                      </c:pt>
                      <c:pt idx="1">
                        <c:v>2012</c:v>
                      </c:pt>
                      <c:pt idx="2">
                        <c:v>2013</c:v>
                      </c:pt>
                      <c:pt idx="3">
                        <c:v>2014</c:v>
                      </c:pt>
                      <c:pt idx="4">
                        <c:v>2015</c:v>
                      </c:pt>
                    </c:numCache>
                  </c:numRef>
                </c:cat>
                <c:val>
                  <c:numRef>
                    <c:extLst>
                      <c:ext uri="{02D57815-91ED-43cb-92C2-25804820EDAC}">
                        <c15:formulaRef>
                          <c15:sqref>'Figure 2.11'!$B$3:$B$7</c15:sqref>
                        </c15:formulaRef>
                      </c:ext>
                    </c:extLst>
                    <c:numCache>
                      <c:formatCode>General</c:formatCode>
                      <c:ptCount val="5"/>
                      <c:pt idx="0">
                        <c:v>2011</c:v>
                      </c:pt>
                      <c:pt idx="1">
                        <c:v>2012</c:v>
                      </c:pt>
                      <c:pt idx="2">
                        <c:v>2013</c:v>
                      </c:pt>
                      <c:pt idx="3">
                        <c:v>2014</c:v>
                      </c:pt>
                      <c:pt idx="4">
                        <c:v>2015</c:v>
                      </c:pt>
                    </c:numCache>
                  </c:numRef>
                </c:val>
                <c:smooth val="0"/>
                <c:extLst>
                  <c:ext xmlns:c16="http://schemas.microsoft.com/office/drawing/2014/chart" uri="{C3380CC4-5D6E-409C-BE32-E72D297353CC}">
                    <c16:uniqueId val="{00000003-4340-491B-8B96-40C75740DB1D}"/>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'Figure 2.11'!$C$2</c15:sqref>
                        </c15:formulaRef>
                      </c:ext>
                    </c:extLst>
                    <c:strCache>
                      <c:ptCount val="1"/>
                      <c:pt idx="0">
                        <c:v>No Health Insurance (18-64)</c:v>
                      </c:pt>
                    </c:strCache>
                  </c:strRef>
                </c:tx>
                <c:spPr>
                  <a:ln w="28575" cap="rnd">
                    <a:solidFill>
                      <a:schemeClr val="accent2"/>
                    </a:solidFill>
                    <a:round/>
                  </a:ln>
                  <a:effectLst/>
                </c:spPr>
                <c:marker>
                  <c:symbol val="square"/>
                  <c:size val="5"/>
                  <c:spPr>
                    <a:solidFill>
                      <a:schemeClr val="bg1"/>
                    </a:solidFill>
                    <a:ln w="9525">
                      <a:solidFill>
                        <a:srgbClr val="4C7303"/>
                      </a:solidFill>
                    </a:ln>
                    <a:effectLst/>
                  </c:spPr>
                </c:marker>
                <c:cat>
                  <c:numRef>
                    <c:extLst xmlns:c15="http://schemas.microsoft.com/office/drawing/2012/chart">
                      <c:ext xmlns:c15="http://schemas.microsoft.com/office/drawing/2012/chart" uri="{02D57815-91ED-43cb-92C2-25804820EDAC}">
                        <c15:formulaRef>
                          <c15:sqref>'Figure 2.11'!$B$3:$B$7</c15:sqref>
                        </c15:formulaRef>
                      </c:ext>
                    </c:extLst>
                    <c:numCache>
                      <c:formatCode>General</c:formatCode>
                      <c:ptCount val="5"/>
                      <c:pt idx="0">
                        <c:v>2011</c:v>
                      </c:pt>
                      <c:pt idx="1">
                        <c:v>2012</c:v>
                      </c:pt>
                      <c:pt idx="2">
                        <c:v>2013</c:v>
                      </c:pt>
                      <c:pt idx="3">
                        <c:v>2014</c:v>
                      </c:pt>
                      <c:pt idx="4">
                        <c:v>2015</c:v>
                      </c:pt>
                    </c:numCache>
                  </c:numRef>
                </c:cat>
                <c:val>
                  <c:numRef>
                    <c:extLst xmlns:c15="http://schemas.microsoft.com/office/drawing/2012/chart">
                      <c:ext xmlns:c15="http://schemas.microsoft.com/office/drawing/2012/chart" uri="{02D57815-91ED-43cb-92C2-25804820EDAC}">
                        <c15:formulaRef>
                          <c15:sqref>'Figure 2.11'!$C$3:$C$7</c15:sqref>
                        </c15:formulaRef>
                      </c:ext>
                    </c:extLst>
                    <c:numCache>
                      <c:formatCode>0</c:formatCode>
                      <c:ptCount val="5"/>
                      <c:pt idx="0">
                        <c:v>3.3</c:v>
                      </c:pt>
                      <c:pt idx="1">
                        <c:v>2.7</c:v>
                      </c:pt>
                      <c:pt idx="2">
                        <c:v>3.2</c:v>
                      </c:pt>
                      <c:pt idx="3">
                        <c:v>1.6</c:v>
                      </c:pt>
                      <c:pt idx="4">
                        <c:v>2.1</c:v>
                      </c:pt>
                    </c:numCache>
                  </c:numRef>
                </c:val>
                <c:smooth val="0"/>
                <c:extLst xmlns:c15="http://schemas.microsoft.com/office/drawing/2012/chart">
                  <c:ext xmlns:c16="http://schemas.microsoft.com/office/drawing/2014/chart" uri="{C3380CC4-5D6E-409C-BE32-E72D297353CC}">
                    <c16:uniqueId val="{00000007-4340-491B-8B96-40C75740DB1D}"/>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'Figure 2.11'!$E$2</c15:sqref>
                        </c15:formulaRef>
                      </c:ext>
                    </c:extLst>
                    <c:strCache>
                      <c:ptCount val="1"/>
                      <c:pt idx="0">
                        <c:v>Could not see doctor due to cost</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extLst xmlns:c15="http://schemas.microsoft.com/office/drawing/2012/chart">
                      <c:ext xmlns:c15="http://schemas.microsoft.com/office/drawing/2012/chart" uri="{02D57815-91ED-43cb-92C2-25804820EDAC}">
                        <c15:formulaRef>
                          <c15:sqref>'Figure 2.11'!$B$3:$B$7</c15:sqref>
                        </c15:formulaRef>
                      </c:ext>
                    </c:extLst>
                    <c:numCache>
                      <c:formatCode>General</c:formatCode>
                      <c:ptCount val="5"/>
                      <c:pt idx="0">
                        <c:v>2011</c:v>
                      </c:pt>
                      <c:pt idx="1">
                        <c:v>2012</c:v>
                      </c:pt>
                      <c:pt idx="2">
                        <c:v>2013</c:v>
                      </c:pt>
                      <c:pt idx="3">
                        <c:v>2014</c:v>
                      </c:pt>
                      <c:pt idx="4">
                        <c:v>2015</c:v>
                      </c:pt>
                    </c:numCache>
                  </c:numRef>
                </c:cat>
                <c:val>
                  <c:numRef>
                    <c:extLst xmlns:c15="http://schemas.microsoft.com/office/drawing/2012/chart">
                      <c:ext xmlns:c15="http://schemas.microsoft.com/office/drawing/2012/chart" uri="{02D57815-91ED-43cb-92C2-25804820EDAC}">
                        <c15:formulaRef>
                          <c15:sqref>'Figure 2.11'!$E$3:$E$7</c15:sqref>
                        </c15:formulaRef>
                      </c:ext>
                    </c:extLst>
                    <c:numCache>
                      <c:formatCode>0</c:formatCode>
                      <c:ptCount val="5"/>
                      <c:pt idx="0">
                        <c:v>9.1</c:v>
                      </c:pt>
                      <c:pt idx="1">
                        <c:v>9</c:v>
                      </c:pt>
                      <c:pt idx="2">
                        <c:v>7.7</c:v>
                      </c:pt>
                      <c:pt idx="3">
                        <c:v>7.8</c:v>
                      </c:pt>
                      <c:pt idx="4">
                        <c:v>8.6</c:v>
                      </c:pt>
                    </c:numCache>
                  </c:numRef>
                </c:val>
                <c:smooth val="0"/>
                <c:extLst xmlns:c15="http://schemas.microsoft.com/office/drawing/2012/chart">
                  <c:ext xmlns:c16="http://schemas.microsoft.com/office/drawing/2014/chart" uri="{C3380CC4-5D6E-409C-BE32-E72D297353CC}">
                    <c16:uniqueId val="{00000009-4340-491B-8B96-40C75740DB1D}"/>
                  </c:ext>
                </c:extLst>
              </c15:ser>
            </c15:filteredLineSeries>
          </c:ext>
        </c:extLst>
      </c:lineChart>
      <c:catAx>
        <c:axId val="107499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07501056"/>
        <c:crosses val="autoZero"/>
        <c:auto val="1"/>
        <c:lblAlgn val="ctr"/>
        <c:lblOffset val="100"/>
        <c:noMultiLvlLbl val="0"/>
      </c:catAx>
      <c:valAx>
        <c:axId val="107501056"/>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Percent of Women Aged 16-64</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07499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mn-lt"/>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'Figure 2.14'!$B$3</c:f>
              <c:strCache>
                <c:ptCount val="1"/>
                <c:pt idx="0">
                  <c:v>US</c:v>
                </c:pt>
              </c:strCache>
            </c:strRef>
          </c:tx>
          <c:spPr>
            <a:solidFill>
              <a:srgbClr val="203864"/>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2.14'!$A$4:$A$7</c:f>
              <c:strCache>
                <c:ptCount val="4"/>
                <c:pt idx="0">
                  <c:v>White non-Hispanic</c:v>
                </c:pt>
                <c:pt idx="1">
                  <c:v>Black non-Hispanic</c:v>
                </c:pt>
                <c:pt idx="2">
                  <c:v>Hispanic</c:v>
                </c:pt>
                <c:pt idx="3">
                  <c:v>Asian and Pacific Islander</c:v>
                </c:pt>
              </c:strCache>
            </c:strRef>
          </c:cat>
          <c:val>
            <c:numRef>
              <c:f>'Figure 2.14'!$B$4:$B$7</c:f>
              <c:numCache>
                <c:formatCode>0</c:formatCode>
                <c:ptCount val="4"/>
                <c:pt idx="0">
                  <c:v>16</c:v>
                </c:pt>
                <c:pt idx="1">
                  <c:v>31.8</c:v>
                </c:pt>
                <c:pt idx="2">
                  <c:v>34.9</c:v>
                </c:pt>
                <c:pt idx="3">
                  <c:v>7.7</c:v>
                </c:pt>
              </c:numCache>
            </c:numRef>
          </c:val>
          <c:extLst xmlns:c16r2="http://schemas.microsoft.com/office/drawing/2015/06/chart">
            <c:ext xmlns:c16="http://schemas.microsoft.com/office/drawing/2014/chart" uri="{C3380CC4-5D6E-409C-BE32-E72D297353CC}">
              <c16:uniqueId val="{00000000-884A-41E5-9EF1-1168C0CCA5B3}"/>
            </c:ext>
          </c:extLst>
        </c:ser>
        <c:ser>
          <c:idx val="1"/>
          <c:order val="1"/>
          <c:tx>
            <c:strRef>
              <c:f>'\\hria-fs\Berkeley\Common\Research&amp;Eval Dept\R&amp;E ACTIVE PROJECTS\MA SHA\SHA Report\Chapter 2\[MA SHA_Ch 2_Figures_07062017.xlsx]2.19 teen birth race'!$C$3</c:f>
              <c:strCache>
                <c:ptCount val="1"/>
                <c:pt idx="0">
                  <c:v>MA</c:v>
                </c:pt>
              </c:strCache>
            </c:strRef>
          </c:tx>
          <c:spPr>
            <a:pattFill prst="dkUpDiag">
              <a:fgClr>
                <a:srgbClr val="6BAED6"/>
              </a:fgClr>
              <a:bgClr>
                <a:schemeClr val="bg1"/>
              </a:bgClr>
            </a:patt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2.14'!$A$4:$A$7</c:f>
              <c:strCache>
                <c:ptCount val="4"/>
                <c:pt idx="0">
                  <c:v>White non-Hispanic</c:v>
                </c:pt>
                <c:pt idx="1">
                  <c:v>Black non-Hispanic</c:v>
                </c:pt>
                <c:pt idx="2">
                  <c:v>Hispanic</c:v>
                </c:pt>
                <c:pt idx="3">
                  <c:v>Asian and Pacific Islander</c:v>
                </c:pt>
              </c:strCache>
            </c:strRef>
          </c:cat>
          <c:val>
            <c:numRef>
              <c:f>'[1]2.19 teen birth race'!$C$4:$C$7</c:f>
              <c:numCache>
                <c:formatCode>General</c:formatCode>
                <c:ptCount val="4"/>
                <c:pt idx="0">
                  <c:v>4.5</c:v>
                </c:pt>
                <c:pt idx="1">
                  <c:v>14.3</c:v>
                </c:pt>
                <c:pt idx="2">
                  <c:v>32.700000000000003</c:v>
                </c:pt>
                <c:pt idx="3">
                  <c:v>2.9</c:v>
                </c:pt>
              </c:numCache>
            </c:numRef>
          </c:val>
          <c:extLst xmlns:c16r2="http://schemas.microsoft.com/office/drawing/2015/06/chart">
            <c:ext xmlns:c16="http://schemas.microsoft.com/office/drawing/2014/chart" uri="{C3380CC4-5D6E-409C-BE32-E72D297353CC}">
              <c16:uniqueId val="{00000001-884A-41E5-9EF1-1168C0CCA5B3}"/>
            </c:ext>
          </c:extLst>
        </c:ser>
        <c:dLbls>
          <c:dLblPos val="outEnd"/>
          <c:showLegendKey val="0"/>
          <c:showVal val="1"/>
          <c:showCatName val="0"/>
          <c:showSerName val="0"/>
          <c:showPercent val="0"/>
          <c:showBubbleSize val="0"/>
        </c:dLbls>
        <c:gapWidth val="108"/>
        <c:overlap val="-16"/>
        <c:axId val="107692800"/>
        <c:axId val="107694336"/>
      </c:barChart>
      <c:catAx>
        <c:axId val="107692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07694336"/>
        <c:crosses val="autoZero"/>
        <c:auto val="1"/>
        <c:lblAlgn val="ctr"/>
        <c:lblOffset val="100"/>
        <c:noMultiLvlLbl val="0"/>
      </c:catAx>
      <c:valAx>
        <c:axId val="107694336"/>
        <c:scaling>
          <c:orientation val="minMax"/>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t>Births per 1,000 Females Aged 15-19</a:t>
                </a:r>
              </a:p>
            </c:rich>
          </c:tx>
          <c:layout>
            <c:manualLayout>
              <c:xMode val="edge"/>
              <c:yMode val="edge"/>
              <c:x val="1.3888888888888888E-2"/>
              <c:y val="7.4497109429948707E-2"/>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07692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ysClr val="window" lastClr="FFFFFF"/>
    </a:solidFill>
    <a:ln w="9525" cap="flat" cmpd="sng" algn="ctr">
      <a:noFill/>
      <a:round/>
    </a:ln>
    <a:effectLst/>
  </c:spPr>
  <c:txPr>
    <a:bodyPr/>
    <a:lstStyle/>
    <a:p>
      <a:pPr>
        <a:defRPr sz="1000">
          <a:solidFill>
            <a:sysClr val="windowText" lastClr="000000"/>
          </a:solidFill>
          <a:latin typeface="+mn-lt"/>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'Figure 2.15'!$D$1</c:f>
              <c:strCache>
                <c:ptCount val="1"/>
                <c:pt idx="0">
                  <c:v>Percent</c:v>
                </c:pt>
              </c:strCache>
            </c:strRef>
          </c:tx>
          <c:spPr>
            <a:solidFill>
              <a:srgbClr val="203864"/>
            </a:solidFill>
          </c:spPr>
          <c:invertIfNegative val="0"/>
          <c:dLbls>
            <c:spPr>
              <a:noFill/>
              <a:ln>
                <a:noFill/>
              </a:ln>
              <a:effectLst/>
            </c:spPr>
            <c:txPr>
              <a:bodyPr/>
              <a:lstStyle/>
              <a:p>
                <a:pPr>
                  <a:defRPr sz="1050">
                    <a:solidFill>
                      <a:schemeClr val="bg1"/>
                    </a:solidFill>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'Figure 2.15'!$C$2:$C$6</c:f>
              <c:strCache>
                <c:ptCount val="5"/>
                <c:pt idx="0">
                  <c:v>White non-Hispanic</c:v>
                </c:pt>
                <c:pt idx="1">
                  <c:v>Black non-Hispanic</c:v>
                </c:pt>
                <c:pt idx="2">
                  <c:v>Hispanic</c:v>
                </c:pt>
                <c:pt idx="3">
                  <c:v>Asian</c:v>
                </c:pt>
                <c:pt idx="4">
                  <c:v>MA</c:v>
                </c:pt>
              </c:strCache>
            </c:strRef>
          </c:cat>
          <c:val>
            <c:numRef>
              <c:f>'Figure 2.15'!$D$2:$D$6</c:f>
              <c:numCache>
                <c:formatCode>General</c:formatCode>
                <c:ptCount val="5"/>
                <c:pt idx="0">
                  <c:v>7</c:v>
                </c:pt>
                <c:pt idx="1">
                  <c:v>20</c:v>
                </c:pt>
                <c:pt idx="2">
                  <c:v>15</c:v>
                </c:pt>
                <c:pt idx="3">
                  <c:v>16</c:v>
                </c:pt>
                <c:pt idx="4">
                  <c:v>10</c:v>
                </c:pt>
              </c:numCache>
            </c:numRef>
          </c:val>
          <c:extLst xmlns:c16r2="http://schemas.microsoft.com/office/drawing/2015/06/chart">
            <c:ext xmlns:c16="http://schemas.microsoft.com/office/drawing/2014/chart" uri="{C3380CC4-5D6E-409C-BE32-E72D297353CC}">
              <c16:uniqueId val="{00000000-FA09-4008-A8D9-09D48543C467}"/>
            </c:ext>
          </c:extLst>
        </c:ser>
        <c:dLbls>
          <c:showLegendKey val="0"/>
          <c:showVal val="0"/>
          <c:showCatName val="0"/>
          <c:showSerName val="0"/>
          <c:showPercent val="0"/>
          <c:showBubbleSize val="0"/>
        </c:dLbls>
        <c:gapWidth val="108"/>
        <c:overlap val="-16"/>
        <c:axId val="107778048"/>
        <c:axId val="107779584"/>
      </c:barChart>
      <c:catAx>
        <c:axId val="107778048"/>
        <c:scaling>
          <c:orientation val="minMax"/>
        </c:scaling>
        <c:delete val="0"/>
        <c:axPos val="l"/>
        <c:numFmt formatCode="General" sourceLinked="0"/>
        <c:majorTickMark val="out"/>
        <c:minorTickMark val="none"/>
        <c:tickLblPos val="nextTo"/>
        <c:crossAx val="107779584"/>
        <c:crosses val="autoZero"/>
        <c:auto val="1"/>
        <c:lblAlgn val="ctr"/>
        <c:lblOffset val="100"/>
        <c:noMultiLvlLbl val="0"/>
      </c:catAx>
      <c:valAx>
        <c:axId val="107779584"/>
        <c:scaling>
          <c:orientation val="minMax"/>
        </c:scaling>
        <c:delete val="0"/>
        <c:axPos val="b"/>
        <c:title>
          <c:tx>
            <c:rich>
              <a:bodyPr/>
              <a:lstStyle/>
              <a:p>
                <a:pPr>
                  <a:defRPr/>
                </a:pPr>
                <a:r>
                  <a:rPr lang="en-US"/>
                  <a:t>Percent of Mothers</a:t>
                </a:r>
              </a:p>
            </c:rich>
          </c:tx>
          <c:overlay val="0"/>
        </c:title>
        <c:numFmt formatCode="#,##0" sourceLinked="0"/>
        <c:majorTickMark val="out"/>
        <c:minorTickMark val="none"/>
        <c:tickLblPos val="nextTo"/>
        <c:crossAx val="107778048"/>
        <c:crosses val="autoZero"/>
        <c:crossBetween val="between"/>
      </c:valAx>
      <c:spPr>
        <a:solidFill>
          <a:sysClr val="window" lastClr="FFFFFF"/>
        </a:solidFill>
        <a:ln w="25400">
          <a:noFill/>
        </a:ln>
      </c:spPr>
    </c:plotArea>
    <c:plotVisOnly val="1"/>
    <c:dispBlanksAs val="gap"/>
    <c:showDLblsOverMax val="0"/>
  </c:chart>
  <c:spPr>
    <a:solidFill>
      <a:schemeClr val="bg1"/>
    </a:solidFill>
    <a:ln w="0">
      <a:noFill/>
    </a:ln>
  </c:spPr>
  <c:txPr>
    <a:bodyPr/>
    <a:lstStyle/>
    <a:p>
      <a:pPr>
        <a:defRPr sz="1000">
          <a:latin typeface="+mn-lt"/>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53FB5-FF2F-408C-9B1E-52AA5011D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36</Pages>
  <Words>6265</Words>
  <Characters>35717</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41899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Errichetti</dc:creator>
  <cp:lastModifiedBy>Antonia Blinn</cp:lastModifiedBy>
  <cp:revision>4</cp:revision>
  <cp:lastPrinted>2017-11-02T16:19:00Z</cp:lastPrinted>
  <dcterms:created xsi:type="dcterms:W3CDTF">2017-11-03T02:04:00Z</dcterms:created>
  <dcterms:modified xsi:type="dcterms:W3CDTF">2017-11-03T15:53:00Z</dcterms:modified>
</cp:coreProperties>
</file>