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3C152" w14:textId="627C6E75" w:rsidR="000D3215" w:rsidRDefault="00E92038">
      <w:pPr>
        <w:spacing w:before="0"/>
        <w:ind w:left="0" w:right="0"/>
        <w:jc w:val="left"/>
      </w:pPr>
      <w:r>
        <w:rPr>
          <w:b/>
          <w:sz w:val="40"/>
          <w:szCs w:val="40"/>
        </w:rPr>
        <w:drawing>
          <wp:anchor distT="0" distB="0" distL="114300" distR="114300" simplePos="0" relativeHeight="252062720" behindDoc="1" locked="0" layoutInCell="1" allowOverlap="1" wp14:anchorId="18255136" wp14:editId="3C9D625D">
            <wp:simplePos x="0" y="0"/>
            <wp:positionH relativeFrom="column">
              <wp:posOffset>-4951095</wp:posOffset>
            </wp:positionH>
            <wp:positionV relativeFrom="paragraph">
              <wp:posOffset>-882650</wp:posOffset>
            </wp:positionV>
            <wp:extent cx="12932410" cy="11353800"/>
            <wp:effectExtent l="0" t="0" r="2540" b="0"/>
            <wp:wrapNone/>
            <wp:docPr id="233" name="Picture 233" descr="A young mother holding her preschool age son on her back who is blowing the seeds off a dandelion on a warm spring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Stock-494736775.jpg"/>
                    <pic:cNvPicPr/>
                  </pic:nvPicPr>
                  <pic:blipFill rotWithShape="1">
                    <a:blip r:embed="rId9">
                      <a:extLst>
                        <a:ext uri="{28A0092B-C50C-407E-A947-70E740481C1C}">
                          <a14:useLocalDpi xmlns:a14="http://schemas.microsoft.com/office/drawing/2010/main" val="0"/>
                        </a:ext>
                      </a:extLst>
                    </a:blip>
                    <a:srcRect t="13677"/>
                    <a:stretch/>
                  </pic:blipFill>
                  <pic:spPr bwMode="auto">
                    <a:xfrm>
                      <a:off x="0" y="0"/>
                      <a:ext cx="12932410" cy="11353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F47144" w14:textId="3C4C9EFF" w:rsidR="000D3215" w:rsidRDefault="007F5F23">
      <w:pPr>
        <w:spacing w:before="0"/>
        <w:ind w:left="0" w:right="0"/>
        <w:jc w:val="left"/>
      </w:pPr>
      <w:r w:rsidRPr="00890591">
        <mc:AlternateContent>
          <mc:Choice Requires="wps">
            <w:drawing>
              <wp:anchor distT="0" distB="0" distL="114300" distR="114300" simplePos="0" relativeHeight="251673600" behindDoc="0" locked="0" layoutInCell="1" allowOverlap="1" wp14:anchorId="06B4F333" wp14:editId="5AA665D4">
                <wp:simplePos x="0" y="0"/>
                <wp:positionH relativeFrom="column">
                  <wp:posOffset>-683098</wp:posOffset>
                </wp:positionH>
                <wp:positionV relativeFrom="paragraph">
                  <wp:posOffset>4647565</wp:posOffset>
                </wp:positionV>
                <wp:extent cx="7772400" cy="1518285"/>
                <wp:effectExtent l="0" t="0" r="0" b="5715"/>
                <wp:wrapNone/>
                <wp:docPr id="701" name="Rectangle 701"/>
                <wp:cNvGraphicFramePr/>
                <a:graphic xmlns:a="http://schemas.openxmlformats.org/drawingml/2006/main">
                  <a:graphicData uri="http://schemas.microsoft.com/office/word/2010/wordprocessingShape">
                    <wps:wsp>
                      <wps:cNvSpPr/>
                      <wps:spPr>
                        <a:xfrm>
                          <a:off x="0" y="0"/>
                          <a:ext cx="7772400" cy="1518285"/>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55778B" w14:textId="77777777" w:rsidR="003F257A" w:rsidRPr="00183BA6" w:rsidRDefault="003F257A" w:rsidP="00FC64DD">
                            <w:pPr>
                              <w:pStyle w:val="Chapter"/>
                              <w:ind w:left="720"/>
                            </w:pPr>
                            <w:r w:rsidRPr="00183BA6">
                              <w:t>CHAPTER 3</w:t>
                            </w:r>
                          </w:p>
                          <w:p w14:paraId="4AD7EC2F" w14:textId="77777777" w:rsidR="003F257A" w:rsidRPr="00885FF0" w:rsidRDefault="003F257A" w:rsidP="00367354">
                            <w:pPr>
                              <w:pStyle w:val="ChapterName"/>
                            </w:pPr>
                            <w:r w:rsidRPr="00885FF0">
                              <w:t>Environmental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01" o:spid="_x0000_s1026" style="position:absolute;margin-left:-53.8pt;margin-top:365.95pt;width:612pt;height:119.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QbpQIAAMYFAAAOAAAAZHJzL2Uyb0RvYy54bWysVMFu2zAMvQ/YPwi6r7aDZOmCOkXQosOA&#10;rg3aDj0rshQbkERNUmJnXz9Kdtyu7TZgWA4KKZGP5DPJs/NOK7IXzjdgSlqc5JQIw6FqzLak3x6u&#10;PpxS4gMzFVNgREkPwtPz5ft3Z61diAnUoCrhCIIYv2htSesQ7CLLPK+FZv4ErDD4KMFpFlB126xy&#10;rEV0rbJJnn/MWnCVdcCF93h72T/SZcKXUvBwK6UXgaiSYm4hnS6dm3hmyzO22Dpm64YPabB/yEKz&#10;xmDQEeqSBUZ2rnkFpRvuwIMMJxx0BlI2XKQasJoif1HNfc2sSLUgOd6ONPn/B8tv9mtHmqqk87yg&#10;xDCNH+kOaWNmqwSJl0hRa/0CLe/t2g2aRzHW20mn4z9WQrpE62GkVXSBcLycz+eTaY7sc3wrZsXp&#10;5HQWUbMnd+t8+CxAkyiU1GECiU62v/ahNz2axGgeVFNdNUolJfaKuFCO7Bl+Zca5MKFI7mqnv0LV&#10;389y/A1hU3tFl5TEL2jKkLaks3kxyxOEgRinT0EZtI9c9NUnKRyUiFkocyckEon1TpLjGON1Wr5m&#10;lfhbVgkwIkuMP2L3df0Gu89ysI+uIk3A6NxX9Efn0SNFBhNGZ90YcG9VppDsIXJvfySppyayFLpN&#10;hyZR3EB1wI5z0I+it/yqwW9+zXxYM4ezh32C+yTc4iEV4LeAQaKkBvfjrftojyOBr5S0OMsl9d93&#10;zAlK1BeDw/KpmE7j8CdlOptPUHHPXzbPX8xOXwA2Eo4DZpfEaB/UUZQO9COunVWMik/McIxdUh7c&#10;UbkI/Y7BxcXFapXMcOAtC9fm3vIIHgmOPf3QPTJnh8YPODM3cJx7tnjR/71t9DSw2gWQTRqOJ14H&#10;6nFZpM4eFlvcRs/1ZPW0fpc/AQAA//8DAFBLAwQUAAYACAAAACEAfe0rqOUAAAANAQAADwAAAGRy&#10;cy9kb3ducmV2LnhtbEyPUUvDMBSF3wX/Q7iCb1sS61pXm44hThjDB7ch+JY1sS1rbkqSddVfv+xJ&#10;Hy/n45zvFovRdGTQzrcWBfApA6KxsqrFWsB+t5o8AfFBopKdRS3gR3tYlLc3hcyVPeOHHrahJrEE&#10;fS4FNCH0OaW+arSRfmp7jTH7ts7IEE9XU+XkOZabjj4wllIjW4wLjez1S6Or4/ZkBLyt1sfEhY2c&#10;vQ+bpH79XC9/Z19C3N+Ny2cgQY/hD4arflSHMjod7AmVJ52ACWdZGlkBWcLnQK4I5+kjkIOAecYZ&#10;0LKg/78oLwAAAP//AwBQSwECLQAUAAYACAAAACEAtoM4kv4AAADhAQAAEwAAAAAAAAAAAAAAAAAA&#10;AAAAW0NvbnRlbnRfVHlwZXNdLnhtbFBLAQItABQABgAIAAAAIQA4/SH/1gAAAJQBAAALAAAAAAAA&#10;AAAAAAAAAC8BAABfcmVscy8ucmVsc1BLAQItABQABgAIAAAAIQCvUUQbpQIAAMYFAAAOAAAAAAAA&#10;AAAAAAAAAC4CAABkcnMvZTJvRG9jLnhtbFBLAQItABQABgAIAAAAIQB97Suo5QAAAA0BAAAPAAAA&#10;AAAAAAAAAAAAAP8EAABkcnMvZG93bnJldi54bWxQSwUGAAAAAAQABADzAAAAEQYAAAAA&#10;" fillcolor="#1f3763 [1604]" stroked="f" strokeweight="4.5pt">
                <v:textbox>
                  <w:txbxContent>
                    <w:p w14:paraId="5555778B" w14:textId="77777777" w:rsidR="003F257A" w:rsidRPr="00183BA6" w:rsidRDefault="003F257A" w:rsidP="00FC64DD">
                      <w:pPr>
                        <w:pStyle w:val="Chapter"/>
                        <w:ind w:left="720"/>
                      </w:pPr>
                      <w:r w:rsidRPr="00183BA6">
                        <w:t>CHAPTER 3</w:t>
                      </w:r>
                    </w:p>
                    <w:p w14:paraId="4AD7EC2F" w14:textId="77777777" w:rsidR="003F257A" w:rsidRPr="00885FF0" w:rsidRDefault="003F257A" w:rsidP="00367354">
                      <w:pPr>
                        <w:pStyle w:val="ChapterName"/>
                      </w:pPr>
                      <w:r w:rsidRPr="00885FF0">
                        <w:t>Environmental Health</w:t>
                      </w:r>
                    </w:p>
                  </w:txbxContent>
                </v:textbox>
              </v:rect>
            </w:pict>
          </mc:Fallback>
        </mc:AlternateContent>
      </w:r>
      <w:r w:rsidR="000D3215">
        <w:br w:type="page"/>
      </w:r>
    </w:p>
    <w:p w14:paraId="2A9DFA1A" w14:textId="62864494" w:rsidR="000D3215" w:rsidRDefault="00DF697F">
      <w:pPr>
        <w:spacing w:before="0"/>
        <w:ind w:left="0" w:right="0"/>
        <w:jc w:val="left"/>
      </w:pPr>
      <w:r w:rsidRPr="00DF697F">
        <w:rPr>
          <w:rFonts w:ascii="Calibri" w:eastAsia="Calibri" w:hAnsi="Calibri" w:cs="Times New Roman"/>
        </w:rPr>
        <w:lastRenderedPageBreak/>
        <w:drawing>
          <wp:anchor distT="0" distB="0" distL="114300" distR="114300" simplePos="0" relativeHeight="252081152" behindDoc="1" locked="0" layoutInCell="1" allowOverlap="1" wp14:anchorId="618EAB6C" wp14:editId="4BB99C31">
            <wp:simplePos x="0" y="0"/>
            <wp:positionH relativeFrom="column">
              <wp:posOffset>-684368</wp:posOffset>
            </wp:positionH>
            <wp:positionV relativeFrom="paragraph">
              <wp:posOffset>-1108710</wp:posOffset>
            </wp:positionV>
            <wp:extent cx="7882255" cy="4259580"/>
            <wp:effectExtent l="0" t="0" r="4445" b="7620"/>
            <wp:wrapNone/>
            <wp:docPr id="237" name="Picture 237" descr="A middle aged man standing on the white sandy beach with his fishing line cast into the su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Stock-585773902.jpg"/>
                    <pic:cNvPicPr/>
                  </pic:nvPicPr>
                  <pic:blipFill rotWithShape="1">
                    <a:blip r:embed="rId10" cstate="print">
                      <a:extLst>
                        <a:ext uri="{28A0092B-C50C-407E-A947-70E740481C1C}">
                          <a14:useLocalDpi xmlns:a14="http://schemas.microsoft.com/office/drawing/2010/main" val="0"/>
                        </a:ext>
                      </a:extLst>
                    </a:blip>
                    <a:srcRect b="18767"/>
                    <a:stretch/>
                  </pic:blipFill>
                  <pic:spPr bwMode="auto">
                    <a:xfrm>
                      <a:off x="0" y="0"/>
                      <a:ext cx="7882255" cy="4259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781DA3" w14:textId="32E3A6E4" w:rsidR="00367354" w:rsidRPr="00890591" w:rsidRDefault="00367354" w:rsidP="00367354">
      <w:pPr>
        <w:rPr>
          <w:rFonts w:eastAsiaTheme="majorEastAsia" w:cstheme="majorBidi"/>
          <w:spacing w:val="-10"/>
          <w:kern w:val="28"/>
          <w:sz w:val="100"/>
          <w:szCs w:val="100"/>
        </w:rPr>
      </w:pPr>
    </w:p>
    <w:p w14:paraId="712DCE31" w14:textId="0F6A51DC" w:rsidR="00FC64DD" w:rsidRDefault="00FC64DD" w:rsidP="00FC64DD">
      <w:pPr>
        <w:pStyle w:val="Chapter"/>
      </w:pPr>
    </w:p>
    <w:p w14:paraId="7627CA2F" w14:textId="73166A3B" w:rsidR="00FC64DD" w:rsidRDefault="00FC64DD" w:rsidP="00FC64DD">
      <w:pPr>
        <w:pStyle w:val="Chapter"/>
      </w:pPr>
    </w:p>
    <w:p w14:paraId="1BB879C9" w14:textId="7FFC841C" w:rsidR="00FC64DD" w:rsidRDefault="00FC64DD" w:rsidP="000D3215">
      <w:pPr>
        <w:pStyle w:val="Chapter"/>
        <w:ind w:left="0"/>
      </w:pPr>
    </w:p>
    <w:p w14:paraId="7315A256" w14:textId="77777777" w:rsidR="000D3215" w:rsidRDefault="000D3215" w:rsidP="000D3215">
      <w:pPr>
        <w:pStyle w:val="Chapter"/>
        <w:ind w:left="0"/>
      </w:pPr>
    </w:p>
    <w:p w14:paraId="700C2055" w14:textId="6F81F803" w:rsidR="00367354" w:rsidRPr="005A2F95" w:rsidRDefault="00367354" w:rsidP="00FC64DD">
      <w:pPr>
        <w:pStyle w:val="Chapter"/>
      </w:pPr>
      <w:r w:rsidRPr="005A2F95">
        <w:t>Environmental Health</w:t>
      </w:r>
    </w:p>
    <w:p w14:paraId="1C4149E7" w14:textId="5E88B49D" w:rsidR="00367354" w:rsidRPr="00E92038" w:rsidRDefault="00367354" w:rsidP="000E7C99">
      <w:pPr>
        <w:spacing w:line="360" w:lineRule="auto"/>
        <w:ind w:right="0"/>
        <w:rPr>
          <w:sz w:val="24"/>
          <w:szCs w:val="24"/>
        </w:rPr>
      </w:pPr>
      <w:r w:rsidRPr="00E92038">
        <w:rPr>
          <w:sz w:val="24"/>
          <w:szCs w:val="24"/>
        </w:rPr>
        <w:t>This chapter provides an overview of several environmental health issues in Massachusetts and related trends, disparities, and resources. It addresses the following environmental topic areas that affect the health of residents:</w:t>
      </w:r>
    </w:p>
    <w:p w14:paraId="29001EF4" w14:textId="77777777" w:rsidR="000D3215" w:rsidRPr="00E92038" w:rsidRDefault="000D3215" w:rsidP="000E7C99">
      <w:pPr>
        <w:pStyle w:val="NoSpacing"/>
        <w:numPr>
          <w:ilvl w:val="0"/>
          <w:numId w:val="92"/>
        </w:numPr>
        <w:spacing w:line="360" w:lineRule="auto"/>
        <w:rPr>
          <w:rFonts w:asciiTheme="minorHAnsi" w:hAnsiTheme="minorHAnsi"/>
          <w:sz w:val="24"/>
          <w:szCs w:val="24"/>
        </w:rPr>
        <w:sectPr w:rsidR="000D3215" w:rsidRPr="00E92038" w:rsidSect="000D3215">
          <w:footerReference w:type="default" r:id="rId11"/>
          <w:endnotePr>
            <w:numFmt w:val="decimal"/>
          </w:endnotePr>
          <w:type w:val="continuous"/>
          <w:pgSz w:w="12240" w:h="15840"/>
          <w:pgMar w:top="1440" w:right="1080" w:bottom="1440" w:left="1080" w:header="720" w:footer="720" w:gutter="0"/>
          <w:cols w:space="720"/>
          <w:docGrid w:linePitch="360"/>
        </w:sectPr>
      </w:pPr>
    </w:p>
    <w:p w14:paraId="0FBCE17D" w14:textId="0D2D96D5" w:rsidR="00367354" w:rsidRPr="00E92038" w:rsidRDefault="00367354" w:rsidP="000E7C99">
      <w:pPr>
        <w:pStyle w:val="NoSpacing"/>
        <w:numPr>
          <w:ilvl w:val="0"/>
          <w:numId w:val="92"/>
        </w:numPr>
        <w:spacing w:line="360" w:lineRule="auto"/>
        <w:rPr>
          <w:rFonts w:asciiTheme="minorHAnsi" w:hAnsiTheme="minorHAnsi"/>
          <w:sz w:val="24"/>
          <w:szCs w:val="24"/>
        </w:rPr>
      </w:pPr>
      <w:r w:rsidRPr="00E92038">
        <w:rPr>
          <w:rFonts w:asciiTheme="minorHAnsi" w:hAnsiTheme="minorHAnsi"/>
          <w:sz w:val="24"/>
          <w:szCs w:val="24"/>
        </w:rPr>
        <w:lastRenderedPageBreak/>
        <w:t>Environmental Exposures</w:t>
      </w:r>
    </w:p>
    <w:p w14:paraId="5C231F39" w14:textId="33E5DAAB" w:rsidR="00367354" w:rsidRPr="00E92038" w:rsidRDefault="00367354" w:rsidP="000E7C99">
      <w:pPr>
        <w:pStyle w:val="NoSpacing"/>
        <w:numPr>
          <w:ilvl w:val="0"/>
          <w:numId w:val="92"/>
        </w:numPr>
        <w:spacing w:line="360" w:lineRule="auto"/>
        <w:rPr>
          <w:rFonts w:asciiTheme="minorHAnsi" w:hAnsiTheme="minorHAnsi"/>
          <w:sz w:val="24"/>
          <w:szCs w:val="24"/>
        </w:rPr>
      </w:pPr>
      <w:r w:rsidRPr="00E92038">
        <w:rPr>
          <w:rFonts w:asciiTheme="minorHAnsi" w:hAnsiTheme="minorHAnsi"/>
          <w:sz w:val="24"/>
          <w:szCs w:val="24"/>
        </w:rPr>
        <w:t>Childhood Lead Exposure</w:t>
      </w:r>
    </w:p>
    <w:p w14:paraId="4A71AAFE" w14:textId="5ACDFB07" w:rsidR="00367354" w:rsidRPr="00E92038" w:rsidRDefault="00367354" w:rsidP="000E7C99">
      <w:pPr>
        <w:pStyle w:val="NoSpacing"/>
        <w:numPr>
          <w:ilvl w:val="0"/>
          <w:numId w:val="92"/>
        </w:numPr>
        <w:spacing w:line="360" w:lineRule="auto"/>
        <w:rPr>
          <w:rFonts w:asciiTheme="minorHAnsi" w:hAnsiTheme="minorHAnsi"/>
          <w:sz w:val="24"/>
          <w:szCs w:val="24"/>
        </w:rPr>
      </w:pPr>
      <w:r w:rsidRPr="00E92038">
        <w:rPr>
          <w:rFonts w:asciiTheme="minorHAnsi" w:hAnsiTheme="minorHAnsi"/>
          <w:sz w:val="24"/>
          <w:szCs w:val="24"/>
        </w:rPr>
        <w:t>Climate and Health</w:t>
      </w:r>
    </w:p>
    <w:p w14:paraId="7A5178C2" w14:textId="77777777" w:rsidR="000D3215" w:rsidRPr="00E92038" w:rsidRDefault="000D3215" w:rsidP="000E7C99">
      <w:pPr>
        <w:pStyle w:val="NoSpacing"/>
        <w:numPr>
          <w:ilvl w:val="0"/>
          <w:numId w:val="92"/>
        </w:numPr>
        <w:spacing w:line="360" w:lineRule="auto"/>
        <w:rPr>
          <w:rFonts w:asciiTheme="minorHAnsi" w:hAnsiTheme="minorHAnsi"/>
          <w:sz w:val="24"/>
          <w:szCs w:val="24"/>
        </w:rPr>
        <w:sectPr w:rsidR="000D3215" w:rsidRPr="00E92038" w:rsidSect="000D3215">
          <w:endnotePr>
            <w:numFmt w:val="decimal"/>
          </w:endnotePr>
          <w:type w:val="continuous"/>
          <w:pgSz w:w="12240" w:h="15840"/>
          <w:pgMar w:top="1440" w:right="1080" w:bottom="1440" w:left="1080" w:header="720" w:footer="720" w:gutter="0"/>
          <w:cols w:space="720"/>
          <w:docGrid w:linePitch="360"/>
        </w:sectPr>
      </w:pPr>
    </w:p>
    <w:p w14:paraId="05B9B196" w14:textId="028D6228" w:rsidR="00367354" w:rsidRPr="00E92038" w:rsidRDefault="00367354" w:rsidP="000E7C99">
      <w:pPr>
        <w:pStyle w:val="NoSpacing"/>
        <w:numPr>
          <w:ilvl w:val="0"/>
          <w:numId w:val="92"/>
        </w:numPr>
        <w:spacing w:line="360" w:lineRule="auto"/>
        <w:rPr>
          <w:rFonts w:asciiTheme="minorHAnsi" w:hAnsiTheme="minorHAnsi"/>
          <w:sz w:val="24"/>
          <w:szCs w:val="24"/>
        </w:rPr>
      </w:pPr>
      <w:r w:rsidRPr="00E92038">
        <w:rPr>
          <w:rFonts w:asciiTheme="minorHAnsi" w:hAnsiTheme="minorHAnsi"/>
          <w:sz w:val="24"/>
          <w:szCs w:val="24"/>
        </w:rPr>
        <w:lastRenderedPageBreak/>
        <w:t>Environmental Justice Populations and Health</w:t>
      </w:r>
    </w:p>
    <w:p w14:paraId="3FDE7CC4" w14:textId="1930BAD9" w:rsidR="00367354" w:rsidRPr="00E92038" w:rsidRDefault="00367354" w:rsidP="000E7C99">
      <w:pPr>
        <w:pStyle w:val="NoSpacing"/>
        <w:numPr>
          <w:ilvl w:val="0"/>
          <w:numId w:val="92"/>
        </w:numPr>
        <w:spacing w:line="360" w:lineRule="auto"/>
        <w:rPr>
          <w:rFonts w:asciiTheme="minorHAnsi" w:hAnsiTheme="minorHAnsi"/>
          <w:sz w:val="24"/>
          <w:szCs w:val="24"/>
        </w:rPr>
      </w:pPr>
      <w:r w:rsidRPr="00E92038">
        <w:rPr>
          <w:rFonts w:asciiTheme="minorHAnsi" w:hAnsiTheme="minorHAnsi"/>
          <w:sz w:val="24"/>
          <w:szCs w:val="24"/>
        </w:rPr>
        <w:t>Occupational Exposures and Disease</w:t>
      </w:r>
    </w:p>
    <w:p w14:paraId="1264E426" w14:textId="77777777" w:rsidR="000D3215" w:rsidRPr="00E92038" w:rsidRDefault="000D3215" w:rsidP="005953B5">
      <w:pPr>
        <w:pStyle w:val="NoSpacing"/>
        <w:numPr>
          <w:ilvl w:val="0"/>
          <w:numId w:val="92"/>
        </w:numPr>
        <w:rPr>
          <w:rFonts w:asciiTheme="minorHAnsi" w:hAnsiTheme="minorHAnsi"/>
          <w:sz w:val="24"/>
          <w:szCs w:val="24"/>
        </w:rPr>
        <w:sectPr w:rsidR="000D3215" w:rsidRPr="00E92038" w:rsidSect="000D3215">
          <w:endnotePr>
            <w:numFmt w:val="decimal"/>
          </w:endnotePr>
          <w:type w:val="continuous"/>
          <w:pgSz w:w="12240" w:h="15840"/>
          <w:pgMar w:top="1440" w:right="1080" w:bottom="1440" w:left="1080" w:header="720" w:footer="720" w:gutter="0"/>
          <w:cols w:space="720"/>
          <w:docGrid w:linePitch="360"/>
        </w:sectPr>
      </w:pPr>
    </w:p>
    <w:p w14:paraId="6C556F1C" w14:textId="37D41BA0" w:rsidR="009E0179" w:rsidRPr="000E7C99" w:rsidRDefault="000E7C99" w:rsidP="000E7C99">
      <w:pPr>
        <w:pStyle w:val="NoSpacing"/>
        <w:numPr>
          <w:ilvl w:val="0"/>
          <w:numId w:val="92"/>
        </w:numPr>
        <w:rPr>
          <w:rFonts w:asciiTheme="minorHAnsi" w:hAnsiTheme="minorHAnsi"/>
          <w:sz w:val="24"/>
          <w:szCs w:val="24"/>
        </w:rPr>
      </w:pPr>
      <w:r w:rsidRPr="00E92038">
        <w:rPr>
          <w:sz w:val="24"/>
          <w:szCs w:val="24"/>
        </w:rPr>
        <w:lastRenderedPageBreak/>
        <mc:AlternateContent>
          <mc:Choice Requires="wps">
            <w:drawing>
              <wp:anchor distT="0" distB="0" distL="114300" distR="114300" simplePos="0" relativeHeight="251685888" behindDoc="0" locked="0" layoutInCell="1" allowOverlap="1" wp14:anchorId="1EC41D7F" wp14:editId="41744674">
                <wp:simplePos x="0" y="0"/>
                <wp:positionH relativeFrom="margin">
                  <wp:posOffset>-388620</wp:posOffset>
                </wp:positionH>
                <wp:positionV relativeFrom="margin">
                  <wp:posOffset>6309360</wp:posOffset>
                </wp:positionV>
                <wp:extent cx="6730365" cy="2080260"/>
                <wp:effectExtent l="0" t="0" r="0" b="0"/>
                <wp:wrapSquare wrapText="bothSides"/>
                <wp:docPr id="702" name="Rectangle 702"/>
                <wp:cNvGraphicFramePr/>
                <a:graphic xmlns:a="http://schemas.openxmlformats.org/drawingml/2006/main">
                  <a:graphicData uri="http://schemas.microsoft.com/office/word/2010/wordprocessingShape">
                    <wps:wsp>
                      <wps:cNvSpPr/>
                      <wps:spPr>
                        <a:xfrm>
                          <a:off x="0" y="0"/>
                          <a:ext cx="6730365" cy="2080260"/>
                        </a:xfrm>
                        <a:prstGeom prst="rect">
                          <a:avLst/>
                        </a:prstGeom>
                        <a:solidFill>
                          <a:srgbClr val="4472C4">
                            <a:lumMod val="20000"/>
                            <a:lumOff val="80000"/>
                          </a:srgbClr>
                        </a:solidFill>
                        <a:ln w="12700" cap="flat" cmpd="sng" algn="ctr">
                          <a:noFill/>
                          <a:prstDash val="solid"/>
                          <a:miter lim="800000"/>
                        </a:ln>
                        <a:effectLst/>
                      </wps:spPr>
                      <wps:txbx>
                        <w:txbxContent>
                          <w:p w14:paraId="67BD147D" w14:textId="77777777" w:rsidR="003F257A" w:rsidRPr="00E92038" w:rsidRDefault="003F257A" w:rsidP="000E7C99">
                            <w:pPr>
                              <w:pStyle w:val="NoSpacing"/>
                              <w:spacing w:after="160" w:line="360" w:lineRule="auto"/>
                              <w:ind w:right="144"/>
                              <w:jc w:val="left"/>
                              <w:rPr>
                                <w:rFonts w:asciiTheme="minorHAnsi" w:hAnsiTheme="minorHAnsi"/>
                                <w:b/>
                                <w:color w:val="203864"/>
                                <w:sz w:val="24"/>
                                <w:szCs w:val="24"/>
                              </w:rPr>
                            </w:pPr>
                            <w:r w:rsidRPr="00E92038">
                              <w:rPr>
                                <w:rFonts w:asciiTheme="minorHAnsi" w:hAnsiTheme="minorHAnsi"/>
                                <w:b/>
                                <w:color w:val="203864"/>
                                <w:sz w:val="24"/>
                                <w:szCs w:val="24"/>
                              </w:rPr>
                              <w:t>Chapter Data Highlights</w:t>
                            </w:r>
                          </w:p>
                          <w:p w14:paraId="51E5E1FC" w14:textId="6DD5904A" w:rsidR="003F257A" w:rsidRPr="00E92038" w:rsidRDefault="003F257A" w:rsidP="000E7C99">
                            <w:pPr>
                              <w:pStyle w:val="ListParagraph"/>
                              <w:numPr>
                                <w:ilvl w:val="0"/>
                                <w:numId w:val="50"/>
                              </w:numPr>
                              <w:spacing w:line="360" w:lineRule="auto"/>
                              <w:ind w:right="0"/>
                              <w:jc w:val="left"/>
                              <w:rPr>
                                <w:sz w:val="24"/>
                                <w:szCs w:val="24"/>
                              </w:rPr>
                            </w:pPr>
                            <w:r w:rsidRPr="00E92038">
                              <w:rPr>
                                <w:sz w:val="24"/>
                                <w:szCs w:val="24"/>
                              </w:rPr>
                              <w:t>High rates of childhood lead exposure due to old housing stock with greatest risk among low-income and populations of color</w:t>
                            </w:r>
                          </w:p>
                          <w:p w14:paraId="7B1B5FED" w14:textId="229C0478" w:rsidR="003F257A" w:rsidRPr="00E92038" w:rsidRDefault="003F257A" w:rsidP="000E7C99">
                            <w:pPr>
                              <w:pStyle w:val="ListParagraph"/>
                              <w:numPr>
                                <w:ilvl w:val="0"/>
                                <w:numId w:val="50"/>
                              </w:numPr>
                              <w:spacing w:line="360" w:lineRule="auto"/>
                              <w:ind w:right="0"/>
                              <w:jc w:val="left"/>
                              <w:rPr>
                                <w:sz w:val="24"/>
                                <w:szCs w:val="24"/>
                              </w:rPr>
                            </w:pPr>
                            <w:r w:rsidRPr="00E92038">
                              <w:rPr>
                                <w:sz w:val="24"/>
                                <w:szCs w:val="24"/>
                              </w:rPr>
                              <w:t>Temperatures rising due to climate change and expected to impact children, elderly, disabled, homeless, and low-income residents the most</w:t>
                            </w:r>
                          </w:p>
                          <w:p w14:paraId="643C1011" w14:textId="17C3C7AC" w:rsidR="003F257A" w:rsidRPr="00E92038" w:rsidRDefault="003F257A" w:rsidP="000E7C99">
                            <w:pPr>
                              <w:pStyle w:val="ListParagraph"/>
                              <w:numPr>
                                <w:ilvl w:val="0"/>
                                <w:numId w:val="50"/>
                              </w:numPr>
                              <w:spacing w:line="360" w:lineRule="auto"/>
                              <w:ind w:right="0"/>
                              <w:jc w:val="left"/>
                              <w:rPr>
                                <w:sz w:val="24"/>
                                <w:szCs w:val="24"/>
                              </w:rPr>
                            </w:pPr>
                            <w:r w:rsidRPr="00E92038">
                              <w:rPr>
                                <w:sz w:val="24"/>
                                <w:szCs w:val="24"/>
                              </w:rPr>
                              <w:t>Poor health outcomes are more common in Environmental Justice populations</w:t>
                            </w:r>
                          </w:p>
                          <w:p w14:paraId="6F413783" w14:textId="69446371" w:rsidR="003F257A" w:rsidRPr="00E92038" w:rsidRDefault="003F257A" w:rsidP="000E7C99">
                            <w:pPr>
                              <w:pStyle w:val="ListParagraph"/>
                              <w:numPr>
                                <w:ilvl w:val="0"/>
                                <w:numId w:val="50"/>
                              </w:numPr>
                              <w:spacing w:line="360" w:lineRule="auto"/>
                              <w:ind w:right="0"/>
                              <w:jc w:val="left"/>
                              <w:rPr>
                                <w:sz w:val="24"/>
                                <w:szCs w:val="24"/>
                              </w:rPr>
                            </w:pPr>
                            <w:r w:rsidRPr="00E92038">
                              <w:rPr>
                                <w:sz w:val="24"/>
                                <w:szCs w:val="24"/>
                              </w:rPr>
                              <w:t>Rates of mesothelioma are higher in Massachusetts than in the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2" o:spid="_x0000_s1027" style="position:absolute;left:0;text-align:left;margin-left:-30.6pt;margin-top:496.8pt;width:529.95pt;height:163.8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BTfkAIAABYFAAAOAAAAZHJzL2Uyb0RvYy54bWysVFtP2zAYfZ+0/2D5fSQNpWUVKaqKmCax&#10;gQYTz67jXCTfZrtN2K/fsZMCY3ua9uJ8t3yX4/P54nJQkhyE853RJZ2d5JQIzU3V6aak3x+uP5xT&#10;4gPTFZNGi5I+CU8v1+/fXfR2JQrTGlkJR5BE+1VvS9qGYFdZ5nkrFPMnxgoNZ22cYgGqa7LKsR7Z&#10;lcyKPF9kvXGVdYYL72G9Gp10nfLXteDhtq69CESWFL2FdLp07uKZrS/YqnHMth2f2mD/0IVinUbR&#10;51RXLDCyd90fqVTHnfGmDifcqMzUdcdFmgHTzPI309y3zIo0C8Dx9hkm///S8q+HO0e6qqTLvKBE&#10;M4VL+gbYmG6kINEIiHrrV4i8t3du0jzEOO9QOxW/mIQMCdanZ1jFEAiHcbE8zU8XZ5Rw+Ir8PC8W&#10;Cfjs5XfrfPgkjCJRKKlDAwlOdrjxASURegyJ1byRXXXdSZkU1+y20pEDwx3P58tiO0//yr36YqrR&#10;DKrk02XDDEqM5vOjGfn9mCbV+i2/1KQHtYslMhDOQNJasgBRWcDmdUMJkw3Yz4NLhbWJrSVmxaav&#10;mG/HcintSDnVBfBedqqkqYkjIFLHkURi7jR6BH+EO0ph2A3pvmbHi9mZ6gl36MxIbm/5dYeyN8yH&#10;O+bAZrSNDQ23OGppMIuZJEpa437+zR7jQTJ4KemxHZjzx545QYn8rEG/j7P5PK5TUuZnywKKe+3Z&#10;vfbovdoaXM4Mb4HlSYzxQR7F2hn1iEXexKpwMc1Ru6RAeRS3YdxZPARcbDYpCAtkWbjR95bH1BG3&#10;CPfD8MicnYgUwMGv5rhHbPWGT2Ns/FObzT6YuktkiziPqIINUcHyJV5MD0Xc7td6inp5zta/AAAA&#10;//8DAFBLAwQUAAYACAAAACEAmahYUN8AAAAMAQAADwAAAGRycy9kb3ducmV2LnhtbEyPQU7DMBBF&#10;90jcwRokdq3TVIQmxKkQoqzYkOYAbjwkUe1xiN025fQMK1iO/tP7f8rt7Kw44xQGTwpWywQEUuvN&#10;QJ2CZr9bbECEqMlo6wkVXDHAtrq9KXVh/IU+8FzHTrCEQqEV9DGOhZSh7dHpsPQjEmeffnI68jl1&#10;0kz6wnJnZZokmXR6IG7o9YgvPbbH+uTY4s33Q/3V7a9yfn/bSdu8HodGqfu7+fkJRMQ5/sHwO5+n&#10;Q8WbDv5EJgirYJGtUkYV5Pk6A8FEnm8eQRwYXaecyaqU/5+ofgAAAP//AwBQSwECLQAUAAYACAAA&#10;ACEAtoM4kv4AAADhAQAAEwAAAAAAAAAAAAAAAAAAAAAAW0NvbnRlbnRfVHlwZXNdLnhtbFBLAQIt&#10;ABQABgAIAAAAIQA4/SH/1gAAAJQBAAALAAAAAAAAAAAAAAAAAC8BAABfcmVscy8ucmVsc1BLAQIt&#10;ABQABgAIAAAAIQBCjBTfkAIAABYFAAAOAAAAAAAAAAAAAAAAAC4CAABkcnMvZTJvRG9jLnhtbFBL&#10;AQItABQABgAIAAAAIQCZqFhQ3wAAAAwBAAAPAAAAAAAAAAAAAAAAAOoEAABkcnMvZG93bnJldi54&#10;bWxQSwUGAAAAAAQABADzAAAA9gUAAAAA&#10;" fillcolor="#dae3f3" stroked="f" strokeweight="1pt">
                <v:textbox>
                  <w:txbxContent>
                    <w:p w14:paraId="67BD147D" w14:textId="77777777" w:rsidR="003F257A" w:rsidRPr="00E92038" w:rsidRDefault="003F257A" w:rsidP="000E7C99">
                      <w:pPr>
                        <w:pStyle w:val="NoSpacing"/>
                        <w:spacing w:after="160" w:line="360" w:lineRule="auto"/>
                        <w:ind w:right="144"/>
                        <w:jc w:val="left"/>
                        <w:rPr>
                          <w:rFonts w:asciiTheme="minorHAnsi" w:hAnsiTheme="minorHAnsi"/>
                          <w:b/>
                          <w:color w:val="203864"/>
                          <w:sz w:val="24"/>
                          <w:szCs w:val="24"/>
                        </w:rPr>
                      </w:pPr>
                      <w:r w:rsidRPr="00E92038">
                        <w:rPr>
                          <w:rFonts w:asciiTheme="minorHAnsi" w:hAnsiTheme="minorHAnsi"/>
                          <w:b/>
                          <w:color w:val="203864"/>
                          <w:sz w:val="24"/>
                          <w:szCs w:val="24"/>
                        </w:rPr>
                        <w:t>Chapter Data Highlights</w:t>
                      </w:r>
                    </w:p>
                    <w:p w14:paraId="51E5E1FC" w14:textId="6DD5904A" w:rsidR="003F257A" w:rsidRPr="00E92038" w:rsidRDefault="003F257A" w:rsidP="000E7C99">
                      <w:pPr>
                        <w:pStyle w:val="ListParagraph"/>
                        <w:numPr>
                          <w:ilvl w:val="0"/>
                          <w:numId w:val="50"/>
                        </w:numPr>
                        <w:spacing w:line="360" w:lineRule="auto"/>
                        <w:ind w:right="0"/>
                        <w:jc w:val="left"/>
                        <w:rPr>
                          <w:sz w:val="24"/>
                          <w:szCs w:val="24"/>
                        </w:rPr>
                      </w:pPr>
                      <w:r w:rsidRPr="00E92038">
                        <w:rPr>
                          <w:sz w:val="24"/>
                          <w:szCs w:val="24"/>
                        </w:rPr>
                        <w:t>High rates of childhood lead exposure due to old housing stock with greatest risk among low-income and populations of color</w:t>
                      </w:r>
                    </w:p>
                    <w:p w14:paraId="7B1B5FED" w14:textId="229C0478" w:rsidR="003F257A" w:rsidRPr="00E92038" w:rsidRDefault="003F257A" w:rsidP="000E7C99">
                      <w:pPr>
                        <w:pStyle w:val="ListParagraph"/>
                        <w:numPr>
                          <w:ilvl w:val="0"/>
                          <w:numId w:val="50"/>
                        </w:numPr>
                        <w:spacing w:line="360" w:lineRule="auto"/>
                        <w:ind w:right="0"/>
                        <w:jc w:val="left"/>
                        <w:rPr>
                          <w:sz w:val="24"/>
                          <w:szCs w:val="24"/>
                        </w:rPr>
                      </w:pPr>
                      <w:r w:rsidRPr="00E92038">
                        <w:rPr>
                          <w:sz w:val="24"/>
                          <w:szCs w:val="24"/>
                        </w:rPr>
                        <w:t>Temperatures rising due to climate change and expected to impact children, elderly, disabled, homeless, and low-income residents the most</w:t>
                      </w:r>
                    </w:p>
                    <w:p w14:paraId="643C1011" w14:textId="17C3C7AC" w:rsidR="003F257A" w:rsidRPr="00E92038" w:rsidRDefault="003F257A" w:rsidP="000E7C99">
                      <w:pPr>
                        <w:pStyle w:val="ListParagraph"/>
                        <w:numPr>
                          <w:ilvl w:val="0"/>
                          <w:numId w:val="50"/>
                        </w:numPr>
                        <w:spacing w:line="360" w:lineRule="auto"/>
                        <w:ind w:right="0"/>
                        <w:jc w:val="left"/>
                        <w:rPr>
                          <w:sz w:val="24"/>
                          <w:szCs w:val="24"/>
                        </w:rPr>
                      </w:pPr>
                      <w:r w:rsidRPr="00E92038">
                        <w:rPr>
                          <w:sz w:val="24"/>
                          <w:szCs w:val="24"/>
                        </w:rPr>
                        <w:t>Poor health outcomes are more common in Environmental Justice populations</w:t>
                      </w:r>
                    </w:p>
                    <w:p w14:paraId="6F413783" w14:textId="69446371" w:rsidR="003F257A" w:rsidRPr="00E92038" w:rsidRDefault="003F257A" w:rsidP="000E7C99">
                      <w:pPr>
                        <w:pStyle w:val="ListParagraph"/>
                        <w:numPr>
                          <w:ilvl w:val="0"/>
                          <w:numId w:val="50"/>
                        </w:numPr>
                        <w:spacing w:line="360" w:lineRule="auto"/>
                        <w:ind w:right="0"/>
                        <w:jc w:val="left"/>
                        <w:rPr>
                          <w:sz w:val="24"/>
                          <w:szCs w:val="24"/>
                        </w:rPr>
                      </w:pPr>
                      <w:r w:rsidRPr="00E92038">
                        <w:rPr>
                          <w:sz w:val="24"/>
                          <w:szCs w:val="24"/>
                        </w:rPr>
                        <w:t>Rates of mesothelioma are higher in Massachusetts than in the US</w:t>
                      </w:r>
                    </w:p>
                  </w:txbxContent>
                </v:textbox>
                <w10:wrap type="square" anchorx="margin" anchory="margin"/>
              </v:rect>
            </w:pict>
          </mc:Fallback>
        </mc:AlternateContent>
      </w:r>
      <w:r w:rsidR="00367354" w:rsidRPr="00E92038">
        <w:rPr>
          <w:rFonts w:asciiTheme="minorHAnsi" w:hAnsiTheme="minorHAnsi"/>
          <w:sz w:val="24"/>
          <w:szCs w:val="24"/>
        </w:rPr>
        <w:t>Selected Resources, Programs</w:t>
      </w:r>
      <w:r w:rsidR="00E41A7E" w:rsidRPr="00E92038">
        <w:rPr>
          <w:rFonts w:asciiTheme="minorHAnsi" w:hAnsiTheme="minorHAnsi"/>
          <w:sz w:val="24"/>
          <w:szCs w:val="24"/>
        </w:rPr>
        <w:t>,</w:t>
      </w:r>
      <w:r w:rsidR="00367354" w:rsidRPr="00E92038">
        <w:rPr>
          <w:rFonts w:asciiTheme="minorHAnsi" w:hAnsiTheme="minorHAnsi"/>
          <w:sz w:val="24"/>
          <w:szCs w:val="24"/>
        </w:rPr>
        <w:t xml:space="preserve"> and Services </w:t>
      </w:r>
    </w:p>
    <w:p w14:paraId="29EE1EF8" w14:textId="61FAC49C" w:rsidR="00367354" w:rsidRPr="0075225E" w:rsidRDefault="00367354" w:rsidP="00FC64DD">
      <w:pPr>
        <w:pStyle w:val="Heading1"/>
      </w:pPr>
      <w:r w:rsidRPr="0075225E">
        <w:lastRenderedPageBreak/>
        <w:t>Overview</w:t>
      </w:r>
    </w:p>
    <w:p w14:paraId="2F26E750" w14:textId="453FE19E" w:rsidR="00367354" w:rsidRPr="000E7C99" w:rsidRDefault="007C4A97" w:rsidP="000E7C99">
      <w:pPr>
        <w:pStyle w:val="NoSpacing"/>
        <w:spacing w:line="360" w:lineRule="auto"/>
        <w:ind w:left="-360"/>
        <w:rPr>
          <w:rFonts w:asciiTheme="minorHAnsi" w:hAnsiTheme="minorHAnsi"/>
          <w:sz w:val="24"/>
          <w:szCs w:val="24"/>
        </w:rPr>
      </w:pPr>
      <w:r w:rsidRPr="000E7C99">
        <w:rPr>
          <w:rFonts w:asciiTheme="minorHAnsi" w:hAnsiTheme="minorHAnsi"/>
          <w:sz w:val="24"/>
          <w:szCs w:val="24"/>
        </w:rPr>
        <w:t>Environmental health risks can come from exposure to contaminants in air, water, soil, and food as well as workplace hazardous chemicals.</w:t>
      </w:r>
      <w:r w:rsidR="00367354" w:rsidRPr="000E7C99">
        <w:rPr>
          <w:rStyle w:val="EndnoteReference"/>
          <w:rFonts w:asciiTheme="minorHAnsi" w:hAnsiTheme="minorHAnsi"/>
          <w:sz w:val="24"/>
          <w:szCs w:val="24"/>
        </w:rPr>
        <w:endnoteReference w:id="2"/>
      </w:r>
      <w:r w:rsidR="00367354" w:rsidRPr="000E7C99">
        <w:rPr>
          <w:rFonts w:asciiTheme="minorHAnsi" w:hAnsiTheme="minorHAnsi"/>
          <w:sz w:val="24"/>
          <w:szCs w:val="24"/>
        </w:rPr>
        <w:t xml:space="preserve"> </w:t>
      </w:r>
      <w:r w:rsidRPr="000E7C99">
        <w:rPr>
          <w:rFonts w:asciiTheme="minorHAnsi" w:hAnsiTheme="minorHAnsi"/>
          <w:sz w:val="24"/>
          <w:szCs w:val="24"/>
        </w:rPr>
        <w:t>MDPH reduces and prevents environmentally-related risks by tracking and evaluating potential exposure pathways</w:t>
      </w:r>
      <w:r w:rsidR="003E3840" w:rsidRPr="000E7C99">
        <w:rPr>
          <w:rFonts w:asciiTheme="minorHAnsi" w:hAnsiTheme="minorHAnsi"/>
          <w:sz w:val="24"/>
          <w:szCs w:val="24"/>
        </w:rPr>
        <w:t xml:space="preserve"> and </w:t>
      </w:r>
      <w:r w:rsidRPr="000E7C99">
        <w:rPr>
          <w:rFonts w:asciiTheme="minorHAnsi" w:hAnsiTheme="minorHAnsi"/>
          <w:sz w:val="24"/>
          <w:szCs w:val="24"/>
        </w:rPr>
        <w:t>disease</w:t>
      </w:r>
      <w:r w:rsidR="003E3840" w:rsidRPr="000E7C99">
        <w:rPr>
          <w:rFonts w:asciiTheme="minorHAnsi" w:hAnsiTheme="minorHAnsi"/>
          <w:sz w:val="24"/>
          <w:szCs w:val="24"/>
        </w:rPr>
        <w:t>, and supports</w:t>
      </w:r>
      <w:r w:rsidRPr="000E7C99">
        <w:rPr>
          <w:rFonts w:asciiTheme="minorHAnsi" w:hAnsiTheme="minorHAnsi"/>
          <w:sz w:val="24"/>
          <w:szCs w:val="24"/>
        </w:rPr>
        <w:t xml:space="preserve"> policies and programs to reduce exposure to environmental hazards and provide communities with healthier environments</w:t>
      </w:r>
      <w:r w:rsidR="00AC0E4D" w:rsidRPr="000E7C99">
        <w:rPr>
          <w:rFonts w:asciiTheme="minorHAnsi" w:hAnsiTheme="minorHAnsi"/>
          <w:sz w:val="24"/>
          <w:szCs w:val="24"/>
        </w:rPr>
        <w:t>.</w:t>
      </w:r>
    </w:p>
    <w:p w14:paraId="0284AC07" w14:textId="6AE7ECFF" w:rsidR="00367354" w:rsidRPr="000E7C99" w:rsidRDefault="00367354" w:rsidP="000E7C99">
      <w:pPr>
        <w:spacing w:line="360" w:lineRule="auto"/>
        <w:ind w:right="0"/>
        <w:rPr>
          <w:sz w:val="24"/>
          <w:szCs w:val="24"/>
        </w:rPr>
      </w:pPr>
      <w:r w:rsidRPr="000E7C99">
        <w:rPr>
          <w:sz w:val="24"/>
          <w:szCs w:val="24"/>
        </w:rPr>
        <w:t>In Massachusetts, some populations are affected more than others by environmental exposures and associated health problems. These populations include:</w:t>
      </w:r>
    </w:p>
    <w:p w14:paraId="36C8325B" w14:textId="5C2EE4DE" w:rsidR="00367354" w:rsidRPr="000E7C99" w:rsidRDefault="007C4A97" w:rsidP="000E7C99">
      <w:pPr>
        <w:pStyle w:val="NoSpacing"/>
        <w:numPr>
          <w:ilvl w:val="0"/>
          <w:numId w:val="5"/>
        </w:numPr>
        <w:spacing w:after="120" w:line="360" w:lineRule="auto"/>
        <w:rPr>
          <w:rFonts w:asciiTheme="minorHAnsi" w:hAnsiTheme="minorHAnsi"/>
          <w:sz w:val="24"/>
          <w:szCs w:val="24"/>
        </w:rPr>
      </w:pPr>
      <w:r w:rsidRPr="000E7C99">
        <w:rPr>
          <w:rFonts w:asciiTheme="minorHAnsi" w:hAnsiTheme="minorHAnsi"/>
          <w:sz w:val="24"/>
          <w:szCs w:val="24"/>
        </w:rPr>
        <w:t>Younger or older individuals and those with pre-existing respiratory and cardiovascular diseases who may be more susceptible to health problems linked with environmental</w:t>
      </w:r>
      <w:r w:rsidR="00367354" w:rsidRPr="000E7C99">
        <w:rPr>
          <w:rFonts w:asciiTheme="minorHAnsi" w:hAnsiTheme="minorHAnsi"/>
          <w:sz w:val="24"/>
          <w:szCs w:val="24"/>
        </w:rPr>
        <w:t xml:space="preserve"> risk factors</w:t>
      </w:r>
    </w:p>
    <w:p w14:paraId="39408E2D" w14:textId="77777777" w:rsidR="00367354" w:rsidRPr="000E7C99" w:rsidRDefault="00367354" w:rsidP="000E7C99">
      <w:pPr>
        <w:pStyle w:val="NoSpacing"/>
        <w:numPr>
          <w:ilvl w:val="0"/>
          <w:numId w:val="5"/>
        </w:numPr>
        <w:spacing w:after="120" w:line="360" w:lineRule="auto"/>
        <w:rPr>
          <w:rFonts w:asciiTheme="minorHAnsi" w:hAnsiTheme="minorHAnsi"/>
          <w:sz w:val="24"/>
          <w:szCs w:val="24"/>
        </w:rPr>
      </w:pPr>
      <w:r w:rsidRPr="000E7C99">
        <w:rPr>
          <w:rFonts w:asciiTheme="minorHAnsi" w:hAnsiTheme="minorHAnsi"/>
          <w:sz w:val="24"/>
          <w:szCs w:val="24"/>
        </w:rPr>
        <w:t>Individuals who live close to sources of environmental contamination</w:t>
      </w:r>
    </w:p>
    <w:p w14:paraId="7C9B18E7" w14:textId="77777777" w:rsidR="00367354" w:rsidRPr="000E7C99" w:rsidRDefault="00367354" w:rsidP="000E7C99">
      <w:pPr>
        <w:pStyle w:val="NoSpacing"/>
        <w:numPr>
          <w:ilvl w:val="0"/>
          <w:numId w:val="5"/>
        </w:numPr>
        <w:spacing w:after="120" w:line="360" w:lineRule="auto"/>
        <w:rPr>
          <w:rFonts w:asciiTheme="minorHAnsi" w:hAnsiTheme="minorHAnsi"/>
          <w:sz w:val="24"/>
          <w:szCs w:val="24"/>
        </w:rPr>
      </w:pPr>
      <w:r w:rsidRPr="000E7C99">
        <w:rPr>
          <w:rFonts w:asciiTheme="minorHAnsi" w:hAnsiTheme="minorHAnsi"/>
          <w:sz w:val="24"/>
          <w:szCs w:val="24"/>
        </w:rPr>
        <w:t>Individuals who work with hazardous chemicals</w:t>
      </w:r>
    </w:p>
    <w:p w14:paraId="65175DD6" w14:textId="4BBCD7B8" w:rsidR="00367354" w:rsidRPr="000E7C99" w:rsidRDefault="007C4A97" w:rsidP="000E7C99">
      <w:pPr>
        <w:pStyle w:val="NoSpacing"/>
        <w:numPr>
          <w:ilvl w:val="0"/>
          <w:numId w:val="5"/>
        </w:numPr>
        <w:spacing w:after="120" w:line="360" w:lineRule="auto"/>
        <w:rPr>
          <w:rFonts w:asciiTheme="minorHAnsi" w:hAnsiTheme="minorHAnsi"/>
          <w:sz w:val="24"/>
          <w:szCs w:val="24"/>
        </w:rPr>
      </w:pPr>
      <w:r w:rsidRPr="000E7C99">
        <w:rPr>
          <w:rFonts w:asciiTheme="minorHAnsi" w:hAnsiTheme="minorHAnsi"/>
          <w:sz w:val="24"/>
          <w:szCs w:val="24"/>
        </w:rPr>
        <w:t>Individuals with higher exposures to air pollution and higher prevalence of social stressors (e.g., poverty, violence) may also be more susceptible to the health impacts of environmental contaminants.</w:t>
      </w:r>
    </w:p>
    <w:p w14:paraId="4C77C7C3" w14:textId="77777777" w:rsidR="00367354" w:rsidRPr="000E7C99" w:rsidRDefault="00367354" w:rsidP="000E7C99">
      <w:pPr>
        <w:spacing w:line="360" w:lineRule="auto"/>
        <w:ind w:right="0"/>
        <w:rPr>
          <w:sz w:val="24"/>
          <w:szCs w:val="24"/>
        </w:rPr>
      </w:pPr>
      <w:r w:rsidRPr="000E7C99">
        <w:rPr>
          <w:sz w:val="24"/>
          <w:szCs w:val="24"/>
        </w:rPr>
        <w:t>Through collaborations with local health departments, community partners, and others, MDPH manages health and environmental information to identify opportunities for prevention and to reduce environmental exposures that can lead to health disparities and health inequities.</w:t>
      </w:r>
    </w:p>
    <w:p w14:paraId="78B75E6A" w14:textId="77777777" w:rsidR="00367354" w:rsidRPr="000E7C99" w:rsidRDefault="00367354" w:rsidP="000E7C99">
      <w:pPr>
        <w:pStyle w:val="Heading2"/>
        <w:spacing w:line="360" w:lineRule="auto"/>
        <w:ind w:right="0"/>
        <w:rPr>
          <w:sz w:val="24"/>
          <w:szCs w:val="24"/>
        </w:rPr>
      </w:pPr>
      <w:r w:rsidRPr="000E7C99">
        <w:rPr>
          <w:sz w:val="24"/>
          <w:szCs w:val="24"/>
        </w:rPr>
        <w:t>Environmental Exposures</w:t>
      </w:r>
    </w:p>
    <w:p w14:paraId="2DAE0DCF" w14:textId="4B719D27" w:rsidR="00367354" w:rsidRPr="000E7C99" w:rsidRDefault="00367354" w:rsidP="000E7C99">
      <w:pPr>
        <w:spacing w:line="360" w:lineRule="auto"/>
        <w:ind w:right="0"/>
        <w:rPr>
          <w:sz w:val="24"/>
          <w:szCs w:val="24"/>
        </w:rPr>
      </w:pPr>
      <w:r w:rsidRPr="000E7C99">
        <w:rPr>
          <w:sz w:val="24"/>
          <w:szCs w:val="24"/>
        </w:rPr>
        <w:t xml:space="preserve">Environmental exposure includes </w:t>
      </w:r>
      <w:r w:rsidR="007C4A97" w:rsidRPr="000E7C99">
        <w:rPr>
          <w:sz w:val="24"/>
          <w:szCs w:val="24"/>
        </w:rPr>
        <w:t xml:space="preserve">results from contact with physical, </w:t>
      </w:r>
      <w:r w:rsidRPr="000E7C99">
        <w:rPr>
          <w:sz w:val="24"/>
          <w:szCs w:val="24"/>
        </w:rPr>
        <w:t>chemical, biological, and radiological substances. Many factors are important in determining whether environmental exposures can lead to health risks. These include:</w:t>
      </w:r>
    </w:p>
    <w:p w14:paraId="09547713" w14:textId="77777777" w:rsidR="00367354" w:rsidRPr="000E7C99" w:rsidRDefault="00367354" w:rsidP="000E7C99">
      <w:pPr>
        <w:pStyle w:val="NoSpacing"/>
        <w:numPr>
          <w:ilvl w:val="0"/>
          <w:numId w:val="6"/>
        </w:numPr>
        <w:spacing w:after="120" w:line="360" w:lineRule="auto"/>
        <w:rPr>
          <w:rFonts w:asciiTheme="minorHAnsi" w:hAnsiTheme="minorHAnsi"/>
          <w:sz w:val="24"/>
          <w:szCs w:val="24"/>
        </w:rPr>
      </w:pPr>
      <w:r w:rsidRPr="000E7C99">
        <w:rPr>
          <w:rFonts w:asciiTheme="minorHAnsi" w:hAnsiTheme="minorHAnsi"/>
          <w:sz w:val="24"/>
          <w:szCs w:val="24"/>
        </w:rPr>
        <w:t>The amount of exposure</w:t>
      </w:r>
    </w:p>
    <w:p w14:paraId="0868C236" w14:textId="77777777" w:rsidR="00367354" w:rsidRPr="000E7C99" w:rsidRDefault="00367354" w:rsidP="000E7C99">
      <w:pPr>
        <w:pStyle w:val="NoSpacing"/>
        <w:numPr>
          <w:ilvl w:val="0"/>
          <w:numId w:val="6"/>
        </w:numPr>
        <w:spacing w:after="120" w:line="360" w:lineRule="auto"/>
        <w:rPr>
          <w:rFonts w:asciiTheme="minorHAnsi" w:hAnsiTheme="minorHAnsi"/>
          <w:sz w:val="24"/>
          <w:szCs w:val="24"/>
        </w:rPr>
      </w:pPr>
      <w:r w:rsidRPr="000E7C99">
        <w:rPr>
          <w:rFonts w:asciiTheme="minorHAnsi" w:hAnsiTheme="minorHAnsi"/>
          <w:sz w:val="24"/>
          <w:szCs w:val="24"/>
        </w:rPr>
        <w:t>Whether individuals are exposed through eating, drinking, breathing, or touching a substance</w:t>
      </w:r>
    </w:p>
    <w:p w14:paraId="35EF4ED6" w14:textId="77777777" w:rsidR="00367354" w:rsidRPr="000E7C99" w:rsidRDefault="00367354" w:rsidP="000E7C99">
      <w:pPr>
        <w:pStyle w:val="NoSpacing"/>
        <w:numPr>
          <w:ilvl w:val="0"/>
          <w:numId w:val="6"/>
        </w:numPr>
        <w:spacing w:line="360" w:lineRule="auto"/>
        <w:rPr>
          <w:rFonts w:asciiTheme="minorHAnsi" w:hAnsiTheme="minorHAnsi"/>
          <w:sz w:val="24"/>
          <w:szCs w:val="24"/>
        </w:rPr>
      </w:pPr>
      <w:r w:rsidRPr="000E7C99">
        <w:rPr>
          <w:rFonts w:asciiTheme="minorHAnsi" w:hAnsiTheme="minorHAnsi"/>
          <w:sz w:val="24"/>
          <w:szCs w:val="24"/>
        </w:rPr>
        <w:t xml:space="preserve">Whether the type of substance can cause harm </w:t>
      </w:r>
    </w:p>
    <w:p w14:paraId="38B02A94" w14:textId="77777777" w:rsidR="00367354" w:rsidRPr="000E7C99" w:rsidRDefault="00367354" w:rsidP="000E7C99">
      <w:pPr>
        <w:pStyle w:val="Heading3"/>
        <w:spacing w:line="360" w:lineRule="auto"/>
        <w:rPr>
          <w:sz w:val="24"/>
          <w:szCs w:val="24"/>
        </w:rPr>
      </w:pPr>
      <w:r w:rsidRPr="000E7C99">
        <w:rPr>
          <w:sz w:val="24"/>
          <w:szCs w:val="24"/>
        </w:rPr>
        <w:lastRenderedPageBreak/>
        <w:t xml:space="preserve">Public Health Fish Advisories </w:t>
      </w:r>
    </w:p>
    <w:p w14:paraId="595E4A81" w14:textId="77777777" w:rsidR="00367354" w:rsidRPr="000E7C99" w:rsidRDefault="00367354" w:rsidP="000E7C99">
      <w:pPr>
        <w:spacing w:line="360" w:lineRule="auto"/>
        <w:ind w:right="0"/>
        <w:rPr>
          <w:sz w:val="24"/>
          <w:szCs w:val="24"/>
        </w:rPr>
      </w:pPr>
      <w:r w:rsidRPr="000E7C99">
        <w:rPr>
          <w:sz w:val="24"/>
          <w:szCs w:val="24"/>
        </w:rPr>
        <w:t>Due to pollution, eating fish from Massachusetts streams, rivers, lakes, ponds, and some coastal waters may cause possible health risks. Developing fetuses, nursing infants, children less than 12 years of age, pregnant women, nursing mothers and women who may become pregnant are at highest risk.</w:t>
      </w:r>
      <w:r w:rsidRPr="000E7C99">
        <w:rPr>
          <w:rStyle w:val="EndnoteReference"/>
          <w:sz w:val="24"/>
          <w:szCs w:val="24"/>
        </w:rPr>
        <w:endnoteReference w:id="3"/>
      </w:r>
      <w:r w:rsidRPr="000E7C99">
        <w:rPr>
          <w:b/>
          <w:sz w:val="24"/>
          <w:szCs w:val="24"/>
        </w:rPr>
        <w:t xml:space="preserve"> </w:t>
      </w:r>
    </w:p>
    <w:p w14:paraId="468ECAD4" w14:textId="675DF11C" w:rsidR="00D71828" w:rsidRPr="000E7C99" w:rsidRDefault="00367354" w:rsidP="000E7C99">
      <w:pPr>
        <w:spacing w:line="360" w:lineRule="auto"/>
        <w:ind w:right="0"/>
        <w:rPr>
          <w:sz w:val="24"/>
          <w:szCs w:val="24"/>
          <w:vertAlign w:val="superscript"/>
        </w:rPr>
      </w:pPr>
      <w:r w:rsidRPr="000E7C99">
        <w:rPr>
          <w:sz w:val="24"/>
          <w:szCs w:val="24"/>
        </w:rPr>
        <w:t>The Massachusetts Department of Environmental Protection (MassDEP) collects an</w:t>
      </w:r>
      <w:r w:rsidR="007E0624" w:rsidRPr="000E7C99">
        <w:rPr>
          <w:sz w:val="24"/>
          <w:szCs w:val="24"/>
        </w:rPr>
        <w:t xml:space="preserve">d analyzes fish from fresh </w:t>
      </w:r>
      <w:r w:rsidRPr="000E7C99">
        <w:rPr>
          <w:sz w:val="24"/>
          <w:szCs w:val="24"/>
        </w:rPr>
        <w:t xml:space="preserve">bodies </w:t>
      </w:r>
      <w:r w:rsidR="007E0624" w:rsidRPr="000E7C99">
        <w:rPr>
          <w:sz w:val="24"/>
          <w:szCs w:val="24"/>
        </w:rPr>
        <w:t xml:space="preserve">of water </w:t>
      </w:r>
      <w:r w:rsidRPr="000E7C99">
        <w:rPr>
          <w:sz w:val="24"/>
          <w:szCs w:val="24"/>
        </w:rPr>
        <w:t>annually and provides the data to MDPH for evaluation.</w:t>
      </w:r>
      <w:r w:rsidRPr="000E7C99">
        <w:rPr>
          <w:b/>
          <w:sz w:val="24"/>
          <w:szCs w:val="24"/>
        </w:rPr>
        <w:t xml:space="preserve"> </w:t>
      </w:r>
      <w:r w:rsidRPr="000E7C99">
        <w:rPr>
          <w:sz w:val="24"/>
          <w:szCs w:val="24"/>
        </w:rPr>
        <w:t>MDPH reviews the samples for chemicals to provide guidance on safety for consumption.</w:t>
      </w:r>
      <w:r w:rsidRPr="000E7C99">
        <w:rPr>
          <w:sz w:val="24"/>
          <w:szCs w:val="24"/>
          <w:vertAlign w:val="superscript"/>
        </w:rPr>
        <w:t xml:space="preserve"> </w:t>
      </w:r>
    </w:p>
    <w:p w14:paraId="3A25BD43" w14:textId="37BF7240" w:rsidR="00367354" w:rsidRPr="000E7C99" w:rsidRDefault="00367354" w:rsidP="000E7C99">
      <w:pPr>
        <w:pStyle w:val="Heading4"/>
        <w:spacing w:line="360" w:lineRule="auto"/>
        <w:ind w:right="0"/>
      </w:pPr>
      <w:r w:rsidRPr="000E7C99">
        <w:t>Trends/Disparities</w:t>
      </w:r>
    </w:p>
    <w:p w14:paraId="54DA860F" w14:textId="77777777" w:rsidR="00367354" w:rsidRPr="000E7C99" w:rsidRDefault="00367354" w:rsidP="000E7C99">
      <w:pPr>
        <w:spacing w:line="360" w:lineRule="auto"/>
        <w:ind w:right="0"/>
        <w:rPr>
          <w:sz w:val="24"/>
          <w:szCs w:val="24"/>
        </w:rPr>
      </w:pPr>
      <w:r w:rsidRPr="000E7C99">
        <w:rPr>
          <w:sz w:val="24"/>
          <w:szCs w:val="24"/>
        </w:rPr>
        <w:t>Since the early 1980s, MDPH has issued more than 200 waterbody-specific fish advisories. Most of the advisories resulted from elevated levels of mercury. Other chemicals detected include polychlorinated biphenyls (PCBs) and the pesticides dichlorodiphenyltrichloroethane (DDT) and chlordane.</w:t>
      </w:r>
    </w:p>
    <w:p w14:paraId="5E55DBAB" w14:textId="77777777" w:rsidR="00367354" w:rsidRPr="000E7C99" w:rsidRDefault="00367354" w:rsidP="000E7C99">
      <w:pPr>
        <w:spacing w:line="360" w:lineRule="auto"/>
        <w:ind w:right="0"/>
        <w:rPr>
          <w:sz w:val="24"/>
          <w:szCs w:val="24"/>
        </w:rPr>
      </w:pPr>
      <w:r w:rsidRPr="000E7C99">
        <w:rPr>
          <w:sz w:val="24"/>
          <w:szCs w:val="24"/>
        </w:rPr>
        <w:t xml:space="preserve">MDPH has identified public health fish advisories by Environmental Justice (EJ) areas where Black, Asian and Hispanic populations and/or non-English speaking and/or low-income populations are more prevalent. Greater health risks from consuming contaminated fish occur more often in EJ areas because residents often depend on locally-caught fish as a regular part of their diet. </w:t>
      </w:r>
    </w:p>
    <w:p w14:paraId="1ED91061" w14:textId="77777777" w:rsidR="00367354" w:rsidRPr="000E7C99" w:rsidRDefault="00367354" w:rsidP="000E7C99">
      <w:pPr>
        <w:spacing w:line="360" w:lineRule="auto"/>
        <w:ind w:right="0"/>
        <w:rPr>
          <w:sz w:val="24"/>
          <w:szCs w:val="24"/>
        </w:rPr>
      </w:pPr>
      <w:r w:rsidRPr="000E7C99">
        <w:rPr>
          <w:sz w:val="24"/>
          <w:szCs w:val="24"/>
        </w:rPr>
        <w:t>Many urban rivers have advisories that recommend limiting or refraining from all fish consumption from these sources. Areas safe for fishing (e.g., in more rural areas) may be difficult to get to for individuals with limited transportation options or income.</w:t>
      </w:r>
    </w:p>
    <w:p w14:paraId="08562A3D" w14:textId="77777777" w:rsidR="00367354" w:rsidRPr="000E7C99" w:rsidRDefault="00367354" w:rsidP="000E7C99">
      <w:pPr>
        <w:pStyle w:val="Heading3"/>
        <w:spacing w:line="360" w:lineRule="auto"/>
        <w:rPr>
          <w:sz w:val="24"/>
          <w:szCs w:val="24"/>
        </w:rPr>
      </w:pPr>
      <w:r w:rsidRPr="000E7C99">
        <w:rPr>
          <w:sz w:val="24"/>
          <w:szCs w:val="24"/>
        </w:rPr>
        <w:t xml:space="preserve">Ambient Air Quality </w:t>
      </w:r>
    </w:p>
    <w:p w14:paraId="6C9F2732" w14:textId="77777777" w:rsidR="00367354" w:rsidRPr="000E7C99" w:rsidRDefault="00367354" w:rsidP="000E7C99">
      <w:pPr>
        <w:spacing w:line="360" w:lineRule="auto"/>
        <w:ind w:right="0"/>
        <w:rPr>
          <w:sz w:val="24"/>
          <w:szCs w:val="24"/>
        </w:rPr>
      </w:pPr>
      <w:r w:rsidRPr="000E7C99">
        <w:rPr>
          <w:sz w:val="24"/>
          <w:szCs w:val="24"/>
        </w:rPr>
        <w:t>Exposure to ambient (or outdoor) air pollution has been linked to a wide range of cardiovascular and respiratory health problems. Higher, short-term exposure to air pollutants is associated with asthma attacks and increased hospital admissions.</w:t>
      </w:r>
      <w:r w:rsidRPr="000E7C99">
        <w:rPr>
          <w:rFonts w:ascii="Calibri" w:eastAsia="Calibri" w:hAnsi="Calibri"/>
          <w:sz w:val="24"/>
          <w:szCs w:val="24"/>
          <w:vertAlign w:val="superscript"/>
        </w:rPr>
        <w:endnoteReference w:id="4"/>
      </w:r>
      <w:r w:rsidRPr="000E7C99">
        <w:rPr>
          <w:sz w:val="24"/>
          <w:szCs w:val="24"/>
        </w:rPr>
        <w:t xml:space="preserve"> Long-term impacts of exposure to air pollutants include decreased lung function, increased sensitivity to asthma triggers, and increased susceptibility to infections, cardiovascular harm, and premature death.</w:t>
      </w:r>
      <w:r w:rsidRPr="000E7C99">
        <w:rPr>
          <w:rFonts w:ascii="Calibri" w:eastAsia="Calibri" w:hAnsi="Calibri"/>
          <w:sz w:val="24"/>
          <w:szCs w:val="24"/>
          <w:vertAlign w:val="superscript"/>
        </w:rPr>
        <w:t xml:space="preserve"> </w:t>
      </w:r>
      <w:r w:rsidRPr="000E7C99">
        <w:rPr>
          <w:rFonts w:ascii="Calibri" w:eastAsia="Calibri" w:hAnsi="Calibri"/>
          <w:sz w:val="24"/>
          <w:szCs w:val="24"/>
          <w:vertAlign w:val="superscript"/>
        </w:rPr>
        <w:endnoteReference w:id="5"/>
      </w:r>
      <w:r w:rsidRPr="000E7C99">
        <w:rPr>
          <w:rFonts w:ascii="Calibri" w:eastAsia="Calibri" w:hAnsi="Calibri"/>
          <w:sz w:val="24"/>
          <w:szCs w:val="24"/>
          <w:vertAlign w:val="superscript"/>
        </w:rPr>
        <w:t>,</w:t>
      </w:r>
      <w:r w:rsidRPr="000E7C99">
        <w:rPr>
          <w:rFonts w:ascii="Calibri" w:eastAsia="Calibri" w:hAnsi="Calibri"/>
          <w:sz w:val="24"/>
          <w:szCs w:val="24"/>
          <w:vertAlign w:val="superscript"/>
        </w:rPr>
        <w:endnoteReference w:id="6"/>
      </w:r>
      <w:r w:rsidRPr="000E7C99">
        <w:rPr>
          <w:sz w:val="24"/>
          <w:szCs w:val="24"/>
        </w:rPr>
        <w:t xml:space="preserve"> </w:t>
      </w:r>
    </w:p>
    <w:p w14:paraId="30AF9C7B" w14:textId="68521E89" w:rsidR="00367354" w:rsidRPr="000E7C99" w:rsidRDefault="00367354" w:rsidP="000E7C99">
      <w:pPr>
        <w:spacing w:line="360" w:lineRule="auto"/>
        <w:ind w:right="0"/>
        <w:rPr>
          <w:sz w:val="24"/>
          <w:szCs w:val="24"/>
        </w:rPr>
      </w:pPr>
      <w:r w:rsidRPr="000E7C99">
        <w:rPr>
          <w:sz w:val="24"/>
          <w:szCs w:val="24"/>
        </w:rPr>
        <w:t xml:space="preserve">Under the Clean Air Act, the US Environmental Protection Agency (EPA) sets National Ambient Air Quality Standards (NAAQS) for pollutants to limit concentrations in ambient air. Ozone is one important measure </w:t>
      </w:r>
      <w:r w:rsidRPr="000E7C99">
        <w:rPr>
          <w:sz w:val="24"/>
          <w:szCs w:val="24"/>
        </w:rPr>
        <w:lastRenderedPageBreak/>
        <w:t>of air quality in Massachusetts. Ground–level ozone is a gas created when pollutants from cars and power plants react with ea</w:t>
      </w:r>
      <w:r w:rsidR="00957CEA" w:rsidRPr="000E7C99">
        <w:rPr>
          <w:sz w:val="24"/>
          <w:szCs w:val="24"/>
        </w:rPr>
        <w:t>ch other in the presence of hea</w:t>
      </w:r>
      <w:r w:rsidRPr="000E7C99">
        <w:rPr>
          <w:sz w:val="24"/>
          <w:szCs w:val="24"/>
        </w:rPr>
        <w:t>t and sunlight. Ozone formation is weather dependent, and levels are typically higher during the summer.</w:t>
      </w:r>
    </w:p>
    <w:p w14:paraId="5C12E323" w14:textId="77777777" w:rsidR="00367354" w:rsidRPr="000E7C99" w:rsidRDefault="00367354" w:rsidP="000E7C99">
      <w:pPr>
        <w:pStyle w:val="Heading4"/>
        <w:spacing w:line="360" w:lineRule="auto"/>
        <w:ind w:right="0"/>
      </w:pPr>
      <w:r w:rsidRPr="000E7C99">
        <w:t>Trends/Disparities</w:t>
      </w:r>
    </w:p>
    <w:p w14:paraId="5BA0A85B" w14:textId="5FDE84A7" w:rsidR="00367354" w:rsidRPr="000E7C99" w:rsidRDefault="00367354" w:rsidP="000E7C99">
      <w:pPr>
        <w:spacing w:line="360" w:lineRule="auto"/>
        <w:ind w:right="0"/>
        <w:rPr>
          <w:sz w:val="24"/>
          <w:szCs w:val="24"/>
        </w:rPr>
      </w:pPr>
      <w:r w:rsidRPr="000E7C99">
        <w:rPr>
          <w:sz w:val="24"/>
          <w:szCs w:val="24"/>
        </w:rPr>
        <w:t>From 2005 to 2015, Massachusetts experienced a 21</w:t>
      </w:r>
      <w:r w:rsidR="00C46EBB" w:rsidRPr="000E7C99">
        <w:rPr>
          <w:sz w:val="24"/>
          <w:szCs w:val="24"/>
        </w:rPr>
        <w:t xml:space="preserve">% decrease in ozone levels. </w:t>
      </w:r>
      <w:r w:rsidR="00C46EBB" w:rsidRPr="000E7C99">
        <w:rPr>
          <w:b/>
          <w:sz w:val="24"/>
          <w:szCs w:val="24"/>
        </w:rPr>
        <w:t>F</w:t>
      </w:r>
      <w:r w:rsidRPr="000E7C99">
        <w:rPr>
          <w:b/>
          <w:sz w:val="24"/>
          <w:szCs w:val="24"/>
        </w:rPr>
        <w:t>igure</w:t>
      </w:r>
      <w:r w:rsidR="00C46EBB" w:rsidRPr="000E7C99">
        <w:rPr>
          <w:b/>
          <w:sz w:val="24"/>
          <w:szCs w:val="24"/>
        </w:rPr>
        <w:t xml:space="preserve"> 3.1</w:t>
      </w:r>
      <w:r w:rsidR="00C46EBB" w:rsidRPr="000E7C99">
        <w:rPr>
          <w:sz w:val="24"/>
          <w:szCs w:val="24"/>
        </w:rPr>
        <w:t xml:space="preserve"> </w:t>
      </w:r>
      <w:r w:rsidRPr="000E7C99">
        <w:rPr>
          <w:sz w:val="24"/>
          <w:szCs w:val="24"/>
        </w:rPr>
        <w:t>shows the number of days in Massachusetts where ozone levels exceeded the 2008 ozone standard of 0.075 parts per million (ppm), from 2005 to 2015. (The NAAQS for ozone was revised to 0.070 ppm in December 2015.)</w:t>
      </w:r>
    </w:p>
    <w:p w14:paraId="3D678174" w14:textId="2700E652" w:rsidR="00367354" w:rsidRPr="000E7C99" w:rsidRDefault="00367354" w:rsidP="000E7C99">
      <w:pPr>
        <w:pStyle w:val="ListParagraph"/>
        <w:numPr>
          <w:ilvl w:val="0"/>
          <w:numId w:val="7"/>
        </w:numPr>
        <w:spacing w:line="360" w:lineRule="auto"/>
        <w:ind w:right="0"/>
        <w:contextualSpacing w:val="0"/>
        <w:rPr>
          <w:sz w:val="24"/>
          <w:szCs w:val="24"/>
        </w:rPr>
      </w:pPr>
      <w:r w:rsidRPr="000E7C99">
        <w:rPr>
          <w:sz w:val="24"/>
          <w:szCs w:val="24"/>
        </w:rPr>
        <w:t>The numbers of days when ambient ozone concentrations have exceeded the NAAQS</w:t>
      </w:r>
      <w:r w:rsidR="00F26C2A" w:rsidRPr="000E7C99">
        <w:rPr>
          <w:sz w:val="24"/>
          <w:szCs w:val="24"/>
        </w:rPr>
        <w:t xml:space="preserve"> has</w:t>
      </w:r>
      <w:r w:rsidRPr="000E7C99">
        <w:rPr>
          <w:sz w:val="24"/>
          <w:szCs w:val="24"/>
        </w:rPr>
        <w:t xml:space="preserve"> decreased in Massachusetts over time (131 days in 2005 and 7 days in 2015)</w:t>
      </w:r>
      <w:r w:rsidR="00F26C2A" w:rsidRPr="000E7C99">
        <w:rPr>
          <w:sz w:val="24"/>
          <w:szCs w:val="24"/>
        </w:rPr>
        <w:t xml:space="preserve"> </w:t>
      </w:r>
      <w:r w:rsidR="002B278B" w:rsidRPr="000E7C99">
        <w:rPr>
          <w:b/>
          <w:sz w:val="24"/>
          <w:szCs w:val="24"/>
        </w:rPr>
        <w:t>(s</w:t>
      </w:r>
      <w:r w:rsidR="00F26C2A" w:rsidRPr="000E7C99">
        <w:rPr>
          <w:b/>
          <w:sz w:val="24"/>
          <w:szCs w:val="24"/>
        </w:rPr>
        <w:t>ee Figure 3.1)</w:t>
      </w:r>
      <w:r w:rsidRPr="000E7C99">
        <w:rPr>
          <w:sz w:val="24"/>
          <w:szCs w:val="24"/>
        </w:rPr>
        <w:t>.</w:t>
      </w:r>
    </w:p>
    <w:p w14:paraId="46DE032D" w14:textId="77777777" w:rsidR="00367354" w:rsidRPr="000E7C99" w:rsidRDefault="00367354" w:rsidP="000E7C99">
      <w:pPr>
        <w:pStyle w:val="ListParagraph"/>
        <w:numPr>
          <w:ilvl w:val="0"/>
          <w:numId w:val="7"/>
        </w:numPr>
        <w:spacing w:line="360" w:lineRule="auto"/>
        <w:ind w:right="0"/>
        <w:contextualSpacing w:val="0"/>
        <w:rPr>
          <w:sz w:val="24"/>
          <w:szCs w:val="24"/>
        </w:rPr>
      </w:pPr>
      <w:r w:rsidRPr="000E7C99">
        <w:rPr>
          <w:sz w:val="24"/>
          <w:szCs w:val="24"/>
        </w:rPr>
        <w:t>Climate change models predict that by 2050, the increase in temperature will contribute up to seven parts per billion (ppb) of ozone pollution above summer daily averages.</w:t>
      </w:r>
      <w:r w:rsidRPr="000E7C99">
        <w:rPr>
          <w:sz w:val="24"/>
          <w:szCs w:val="24"/>
          <w:vertAlign w:val="superscript"/>
        </w:rPr>
        <w:endnoteReference w:id="7"/>
      </w:r>
      <w:r w:rsidRPr="000E7C99">
        <w:rPr>
          <w:sz w:val="24"/>
          <w:szCs w:val="24"/>
        </w:rPr>
        <w:t xml:space="preserve">  </w:t>
      </w:r>
    </w:p>
    <w:p w14:paraId="4E2CAC7D" w14:textId="77777777" w:rsidR="00367354" w:rsidRPr="00E92038" w:rsidRDefault="00367354" w:rsidP="000E7C99">
      <w:pPr>
        <w:pStyle w:val="ListParagraph"/>
        <w:numPr>
          <w:ilvl w:val="0"/>
          <w:numId w:val="7"/>
        </w:numPr>
        <w:spacing w:line="360" w:lineRule="auto"/>
        <w:ind w:right="0"/>
        <w:rPr>
          <w:sz w:val="24"/>
          <w:szCs w:val="24"/>
        </w:rPr>
      </w:pPr>
      <w:r w:rsidRPr="00E92038">
        <w:rPr>
          <w:sz w:val="24"/>
          <w:szCs w:val="24"/>
        </w:rPr>
        <w:t xml:space="preserve">MDPH estimates an average 4.75% increase in emergency room visits in Massachusetts in 2050 compared to 2011 (approximately 2,150 additional visits) for a  seven ppb increase in ozone.  </w:t>
      </w:r>
    </w:p>
    <w:p w14:paraId="22E21AC4" w14:textId="77777777" w:rsidR="00367354" w:rsidRDefault="00367354" w:rsidP="000E7C99">
      <w:pPr>
        <w:spacing w:before="0" w:line="360" w:lineRule="auto"/>
        <w:ind w:left="0" w:right="0"/>
      </w:pPr>
      <w:r>
        <w:br w:type="page"/>
      </w:r>
    </w:p>
    <w:p w14:paraId="5729A57F" w14:textId="62C61420" w:rsidR="00367354" w:rsidRPr="00E92038" w:rsidRDefault="00AC4D06" w:rsidP="00850A7C">
      <w:pPr>
        <w:pStyle w:val="SHAFigureNumber"/>
        <w:rPr>
          <w:sz w:val="24"/>
          <w:szCs w:val="24"/>
        </w:rPr>
      </w:pPr>
      <w:r w:rsidRPr="00E92038">
        <w:rPr>
          <w:sz w:val="24"/>
          <w:szCs w:val="24"/>
        </w:rPr>
        <w:lastRenderedPageBreak/>
        <w:t>Figure</w:t>
      </w:r>
      <w:r w:rsidR="00367354" w:rsidRPr="00E92038">
        <w:rPr>
          <w:sz w:val="24"/>
          <w:szCs w:val="24"/>
        </w:rPr>
        <w:t xml:space="preserve"> </w:t>
      </w:r>
      <w:r w:rsidRPr="00E92038">
        <w:rPr>
          <w:sz w:val="24"/>
          <w:szCs w:val="24"/>
        </w:rPr>
        <w:t>3.1</w:t>
      </w:r>
    </w:p>
    <w:p w14:paraId="73BEE03C" w14:textId="77777777" w:rsidR="00367354" w:rsidRPr="00E92038" w:rsidRDefault="00367354" w:rsidP="00850A7C">
      <w:pPr>
        <w:pStyle w:val="SHAFigureNumber"/>
        <w:rPr>
          <w:rStyle w:val="SubtleEmphasis"/>
          <w:b/>
          <w:iCs w:val="0"/>
          <w:color w:val="auto"/>
          <w:sz w:val="24"/>
          <w:szCs w:val="24"/>
        </w:rPr>
      </w:pPr>
      <w:r w:rsidRPr="00E92038">
        <w:rPr>
          <w:rStyle w:val="SubtleEmphasis"/>
          <w:b/>
          <w:iCs w:val="0"/>
          <w:color w:val="auto"/>
          <w:sz w:val="24"/>
          <w:szCs w:val="24"/>
        </w:rPr>
        <w:t>Trends in Ozone, Massachusetts, 2005-2015</w:t>
      </w:r>
    </w:p>
    <w:p w14:paraId="7CAD5B99" w14:textId="79A5F01D" w:rsidR="00367354" w:rsidRPr="001C0EB8" w:rsidRDefault="001C0EB8" w:rsidP="00AC4D06">
      <w:pPr>
        <w:pStyle w:val="NormalWeb"/>
        <w:spacing w:line="259" w:lineRule="auto"/>
        <w:ind w:right="0"/>
        <w:jc w:val="center"/>
        <w:rPr>
          <w:rStyle w:val="SubtleEmphasis"/>
          <w:b w:val="0"/>
        </w:rPr>
      </w:pPr>
      <w:r>
        <w:drawing>
          <wp:inline distT="0" distB="0" distL="0" distR="0" wp14:anchorId="6DF99001" wp14:editId="5B985552">
            <wp:extent cx="6172200" cy="2573020"/>
            <wp:effectExtent l="0" t="0" r="19050" b="17780"/>
            <wp:docPr id="66" name="Chart 66" descr="This line graph shows the number of days (y axis) between 0 and 160 that ozone levels exceeded the National Ambient Air Quality Standards (NAAQS) each year (x axis) between 2005 and 2015. In 2005, 131 days exceeded the standard; in 2006, 77 days; in 2007, 138 days; in 2008, 47 days; in 2009, 29 days; in 2010, 31 days, in 2011, 19 days, in 2012, 36 days, in 2014, 0 days, in 2015, 7 day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8D0896-F018-4A54-9155-381ED0126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9FFBE3" w14:textId="50775743" w:rsidR="00367354" w:rsidRPr="00E92038" w:rsidRDefault="00850A7C" w:rsidP="00850A7C">
      <w:pPr>
        <w:pStyle w:val="SHAFigureNote"/>
        <w:rPr>
          <w:rStyle w:val="Emphasis"/>
          <w:i w:val="0"/>
          <w:iCs w:val="0"/>
          <w:sz w:val="24"/>
          <w:szCs w:val="24"/>
        </w:rPr>
      </w:pPr>
      <w:r w:rsidRPr="00E92038">
        <w:rPr>
          <w:rStyle w:val="Emphasis"/>
          <w:i w:val="0"/>
          <w:iCs w:val="0"/>
          <w:sz w:val="24"/>
          <w:szCs w:val="24"/>
        </w:rPr>
        <w:t xml:space="preserve">NOTE: </w:t>
      </w:r>
      <w:r w:rsidR="007C4A97" w:rsidRPr="00E92038">
        <w:rPr>
          <w:sz w:val="24"/>
          <w:szCs w:val="24"/>
        </w:rPr>
        <w:t>OZONE DATA FOR DAYS OVER THE NAAQS ARE MEASURED BY AIR MONITORS. MONITORS ARE NOT PRESENT IN ALL COUNTIES. STATEWIDE AMBIENT OZONE CONCENTRATIONS HAVE DECREASED OVER TIME. ABOVE AVERAGE TEMPERATURES AND BELOW AVERAGE HUMIDITY IN 2012 CONTRIBUTED TO INCREASED NUMBER OF DAYS OBSERVED WHERE OZONE LEVELS EXCEED THE NAAQS. IN 2014, THERE WERE NO DAYS WHERE OZONE LEVELS WERE MORE THAN THE NAAQS IN COUNTIES WHERE MONITORS WERE PRESENT. THE TRENDLINE SHOULD NOT BE USED FOR ASSESSING NAAQS ATTAINMENT. METHODS FOR CALCULATING ANNUAL TRENDS CAN BE FOUND ON THE MA EPHT PORTAL.</w:t>
      </w:r>
      <w:r w:rsidR="007C4A97" w:rsidRPr="00E92038">
        <w:rPr>
          <w:rStyle w:val="EndnoteReference"/>
          <w:sz w:val="24"/>
          <w:szCs w:val="24"/>
        </w:rPr>
        <w:endnoteReference w:id="8"/>
      </w:r>
    </w:p>
    <w:p w14:paraId="35BF54E0" w14:textId="77777777" w:rsidR="00367354" w:rsidRPr="00E92038" w:rsidRDefault="00367354" w:rsidP="000E7C99">
      <w:pPr>
        <w:spacing w:line="360" w:lineRule="auto"/>
        <w:ind w:right="0"/>
        <w:rPr>
          <w:sz w:val="24"/>
          <w:szCs w:val="24"/>
          <w:shd w:val="clear" w:color="auto" w:fill="FFFFFF"/>
        </w:rPr>
      </w:pPr>
      <w:r w:rsidRPr="00E92038">
        <w:rPr>
          <w:sz w:val="24"/>
          <w:szCs w:val="24"/>
          <w:shd w:val="clear" w:color="auto" w:fill="FFFFFF"/>
        </w:rPr>
        <w:t xml:space="preserve">The potential public health impact of ozone exposure is due to its role in making existing asthma worse, resulting in increased emergency department visits and hospitalizations.  </w:t>
      </w:r>
    </w:p>
    <w:p w14:paraId="0827DAFD" w14:textId="77777777" w:rsidR="00367354" w:rsidRPr="00E92038" w:rsidRDefault="00367354" w:rsidP="000E7C99">
      <w:pPr>
        <w:pStyle w:val="ListParagraph"/>
        <w:numPr>
          <w:ilvl w:val="0"/>
          <w:numId w:val="51"/>
        </w:numPr>
        <w:spacing w:line="360" w:lineRule="auto"/>
        <w:ind w:right="0"/>
        <w:contextualSpacing w:val="0"/>
        <w:rPr>
          <w:sz w:val="24"/>
          <w:szCs w:val="24"/>
        </w:rPr>
      </w:pPr>
      <w:r w:rsidRPr="00E92038">
        <w:rPr>
          <w:sz w:val="24"/>
          <w:szCs w:val="24"/>
          <w:shd w:val="clear" w:color="auto" w:fill="FFFFFF"/>
        </w:rPr>
        <w:t>Massachusetts has one of the highest rates of asthma in the United States. The prevalence in 2015 was 10.2% versus a national prevalence of 9.2% for individuals reporting that they currently have asthma.</w:t>
      </w:r>
      <w:r w:rsidRPr="00E92038">
        <w:rPr>
          <w:sz w:val="24"/>
          <w:szCs w:val="24"/>
          <w:shd w:val="clear" w:color="auto" w:fill="FFFFFF"/>
          <w:vertAlign w:val="superscript"/>
        </w:rPr>
        <w:t xml:space="preserve"> </w:t>
      </w:r>
      <w:r w:rsidRPr="00E92038">
        <w:rPr>
          <w:sz w:val="24"/>
          <w:szCs w:val="24"/>
          <w:shd w:val="clear" w:color="auto" w:fill="FFFFFF"/>
        </w:rPr>
        <w:t>The prevalence in Massachusetts children was 12.9% in 2015.</w:t>
      </w:r>
      <w:r w:rsidRPr="00E92038">
        <w:rPr>
          <w:rFonts w:eastAsia="Times New Roman"/>
          <w:sz w:val="24"/>
          <w:szCs w:val="24"/>
        </w:rPr>
        <w:t xml:space="preserve"> </w:t>
      </w:r>
    </w:p>
    <w:p w14:paraId="7C08C591" w14:textId="77777777" w:rsidR="00367354" w:rsidRPr="00E92038" w:rsidRDefault="00367354" w:rsidP="000E7C99">
      <w:pPr>
        <w:pStyle w:val="ListParagraph"/>
        <w:numPr>
          <w:ilvl w:val="0"/>
          <w:numId w:val="51"/>
        </w:numPr>
        <w:spacing w:line="360" w:lineRule="auto"/>
        <w:ind w:right="0"/>
        <w:contextualSpacing w:val="0"/>
        <w:rPr>
          <w:sz w:val="24"/>
          <w:szCs w:val="24"/>
        </w:rPr>
      </w:pPr>
      <w:r w:rsidRPr="00E92038">
        <w:rPr>
          <w:sz w:val="24"/>
          <w:szCs w:val="24"/>
        </w:rPr>
        <w:t>Adults age 65 years and older have the second highest rate of hospitalization due to asthma.</w:t>
      </w:r>
      <w:r w:rsidRPr="00E92038">
        <w:rPr>
          <w:b/>
          <w:sz w:val="24"/>
          <w:szCs w:val="24"/>
        </w:rPr>
        <w:t xml:space="preserve"> </w:t>
      </w:r>
    </w:p>
    <w:p w14:paraId="77904B93" w14:textId="77777777" w:rsidR="00367354" w:rsidRPr="00E92038" w:rsidRDefault="00367354" w:rsidP="000E7C99">
      <w:pPr>
        <w:pStyle w:val="ListParagraph"/>
        <w:numPr>
          <w:ilvl w:val="0"/>
          <w:numId w:val="51"/>
        </w:numPr>
        <w:spacing w:line="360" w:lineRule="auto"/>
        <w:ind w:right="0"/>
        <w:contextualSpacing w:val="0"/>
        <w:rPr>
          <w:sz w:val="24"/>
          <w:szCs w:val="24"/>
        </w:rPr>
      </w:pPr>
      <w:r w:rsidRPr="00E92038">
        <w:rPr>
          <w:sz w:val="24"/>
          <w:szCs w:val="24"/>
        </w:rPr>
        <w:t xml:space="preserve">Black non-Hispanics and Hispanics consistently have had significantly higher age-adjusted rates of hospitalization due to asthma than White non-Hispanics. </w:t>
      </w:r>
    </w:p>
    <w:p w14:paraId="75B04900" w14:textId="77777777" w:rsidR="00367354" w:rsidRPr="00E92038" w:rsidRDefault="00367354" w:rsidP="000E7C99">
      <w:pPr>
        <w:pStyle w:val="ListParagraph"/>
        <w:numPr>
          <w:ilvl w:val="0"/>
          <w:numId w:val="51"/>
        </w:numPr>
        <w:spacing w:line="360" w:lineRule="auto"/>
        <w:ind w:right="0"/>
        <w:rPr>
          <w:sz w:val="24"/>
          <w:szCs w:val="24"/>
        </w:rPr>
      </w:pPr>
      <w:r w:rsidRPr="00E92038">
        <w:rPr>
          <w:sz w:val="24"/>
          <w:szCs w:val="24"/>
        </w:rPr>
        <w:t>Children younger than five years of age have had the highest rates of emergency department visits, outpatient observation stays, and hospitalization due to asthma.</w:t>
      </w:r>
    </w:p>
    <w:p w14:paraId="06ED75EC" w14:textId="77777777" w:rsidR="00367354" w:rsidRPr="00E92038" w:rsidRDefault="00367354" w:rsidP="000E7C99">
      <w:pPr>
        <w:spacing w:line="360" w:lineRule="auto"/>
        <w:ind w:right="0"/>
        <w:rPr>
          <w:sz w:val="24"/>
          <w:szCs w:val="24"/>
        </w:rPr>
      </w:pPr>
      <w:r w:rsidRPr="00E92038">
        <w:rPr>
          <w:sz w:val="24"/>
          <w:szCs w:val="24"/>
        </w:rPr>
        <w:lastRenderedPageBreak/>
        <w:t>Exposure to air pollutants often varies geographically. The consequence of different exposures to sources of air pollutants is that health risks associated with environmental factors can be heightened for Black, Hispanic and Asian families with lower income levels as well as for c</w:t>
      </w:r>
      <w:r w:rsidRPr="00E92038">
        <w:rPr>
          <w:sz w:val="24"/>
          <w:szCs w:val="24"/>
          <w:shd w:val="clear" w:color="auto" w:fill="FFFFFF"/>
        </w:rPr>
        <w:t>hildren, the elderly, and people with pre-existing heart or lung diseases</w:t>
      </w:r>
      <w:r w:rsidRPr="00E92038">
        <w:rPr>
          <w:sz w:val="24"/>
          <w:szCs w:val="24"/>
        </w:rPr>
        <w:t>. For example:</w:t>
      </w:r>
    </w:p>
    <w:p w14:paraId="5ED18805" w14:textId="77777777" w:rsidR="00367354" w:rsidRPr="00E92038" w:rsidRDefault="00367354" w:rsidP="000E7C99">
      <w:pPr>
        <w:pStyle w:val="ListParagraph"/>
        <w:numPr>
          <w:ilvl w:val="0"/>
          <w:numId w:val="52"/>
        </w:numPr>
        <w:spacing w:line="360" w:lineRule="auto"/>
        <w:ind w:right="0"/>
        <w:contextualSpacing w:val="0"/>
        <w:rPr>
          <w:sz w:val="24"/>
          <w:szCs w:val="24"/>
          <w:shd w:val="clear" w:color="auto" w:fill="FFFFFF"/>
        </w:rPr>
      </w:pPr>
      <w:r w:rsidRPr="00E92038">
        <w:rPr>
          <w:sz w:val="24"/>
          <w:szCs w:val="24"/>
          <w:shd w:val="clear" w:color="auto" w:fill="FFFFFF"/>
        </w:rPr>
        <w:t>Power plants that emit gases like nitrogen oxide are typically located in lower income communities.</w:t>
      </w:r>
      <w:r w:rsidRPr="00E92038">
        <w:rPr>
          <w:sz w:val="24"/>
          <w:szCs w:val="24"/>
          <w:shd w:val="clear" w:color="auto" w:fill="FFFFFF"/>
          <w:vertAlign w:val="superscript"/>
        </w:rPr>
        <w:endnoteReference w:id="9"/>
      </w:r>
    </w:p>
    <w:p w14:paraId="275C04E1" w14:textId="77777777" w:rsidR="00367354" w:rsidRPr="00E92038" w:rsidRDefault="00367354" w:rsidP="000E7C99">
      <w:pPr>
        <w:pStyle w:val="ListParagraph"/>
        <w:numPr>
          <w:ilvl w:val="0"/>
          <w:numId w:val="52"/>
        </w:numPr>
        <w:spacing w:line="360" w:lineRule="auto"/>
        <w:ind w:right="0"/>
        <w:contextualSpacing w:val="0"/>
        <w:rPr>
          <w:sz w:val="24"/>
          <w:szCs w:val="24"/>
          <w:shd w:val="clear" w:color="auto" w:fill="FFFFFF"/>
        </w:rPr>
      </w:pPr>
      <w:r w:rsidRPr="00E92038">
        <w:rPr>
          <w:sz w:val="24"/>
          <w:szCs w:val="24"/>
          <w:shd w:val="clear" w:color="auto" w:fill="FFFFFF"/>
        </w:rPr>
        <w:t xml:space="preserve">Proximity to traffic and living in urban areas have been shown to contribute to both increased ozone exposure and asthma. </w:t>
      </w:r>
    </w:p>
    <w:p w14:paraId="1033F625" w14:textId="77777777" w:rsidR="00367354" w:rsidRPr="00E92038" w:rsidRDefault="00367354" w:rsidP="000E7C99">
      <w:pPr>
        <w:pStyle w:val="ListParagraph"/>
        <w:numPr>
          <w:ilvl w:val="0"/>
          <w:numId w:val="52"/>
        </w:numPr>
        <w:spacing w:line="360" w:lineRule="auto"/>
        <w:ind w:right="0"/>
        <w:contextualSpacing w:val="0"/>
        <w:rPr>
          <w:sz w:val="24"/>
          <w:szCs w:val="24"/>
          <w:shd w:val="clear" w:color="auto" w:fill="FFFFFF"/>
        </w:rPr>
      </w:pPr>
      <w:r w:rsidRPr="00E92038">
        <w:rPr>
          <w:sz w:val="24"/>
          <w:szCs w:val="24"/>
          <w:shd w:val="clear" w:color="auto" w:fill="FFFFFF"/>
        </w:rPr>
        <w:t>Adults with asthma living near roads with heavy traffic are at increased risk for hospitalization for asthma attacks and lung cancer.</w:t>
      </w:r>
    </w:p>
    <w:p w14:paraId="3476AB14" w14:textId="77777777" w:rsidR="00367354" w:rsidRPr="00E92038" w:rsidRDefault="00367354" w:rsidP="000E7C99">
      <w:pPr>
        <w:pStyle w:val="ListParagraph"/>
        <w:numPr>
          <w:ilvl w:val="0"/>
          <w:numId w:val="52"/>
        </w:numPr>
        <w:spacing w:line="360" w:lineRule="auto"/>
        <w:ind w:right="0"/>
        <w:contextualSpacing w:val="0"/>
        <w:rPr>
          <w:sz w:val="24"/>
          <w:szCs w:val="24"/>
          <w:shd w:val="clear" w:color="auto" w:fill="FFFFFF"/>
        </w:rPr>
      </w:pPr>
      <w:r w:rsidRPr="00E92038">
        <w:rPr>
          <w:sz w:val="24"/>
          <w:szCs w:val="24"/>
          <w:shd w:val="clear" w:color="auto" w:fill="FFFFFF"/>
        </w:rPr>
        <w:t xml:space="preserve">Individuals who rely on open windows for cooling during summer months are at greater risk for adverse health impacts than those with air conditioning.  </w:t>
      </w:r>
    </w:p>
    <w:p w14:paraId="478DFC9A" w14:textId="77777777" w:rsidR="00367354" w:rsidRPr="00E92038" w:rsidRDefault="00367354" w:rsidP="000E7C99">
      <w:pPr>
        <w:pStyle w:val="ListParagraph"/>
        <w:numPr>
          <w:ilvl w:val="0"/>
          <w:numId w:val="52"/>
        </w:numPr>
        <w:spacing w:line="360" w:lineRule="auto"/>
        <w:ind w:right="0"/>
        <w:contextualSpacing w:val="0"/>
        <w:rPr>
          <w:sz w:val="24"/>
          <w:szCs w:val="24"/>
          <w:shd w:val="clear" w:color="auto" w:fill="FFFFFF"/>
        </w:rPr>
      </w:pPr>
      <w:r w:rsidRPr="00E92038">
        <w:rPr>
          <w:sz w:val="24"/>
          <w:szCs w:val="24"/>
          <w:shd w:val="clear" w:color="auto" w:fill="FFFFFF"/>
        </w:rPr>
        <w:t>People working or exercising outside breathe more deeply, resulting in ambient air pollutants penetrating deeper into the respiratory tract.</w:t>
      </w:r>
    </w:p>
    <w:p w14:paraId="2D206DB9" w14:textId="77777777" w:rsidR="00367354" w:rsidRPr="00E92038" w:rsidRDefault="00367354" w:rsidP="000E7C99">
      <w:pPr>
        <w:pStyle w:val="Heading3"/>
        <w:spacing w:line="360" w:lineRule="auto"/>
        <w:rPr>
          <w:sz w:val="24"/>
          <w:szCs w:val="24"/>
        </w:rPr>
      </w:pPr>
      <w:r w:rsidRPr="00E92038">
        <w:rPr>
          <w:sz w:val="24"/>
          <w:szCs w:val="24"/>
        </w:rPr>
        <w:t xml:space="preserve">Recreational Water Quality </w:t>
      </w:r>
    </w:p>
    <w:p w14:paraId="501E1A83" w14:textId="1F74DF6D" w:rsidR="00367354" w:rsidRPr="00E92038" w:rsidRDefault="00367354" w:rsidP="000E7C99">
      <w:pPr>
        <w:keepNext/>
        <w:keepLines/>
        <w:spacing w:line="360" w:lineRule="auto"/>
        <w:ind w:right="0"/>
        <w:rPr>
          <w:sz w:val="24"/>
          <w:szCs w:val="24"/>
          <w:vertAlign w:val="superscript"/>
        </w:rPr>
      </w:pPr>
      <w:r w:rsidRPr="00E92038">
        <w:rPr>
          <w:sz w:val="24"/>
          <w:szCs w:val="24"/>
        </w:rPr>
        <w:t>Swimming at Massachusetts beaches is one of the most popular and low-cost recreational activities in the Commonwealth. Swimming and beach-related activities can improve overall physical, mental, and social well-being. However, swimming in polluted water can lead to illnesses such as fever, gastrointestinal distress, s</w:t>
      </w:r>
      <w:r w:rsidR="005C0CE3" w:rsidRPr="00E92038">
        <w:rPr>
          <w:sz w:val="24"/>
          <w:szCs w:val="24"/>
        </w:rPr>
        <w:t xml:space="preserve">kin problems, and ear, nose, </w:t>
      </w:r>
      <w:r w:rsidRPr="00E92038">
        <w:rPr>
          <w:sz w:val="24"/>
          <w:szCs w:val="24"/>
        </w:rPr>
        <w:t>throat irritation or infections. Good water quality is important for public health, especially for those most vulnerable, such as the young, sick, and elderly.</w:t>
      </w:r>
    </w:p>
    <w:p w14:paraId="2DEBF84B" w14:textId="5A53C571" w:rsidR="00367354" w:rsidRPr="00E92038" w:rsidRDefault="00367354" w:rsidP="000E7C99">
      <w:pPr>
        <w:spacing w:line="360" w:lineRule="auto"/>
        <w:ind w:right="0"/>
        <w:rPr>
          <w:b/>
          <w:sz w:val="24"/>
          <w:szCs w:val="24"/>
        </w:rPr>
      </w:pPr>
      <w:r w:rsidRPr="00E92038">
        <w:rPr>
          <w:sz w:val="24"/>
          <w:szCs w:val="24"/>
        </w:rPr>
        <w:t xml:space="preserve">Testing recreational water quality is important to help reduce the number of swimming-associated illnesses. Massachusetts beaches are required to be tested for fecal indicator bacteria (FIB) and are closed if these levels exceed water quality standards. </w:t>
      </w:r>
      <w:r w:rsidR="00913956" w:rsidRPr="00E92038">
        <w:rPr>
          <w:sz w:val="24"/>
          <w:szCs w:val="24"/>
        </w:rPr>
        <w:t>FIB</w:t>
      </w:r>
      <w:r w:rsidRPr="00E92038">
        <w:rPr>
          <w:sz w:val="24"/>
          <w:szCs w:val="24"/>
        </w:rPr>
        <w:t xml:space="preserve"> levels and closures are required to be reported to MDPH. </w:t>
      </w:r>
    </w:p>
    <w:p w14:paraId="50A133E1" w14:textId="77777777" w:rsidR="00367354" w:rsidRPr="00E92038" w:rsidRDefault="00367354" w:rsidP="000E7C99">
      <w:pPr>
        <w:pStyle w:val="Heading4"/>
        <w:spacing w:line="360" w:lineRule="auto"/>
        <w:ind w:right="0"/>
      </w:pPr>
      <w:r w:rsidRPr="00E92038">
        <w:t>Trends/Disparities</w:t>
      </w:r>
    </w:p>
    <w:p w14:paraId="7274C7B9" w14:textId="3C60298B" w:rsidR="00D71828" w:rsidRPr="00E92038" w:rsidRDefault="007812CC" w:rsidP="000E7C99">
      <w:pPr>
        <w:spacing w:line="360" w:lineRule="auto"/>
        <w:ind w:right="0"/>
        <w:rPr>
          <w:sz w:val="24"/>
          <w:szCs w:val="24"/>
        </w:rPr>
      </w:pPr>
      <w:r w:rsidRPr="00E92038">
        <w:rPr>
          <w:sz w:val="24"/>
          <w:szCs w:val="24"/>
        </w:rPr>
        <w:lastRenderedPageBreak/>
        <w:t>In 2016, 3</w:t>
      </w:r>
      <w:r w:rsidR="00367354" w:rsidRPr="00E92038">
        <w:rPr>
          <w:sz w:val="24"/>
          <w:szCs w:val="24"/>
        </w:rPr>
        <w:t>% of freshwater and 3.5% of marine beach samples in Massachusetts exceeded FIB regulatory levels. Exceeding FIB standards is often associated with rainfall, reflecting the impact of land-based pollution (e.g., dog waste, bird droppings) and sewage. In 2016, FIB levels and/or unsafe conditions such as rip tides, shark sightings, and harmful algae blooms required the closing of beaches on 274 occasions. In 2016, the highest number of FIB exceedances at marine beaches occurred in three cities in the greater Boston metropolitan area: Boston, Lynn, and Quincy</w:t>
      </w:r>
      <w:r w:rsidR="005C0CE3" w:rsidRPr="00E92038">
        <w:rPr>
          <w:sz w:val="24"/>
          <w:szCs w:val="24"/>
        </w:rPr>
        <w:t xml:space="preserve"> as shown in </w:t>
      </w:r>
      <w:r w:rsidR="005C0CE3" w:rsidRPr="00E92038">
        <w:rPr>
          <w:b/>
          <w:sz w:val="24"/>
          <w:szCs w:val="24"/>
        </w:rPr>
        <w:t>Figures 3.2 and 3.3.</w:t>
      </w:r>
    </w:p>
    <w:p w14:paraId="2CF8BBE3" w14:textId="3C791F46" w:rsidR="00BD3194" w:rsidRPr="000E7C99" w:rsidRDefault="00D71828" w:rsidP="000E7C99">
      <w:pPr>
        <w:spacing w:line="360" w:lineRule="auto"/>
        <w:ind w:right="0"/>
        <w:rPr>
          <w:sz w:val="24"/>
          <w:szCs w:val="24"/>
        </w:rPr>
      </w:pPr>
      <w:r w:rsidRPr="00E92038">
        <w:rPr>
          <w:sz w:val="24"/>
          <w:szCs w:val="24"/>
        </w:rPr>
        <w:t xml:space="preserve">In 2016, the number of freshwater beaches that exceeded the FIB standard varied among communities across the state with many communities having at least one beach that did not meet the standard. Overall, the </w:t>
      </w:r>
      <w:r w:rsidR="00F26C2A" w:rsidRPr="00E92038">
        <w:rPr>
          <w:sz w:val="24"/>
          <w:szCs w:val="24"/>
        </w:rPr>
        <w:t>highest</w:t>
      </w:r>
      <w:r w:rsidRPr="00E92038">
        <w:rPr>
          <w:sz w:val="24"/>
          <w:szCs w:val="24"/>
        </w:rPr>
        <w:t xml:space="preserve"> number of FIB</w:t>
      </w:r>
      <w:r w:rsidR="00F26C2A" w:rsidRPr="00E92038">
        <w:rPr>
          <w:sz w:val="24"/>
          <w:szCs w:val="24"/>
        </w:rPr>
        <w:t xml:space="preserve"> exceedances</w:t>
      </w:r>
      <w:r w:rsidRPr="00E92038">
        <w:rPr>
          <w:sz w:val="24"/>
          <w:szCs w:val="24"/>
        </w:rPr>
        <w:t xml:space="preserve"> occurred in Brimfield, Templeton, and West Tisbury.</w:t>
      </w:r>
    </w:p>
    <w:p w14:paraId="73D37146" w14:textId="162F3B0A" w:rsidR="00367354" w:rsidRPr="00E92038" w:rsidRDefault="00F3429F" w:rsidP="00F3429F">
      <w:pPr>
        <w:pStyle w:val="SHAFigureNumber"/>
        <w:rPr>
          <w:sz w:val="24"/>
          <w:szCs w:val="24"/>
        </w:rPr>
      </w:pPr>
      <w:r w:rsidRPr="00E92038">
        <w:rPr>
          <w:sz w:val="24"/>
          <w:szCs w:val="24"/>
        </w:rPr>
        <w:t>Figure</w:t>
      </w:r>
      <w:r w:rsidR="00AC4D06" w:rsidRPr="00E92038">
        <w:rPr>
          <w:sz w:val="24"/>
          <w:szCs w:val="24"/>
        </w:rPr>
        <w:t xml:space="preserve"> 3.2</w:t>
      </w:r>
    </w:p>
    <w:p w14:paraId="11AD6E63" w14:textId="0885520D" w:rsidR="00367354" w:rsidRPr="00E92038" w:rsidRDefault="00367354" w:rsidP="00F3429F">
      <w:pPr>
        <w:pStyle w:val="SHAFigureNumber"/>
        <w:rPr>
          <w:rStyle w:val="SubtleEmphasis"/>
          <w:b/>
          <w:iCs w:val="0"/>
          <w:color w:val="auto"/>
          <w:sz w:val="24"/>
          <w:szCs w:val="24"/>
        </w:rPr>
      </w:pPr>
      <w:r w:rsidRPr="00E92038">
        <w:rPr>
          <w:rStyle w:val="SubtleEmphasis"/>
          <w:b/>
          <w:iCs w:val="0"/>
          <w:color w:val="auto"/>
          <w:sz w:val="24"/>
          <w:szCs w:val="24"/>
        </w:rPr>
        <w:t xml:space="preserve">Number of Marine </w:t>
      </w:r>
      <w:r w:rsidR="005C0CE3" w:rsidRPr="00E92038">
        <w:rPr>
          <w:rStyle w:val="SubtleEmphasis"/>
          <w:b/>
          <w:iCs w:val="0"/>
          <w:color w:val="auto"/>
          <w:sz w:val="24"/>
          <w:szCs w:val="24"/>
        </w:rPr>
        <w:t xml:space="preserve">Fecal Indicator Bacteria (FIB) </w:t>
      </w:r>
      <w:r w:rsidRPr="00E92038">
        <w:rPr>
          <w:rStyle w:val="SubtleEmphasis"/>
          <w:b/>
          <w:iCs w:val="0"/>
          <w:color w:val="auto"/>
          <w:sz w:val="24"/>
          <w:szCs w:val="24"/>
        </w:rPr>
        <w:t>Exceedances, Massachusetts, 2016</w:t>
      </w:r>
    </w:p>
    <w:p w14:paraId="5BB8DFB9" w14:textId="422664B6" w:rsidR="00D71828" w:rsidRPr="00F3429F" w:rsidRDefault="00D71828" w:rsidP="00F3429F">
      <w:pPr>
        <w:pStyle w:val="SHAFigureNumber"/>
        <w:rPr>
          <w:rStyle w:val="SubtleEmphasis"/>
          <w:b/>
          <w:iCs w:val="0"/>
          <w:color w:val="auto"/>
        </w:rPr>
      </w:pPr>
      <w:r>
        <w:rPr>
          <w:noProof/>
        </w:rPr>
        <w:drawing>
          <wp:inline distT="0" distB="0" distL="0" distR="0" wp14:anchorId="55F27CDF" wp14:editId="6A87E4B1">
            <wp:extent cx="5715000" cy="3411671"/>
            <wp:effectExtent l="0" t="0" r="0" b="0"/>
            <wp:docPr id="234" name="Graphic 234" descr="This map of Massachusetts shows the number of Marine Fecal Indicator Bacteria (FIB) exceedances at beaches by town in 2016.  Each of the 351 Massachusetts communities on the map are assigned one of 6 colors to represent the number of exceedances; 1 to 10 exceedances, 11 to 20, 21 to 30, 30+, no exceedances, and no beaches.  Of the 60 coastal towns with monitored beaches, about 40 had at least one exceedance.  The communities with the most exceedances were located in the metropolitan Boston area.  Please contact the MDPH Bureau of Environmental Health for information for specific commun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3.2 Marine.svg"/>
                    <pic:cNvPicPr/>
                  </pic:nvPicPr>
                  <pic:blipFill rotWithShape="1">
                    <a:blip r:embed="rId1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2"/>
                        </a:ext>
                      </a:extLst>
                    </a:blip>
                    <a:srcRect t="10989" b="3730"/>
                    <a:stretch/>
                  </pic:blipFill>
                  <pic:spPr bwMode="auto">
                    <a:xfrm>
                      <a:off x="0" y="0"/>
                      <a:ext cx="5715000" cy="3411671"/>
                    </a:xfrm>
                    <a:prstGeom prst="rect">
                      <a:avLst/>
                    </a:prstGeom>
                    <a:ln>
                      <a:noFill/>
                    </a:ln>
                    <a:extLst>
                      <a:ext uri="{53640926-AAD7-44D8-BBD7-CCE9431645EC}">
                        <a14:shadowObscured xmlns:a14="http://schemas.microsoft.com/office/drawing/2010/main"/>
                      </a:ext>
                    </a:extLst>
                  </pic:spPr>
                </pic:pic>
              </a:graphicData>
            </a:graphic>
          </wp:inline>
        </w:drawing>
      </w:r>
    </w:p>
    <w:p w14:paraId="70B4A388" w14:textId="77777777" w:rsidR="000E7C99" w:rsidRDefault="000E7C99">
      <w:pPr>
        <w:spacing w:before="0"/>
        <w:ind w:left="0" w:right="0"/>
        <w:jc w:val="left"/>
        <w:rPr>
          <w:b/>
          <w:noProof w:val="0"/>
          <w:sz w:val="24"/>
          <w:szCs w:val="24"/>
        </w:rPr>
      </w:pPr>
      <w:r>
        <w:rPr>
          <w:sz w:val="24"/>
          <w:szCs w:val="24"/>
        </w:rPr>
        <w:br w:type="page"/>
      </w:r>
    </w:p>
    <w:p w14:paraId="77D2CF53" w14:textId="0DB1952D" w:rsidR="00367354" w:rsidRPr="00E92038" w:rsidRDefault="00F3429F" w:rsidP="00F3429F">
      <w:pPr>
        <w:pStyle w:val="SHAFigureNumber"/>
        <w:rPr>
          <w:sz w:val="24"/>
          <w:szCs w:val="24"/>
        </w:rPr>
      </w:pPr>
      <w:r w:rsidRPr="00E92038">
        <w:rPr>
          <w:sz w:val="24"/>
          <w:szCs w:val="24"/>
        </w:rPr>
        <w:lastRenderedPageBreak/>
        <w:t xml:space="preserve">Figure </w:t>
      </w:r>
      <w:r w:rsidR="00AC4D06" w:rsidRPr="00E92038">
        <w:rPr>
          <w:sz w:val="24"/>
          <w:szCs w:val="24"/>
        </w:rPr>
        <w:t>3.3</w:t>
      </w:r>
    </w:p>
    <w:p w14:paraId="6D68A7C6" w14:textId="57017326" w:rsidR="00367354" w:rsidRPr="00E92038" w:rsidRDefault="00367354" w:rsidP="00F3429F">
      <w:pPr>
        <w:pStyle w:val="SHAFigureNumber"/>
        <w:rPr>
          <w:sz w:val="24"/>
          <w:szCs w:val="24"/>
        </w:rPr>
      </w:pPr>
      <w:r w:rsidRPr="00E92038">
        <w:rPr>
          <w:sz w:val="24"/>
          <w:szCs w:val="24"/>
        </w:rPr>
        <w:t xml:space="preserve">Number of Freshwater </w:t>
      </w:r>
      <w:r w:rsidR="005C0CE3" w:rsidRPr="00E92038">
        <w:rPr>
          <w:sz w:val="24"/>
          <w:szCs w:val="24"/>
        </w:rPr>
        <w:t>Fecal Indicator Bacteria (FIB</w:t>
      </w:r>
      <w:proofErr w:type="gramStart"/>
      <w:r w:rsidR="005C0CE3" w:rsidRPr="00E92038">
        <w:rPr>
          <w:sz w:val="24"/>
          <w:szCs w:val="24"/>
        </w:rPr>
        <w:t>)</w:t>
      </w:r>
      <w:r w:rsidRPr="00E92038">
        <w:rPr>
          <w:sz w:val="24"/>
          <w:szCs w:val="24"/>
        </w:rPr>
        <w:t>Exceedances</w:t>
      </w:r>
      <w:proofErr w:type="gramEnd"/>
      <w:r w:rsidRPr="00E92038">
        <w:rPr>
          <w:sz w:val="24"/>
          <w:szCs w:val="24"/>
        </w:rPr>
        <w:t>, Massachusetts, 2016</w:t>
      </w:r>
    </w:p>
    <w:p w14:paraId="62F94440" w14:textId="29EA57CD" w:rsidR="00367354" w:rsidRDefault="00BD3194" w:rsidP="00AC4D06">
      <w:pPr>
        <w:pStyle w:val="ListParagraph"/>
        <w:ind w:left="-360" w:right="0"/>
        <w:jc w:val="center"/>
      </w:pPr>
      <w:r>
        <w:drawing>
          <wp:inline distT="0" distB="0" distL="0" distR="0" wp14:anchorId="1E37120A" wp14:editId="4AC89807">
            <wp:extent cx="5715000" cy="3459936"/>
            <wp:effectExtent l="0" t="0" r="0" b="7620"/>
            <wp:docPr id="235" name="Graphic 235" descr="This map of Massachusetts shows the number of Freshwater Fecal Indicator Bacteria (FIB) exceedances at beaches by town in 2016.  Each of the 351 Massachusetts communities on the map are assigned one of 5 colors to represent the number of exceedances; 1 to 5 exceedances, 6 to 10, 10+, no exceedances, and no beaches.  About half of Massachusetts towns scattered across the state had no beaches.  About 90 other communities had no exceedances at their beaches.  Of the remaining communities, almost all had 1-5 exceedances while three communities had 10+ exceedances and 5 had 6 to 10 exceedances.  There was no obvious geographic clustering of the number of exceedances.  Please contact the MDPH Bureau of Environmental Health for information for specific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3.3 Freshwater.svg"/>
                    <pic:cNvPicPr/>
                  </pic:nvPicPr>
                  <pic:blipFill rotWithShape="1">
                    <a:blip r:embed="rId8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4"/>
                        </a:ext>
                      </a:extLst>
                    </a:blip>
                    <a:srcRect t="8548" b="4965"/>
                    <a:stretch/>
                  </pic:blipFill>
                  <pic:spPr bwMode="auto">
                    <a:xfrm>
                      <a:off x="0" y="0"/>
                      <a:ext cx="5715000" cy="3459936"/>
                    </a:xfrm>
                    <a:prstGeom prst="rect">
                      <a:avLst/>
                    </a:prstGeom>
                    <a:ln>
                      <a:noFill/>
                    </a:ln>
                    <a:extLst>
                      <a:ext uri="{53640926-AAD7-44D8-BBD7-CCE9431645EC}">
                        <a14:shadowObscured xmlns:a14="http://schemas.microsoft.com/office/drawing/2010/main"/>
                      </a:ext>
                    </a:extLst>
                  </pic:spPr>
                </pic:pic>
              </a:graphicData>
            </a:graphic>
          </wp:inline>
        </w:drawing>
      </w:r>
    </w:p>
    <w:p w14:paraId="0FBC25B1" w14:textId="1AA511FE" w:rsidR="00367354" w:rsidRPr="00E92038" w:rsidRDefault="00367354" w:rsidP="000E7C99">
      <w:pPr>
        <w:pStyle w:val="Heading3"/>
        <w:spacing w:line="360" w:lineRule="auto"/>
        <w:rPr>
          <w:sz w:val="24"/>
          <w:szCs w:val="24"/>
        </w:rPr>
      </w:pPr>
      <w:r w:rsidRPr="00E92038">
        <w:rPr>
          <w:sz w:val="24"/>
          <w:szCs w:val="24"/>
        </w:rPr>
        <w:t xml:space="preserve">Public Drinking Water Quality </w:t>
      </w:r>
    </w:p>
    <w:p w14:paraId="3FFEB3FE" w14:textId="77777777" w:rsidR="00367354" w:rsidRPr="00E92038" w:rsidRDefault="00367354" w:rsidP="000E7C99">
      <w:pPr>
        <w:spacing w:line="360" w:lineRule="auto"/>
        <w:ind w:right="0"/>
        <w:rPr>
          <w:sz w:val="24"/>
          <w:szCs w:val="24"/>
        </w:rPr>
      </w:pPr>
      <w:r w:rsidRPr="00E92038">
        <w:rPr>
          <w:sz w:val="24"/>
          <w:szCs w:val="24"/>
        </w:rPr>
        <w:t>Approximately 93% of Massachusetts residents rely on public supplies for their drinking water. People can become exposed to contaminants in drinking water by drinking, eating foods prepared with water, breathing water droplets or chemicals released from the water while showering, and absorbing chemicals through the skin while bathing.</w:t>
      </w:r>
    </w:p>
    <w:p w14:paraId="294BF60F" w14:textId="0AABD5B6" w:rsidR="00367354" w:rsidRPr="00E92038" w:rsidRDefault="00367354" w:rsidP="000E7C99">
      <w:pPr>
        <w:spacing w:line="360" w:lineRule="auto"/>
        <w:ind w:right="0"/>
        <w:rPr>
          <w:sz w:val="24"/>
          <w:szCs w:val="24"/>
        </w:rPr>
      </w:pPr>
      <w:r w:rsidRPr="00E92038">
        <w:rPr>
          <w:sz w:val="24"/>
          <w:szCs w:val="24"/>
        </w:rPr>
        <w:t xml:space="preserve">In Massachusetts, the </w:t>
      </w:r>
      <w:r w:rsidR="003E3840" w:rsidRPr="00E92038">
        <w:rPr>
          <w:sz w:val="24"/>
          <w:szCs w:val="24"/>
        </w:rPr>
        <w:t xml:space="preserve">MassDEP </w:t>
      </w:r>
      <w:r w:rsidRPr="00E92038">
        <w:rPr>
          <w:sz w:val="24"/>
          <w:szCs w:val="24"/>
        </w:rPr>
        <w:t xml:space="preserve">has statutory responsibility to oversee and implement federal and state Safe Drinking Water Act requirements. MDPH collaborates with MassDEP to assist communities in understanding the health risks associated with contaminants in drinking water. Health-based drinking water standards and guidelines exist for over 100 chemical, radiological, and biological substances.  </w:t>
      </w:r>
    </w:p>
    <w:p w14:paraId="622B6EAB" w14:textId="77777777" w:rsidR="00367354" w:rsidRPr="00E92038" w:rsidRDefault="00367354" w:rsidP="000E7C99">
      <w:pPr>
        <w:pStyle w:val="Heading4"/>
        <w:spacing w:line="360" w:lineRule="auto"/>
        <w:ind w:right="0"/>
      </w:pPr>
      <w:r w:rsidRPr="00E92038">
        <w:t>Trends/Disparities</w:t>
      </w:r>
    </w:p>
    <w:p w14:paraId="3741926E" w14:textId="598B968B" w:rsidR="00367354" w:rsidRPr="00E92038" w:rsidRDefault="00367354" w:rsidP="000E7C99">
      <w:pPr>
        <w:spacing w:line="360" w:lineRule="auto"/>
        <w:ind w:right="0"/>
        <w:rPr>
          <w:b/>
          <w:sz w:val="24"/>
          <w:szCs w:val="24"/>
        </w:rPr>
      </w:pPr>
      <w:r w:rsidRPr="00E92038">
        <w:rPr>
          <w:sz w:val="24"/>
          <w:szCs w:val="24"/>
        </w:rPr>
        <w:t xml:space="preserve">Massachusetts drinking water is generally considered high quality. However, a particular public water supply or private well may contain a contaminant(s) at a level above MassDEP’s standards or guidelines. Residents can obtain </w:t>
      </w:r>
      <w:hyperlink r:id="rId85" w:history="1">
        <w:r w:rsidRPr="00E92038">
          <w:rPr>
            <w:rStyle w:val="Hyperlink"/>
            <w:sz w:val="24"/>
            <w:szCs w:val="24"/>
          </w:rPr>
          <w:t>information on their particular drinking water source</w:t>
        </w:r>
      </w:hyperlink>
      <w:r w:rsidRPr="00E92038">
        <w:rPr>
          <w:sz w:val="24"/>
          <w:szCs w:val="24"/>
        </w:rPr>
        <w:t xml:space="preserve"> by visiting </w:t>
      </w:r>
      <w:hyperlink r:id="rId86" w:history="1">
        <w:r w:rsidRPr="00E92038">
          <w:rPr>
            <w:rStyle w:val="Hyperlink"/>
            <w:rFonts w:cstheme="minorBidi"/>
            <w:sz w:val="24"/>
            <w:szCs w:val="24"/>
            <w:shd w:val="clear" w:color="auto" w:fill="auto"/>
          </w:rPr>
          <w:t>this linked website</w:t>
        </w:r>
      </w:hyperlink>
      <w:r w:rsidRPr="00E92038">
        <w:rPr>
          <w:sz w:val="24"/>
          <w:szCs w:val="24"/>
        </w:rPr>
        <w:t xml:space="preserve"> or </w:t>
      </w:r>
      <w:r w:rsidRPr="00E92038">
        <w:rPr>
          <w:sz w:val="24"/>
          <w:szCs w:val="24"/>
        </w:rPr>
        <w:lastRenderedPageBreak/>
        <w:t>by calling their local water department. Private well owners can obtain information on how to have their well water tested by visiting this website as well.</w:t>
      </w:r>
    </w:p>
    <w:p w14:paraId="04EE58BB" w14:textId="77777777" w:rsidR="00367354" w:rsidRPr="00E92038" w:rsidRDefault="00367354" w:rsidP="000E7C99">
      <w:pPr>
        <w:pStyle w:val="Heading3"/>
        <w:spacing w:line="360" w:lineRule="auto"/>
        <w:rPr>
          <w:b/>
          <w:color w:val="000000" w:themeColor="text1"/>
          <w:sz w:val="24"/>
          <w:szCs w:val="24"/>
        </w:rPr>
      </w:pPr>
      <w:r w:rsidRPr="00E92038">
        <w:rPr>
          <w:b/>
          <w:color w:val="000000" w:themeColor="text1"/>
          <w:sz w:val="24"/>
          <w:szCs w:val="24"/>
        </w:rPr>
        <w:t>Childhood Lead Exposure</w:t>
      </w:r>
    </w:p>
    <w:p w14:paraId="46CEB8AD" w14:textId="77777777" w:rsidR="00367354" w:rsidRPr="00E92038" w:rsidRDefault="00367354" w:rsidP="000E7C99">
      <w:pPr>
        <w:spacing w:line="360" w:lineRule="auto"/>
        <w:ind w:right="0"/>
        <w:rPr>
          <w:sz w:val="24"/>
          <w:szCs w:val="24"/>
        </w:rPr>
      </w:pPr>
      <w:r w:rsidRPr="00E92038">
        <w:rPr>
          <w:sz w:val="24"/>
          <w:szCs w:val="24"/>
        </w:rPr>
        <w:t>There is no safe level of exposure to lead and even relatively low levels of lead can cause severe and irreversible health effects, including damage to a child’s mental and physical development.</w:t>
      </w:r>
      <w:r w:rsidRPr="00E92038">
        <w:rPr>
          <w:rFonts w:ascii="Calibri" w:eastAsia="Calibri" w:hAnsi="Calibri" w:cs="Times New Roman"/>
          <w:sz w:val="24"/>
          <w:szCs w:val="24"/>
          <w:vertAlign w:val="superscript"/>
        </w:rPr>
        <w:t xml:space="preserve"> </w:t>
      </w:r>
      <w:r w:rsidRPr="00E92038">
        <w:rPr>
          <w:rFonts w:ascii="Calibri" w:eastAsia="Calibri" w:hAnsi="Calibri" w:cs="Times New Roman"/>
          <w:sz w:val="24"/>
          <w:szCs w:val="24"/>
          <w:vertAlign w:val="superscript"/>
        </w:rPr>
        <w:endnoteReference w:id="10"/>
      </w:r>
      <w:r w:rsidRPr="00E92038">
        <w:rPr>
          <w:rFonts w:ascii="Calibri" w:eastAsia="Calibri" w:hAnsi="Calibri" w:cs="Times New Roman"/>
          <w:sz w:val="24"/>
          <w:szCs w:val="24"/>
          <w:vertAlign w:val="superscript"/>
        </w:rPr>
        <w:t>,</w:t>
      </w:r>
      <w:r w:rsidRPr="00E92038">
        <w:rPr>
          <w:rFonts w:ascii="Calibri" w:eastAsia="Calibri" w:hAnsi="Calibri" w:cs="Times New Roman"/>
          <w:sz w:val="24"/>
          <w:szCs w:val="24"/>
          <w:vertAlign w:val="superscript"/>
        </w:rPr>
        <w:endnoteReference w:id="11"/>
      </w:r>
      <w:r w:rsidRPr="00E92038">
        <w:rPr>
          <w:sz w:val="24"/>
          <w:szCs w:val="24"/>
        </w:rPr>
        <w:t xml:space="preserve"> Numerous studies have documented correlations between childhood lead poisoning and future school performance, unemployment, crime, violence, and incarceration, making lead exposure an important social determinant of health.</w:t>
      </w:r>
      <w:r w:rsidRPr="00E92038">
        <w:rPr>
          <w:rFonts w:ascii="Calibri" w:eastAsia="Calibri" w:hAnsi="Calibri" w:cs="Times New Roman"/>
          <w:sz w:val="24"/>
          <w:szCs w:val="24"/>
          <w:vertAlign w:val="superscript"/>
        </w:rPr>
        <w:t xml:space="preserve"> </w:t>
      </w:r>
      <w:r w:rsidRPr="00E92038">
        <w:rPr>
          <w:rFonts w:ascii="Calibri" w:eastAsia="Calibri" w:hAnsi="Calibri" w:cs="Times New Roman"/>
          <w:sz w:val="24"/>
          <w:szCs w:val="24"/>
          <w:vertAlign w:val="superscript"/>
        </w:rPr>
        <w:endnoteReference w:id="12"/>
      </w:r>
      <w:r w:rsidRPr="00E92038">
        <w:rPr>
          <w:rFonts w:ascii="Calibri" w:eastAsia="Calibri" w:hAnsi="Calibri" w:cs="Times New Roman"/>
          <w:sz w:val="24"/>
          <w:szCs w:val="24"/>
          <w:vertAlign w:val="superscript"/>
        </w:rPr>
        <w:t>,</w:t>
      </w:r>
      <w:r w:rsidRPr="00E92038">
        <w:rPr>
          <w:rFonts w:ascii="Calibri" w:eastAsia="Calibri" w:hAnsi="Calibri" w:cs="Times New Roman"/>
          <w:sz w:val="24"/>
          <w:szCs w:val="24"/>
          <w:vertAlign w:val="superscript"/>
        </w:rPr>
        <w:endnoteReference w:id="13"/>
      </w:r>
      <w:r w:rsidRPr="00E92038">
        <w:rPr>
          <w:rFonts w:ascii="Calibri" w:eastAsia="Calibri" w:hAnsi="Calibri" w:cs="Times New Roman"/>
          <w:sz w:val="24"/>
          <w:szCs w:val="24"/>
          <w:vertAlign w:val="superscript"/>
        </w:rPr>
        <w:t>,</w:t>
      </w:r>
      <w:r w:rsidRPr="00E92038">
        <w:rPr>
          <w:rFonts w:ascii="Calibri" w:eastAsia="Calibri" w:hAnsi="Calibri" w:cs="Times New Roman"/>
          <w:sz w:val="24"/>
          <w:szCs w:val="24"/>
          <w:vertAlign w:val="superscript"/>
        </w:rPr>
        <w:endnoteReference w:id="14"/>
      </w:r>
      <w:r w:rsidRPr="00E92038">
        <w:rPr>
          <w:rFonts w:ascii="Calibri" w:eastAsia="Calibri" w:hAnsi="Calibri" w:cs="Times New Roman"/>
          <w:sz w:val="24"/>
          <w:szCs w:val="24"/>
          <w:vertAlign w:val="superscript"/>
        </w:rPr>
        <w:t>,</w:t>
      </w:r>
      <w:r w:rsidRPr="00E92038">
        <w:rPr>
          <w:rFonts w:ascii="Calibri" w:eastAsia="Calibri" w:hAnsi="Calibri" w:cs="Times New Roman"/>
          <w:sz w:val="24"/>
          <w:szCs w:val="24"/>
          <w:vertAlign w:val="superscript"/>
        </w:rPr>
        <w:endnoteReference w:id="15"/>
      </w:r>
    </w:p>
    <w:p w14:paraId="038FAE47" w14:textId="77777777" w:rsidR="00367354" w:rsidRPr="00E92038" w:rsidRDefault="00367354" w:rsidP="000E7C99">
      <w:pPr>
        <w:spacing w:line="360" w:lineRule="auto"/>
        <w:ind w:right="0"/>
        <w:rPr>
          <w:b/>
          <w:sz w:val="24"/>
          <w:szCs w:val="24"/>
        </w:rPr>
      </w:pPr>
      <w:r w:rsidRPr="00E92038">
        <w:rPr>
          <w:sz w:val="24"/>
          <w:szCs w:val="24"/>
        </w:rPr>
        <w:t>While the Commonwealth has made substantial gains in mitigating the harmful effects of lead, lead exposure remains a significant health risk for children across the state. Massachusetts has the fourth oldest housing stock in the country: approximately 71% of the Commonwealth’s housing was built before 1978, the year lead was banned in residential paint.</w:t>
      </w:r>
      <w:r w:rsidRPr="00E92038">
        <w:rPr>
          <w:b/>
          <w:sz w:val="24"/>
          <w:szCs w:val="24"/>
        </w:rPr>
        <w:t xml:space="preserve"> </w:t>
      </w:r>
      <w:r w:rsidRPr="00E92038">
        <w:rPr>
          <w:sz w:val="24"/>
          <w:szCs w:val="24"/>
        </w:rPr>
        <w:t>Children are most often exposed to lead through ingestion of dust or soil contaminated by loose or deteriorated lead paint, often on windows and exterior surfaces, or disturbed by unsafe renovations.</w:t>
      </w:r>
    </w:p>
    <w:p w14:paraId="3A1D7CB6" w14:textId="54731827" w:rsidR="00367354" w:rsidRPr="00E92038" w:rsidRDefault="00367354" w:rsidP="000E7C99">
      <w:pPr>
        <w:spacing w:line="360" w:lineRule="auto"/>
        <w:ind w:right="0"/>
        <w:rPr>
          <w:sz w:val="24"/>
          <w:szCs w:val="24"/>
        </w:rPr>
      </w:pPr>
      <w:r w:rsidRPr="00E92038">
        <w:rPr>
          <w:sz w:val="24"/>
          <w:szCs w:val="24"/>
        </w:rPr>
        <w:t>The Massachusetts Lead Law (see MGL c. 111, §§ 189A-199B and 105 CMR 460.000) is one of the nation’s most comprehensive for lead poisoning prevention by requiring the de-leading of any dwelling unit where a child under six years of age resides, regardless of a child’s blood lead level (BLL) or whether the property is owner-occupied.</w:t>
      </w:r>
      <w:r w:rsidR="00127F33" w:rsidRPr="00E92038">
        <w:rPr>
          <w:sz w:val="24"/>
          <w:szCs w:val="24"/>
        </w:rPr>
        <w:t xml:space="preserve"> </w:t>
      </w:r>
      <w:r w:rsidRPr="00E92038">
        <w:rPr>
          <w:rFonts w:ascii="Calibri" w:eastAsia="Calibri" w:hAnsi="Calibri" w:cs="Times New Roman"/>
          <w:sz w:val="24"/>
          <w:szCs w:val="24"/>
          <w:vertAlign w:val="superscript"/>
        </w:rPr>
        <w:t xml:space="preserve"> </w:t>
      </w:r>
      <w:r w:rsidRPr="00E92038">
        <w:rPr>
          <w:sz w:val="24"/>
          <w:szCs w:val="24"/>
        </w:rPr>
        <w:t>Massachusetts law requires that all children be tested for blood lead between nine and 12 months of age, again at two and three years of age, and also at age four in communities designated at high risk. MDPH’s Bureau of Environmental Health enforces the Commonwealth’s Lead Law and collects and analyzes data based on childhood blood lead screening and environmental housing records.</w:t>
      </w:r>
    </w:p>
    <w:p w14:paraId="18461E52" w14:textId="77777777" w:rsidR="00367354" w:rsidRPr="00E92038" w:rsidRDefault="00367354" w:rsidP="000E7C99">
      <w:pPr>
        <w:pStyle w:val="Heading4"/>
        <w:spacing w:line="360" w:lineRule="auto"/>
        <w:ind w:right="0"/>
      </w:pPr>
      <w:r w:rsidRPr="00E92038">
        <w:t>Trends/ Disparities</w:t>
      </w:r>
    </w:p>
    <w:p w14:paraId="5505FF36" w14:textId="77777777" w:rsidR="00367354" w:rsidRPr="00E92038" w:rsidRDefault="00367354" w:rsidP="000E7C99">
      <w:pPr>
        <w:spacing w:line="360" w:lineRule="auto"/>
        <w:ind w:right="0"/>
        <w:rPr>
          <w:sz w:val="24"/>
          <w:szCs w:val="24"/>
        </w:rPr>
      </w:pPr>
      <w:r w:rsidRPr="00E92038">
        <w:rPr>
          <w:sz w:val="24"/>
          <w:szCs w:val="24"/>
        </w:rPr>
        <w:t xml:space="preserve">Blood lead levels have historically declined across the Commonwealth. Blood lead levels at or above the CDC reference value (of 5 µg/dl) among children nine months to 4 years of age show a continued decrease since 2011. </w:t>
      </w:r>
    </w:p>
    <w:p w14:paraId="621CA922" w14:textId="48F0B4D2" w:rsidR="00367354" w:rsidRPr="00E92038" w:rsidRDefault="00367354" w:rsidP="000E7C99">
      <w:pPr>
        <w:pStyle w:val="ListParagraph"/>
        <w:numPr>
          <w:ilvl w:val="0"/>
          <w:numId w:val="8"/>
        </w:numPr>
        <w:spacing w:line="360" w:lineRule="auto"/>
        <w:ind w:right="0"/>
        <w:rPr>
          <w:sz w:val="24"/>
          <w:szCs w:val="24"/>
          <w:shd w:val="clear" w:color="auto" w:fill="FFFFFF"/>
        </w:rPr>
      </w:pPr>
      <w:r w:rsidRPr="00E92038">
        <w:rPr>
          <w:sz w:val="24"/>
          <w:szCs w:val="24"/>
          <w:shd w:val="clear" w:color="auto" w:fill="FFFFFF"/>
        </w:rPr>
        <w:lastRenderedPageBreak/>
        <w:t>In 2016, the Massachusetts prevalence of childhood blood lead levels at or above the CDC ref</w:t>
      </w:r>
      <w:r w:rsidR="007812CC" w:rsidRPr="00E92038">
        <w:rPr>
          <w:sz w:val="24"/>
          <w:szCs w:val="24"/>
          <w:shd w:val="clear" w:color="auto" w:fill="FFFFFF"/>
        </w:rPr>
        <w:t>erence value (of 5 µg/dL) was 2</w:t>
      </w:r>
      <w:r w:rsidRPr="00E92038">
        <w:rPr>
          <w:sz w:val="24"/>
          <w:szCs w:val="24"/>
          <w:shd w:val="clear" w:color="auto" w:fill="FFFFFF"/>
        </w:rPr>
        <w:t xml:space="preserve">%. </w:t>
      </w:r>
    </w:p>
    <w:p w14:paraId="00917A7C" w14:textId="04C08295" w:rsidR="00367354" w:rsidRPr="00E92038" w:rsidRDefault="00367354" w:rsidP="000E7C99">
      <w:pPr>
        <w:pStyle w:val="ListParagraph"/>
        <w:numPr>
          <w:ilvl w:val="0"/>
          <w:numId w:val="8"/>
        </w:numPr>
        <w:spacing w:line="360" w:lineRule="auto"/>
        <w:ind w:right="0"/>
        <w:rPr>
          <w:sz w:val="24"/>
          <w:szCs w:val="24"/>
          <w:shd w:val="clear" w:color="auto" w:fill="FFFFFF"/>
        </w:rPr>
      </w:pPr>
      <w:r w:rsidRPr="00E92038">
        <w:rPr>
          <w:sz w:val="24"/>
          <w:szCs w:val="24"/>
          <w:shd w:val="clear" w:color="auto" w:fill="FFFFFF"/>
        </w:rPr>
        <w:t>Lead screening data from 2016 indicate that 3,500 children in Massachusetts may have blood lead levels ≥ 5 µg/dL. Of those 3,500 children, 651 had blood lead levels promp</w:t>
      </w:r>
      <w:r w:rsidR="00D269FA" w:rsidRPr="00E92038">
        <w:rPr>
          <w:sz w:val="24"/>
          <w:szCs w:val="24"/>
          <w:shd w:val="clear" w:color="auto" w:fill="FFFFFF"/>
        </w:rPr>
        <w:t>ting immediate MDPH response,</w:t>
      </w:r>
      <w:r w:rsidRPr="00E92038">
        <w:rPr>
          <w:sz w:val="24"/>
          <w:szCs w:val="24"/>
          <w:shd w:val="clear" w:color="auto" w:fill="FFFFFF"/>
        </w:rPr>
        <w:t xml:space="preserve"> case management services </w:t>
      </w:r>
      <w:r w:rsidR="00D269FA" w:rsidRPr="00E92038">
        <w:rPr>
          <w:sz w:val="24"/>
          <w:szCs w:val="24"/>
          <w:shd w:val="clear" w:color="auto" w:fill="FFFFFF"/>
        </w:rPr>
        <w:t>,</w:t>
      </w:r>
      <w:r w:rsidRPr="00E92038">
        <w:rPr>
          <w:sz w:val="24"/>
          <w:szCs w:val="24"/>
          <w:shd w:val="clear" w:color="auto" w:fill="FFFFFF"/>
        </w:rPr>
        <w:t>(blood lead levels ≥ 10 µg/dL) and 57 children were identified having blood lead levels legally considered “lead poisoned” pursuant to current regulation (blood lead level of 25 µg/dL or greater).</w:t>
      </w:r>
    </w:p>
    <w:p w14:paraId="6814A78F" w14:textId="73F1970B" w:rsidR="00367354" w:rsidRPr="00E92038" w:rsidRDefault="00367354" w:rsidP="000E7C99">
      <w:pPr>
        <w:spacing w:before="0" w:after="200" w:line="360" w:lineRule="auto"/>
        <w:ind w:right="0"/>
        <w:contextualSpacing/>
        <w:rPr>
          <w:i/>
          <w:sz w:val="24"/>
          <w:szCs w:val="24"/>
        </w:rPr>
      </w:pPr>
      <w:r w:rsidRPr="00E92038">
        <w:rPr>
          <w:sz w:val="24"/>
          <w:szCs w:val="24"/>
        </w:rPr>
        <w:t>In Massachusetts, the prevalence of blood lead screening am</w:t>
      </w:r>
      <w:r w:rsidR="00D269FA" w:rsidRPr="00E92038">
        <w:rPr>
          <w:sz w:val="24"/>
          <w:szCs w:val="24"/>
        </w:rPr>
        <w:t>ong children nine months to four</w:t>
      </w:r>
      <w:r w:rsidRPr="00E92038">
        <w:rPr>
          <w:sz w:val="24"/>
          <w:szCs w:val="24"/>
        </w:rPr>
        <w:t xml:space="preserve"> years of age has averaged 76% for the past six years</w:t>
      </w:r>
      <w:r w:rsidR="00F26C2A" w:rsidRPr="00E92038">
        <w:rPr>
          <w:sz w:val="24"/>
          <w:szCs w:val="24"/>
        </w:rPr>
        <w:t xml:space="preserve"> as seen in </w:t>
      </w:r>
      <w:r w:rsidR="00F26C2A" w:rsidRPr="00E92038">
        <w:rPr>
          <w:b/>
          <w:sz w:val="24"/>
          <w:szCs w:val="24"/>
        </w:rPr>
        <w:t>Figure 3.4</w:t>
      </w:r>
      <w:r w:rsidRPr="00E92038">
        <w:rPr>
          <w:sz w:val="24"/>
          <w:szCs w:val="24"/>
        </w:rPr>
        <w:t>. Lead exposure impacts all areas of the Commonwealth, including rural and urban communities, but blood lead screening rates tend to be lower in some rural</w:t>
      </w:r>
      <w:r w:rsidR="00D269FA" w:rsidRPr="00E92038">
        <w:rPr>
          <w:sz w:val="24"/>
          <w:szCs w:val="24"/>
        </w:rPr>
        <w:t>,</w:t>
      </w:r>
      <w:r w:rsidRPr="00E92038">
        <w:rPr>
          <w:sz w:val="24"/>
          <w:szCs w:val="24"/>
        </w:rPr>
        <w:t xml:space="preserve"> central</w:t>
      </w:r>
      <w:r w:rsidR="00D269FA" w:rsidRPr="00E92038">
        <w:rPr>
          <w:sz w:val="24"/>
          <w:szCs w:val="24"/>
        </w:rPr>
        <w:t>,</w:t>
      </w:r>
      <w:r w:rsidRPr="00E92038">
        <w:rPr>
          <w:sz w:val="24"/>
          <w:szCs w:val="24"/>
        </w:rPr>
        <w:t xml:space="preserve"> and western areas of the state.</w:t>
      </w:r>
      <w:r w:rsidR="00F26C2A" w:rsidRPr="00E92038">
        <w:rPr>
          <w:sz w:val="24"/>
          <w:szCs w:val="24"/>
        </w:rPr>
        <w:t xml:space="preserve"> </w:t>
      </w:r>
    </w:p>
    <w:p w14:paraId="15CCF493" w14:textId="2319C61D" w:rsidR="00F3429F" w:rsidRPr="00E92038" w:rsidRDefault="00F3429F" w:rsidP="000E7C99">
      <w:pPr>
        <w:pStyle w:val="SHAFigureNumber"/>
        <w:spacing w:line="360" w:lineRule="auto"/>
        <w:rPr>
          <w:sz w:val="24"/>
          <w:szCs w:val="24"/>
        </w:rPr>
      </w:pPr>
      <w:r w:rsidRPr="00E92038">
        <w:rPr>
          <w:sz w:val="24"/>
          <w:szCs w:val="24"/>
        </w:rPr>
        <w:t>Figure</w:t>
      </w:r>
      <w:r w:rsidR="00367354" w:rsidRPr="00E92038">
        <w:rPr>
          <w:sz w:val="24"/>
          <w:szCs w:val="24"/>
        </w:rPr>
        <w:t xml:space="preserve"> </w:t>
      </w:r>
      <w:r w:rsidR="00AC4D06" w:rsidRPr="00E92038">
        <w:rPr>
          <w:sz w:val="24"/>
          <w:szCs w:val="24"/>
        </w:rPr>
        <w:t>3.4</w:t>
      </w:r>
    </w:p>
    <w:p w14:paraId="18BA6263" w14:textId="47246383" w:rsidR="00F3429F" w:rsidRPr="00E92038" w:rsidRDefault="00F3429F" w:rsidP="000E7C99">
      <w:pPr>
        <w:pStyle w:val="SHAFigureNumber"/>
        <w:spacing w:line="360" w:lineRule="auto"/>
        <w:rPr>
          <w:rFonts w:eastAsiaTheme="minorEastAsia" w:cstheme="minorHAnsi"/>
          <w:color w:val="000000" w:themeColor="text1"/>
          <w:sz w:val="24"/>
          <w:szCs w:val="24"/>
        </w:rPr>
      </w:pPr>
      <w:r w:rsidRPr="00E92038">
        <w:rPr>
          <w:rFonts w:eastAsiaTheme="minorEastAsia" w:cstheme="minorHAnsi"/>
          <w:bCs/>
          <w:color w:val="000000" w:themeColor="text1"/>
          <w:sz w:val="24"/>
          <w:szCs w:val="24"/>
        </w:rPr>
        <w:t>Massachusetts Blood Lead Screening Rate, Children Aged 9-47 months, 2003-2016</w:t>
      </w:r>
    </w:p>
    <w:p w14:paraId="415D3426" w14:textId="1D123834" w:rsidR="00F3429F" w:rsidRPr="00F3429F" w:rsidRDefault="005C00B3" w:rsidP="000E7C99">
      <w:pPr>
        <w:pStyle w:val="SHAFigureNumber"/>
        <w:spacing w:line="360" w:lineRule="auto"/>
        <w:rPr>
          <w:rFonts w:eastAsiaTheme="minorEastAsia" w:cstheme="minorHAnsi"/>
          <w:color w:val="000000" w:themeColor="text1"/>
        </w:rPr>
      </w:pPr>
      <w:r>
        <w:rPr>
          <w:noProof/>
        </w:rPr>
        <w:drawing>
          <wp:inline distT="0" distB="0" distL="0" distR="0" wp14:anchorId="5F02D47E" wp14:editId="667899D6">
            <wp:extent cx="5210175" cy="3267075"/>
            <wp:effectExtent l="0" t="0" r="9525" b="9525"/>
            <wp:docPr id="216" name="Chart 216" descr="This line graph shows the percent of Massachusetts children aged 9 to 47 months that were screened (y axis) by each year (x axis) between 2003 and 2016.  In 2003, 74 percent of children were screened; in 2004, 2005, and 2006, 75 percent were screened; in 2007, 76 percent were screened; in 2008 and 2009, 77 percent were screened; in 2010, 78 percent were screened; in 2011 and 2012, 75 percent were screened; in 2013 and 2014, 77 percent were screened; in 2015, 76 percent were screened; and in 2016, 77 percent screened.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4423AB-E640-477D-86C6-C0C87E86E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F282ACA" w14:textId="2A9E3803" w:rsidR="00667087" w:rsidRPr="00E92038" w:rsidRDefault="00367354" w:rsidP="000E7C99">
      <w:pPr>
        <w:spacing w:line="360" w:lineRule="auto"/>
        <w:ind w:right="0"/>
        <w:rPr>
          <w:sz w:val="24"/>
          <w:szCs w:val="24"/>
          <w:shd w:val="clear" w:color="auto" w:fill="FFFFFF"/>
        </w:rPr>
      </w:pPr>
      <w:r w:rsidRPr="00E92038">
        <w:rPr>
          <w:sz w:val="24"/>
          <w:szCs w:val="24"/>
        </w:rPr>
        <w:lastRenderedPageBreak/>
        <w:t xml:space="preserve">A wide geographic variation in childhood lead exposure exists across the state with </w:t>
      </w:r>
      <w:r w:rsidR="00D269FA" w:rsidRPr="00E92038">
        <w:rPr>
          <w:sz w:val="24"/>
          <w:szCs w:val="24"/>
        </w:rPr>
        <w:t xml:space="preserve">some communities in western, </w:t>
      </w:r>
      <w:r w:rsidRPr="00E92038">
        <w:rPr>
          <w:sz w:val="24"/>
          <w:szCs w:val="24"/>
        </w:rPr>
        <w:t>central</w:t>
      </w:r>
      <w:r w:rsidR="00D269FA" w:rsidRPr="00E92038">
        <w:rPr>
          <w:sz w:val="24"/>
          <w:szCs w:val="24"/>
        </w:rPr>
        <w:t>, and cape c</w:t>
      </w:r>
      <w:r w:rsidRPr="00E92038">
        <w:rPr>
          <w:sz w:val="24"/>
          <w:szCs w:val="24"/>
        </w:rPr>
        <w:t xml:space="preserve">od </w:t>
      </w:r>
      <w:r w:rsidR="00D269FA" w:rsidRPr="00E92038">
        <w:rPr>
          <w:sz w:val="24"/>
          <w:szCs w:val="24"/>
        </w:rPr>
        <w:t xml:space="preserve">areas </w:t>
      </w:r>
      <w:r w:rsidRPr="00E92038">
        <w:rPr>
          <w:sz w:val="24"/>
          <w:szCs w:val="24"/>
        </w:rPr>
        <w:t>experiencing two or three times the state average prevalence of higher blood lead levels</w:t>
      </w:r>
      <w:r w:rsidR="00C46EBB" w:rsidRPr="00E92038">
        <w:rPr>
          <w:sz w:val="24"/>
          <w:szCs w:val="24"/>
        </w:rPr>
        <w:t xml:space="preserve">, as seen in </w:t>
      </w:r>
      <w:r w:rsidR="00F26C2A" w:rsidRPr="00E92038">
        <w:rPr>
          <w:b/>
          <w:sz w:val="24"/>
          <w:szCs w:val="24"/>
        </w:rPr>
        <w:t>Figure 3.5</w:t>
      </w:r>
      <w:r w:rsidR="00F26C2A" w:rsidRPr="00E92038">
        <w:rPr>
          <w:sz w:val="24"/>
          <w:szCs w:val="24"/>
        </w:rPr>
        <w:t>.</w:t>
      </w:r>
      <w:r w:rsidR="00667087" w:rsidRPr="00E92038">
        <w:rPr>
          <w:sz w:val="24"/>
          <w:szCs w:val="24"/>
          <w:shd w:val="clear" w:color="auto" w:fill="FFFFFF"/>
        </w:rPr>
        <w:t xml:space="preserve"> </w:t>
      </w:r>
    </w:p>
    <w:p w14:paraId="41B5EE2B" w14:textId="72A8F51E" w:rsidR="00667087" w:rsidRPr="00E92038" w:rsidRDefault="00667087" w:rsidP="000E7C99">
      <w:pPr>
        <w:spacing w:line="360" w:lineRule="auto"/>
        <w:ind w:right="0"/>
        <w:rPr>
          <w:sz w:val="24"/>
          <w:szCs w:val="24"/>
          <w:shd w:val="clear" w:color="auto" w:fill="FFFFFF"/>
        </w:rPr>
      </w:pPr>
      <w:r w:rsidRPr="00E92038">
        <w:rPr>
          <w:sz w:val="24"/>
          <w:szCs w:val="24"/>
          <w:shd w:val="clear" w:color="auto" w:fill="FFFFFF"/>
        </w:rPr>
        <w:t xml:space="preserve">Data show a higher </w:t>
      </w:r>
      <w:r w:rsidRPr="00E92038">
        <w:rPr>
          <w:iCs/>
          <w:sz w:val="24"/>
          <w:szCs w:val="24"/>
          <w:shd w:val="clear" w:color="auto" w:fill="FFFFFF"/>
        </w:rPr>
        <w:t xml:space="preserve">prevalence of childhood blood lead levels ≥ 5 </w:t>
      </w:r>
      <m:oMath>
        <m:r>
          <m:rPr>
            <m:sty m:val="p"/>
          </m:rPr>
          <w:rPr>
            <w:rFonts w:ascii="Cambria Math" w:hAnsi="Cambria Math"/>
            <w:sz w:val="24"/>
            <w:szCs w:val="24"/>
            <w:shd w:val="clear" w:color="auto" w:fill="FFFFFF"/>
          </w:rPr>
          <m:t>µ</m:t>
        </m:r>
      </m:oMath>
      <w:r w:rsidRPr="00E92038">
        <w:rPr>
          <w:iCs/>
          <w:sz w:val="24"/>
          <w:szCs w:val="24"/>
          <w:shd w:val="clear" w:color="auto" w:fill="FFFFFF"/>
        </w:rPr>
        <w:t>g/dL</w:t>
      </w:r>
      <w:r w:rsidRPr="00E92038">
        <w:rPr>
          <w:sz w:val="24"/>
          <w:szCs w:val="24"/>
          <w:shd w:val="clear" w:color="auto" w:fill="FFFFFF"/>
        </w:rPr>
        <w:t xml:space="preserve"> in lower income communities and among </w:t>
      </w:r>
      <w:r w:rsidRPr="00E92038">
        <w:rPr>
          <w:sz w:val="24"/>
          <w:szCs w:val="24"/>
        </w:rPr>
        <w:t xml:space="preserve">Black, Asian </w:t>
      </w:r>
      <w:r w:rsidR="00D269FA" w:rsidRPr="00E92038">
        <w:rPr>
          <w:sz w:val="24"/>
          <w:szCs w:val="24"/>
        </w:rPr>
        <w:t xml:space="preserve">non-Hispanic, </w:t>
      </w:r>
      <w:r w:rsidRPr="00E92038">
        <w:rPr>
          <w:sz w:val="24"/>
          <w:szCs w:val="24"/>
        </w:rPr>
        <w:t xml:space="preserve">and Hispanic </w:t>
      </w:r>
      <w:r w:rsidRPr="00E92038">
        <w:rPr>
          <w:sz w:val="24"/>
          <w:szCs w:val="24"/>
          <w:shd w:val="clear" w:color="auto" w:fill="FFFFFF"/>
        </w:rPr>
        <w:t xml:space="preserve">children making lead exposure a critical health equity issue. In particular, Black non-Hispanic and American Indian populations are disproportionately impacted and have rates of high blood lead levels almost twice those of the White non-Hispanic population.  </w:t>
      </w:r>
    </w:p>
    <w:p w14:paraId="7B7EBC70" w14:textId="3D66EF5C" w:rsidR="00667087" w:rsidRPr="00E92038" w:rsidRDefault="00F26C2A" w:rsidP="000E7C99">
      <w:pPr>
        <w:spacing w:line="360" w:lineRule="auto"/>
        <w:ind w:right="0"/>
        <w:rPr>
          <w:sz w:val="24"/>
          <w:szCs w:val="24"/>
          <w:shd w:val="clear" w:color="auto" w:fill="FFFFFF"/>
        </w:rPr>
      </w:pPr>
      <w:r w:rsidRPr="00E92038">
        <w:rPr>
          <w:sz w:val="24"/>
          <w:szCs w:val="24"/>
          <w:shd w:val="clear" w:color="auto" w:fill="FFFFFF"/>
        </w:rPr>
        <w:t xml:space="preserve">As seen in </w:t>
      </w:r>
      <w:r w:rsidRPr="00E92038">
        <w:rPr>
          <w:b/>
          <w:sz w:val="24"/>
          <w:szCs w:val="24"/>
          <w:shd w:val="clear" w:color="auto" w:fill="FFFFFF"/>
        </w:rPr>
        <w:t>Figure 3.6</w:t>
      </w:r>
      <w:r w:rsidRPr="00E92038">
        <w:rPr>
          <w:sz w:val="24"/>
          <w:szCs w:val="24"/>
          <w:shd w:val="clear" w:color="auto" w:fill="FFFFFF"/>
        </w:rPr>
        <w:t>, c</w:t>
      </w:r>
      <w:r w:rsidR="00667087" w:rsidRPr="00E92038">
        <w:rPr>
          <w:sz w:val="24"/>
          <w:szCs w:val="24"/>
          <w:shd w:val="clear" w:color="auto" w:fill="FFFFFF"/>
        </w:rPr>
        <w:t>ommunities with a higher than average percentage of low- to moderate-income families have more than twice the percentage of blood lead levels at or above 5 µg/dL compared to communities with a lower percentage of low- to moderate-income families.</w:t>
      </w:r>
    </w:p>
    <w:p w14:paraId="413C51BD" w14:textId="1FB4C2E6" w:rsidR="00367354" w:rsidRPr="00E92038" w:rsidRDefault="00F3429F" w:rsidP="00F3429F">
      <w:pPr>
        <w:pStyle w:val="SHAFigureNumber"/>
        <w:rPr>
          <w:sz w:val="24"/>
          <w:szCs w:val="24"/>
        </w:rPr>
      </w:pPr>
      <w:r w:rsidRPr="00E92038">
        <w:rPr>
          <w:sz w:val="24"/>
          <w:szCs w:val="24"/>
        </w:rPr>
        <w:t>Figure</w:t>
      </w:r>
      <w:r w:rsidR="00367354" w:rsidRPr="00E92038">
        <w:rPr>
          <w:sz w:val="24"/>
          <w:szCs w:val="24"/>
        </w:rPr>
        <w:t xml:space="preserve"> </w:t>
      </w:r>
      <w:r w:rsidR="00AC4D06" w:rsidRPr="00E92038">
        <w:rPr>
          <w:sz w:val="24"/>
          <w:szCs w:val="24"/>
        </w:rPr>
        <w:t>3.5</w:t>
      </w:r>
    </w:p>
    <w:p w14:paraId="1E33B0E4" w14:textId="77777777" w:rsidR="0099143C" w:rsidRPr="00E92038" w:rsidRDefault="00367354" w:rsidP="0099143C">
      <w:pPr>
        <w:pStyle w:val="SHAFigureNumber"/>
        <w:spacing w:after="0"/>
        <w:contextualSpacing/>
        <w:rPr>
          <w:rStyle w:val="SubtleEmphasis"/>
          <w:b/>
          <w:iCs w:val="0"/>
          <w:color w:val="auto"/>
          <w:sz w:val="24"/>
          <w:szCs w:val="24"/>
        </w:rPr>
      </w:pPr>
      <w:r w:rsidRPr="00E92038">
        <w:rPr>
          <w:rStyle w:val="SubtleEmphasis"/>
          <w:b/>
          <w:iCs w:val="0"/>
          <w:color w:val="auto"/>
          <w:sz w:val="24"/>
          <w:szCs w:val="24"/>
        </w:rPr>
        <w:t xml:space="preserve">Massachusetts Prevalence of Confirmed Blood Lead </w:t>
      </w:r>
      <w:r w:rsidR="00EA6625" w:rsidRPr="00E92038">
        <w:rPr>
          <w:rStyle w:val="SubtleEmphasis"/>
          <w:b/>
          <w:iCs w:val="0"/>
          <w:color w:val="auto"/>
          <w:sz w:val="24"/>
          <w:szCs w:val="24"/>
        </w:rPr>
        <w:t>Levels ≥ 5 µg/dL by Community,</w:t>
      </w:r>
    </w:p>
    <w:p w14:paraId="42189993" w14:textId="77377EAD" w:rsidR="00367354" w:rsidRPr="00E92038" w:rsidRDefault="00925A89" w:rsidP="0099143C">
      <w:pPr>
        <w:pStyle w:val="SHAFigureNumber"/>
        <w:spacing w:after="0"/>
        <w:contextualSpacing/>
        <w:rPr>
          <w:rStyle w:val="SubtleEmphasis"/>
          <w:b/>
          <w:iCs w:val="0"/>
          <w:color w:val="auto"/>
          <w:sz w:val="24"/>
          <w:szCs w:val="24"/>
        </w:rPr>
      </w:pPr>
      <w:proofErr w:type="gramStart"/>
      <w:r w:rsidRPr="00E92038">
        <w:rPr>
          <w:rStyle w:val="SubtleEmphasis"/>
          <w:b/>
          <w:iCs w:val="0"/>
          <w:color w:val="auto"/>
          <w:sz w:val="24"/>
          <w:szCs w:val="24"/>
        </w:rPr>
        <w:t>a</w:t>
      </w:r>
      <w:r w:rsidR="00367354" w:rsidRPr="00E92038">
        <w:rPr>
          <w:rStyle w:val="SubtleEmphasis"/>
          <w:b/>
          <w:iCs w:val="0"/>
          <w:color w:val="auto"/>
          <w:sz w:val="24"/>
          <w:szCs w:val="24"/>
        </w:rPr>
        <w:t>mong</w:t>
      </w:r>
      <w:proofErr w:type="gramEnd"/>
      <w:r w:rsidR="00367354" w:rsidRPr="00E92038">
        <w:rPr>
          <w:rStyle w:val="SubtleEmphasis"/>
          <w:b/>
          <w:iCs w:val="0"/>
          <w:color w:val="auto"/>
          <w:sz w:val="24"/>
          <w:szCs w:val="24"/>
        </w:rPr>
        <w:t xml:space="preserve"> Children aged 9-47 months, 2016 </w:t>
      </w:r>
    </w:p>
    <w:p w14:paraId="44C8750B" w14:textId="26F8FCB6" w:rsidR="00367354" w:rsidRPr="001026DB" w:rsidRDefault="00667087" w:rsidP="00667087">
      <w:pPr>
        <w:spacing w:before="0" w:after="0"/>
        <w:ind w:right="0"/>
        <w:jc w:val="center"/>
        <w:rPr>
          <w:rStyle w:val="Emphasis"/>
          <w:iCs w:val="0"/>
        </w:rPr>
      </w:pPr>
      <w:r>
        <w:rPr>
          <w:i/>
        </w:rPr>
        <w:drawing>
          <wp:inline distT="0" distB="0" distL="0" distR="0" wp14:anchorId="39038D16" wp14:editId="4F68F54E">
            <wp:extent cx="5526156" cy="3330222"/>
            <wp:effectExtent l="0" t="0" r="0" b="0"/>
            <wp:docPr id="236" name="Graphic 236" descr="This map of Massachusetts shows the percent of children tested for blood lead in 2016 that had results at or above the CDC reference value of 5 micrograms per deciliter in each of the 351 Massachusetts communities.  Each community is assigned one of the following 6 categories representing the percentage of children testing at or above 5 micrograms per deciliter:  less than 1.5% of children; 1.6 to 2.5%; 2.6 to 3.5%; 3.6 to 6%; greater than 6 percent; or no children screened.  Three western Massachusetts communities had no children screened.  More than half of Massachusetts communities had less than 1.5% of children testing at or above the reference value. Twenty-three communities fell into the highest category with more than 6% of children testing at or above the reference value and all but three of these were central or western communities.  The remaining three were on the Cape and Islands. Most communities in the upper three categories, those with 2.6% or more of children testing at or above the reference value, were also in central or western Massachusetts with a few communities scattered elsewhere, particularly in the northeastern corner of the state along the border. Please contact the MDPH Bureau of Environmental Health for information for specific commun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3.5 Childhood Lead.svg"/>
                    <pic:cNvPicPr/>
                  </pic:nvPicPr>
                  <pic:blipFill rotWithShape="1">
                    <a:blip r:embed="rId8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9"/>
                        </a:ext>
                      </a:extLst>
                    </a:blip>
                    <a:srcRect t="9361" b="4549"/>
                    <a:stretch/>
                  </pic:blipFill>
                  <pic:spPr bwMode="auto">
                    <a:xfrm>
                      <a:off x="0" y="0"/>
                      <a:ext cx="5543714" cy="3340803"/>
                    </a:xfrm>
                    <a:prstGeom prst="rect">
                      <a:avLst/>
                    </a:prstGeom>
                    <a:ln>
                      <a:noFill/>
                    </a:ln>
                    <a:extLst>
                      <a:ext uri="{53640926-AAD7-44D8-BBD7-CCE9431645EC}">
                        <a14:shadowObscured xmlns:a14="http://schemas.microsoft.com/office/drawing/2010/main"/>
                      </a:ext>
                    </a:extLst>
                  </pic:spPr>
                </pic:pic>
              </a:graphicData>
            </a:graphic>
          </wp:inline>
        </w:drawing>
      </w:r>
    </w:p>
    <w:p w14:paraId="1F515182" w14:textId="77777777" w:rsidR="00E92038" w:rsidRDefault="00E92038">
      <w:pPr>
        <w:spacing w:before="0"/>
        <w:ind w:left="0" w:right="0"/>
        <w:jc w:val="left"/>
        <w:rPr>
          <w:b/>
          <w:noProof w:val="0"/>
        </w:rPr>
      </w:pPr>
      <w:r>
        <w:br w:type="page"/>
      </w:r>
    </w:p>
    <w:p w14:paraId="72CCF790" w14:textId="05FEE985" w:rsidR="00367354" w:rsidRPr="00E92038" w:rsidRDefault="00F3429F" w:rsidP="00F3429F">
      <w:pPr>
        <w:pStyle w:val="SHAFigureNumber"/>
        <w:rPr>
          <w:sz w:val="24"/>
          <w:szCs w:val="24"/>
        </w:rPr>
      </w:pPr>
      <w:r w:rsidRPr="00E92038">
        <w:rPr>
          <w:sz w:val="24"/>
          <w:szCs w:val="24"/>
        </w:rPr>
        <w:lastRenderedPageBreak/>
        <w:t>Figure</w:t>
      </w:r>
      <w:r w:rsidR="00367354" w:rsidRPr="00E92038">
        <w:rPr>
          <w:sz w:val="24"/>
          <w:szCs w:val="24"/>
        </w:rPr>
        <w:t xml:space="preserve"> </w:t>
      </w:r>
      <w:r w:rsidR="00AC4D06" w:rsidRPr="00E92038">
        <w:rPr>
          <w:sz w:val="24"/>
          <w:szCs w:val="24"/>
        </w:rPr>
        <w:t>3.6</w:t>
      </w:r>
    </w:p>
    <w:p w14:paraId="3C425369" w14:textId="548F80DA" w:rsidR="00367354" w:rsidRPr="00E92038" w:rsidRDefault="00367354" w:rsidP="00F3429F">
      <w:pPr>
        <w:pStyle w:val="SHAFigureNumber"/>
        <w:rPr>
          <w:rStyle w:val="SubtleEmphasis"/>
          <w:b/>
          <w:iCs w:val="0"/>
          <w:color w:val="auto"/>
          <w:sz w:val="24"/>
          <w:szCs w:val="24"/>
        </w:rPr>
      </w:pPr>
      <w:r w:rsidRPr="00E92038">
        <w:rPr>
          <w:rStyle w:val="SubtleEmphasis"/>
          <w:b/>
          <w:iCs w:val="0"/>
          <w:color w:val="auto"/>
          <w:sz w:val="24"/>
          <w:szCs w:val="24"/>
        </w:rPr>
        <w:t xml:space="preserve">Massachusetts Community Prevalence of Childhood Blood Lead Levels ≥ 5 </w:t>
      </w:r>
      <w:r w:rsidR="00C46EBB" w:rsidRPr="00E92038">
        <w:rPr>
          <w:rStyle w:val="SubtleEmphasis"/>
          <w:b/>
          <w:iCs w:val="0"/>
          <w:color w:val="auto"/>
          <w:sz w:val="24"/>
          <w:szCs w:val="24"/>
        </w:rPr>
        <w:t>µ</w:t>
      </w:r>
      <w:r w:rsidRPr="00E92038">
        <w:rPr>
          <w:rStyle w:val="SubtleEmphasis"/>
          <w:b/>
          <w:iCs w:val="0"/>
          <w:color w:val="auto"/>
          <w:sz w:val="24"/>
          <w:szCs w:val="24"/>
        </w:rPr>
        <w:t>g/dL by Percentage of Families with Low to Moderate Income, 2011-2015</w:t>
      </w:r>
    </w:p>
    <w:p w14:paraId="5786C5F9" w14:textId="475721F4" w:rsidR="00367354" w:rsidRPr="00E92038" w:rsidRDefault="005C00B3" w:rsidP="00667087">
      <w:pPr>
        <w:pStyle w:val="ListParagraph"/>
        <w:keepNext/>
        <w:keepLines/>
        <w:spacing w:before="0" w:after="0"/>
        <w:ind w:left="-360" w:right="0"/>
        <w:jc w:val="center"/>
        <w:rPr>
          <w:rStyle w:val="SubtleEmphasis"/>
          <w:sz w:val="24"/>
          <w:szCs w:val="24"/>
        </w:rPr>
      </w:pPr>
      <w:r w:rsidRPr="00E92038">
        <w:rPr>
          <w:sz w:val="24"/>
          <w:szCs w:val="24"/>
        </w:rPr>
        <w:drawing>
          <wp:inline distT="0" distB="0" distL="0" distR="0" wp14:anchorId="74BE6D3F" wp14:editId="1A8615E6">
            <wp:extent cx="6035040" cy="2258171"/>
            <wp:effectExtent l="0" t="0" r="3810" b="8890"/>
            <wp:docPr id="217" name="Chart 217" descr="This bar graph displays the percentage of children with blood lead levels greater than or equal to 5 micrograms per deciliter (y-axis) for groups of communities based on their percentage of families with low or moderate incomes (x-axis).  Six bars are used to divide communities into 6 categories based on their percentage of families with low or moderate income:  category 1 = less than 5%; category 2 = 5 to 10%; category 3 = 10 to 15%; category 4 = 15 to 25%; category 5 = 25 to 35%; and category 6 = greater than 35% of families have low to moderate income.  The percentages of children with blood lead levels greater than or equal to 5 micrograms per deciliter for communities in each category are: 0.8% for category 1; 1.0% for category 2; 1.4% for category 3; 1.9% for category 4; 2.3% for category 5; and 3.5 percent for category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69F99BB-ADDA-4F21-91A9-B40B935D95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865D1B3" w14:textId="1F1D9605" w:rsidR="00367354" w:rsidRPr="00E92038" w:rsidRDefault="00856169" w:rsidP="00667087">
      <w:pPr>
        <w:pStyle w:val="SHAFigureNote"/>
        <w:spacing w:before="0"/>
        <w:rPr>
          <w:rStyle w:val="Emphasis"/>
          <w:sz w:val="24"/>
          <w:szCs w:val="24"/>
        </w:rPr>
      </w:pPr>
      <w:r w:rsidRPr="00E92038">
        <w:rPr>
          <w:rStyle w:val="Emphasis"/>
          <w:i w:val="0"/>
          <w:sz w:val="24"/>
          <w:szCs w:val="24"/>
        </w:rPr>
        <w:t>SOURCE</w:t>
      </w:r>
      <w:r w:rsidRPr="00E92038">
        <w:rPr>
          <w:rStyle w:val="Emphasis"/>
          <w:sz w:val="24"/>
          <w:szCs w:val="24"/>
        </w:rPr>
        <w:t xml:space="preserve">: </w:t>
      </w:r>
      <w:r w:rsidRPr="00E92038">
        <w:rPr>
          <w:sz w:val="24"/>
          <w:szCs w:val="24"/>
        </w:rPr>
        <w:t xml:space="preserve"> MA CHILDHOOD LEAD POISONING PREVENTION PROGRAM AND US CENSUS BUREAU.</w:t>
      </w:r>
    </w:p>
    <w:p w14:paraId="252A9D9D" w14:textId="5E1D39CE" w:rsidR="00367354" w:rsidRPr="00E92038" w:rsidRDefault="00856169" w:rsidP="00856169">
      <w:pPr>
        <w:pStyle w:val="SHAFigureNote"/>
        <w:rPr>
          <w:sz w:val="24"/>
          <w:szCs w:val="24"/>
        </w:rPr>
      </w:pPr>
      <w:r w:rsidRPr="00E92038">
        <w:rPr>
          <w:rStyle w:val="Emphasis"/>
          <w:i w:val="0"/>
          <w:sz w:val="24"/>
          <w:szCs w:val="24"/>
        </w:rPr>
        <w:t>NOTES</w:t>
      </w:r>
      <w:r w:rsidRPr="00E92038">
        <w:rPr>
          <w:rStyle w:val="Emphasis"/>
          <w:sz w:val="24"/>
          <w:szCs w:val="24"/>
        </w:rPr>
        <w:t xml:space="preserve">: </w:t>
      </w:r>
      <w:r w:rsidR="00E41A7E" w:rsidRPr="00E92038">
        <w:rPr>
          <w:sz w:val="24"/>
          <w:szCs w:val="24"/>
        </w:rPr>
        <w:t>1. I</w:t>
      </w:r>
      <w:r w:rsidRPr="00E92038">
        <w:rPr>
          <w:sz w:val="24"/>
          <w:szCs w:val="24"/>
        </w:rPr>
        <w:t xml:space="preserve">NCLUDES CONFIRMED BLOOD LEAD LEVELS (ONE VENOUS OR TWO CAPILLARY BLOOD SAMPLES </w:t>
      </w:r>
      <w:r w:rsidRPr="00E92038">
        <w:rPr>
          <w:sz w:val="24"/>
          <w:szCs w:val="24"/>
          <w:lang w:val="el-GR"/>
        </w:rPr>
        <w:t>≥</w:t>
      </w:r>
      <w:r w:rsidRPr="00E92038">
        <w:rPr>
          <w:sz w:val="24"/>
          <w:szCs w:val="24"/>
        </w:rPr>
        <w:t xml:space="preserve"> </w:t>
      </w:r>
      <w:r w:rsidRPr="00E92038">
        <w:rPr>
          <w:sz w:val="24"/>
          <w:szCs w:val="24"/>
          <w:lang w:val="el-GR"/>
        </w:rPr>
        <w:t>5</w:t>
      </w:r>
      <w:r w:rsidRPr="00E92038">
        <w:rPr>
          <w:sz w:val="24"/>
          <w:szCs w:val="24"/>
        </w:rPr>
        <w:t xml:space="preserve"> </w:t>
      </w:r>
      <m:oMath>
        <m:r>
          <m:rPr>
            <m:sty m:val="p"/>
          </m:rPr>
          <w:rPr>
            <w:rStyle w:val="SubtleEmphasis"/>
            <w:rFonts w:ascii="Cambria Math" w:hAnsi="Cambria Math"/>
            <w:color w:val="auto"/>
            <w:sz w:val="24"/>
            <w:szCs w:val="24"/>
          </w:rPr>
          <m:t>µ</m:t>
        </m:r>
      </m:oMath>
      <w:r w:rsidRPr="00E92038">
        <w:rPr>
          <w:sz w:val="24"/>
          <w:szCs w:val="24"/>
        </w:rPr>
        <w:t xml:space="preserve">G/DL WITHIN 84 DAYS) AND A PROPORTION OF UNCONFIRMED TESTS BASED ON THE POSITIVE PREDICTIVE VALUE OF CAPILLARY TESTS </w:t>
      </w:r>
      <w:r w:rsidR="00F26C2A" w:rsidRPr="00E92038">
        <w:rPr>
          <w:sz w:val="24"/>
          <w:szCs w:val="24"/>
          <w:lang w:val="el-GR"/>
        </w:rPr>
        <w:t xml:space="preserve">≥ 5 </w:t>
      </w:r>
      <m:oMath>
        <m:r>
          <m:rPr>
            <m:sty m:val="p"/>
          </m:rPr>
          <w:rPr>
            <w:rStyle w:val="SubtleEmphasis"/>
            <w:rFonts w:ascii="Cambria Math" w:hAnsi="Cambria Math"/>
            <w:color w:val="auto"/>
            <w:sz w:val="24"/>
            <w:szCs w:val="24"/>
          </w:rPr>
          <m:t>µ</m:t>
        </m:r>
      </m:oMath>
      <w:r w:rsidRPr="00E92038">
        <w:rPr>
          <w:sz w:val="24"/>
          <w:szCs w:val="24"/>
        </w:rPr>
        <w:t xml:space="preserve">G/DL. </w:t>
      </w:r>
      <w:r w:rsidR="00E41A7E" w:rsidRPr="00E92038">
        <w:rPr>
          <w:sz w:val="24"/>
          <w:szCs w:val="24"/>
        </w:rPr>
        <w:t>2. L</w:t>
      </w:r>
      <w:r w:rsidRPr="00E92038">
        <w:rPr>
          <w:sz w:val="24"/>
          <w:szCs w:val="24"/>
        </w:rPr>
        <w:t>OW TO MODERATE INCOME DEFINED AS LESS THAN 200% OF POVERTY USING POVERTY TO INCOME RATIO (PIR) FROM THE 2011-2015 AMERICAN COMMUNITY SURVEY OF THE US CENSUS BUREAU.</w:t>
      </w:r>
    </w:p>
    <w:p w14:paraId="6EED64DA" w14:textId="77777777" w:rsidR="00367354" w:rsidRPr="008E74BE" w:rsidRDefault="00367354" w:rsidP="000E7C99">
      <w:pPr>
        <w:pStyle w:val="Heading2"/>
        <w:spacing w:line="360" w:lineRule="auto"/>
        <w:ind w:right="0"/>
      </w:pPr>
      <w:r w:rsidRPr="008E74BE">
        <w:t>Climate and Health</w:t>
      </w:r>
    </w:p>
    <w:p w14:paraId="2442F0B7" w14:textId="77777777" w:rsidR="00367354" w:rsidRPr="00E92038" w:rsidRDefault="00367354" w:rsidP="000E7C99">
      <w:pPr>
        <w:keepNext/>
        <w:keepLines/>
        <w:spacing w:line="360" w:lineRule="auto"/>
        <w:ind w:right="0"/>
        <w:rPr>
          <w:sz w:val="24"/>
          <w:szCs w:val="24"/>
        </w:rPr>
      </w:pPr>
      <w:r w:rsidRPr="00E92038">
        <w:rPr>
          <w:sz w:val="24"/>
          <w:szCs w:val="24"/>
        </w:rPr>
        <w:t>Climate change is expected to adversely affect human health and welfare in Massachusetts due to increased heat, sea-level rise, increased intensity and frequency of rainfall, more intense storms, and degraded air and water quality.</w:t>
      </w:r>
    </w:p>
    <w:p w14:paraId="37195726" w14:textId="622972CB" w:rsidR="00367354" w:rsidRPr="00E92038" w:rsidRDefault="00367354" w:rsidP="000E7C99">
      <w:pPr>
        <w:spacing w:line="360" w:lineRule="auto"/>
        <w:ind w:right="0"/>
        <w:rPr>
          <w:sz w:val="24"/>
          <w:szCs w:val="24"/>
        </w:rPr>
      </w:pPr>
      <w:r w:rsidRPr="00E92038">
        <w:rPr>
          <w:sz w:val="24"/>
          <w:szCs w:val="24"/>
        </w:rPr>
        <w:t xml:space="preserve">Massachusetts is one of the first states in the country to recognize the importance of implementing strategies to mitigate and prepare for the potential impacts of climate change. Strategies intended to reduce the impact of climate can also address the need to reduce health disparities and increase community resilience. </w:t>
      </w:r>
      <w:r w:rsidR="007C4A97" w:rsidRPr="00E92038">
        <w:rPr>
          <w:sz w:val="24"/>
          <w:szCs w:val="24"/>
        </w:rPr>
        <w:t xml:space="preserve">For example, emission control strategies to reduce greenhouse gas emissions required by Governor Baker’s 2016 Executive Order </w:t>
      </w:r>
      <w:r w:rsidR="007C4A97" w:rsidRPr="00E92038">
        <w:rPr>
          <w:i/>
          <w:sz w:val="24"/>
          <w:szCs w:val="24"/>
        </w:rPr>
        <w:t xml:space="preserve">Establishing an Integrated Climate Change Strategy for the Commonwealth </w:t>
      </w:r>
      <w:r w:rsidR="007C4A97" w:rsidRPr="00E92038">
        <w:rPr>
          <w:sz w:val="24"/>
          <w:szCs w:val="24"/>
        </w:rPr>
        <w:t>may also reduce health impacts associated with exposure to ozone pollution</w:t>
      </w:r>
      <w:r w:rsidRPr="00E92038">
        <w:rPr>
          <w:sz w:val="24"/>
          <w:szCs w:val="24"/>
        </w:rPr>
        <w:t>.</w:t>
      </w:r>
      <w:r w:rsidRPr="00E92038">
        <w:rPr>
          <w:b/>
          <w:sz w:val="24"/>
          <w:szCs w:val="24"/>
        </w:rPr>
        <w:t xml:space="preserve"> </w:t>
      </w:r>
      <w:r w:rsidRPr="00E92038">
        <w:rPr>
          <w:sz w:val="24"/>
          <w:szCs w:val="24"/>
        </w:rPr>
        <w:t xml:space="preserve">Tracking emissions, climate, and health data can help document changes over time and place, monitor vulnerable populations, and evaluate the results of local climate-adaptation strategies. </w:t>
      </w:r>
    </w:p>
    <w:p w14:paraId="62312F42" w14:textId="77777777" w:rsidR="00367354" w:rsidRPr="00E92038" w:rsidRDefault="00367354" w:rsidP="000E7C99">
      <w:pPr>
        <w:pStyle w:val="Heading3"/>
        <w:spacing w:line="360" w:lineRule="auto"/>
        <w:rPr>
          <w:sz w:val="24"/>
          <w:szCs w:val="24"/>
        </w:rPr>
      </w:pPr>
      <w:r w:rsidRPr="00E92038">
        <w:rPr>
          <w:sz w:val="24"/>
          <w:szCs w:val="24"/>
        </w:rPr>
        <w:lastRenderedPageBreak/>
        <w:t>Heat Stress</w:t>
      </w:r>
    </w:p>
    <w:p w14:paraId="13EEEABE" w14:textId="5E727B9D" w:rsidR="00367354" w:rsidRPr="00E92038" w:rsidRDefault="00367354" w:rsidP="000E7C99">
      <w:pPr>
        <w:pStyle w:val="NoSpacing"/>
        <w:spacing w:line="360" w:lineRule="auto"/>
        <w:ind w:left="-360"/>
        <w:rPr>
          <w:rFonts w:asciiTheme="minorHAnsi" w:hAnsiTheme="minorHAnsi"/>
          <w:sz w:val="24"/>
          <w:szCs w:val="24"/>
        </w:rPr>
      </w:pPr>
      <w:r w:rsidRPr="00E92038">
        <w:rPr>
          <w:rFonts w:asciiTheme="minorHAnsi" w:hAnsiTheme="minorHAnsi"/>
          <w:sz w:val="24"/>
          <w:szCs w:val="24"/>
        </w:rPr>
        <w:t xml:space="preserve">The Northeast region of the US is especially vulnerable to the impacts of extreme summer temperatures due to urbanization “heat islands”, low air conditioner prevalence, and substantial numbers of elderly residents. Heat stress increases the risk of a range of potential adverse health outcomes, including dehydration, heat cramps, heat exhaustion, and heat stroke/sunstroke and can cause adverse effects in people with existing chronic conditions, including cardiovascular disease, diabetes, and obesity. </w:t>
      </w:r>
    </w:p>
    <w:p w14:paraId="4FB046DA" w14:textId="44023130" w:rsidR="00367354" w:rsidRPr="00E92038" w:rsidRDefault="00367354" w:rsidP="000E7C99">
      <w:pPr>
        <w:spacing w:line="360" w:lineRule="auto"/>
        <w:ind w:right="0"/>
        <w:rPr>
          <w:sz w:val="24"/>
          <w:szCs w:val="24"/>
        </w:rPr>
      </w:pPr>
      <w:r w:rsidRPr="00E92038">
        <w:rPr>
          <w:sz w:val="24"/>
          <w:szCs w:val="24"/>
        </w:rPr>
        <w:t xml:space="preserve">Many adverse heat outcomes can be prevented through planning, preparation, and education. MDPH’s collaboration with local and state health departments and its role in emergency preparedness </w:t>
      </w:r>
      <w:r w:rsidR="007C4A97" w:rsidRPr="00E92038">
        <w:rPr>
          <w:sz w:val="24"/>
          <w:szCs w:val="24"/>
        </w:rPr>
        <w:t xml:space="preserve">can </w:t>
      </w:r>
      <w:r w:rsidRPr="00E92038">
        <w:rPr>
          <w:sz w:val="24"/>
          <w:szCs w:val="24"/>
        </w:rPr>
        <w:t>help reduce health impacts during heat events by notifying the public of steps they can take to reduce exposure and by opening cooling centers.</w:t>
      </w:r>
      <w:r w:rsidRPr="00E92038">
        <w:rPr>
          <w:sz w:val="24"/>
          <w:szCs w:val="24"/>
          <w:vertAlign w:val="superscript"/>
        </w:rPr>
        <w:endnoteReference w:id="16"/>
      </w:r>
      <w:r w:rsidRPr="00E92038">
        <w:rPr>
          <w:sz w:val="24"/>
          <w:szCs w:val="24"/>
          <w:vertAlign w:val="superscript"/>
        </w:rPr>
        <w:t>,</w:t>
      </w:r>
      <w:r w:rsidRPr="00E92038">
        <w:rPr>
          <w:sz w:val="24"/>
          <w:szCs w:val="24"/>
          <w:vertAlign w:val="superscript"/>
        </w:rPr>
        <w:endnoteReference w:id="17"/>
      </w:r>
      <w:r w:rsidRPr="00E92038">
        <w:rPr>
          <w:sz w:val="24"/>
          <w:szCs w:val="24"/>
          <w:vertAlign w:val="superscript"/>
        </w:rPr>
        <w:t>,</w:t>
      </w:r>
      <w:bookmarkStart w:id="0" w:name="_Ref489791192"/>
      <w:r w:rsidRPr="00E92038">
        <w:rPr>
          <w:sz w:val="24"/>
          <w:szCs w:val="24"/>
          <w:vertAlign w:val="superscript"/>
        </w:rPr>
        <w:endnoteReference w:id="18"/>
      </w:r>
      <w:bookmarkEnd w:id="0"/>
      <w:r w:rsidRPr="00E92038">
        <w:rPr>
          <w:sz w:val="24"/>
          <w:szCs w:val="24"/>
          <w:vertAlign w:val="superscript"/>
        </w:rPr>
        <w:t>,</w:t>
      </w:r>
      <w:r w:rsidRPr="00E92038">
        <w:rPr>
          <w:sz w:val="24"/>
          <w:szCs w:val="24"/>
          <w:vertAlign w:val="superscript"/>
        </w:rPr>
        <w:endnoteReference w:id="19"/>
      </w:r>
      <w:r w:rsidRPr="00E92038">
        <w:rPr>
          <w:sz w:val="24"/>
          <w:szCs w:val="24"/>
          <w:vertAlign w:val="superscript"/>
        </w:rPr>
        <w:t>,</w:t>
      </w:r>
      <w:r w:rsidRPr="00E92038">
        <w:rPr>
          <w:sz w:val="24"/>
          <w:szCs w:val="24"/>
          <w:vertAlign w:val="superscript"/>
        </w:rPr>
        <w:endnoteReference w:id="20"/>
      </w:r>
      <w:r w:rsidRPr="00E92038">
        <w:rPr>
          <w:sz w:val="24"/>
          <w:szCs w:val="24"/>
          <w:vertAlign w:val="superscript"/>
        </w:rPr>
        <w:t>,</w:t>
      </w:r>
      <w:r w:rsidRPr="00E92038">
        <w:rPr>
          <w:sz w:val="24"/>
          <w:szCs w:val="24"/>
          <w:vertAlign w:val="superscript"/>
        </w:rPr>
        <w:endnoteReference w:id="21"/>
      </w:r>
      <w:r w:rsidRPr="00E92038">
        <w:rPr>
          <w:sz w:val="24"/>
          <w:szCs w:val="24"/>
        </w:rPr>
        <w:t xml:space="preserve"> </w:t>
      </w:r>
    </w:p>
    <w:p w14:paraId="389AEC24" w14:textId="77777777" w:rsidR="00367354" w:rsidRPr="00E92038" w:rsidRDefault="00367354" w:rsidP="000E7C99">
      <w:pPr>
        <w:pStyle w:val="Heading4"/>
        <w:spacing w:line="360" w:lineRule="auto"/>
        <w:ind w:right="0"/>
      </w:pPr>
      <w:r w:rsidRPr="00E92038">
        <w:t>Trends/Disparities</w:t>
      </w:r>
    </w:p>
    <w:p w14:paraId="2A61FDD7" w14:textId="77777777" w:rsidR="00367354" w:rsidRPr="00E92038" w:rsidRDefault="00367354" w:rsidP="000E7C99">
      <w:pPr>
        <w:spacing w:line="360" w:lineRule="auto"/>
        <w:ind w:right="0"/>
        <w:rPr>
          <w:sz w:val="24"/>
          <w:szCs w:val="24"/>
        </w:rPr>
      </w:pPr>
      <w:r w:rsidRPr="00E92038">
        <w:rPr>
          <w:sz w:val="24"/>
          <w:szCs w:val="24"/>
        </w:rPr>
        <w:t>Emergency department visits and hospitalization rates for heat stress in Massachusetts include all cases where heat stress was explicitly listed. However, heat stress may not be listed as the primary diagnosis for some heat-related hospitalizations such as increased hospital admissions for cardiovascular, kidney, and respiratory disorders.</w:t>
      </w:r>
      <w:r w:rsidRPr="00E92038">
        <w:rPr>
          <w:rStyle w:val="EndnoteReference"/>
          <w:sz w:val="24"/>
          <w:szCs w:val="24"/>
        </w:rPr>
        <w:endnoteReference w:id="22"/>
      </w:r>
      <w:r w:rsidRPr="00E92038">
        <w:rPr>
          <w:sz w:val="24"/>
          <w:szCs w:val="24"/>
        </w:rPr>
        <w:t xml:space="preserve"> </w:t>
      </w:r>
    </w:p>
    <w:p w14:paraId="0C53F601" w14:textId="77777777" w:rsidR="00367354" w:rsidRPr="00E92038" w:rsidRDefault="00367354" w:rsidP="000E7C99">
      <w:pPr>
        <w:pStyle w:val="ListParagraph"/>
        <w:numPr>
          <w:ilvl w:val="0"/>
          <w:numId w:val="53"/>
        </w:numPr>
        <w:spacing w:line="360" w:lineRule="auto"/>
        <w:ind w:right="0"/>
        <w:rPr>
          <w:sz w:val="24"/>
          <w:szCs w:val="24"/>
          <w:shd w:val="clear" w:color="auto" w:fill="FFFFFF"/>
        </w:rPr>
      </w:pPr>
      <w:r w:rsidRPr="00E92038">
        <w:rPr>
          <w:sz w:val="24"/>
          <w:szCs w:val="24"/>
          <w:shd w:val="clear" w:color="auto" w:fill="FFFFFF"/>
        </w:rPr>
        <w:t>In 2012, there were 13.1 emergency department visits for heat stress per 100,000 population (95% confidence interval: 12.2-13.9 per 100,000 population) and 1.4 hospital admissions per 100,000 population (95% confidence interval: 1.2-1.7 per 100,000 population).</w:t>
      </w:r>
      <w:r w:rsidRPr="00E92038">
        <w:rPr>
          <w:rStyle w:val="EndnoteReference"/>
          <w:sz w:val="24"/>
          <w:szCs w:val="24"/>
          <w:shd w:val="clear" w:color="auto" w:fill="FFFFFF"/>
        </w:rPr>
        <w:endnoteReference w:id="23"/>
      </w:r>
      <w:r w:rsidRPr="00E92038">
        <w:rPr>
          <w:sz w:val="24"/>
          <w:szCs w:val="24"/>
          <w:shd w:val="clear" w:color="auto" w:fill="FFFFFF"/>
          <w:vertAlign w:val="superscript"/>
        </w:rPr>
        <w:t xml:space="preserve"> </w:t>
      </w:r>
    </w:p>
    <w:p w14:paraId="0C113020" w14:textId="3726E7C0" w:rsidR="00367354" w:rsidRPr="00E92038" w:rsidRDefault="00774D1C" w:rsidP="000E7C99">
      <w:pPr>
        <w:pStyle w:val="ListParagraph"/>
        <w:numPr>
          <w:ilvl w:val="0"/>
          <w:numId w:val="53"/>
        </w:numPr>
        <w:spacing w:line="360" w:lineRule="auto"/>
        <w:ind w:right="0"/>
        <w:rPr>
          <w:sz w:val="24"/>
          <w:szCs w:val="24"/>
          <w:shd w:val="clear" w:color="auto" w:fill="FFFFFF"/>
        </w:rPr>
      </w:pPr>
      <w:r w:rsidRPr="00E92038">
        <w:rPr>
          <w:sz w:val="24"/>
          <w:szCs w:val="24"/>
          <w:shd w:val="clear" w:color="auto" w:fill="FFFFFF"/>
        </w:rPr>
        <w:t xml:space="preserve">As shown in </w:t>
      </w:r>
      <w:r w:rsidRPr="00E92038">
        <w:rPr>
          <w:b/>
          <w:sz w:val="24"/>
          <w:szCs w:val="24"/>
          <w:shd w:val="clear" w:color="auto" w:fill="FFFFFF"/>
        </w:rPr>
        <w:t>Figure 3.7</w:t>
      </w:r>
      <w:r w:rsidRPr="00E92038">
        <w:rPr>
          <w:sz w:val="24"/>
          <w:szCs w:val="24"/>
          <w:shd w:val="clear" w:color="auto" w:fill="FFFFFF"/>
        </w:rPr>
        <w:t>, i</w:t>
      </w:r>
      <w:r w:rsidR="00367354" w:rsidRPr="00E92038">
        <w:rPr>
          <w:sz w:val="24"/>
          <w:szCs w:val="24"/>
          <w:shd w:val="clear" w:color="auto" w:fill="FFFFFF"/>
        </w:rPr>
        <w:t>t is estimated that the projected number of days with</w:t>
      </w:r>
      <w:r w:rsidR="003E3840" w:rsidRPr="00E92038">
        <w:rPr>
          <w:sz w:val="24"/>
          <w:szCs w:val="24"/>
          <w:shd w:val="clear" w:color="auto" w:fill="FFFFFF"/>
        </w:rPr>
        <w:t xml:space="preserve"> temperatures above 90 degrees fahrenheit </w:t>
      </w:r>
      <w:r w:rsidR="00367354" w:rsidRPr="00E92038">
        <w:rPr>
          <w:sz w:val="24"/>
          <w:szCs w:val="24"/>
          <w:shd w:val="clear" w:color="auto" w:fill="FFFFFF"/>
        </w:rPr>
        <w:t>across most of Massachusetts will double from 2020 to 2050.</w:t>
      </w:r>
    </w:p>
    <w:p w14:paraId="36A39C82" w14:textId="367BC761" w:rsidR="00667087" w:rsidRPr="00E92038" w:rsidRDefault="00667087" w:rsidP="000E7C99">
      <w:pPr>
        <w:pStyle w:val="ListParagraph"/>
        <w:numPr>
          <w:ilvl w:val="0"/>
          <w:numId w:val="53"/>
        </w:numPr>
        <w:spacing w:line="360" w:lineRule="auto"/>
        <w:ind w:right="0"/>
        <w:rPr>
          <w:sz w:val="24"/>
          <w:szCs w:val="24"/>
          <w:shd w:val="clear" w:color="auto" w:fill="FFFFFF"/>
        </w:rPr>
      </w:pPr>
      <w:r w:rsidRPr="00E92038">
        <w:rPr>
          <w:sz w:val="24"/>
          <w:szCs w:val="24"/>
          <w:shd w:val="clear" w:color="auto" w:fill="FFFFFF"/>
        </w:rPr>
        <w:t xml:space="preserve">Some residents are more susceptible to heat impacts due to socioeconomic status, health, age, or geographic location. The most vulnerable groups are children, </w:t>
      </w:r>
      <w:r w:rsidR="0099143C" w:rsidRPr="00E92038">
        <w:rPr>
          <w:sz w:val="24"/>
          <w:szCs w:val="24"/>
          <w:shd w:val="clear" w:color="auto" w:fill="FFFFFF"/>
        </w:rPr>
        <w:t>elderly living alone, persons with a disability</w:t>
      </w:r>
      <w:r w:rsidRPr="00E92038">
        <w:rPr>
          <w:sz w:val="24"/>
          <w:szCs w:val="24"/>
          <w:shd w:val="clear" w:color="auto" w:fill="FFFFFF"/>
        </w:rPr>
        <w:t>, low-income residents, homeless individuals, and persons living in urban areas with higher exposures to heat.</w:t>
      </w:r>
    </w:p>
    <w:p w14:paraId="3DB7E86A" w14:textId="3CBB764F" w:rsidR="00667087" w:rsidRPr="00E92038" w:rsidRDefault="00667087" w:rsidP="000E7C99">
      <w:pPr>
        <w:pStyle w:val="ListParagraph"/>
        <w:numPr>
          <w:ilvl w:val="0"/>
          <w:numId w:val="53"/>
        </w:numPr>
        <w:spacing w:line="360" w:lineRule="auto"/>
        <w:ind w:right="0"/>
        <w:rPr>
          <w:sz w:val="24"/>
          <w:szCs w:val="24"/>
          <w:shd w:val="clear" w:color="auto" w:fill="FFFFFF"/>
        </w:rPr>
      </w:pPr>
      <w:r w:rsidRPr="00E92038">
        <w:rPr>
          <w:sz w:val="24"/>
          <w:szCs w:val="24"/>
          <w:shd w:val="clear" w:color="auto" w:fill="FFFFFF"/>
        </w:rPr>
        <w:t xml:space="preserve">Communities of color, lower socioeconomic populations </w:t>
      </w:r>
      <w:r w:rsidR="008E2FC8" w:rsidRPr="00E92038">
        <w:rPr>
          <w:sz w:val="24"/>
          <w:szCs w:val="24"/>
          <w:shd w:val="clear" w:color="auto" w:fill="FFFFFF"/>
        </w:rPr>
        <w:t xml:space="preserve">, </w:t>
      </w:r>
      <w:r w:rsidRPr="00E92038">
        <w:rPr>
          <w:sz w:val="24"/>
          <w:szCs w:val="24"/>
          <w:shd w:val="clear" w:color="auto" w:fill="FFFFFF"/>
        </w:rPr>
        <w:t>and homeless populations are more likely to have limited adaptive capacity to address heat-related impacts. This may be due to various factors such as lack of access to emergency health care and cooling centers.</w:t>
      </w:r>
    </w:p>
    <w:p w14:paraId="0A6FF21A" w14:textId="0B151724" w:rsidR="00367354" w:rsidRPr="00E92038" w:rsidRDefault="00667087" w:rsidP="000E7C99">
      <w:pPr>
        <w:spacing w:before="0" w:line="360" w:lineRule="auto"/>
        <w:ind w:left="0" w:right="0"/>
        <w:jc w:val="center"/>
        <w:rPr>
          <w:sz w:val="24"/>
          <w:szCs w:val="24"/>
        </w:rPr>
      </w:pPr>
      <w:r>
        <w:br w:type="page"/>
      </w:r>
      <w:r w:rsidR="00856169" w:rsidRPr="00E92038">
        <w:rPr>
          <w:sz w:val="24"/>
          <w:szCs w:val="24"/>
        </w:rPr>
        <w:lastRenderedPageBreak/>
        <w:t>Figure</w:t>
      </w:r>
      <w:r w:rsidR="00367354" w:rsidRPr="00E92038">
        <w:rPr>
          <w:sz w:val="24"/>
          <w:szCs w:val="24"/>
        </w:rPr>
        <w:t xml:space="preserve"> </w:t>
      </w:r>
      <w:r w:rsidR="00AC4D06" w:rsidRPr="00E92038">
        <w:rPr>
          <w:sz w:val="24"/>
          <w:szCs w:val="24"/>
        </w:rPr>
        <w:t>3.7</w:t>
      </w:r>
    </w:p>
    <w:p w14:paraId="03A784F3" w14:textId="02971B33" w:rsidR="00367354" w:rsidRPr="00E92038" w:rsidRDefault="00367354" w:rsidP="000E7C99">
      <w:pPr>
        <w:pStyle w:val="SHAFigureNumber"/>
        <w:spacing w:line="360" w:lineRule="auto"/>
        <w:rPr>
          <w:rStyle w:val="SubtleEmphasis"/>
          <w:b/>
          <w:iCs w:val="0"/>
          <w:color w:val="auto"/>
          <w:sz w:val="24"/>
          <w:szCs w:val="24"/>
        </w:rPr>
      </w:pPr>
      <w:r w:rsidRPr="00E92038">
        <w:rPr>
          <w:rStyle w:val="SubtleEmphasis"/>
          <w:b/>
          <w:iCs w:val="0"/>
          <w:color w:val="auto"/>
          <w:sz w:val="24"/>
          <w:szCs w:val="24"/>
        </w:rPr>
        <w:t xml:space="preserve">Projected Number of Days Over 90 Degrees </w:t>
      </w:r>
      <w:r w:rsidR="003E3840" w:rsidRPr="00E92038">
        <w:rPr>
          <w:rStyle w:val="SubtleEmphasis"/>
          <w:b/>
          <w:iCs w:val="0"/>
          <w:color w:val="auto"/>
          <w:sz w:val="24"/>
          <w:szCs w:val="24"/>
        </w:rPr>
        <w:t>Fahrenheit</w:t>
      </w:r>
      <w:r w:rsidRPr="00E92038">
        <w:rPr>
          <w:rStyle w:val="SubtleEmphasis"/>
          <w:b/>
          <w:iCs w:val="0"/>
          <w:color w:val="auto"/>
          <w:sz w:val="24"/>
          <w:szCs w:val="24"/>
        </w:rPr>
        <w:t xml:space="preserve"> in Counties in Massachusetts, 2020</w:t>
      </w:r>
      <w:r w:rsidR="003E3840" w:rsidRPr="00E92038">
        <w:rPr>
          <w:rStyle w:val="SubtleEmphasis"/>
          <w:b/>
          <w:iCs w:val="0"/>
          <w:color w:val="auto"/>
          <w:sz w:val="24"/>
          <w:szCs w:val="24"/>
        </w:rPr>
        <w:t xml:space="preserve"> and </w:t>
      </w:r>
      <w:r w:rsidRPr="00E92038">
        <w:rPr>
          <w:rStyle w:val="SubtleEmphasis"/>
          <w:b/>
          <w:iCs w:val="0"/>
          <w:color w:val="auto"/>
          <w:sz w:val="24"/>
          <w:szCs w:val="24"/>
        </w:rPr>
        <w:t>2050</w:t>
      </w:r>
    </w:p>
    <w:p w14:paraId="4CA405EA" w14:textId="1151376E" w:rsidR="00367354" w:rsidRDefault="001C0EB8" w:rsidP="000E7C99">
      <w:pPr>
        <w:pStyle w:val="ListParagraph"/>
        <w:spacing w:line="360" w:lineRule="auto"/>
        <w:ind w:left="-360" w:right="0"/>
        <w:jc w:val="center"/>
        <w:rPr>
          <w:rStyle w:val="SubtleEmphasis"/>
        </w:rPr>
      </w:pPr>
      <w:r>
        <w:drawing>
          <wp:inline distT="0" distB="0" distL="0" distR="0" wp14:anchorId="73C82D0E" wp14:editId="66AFFE52">
            <wp:extent cx="5943600" cy="3818466"/>
            <wp:effectExtent l="0" t="0" r="0" b="0"/>
            <wp:docPr id="67" name="Chart 67" descr="This bar graph displays the projected number of days over 90 degrees for 2020 and 2050 (y axis) by each Massachusetts county (x axis).  For Barnstable county, 3 days are projected to exceed 90 degrees in 2020 and 9 are projected in 2050.  For Berkshire county, 2 are projected for 2020 and 7 for 2050.  For Bristol, 11 are projected for 2020 and 23 for 2050.  For Dukes, 2 are projected for 2020 and 9 for 2050.  For Essex, 16 are projected for 2020 and 28 for 2050.  For Franklin, 12 are projected for 2020 and 23 for 2050.  For Hampden, 17 are projected for 2020 and 31 for 2050.  For Hampshire, 13 are projected for 2020 and 24 for 2050.  For Middlesex, 16 are projected for 2020 and 29 for 2050.  For Norfolk, 15 are projected for 2020 and 28 for 2050.  For Plymouth, 13 are projected for 2020 and 25 for 2050.  For Suffolk, 17 are projected for 2020 and 30 for 2050.  For Worcester county, 9 are projected for 2020 and 18 for 2050.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6A31A1-62D9-4213-9EAF-811FE2C19E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B83BF38" w14:textId="3B3A06B9" w:rsidR="00367354" w:rsidRPr="00E92038" w:rsidRDefault="00856169" w:rsidP="000E7C99">
      <w:pPr>
        <w:pStyle w:val="SHAFigureNote"/>
        <w:spacing w:line="360" w:lineRule="auto"/>
        <w:rPr>
          <w:rStyle w:val="Emphasis"/>
          <w:i w:val="0"/>
          <w:sz w:val="24"/>
          <w:szCs w:val="24"/>
        </w:rPr>
      </w:pPr>
      <w:r w:rsidRPr="00E92038">
        <w:rPr>
          <w:rStyle w:val="Emphasis"/>
          <w:i w:val="0"/>
          <w:sz w:val="24"/>
          <w:szCs w:val="24"/>
        </w:rPr>
        <w:t>SOURCE: NATIONAL ENVIRONMENTAL PUBLIC HEALTH TRACKING PORTAL; HIGH EMISSION SCENARIO</w:t>
      </w:r>
    </w:p>
    <w:p w14:paraId="315AD577" w14:textId="77777777" w:rsidR="00367354" w:rsidRPr="00E92038" w:rsidRDefault="00367354" w:rsidP="000E7C99">
      <w:pPr>
        <w:pStyle w:val="Heading3"/>
        <w:spacing w:line="360" w:lineRule="auto"/>
        <w:rPr>
          <w:b/>
          <w:color w:val="000000" w:themeColor="text1"/>
          <w:sz w:val="24"/>
          <w:szCs w:val="24"/>
        </w:rPr>
      </w:pPr>
      <w:r w:rsidRPr="00E92038">
        <w:rPr>
          <w:b/>
          <w:color w:val="000000" w:themeColor="text1"/>
          <w:sz w:val="24"/>
          <w:szCs w:val="24"/>
        </w:rPr>
        <w:t>Environmental Justice Populations and Health</w:t>
      </w:r>
    </w:p>
    <w:p w14:paraId="04BBFBB1" w14:textId="77777777" w:rsidR="00367354" w:rsidRPr="00E92038" w:rsidRDefault="00367354" w:rsidP="000E7C99">
      <w:pPr>
        <w:spacing w:line="360" w:lineRule="auto"/>
        <w:ind w:right="0"/>
        <w:rPr>
          <w:sz w:val="24"/>
          <w:szCs w:val="24"/>
        </w:rPr>
      </w:pPr>
      <w:r w:rsidRPr="00E92038">
        <w:rPr>
          <w:sz w:val="24"/>
          <w:szCs w:val="24"/>
        </w:rPr>
        <w:t xml:space="preserve">According to the Environmental Justice (EJ) Policy of the Massachusetts Executive Office of Energy and Environmental Affairs (EEA), environmental justice is based on the principle that all people have a right to be protected from environmental pollution and to live in and enjoy a clean and healthful environment regardless of race, ethnicity, income, national origin or English language proficiency. </w:t>
      </w:r>
    </w:p>
    <w:p w14:paraId="3AB37763" w14:textId="77777777" w:rsidR="00367354" w:rsidRPr="00E92038" w:rsidRDefault="00367354" w:rsidP="000E7C99">
      <w:pPr>
        <w:pStyle w:val="Heading4"/>
        <w:spacing w:line="360" w:lineRule="auto"/>
        <w:ind w:right="0"/>
      </w:pPr>
      <w:r w:rsidRPr="00E92038">
        <w:t>Trends/Disparities</w:t>
      </w:r>
    </w:p>
    <w:p w14:paraId="11F7F2C0" w14:textId="61AEE694" w:rsidR="00367354" w:rsidRPr="00E92038" w:rsidRDefault="00367354" w:rsidP="000E7C99">
      <w:pPr>
        <w:spacing w:line="360" w:lineRule="auto"/>
        <w:ind w:right="0"/>
        <w:rPr>
          <w:sz w:val="24"/>
          <w:szCs w:val="24"/>
        </w:rPr>
      </w:pPr>
      <w:r w:rsidRPr="00E92038">
        <w:rPr>
          <w:sz w:val="24"/>
          <w:szCs w:val="24"/>
        </w:rPr>
        <w:t>Minority and low-income populations are more likely to live in close proximity to contaminated and abandoned sites, regulated facilities, and sources of pollution.</w:t>
      </w:r>
      <w:r w:rsidRPr="00E92038">
        <w:rPr>
          <w:sz w:val="24"/>
          <w:szCs w:val="24"/>
          <w:vertAlign w:val="superscript"/>
        </w:rPr>
        <w:endnoteReference w:id="24"/>
      </w:r>
      <w:r w:rsidRPr="00E92038">
        <w:rPr>
          <w:sz w:val="24"/>
          <w:szCs w:val="24"/>
        </w:rPr>
        <w:t xml:space="preserve">  The Massachusetts EEA EJ Policy of 2002 was designed to build on federal environmental justice guidelines to reflect the needs and circumstances specific to Massachusetts. It targets EEA resources to service those high-minority/Hispanic ethnicity</w:t>
      </w:r>
      <w:r w:rsidR="001C41B0" w:rsidRPr="00E92038">
        <w:rPr>
          <w:sz w:val="24"/>
          <w:szCs w:val="24"/>
        </w:rPr>
        <w:t>/low-</w:t>
      </w:r>
      <w:r w:rsidR="001C41B0" w:rsidRPr="00E92038">
        <w:rPr>
          <w:sz w:val="24"/>
          <w:szCs w:val="24"/>
        </w:rPr>
        <w:lastRenderedPageBreak/>
        <w:t>income communities</w:t>
      </w:r>
      <w:r w:rsidRPr="00E92038">
        <w:rPr>
          <w:sz w:val="24"/>
          <w:szCs w:val="24"/>
        </w:rPr>
        <w:t xml:space="preserve"> in Massachusetts where the residents are “most at risk of being unaware of or unable to participate in environmental, energy, or climate change decision-making.” These neighborhoods are defined as US Census block groups that meet one or more of the following criteria:</w:t>
      </w:r>
    </w:p>
    <w:p w14:paraId="702864CC" w14:textId="77777777" w:rsidR="00367354" w:rsidRPr="00E92038" w:rsidRDefault="00367354" w:rsidP="000E7C99">
      <w:pPr>
        <w:pStyle w:val="ListParagraph"/>
        <w:numPr>
          <w:ilvl w:val="0"/>
          <w:numId w:val="54"/>
        </w:numPr>
        <w:spacing w:line="360" w:lineRule="auto"/>
        <w:ind w:right="0"/>
        <w:rPr>
          <w:sz w:val="24"/>
          <w:szCs w:val="24"/>
          <w:shd w:val="clear" w:color="auto" w:fill="FFFFFF"/>
        </w:rPr>
      </w:pPr>
      <w:r w:rsidRPr="00E92038">
        <w:rPr>
          <w:sz w:val="24"/>
          <w:szCs w:val="24"/>
          <w:shd w:val="clear" w:color="auto" w:fill="FFFFFF"/>
        </w:rPr>
        <w:t>The median annual household income is at or below 65% of the statewide median annual household income for Massachusetts.</w:t>
      </w:r>
    </w:p>
    <w:p w14:paraId="58AFD706" w14:textId="77777777" w:rsidR="00367354" w:rsidRPr="00E92038" w:rsidRDefault="00367354" w:rsidP="000E7C99">
      <w:pPr>
        <w:pStyle w:val="ListParagraph"/>
        <w:numPr>
          <w:ilvl w:val="0"/>
          <w:numId w:val="54"/>
        </w:numPr>
        <w:spacing w:line="360" w:lineRule="auto"/>
        <w:ind w:right="0"/>
        <w:rPr>
          <w:sz w:val="24"/>
          <w:szCs w:val="24"/>
          <w:shd w:val="clear" w:color="auto" w:fill="FFFFFF"/>
        </w:rPr>
      </w:pPr>
      <w:r w:rsidRPr="00E92038">
        <w:rPr>
          <w:sz w:val="24"/>
          <w:szCs w:val="24"/>
          <w:shd w:val="clear" w:color="auto" w:fill="FFFFFF"/>
        </w:rPr>
        <w:t>25% or more of the residents are minority (US Census population of those who self-identify as Latino/Hispanic, Black/African-American, Asian, Indigenous people, or otherwise identify as non-White).</w:t>
      </w:r>
    </w:p>
    <w:p w14:paraId="6CD8F730" w14:textId="77777777" w:rsidR="00367354" w:rsidRPr="00E92038" w:rsidRDefault="00367354" w:rsidP="000E7C99">
      <w:pPr>
        <w:pStyle w:val="ListParagraph"/>
        <w:numPr>
          <w:ilvl w:val="0"/>
          <w:numId w:val="54"/>
        </w:numPr>
        <w:spacing w:line="360" w:lineRule="auto"/>
        <w:ind w:right="0"/>
        <w:rPr>
          <w:sz w:val="24"/>
          <w:szCs w:val="24"/>
          <w:shd w:val="clear" w:color="auto" w:fill="FFFFFF"/>
        </w:rPr>
      </w:pPr>
      <w:r w:rsidRPr="00E92038">
        <w:rPr>
          <w:sz w:val="24"/>
          <w:szCs w:val="24"/>
          <w:shd w:val="clear" w:color="auto" w:fill="FFFFFF"/>
        </w:rPr>
        <w:t>25% or more of the residents have English Isolation (US Census American Community Survey population of households where no adults speak English very well).</w:t>
      </w:r>
    </w:p>
    <w:p w14:paraId="5A8FEFDC" w14:textId="77777777" w:rsidR="00367354" w:rsidRPr="00E92038" w:rsidRDefault="00367354" w:rsidP="000E7C99">
      <w:pPr>
        <w:spacing w:line="360" w:lineRule="auto"/>
        <w:ind w:right="0"/>
        <w:rPr>
          <w:sz w:val="24"/>
          <w:szCs w:val="24"/>
        </w:rPr>
      </w:pPr>
      <w:r w:rsidRPr="00E92038">
        <w:rPr>
          <w:sz w:val="24"/>
          <w:szCs w:val="24"/>
        </w:rPr>
        <w:t xml:space="preserve">MDPH collaborates with EEA to identify existing health burdens among EJ populations.  In 2017, EEA released a revised EJ Policy including the addition of four health criteria recommended by the MDPH Bureau of Environmental Health to identify </w:t>
      </w:r>
      <w:r w:rsidRPr="00E92038">
        <w:rPr>
          <w:rFonts w:eastAsia="Calibri"/>
          <w:sz w:val="24"/>
          <w:szCs w:val="24"/>
        </w:rPr>
        <w:t>Vulnerable</w:t>
      </w:r>
      <w:r w:rsidRPr="00E92038">
        <w:rPr>
          <w:sz w:val="24"/>
          <w:szCs w:val="24"/>
        </w:rPr>
        <w:t xml:space="preserve"> Health EJ Populations: </w:t>
      </w:r>
      <w:r w:rsidRPr="00E92038">
        <w:rPr>
          <w:sz w:val="24"/>
          <w:szCs w:val="24"/>
          <w:shd w:val="clear" w:color="auto" w:fill="FFFFFF"/>
        </w:rPr>
        <w:t xml:space="preserve">childhood asthma, low birth weight, childhood lead poisoning, and heart disease morbidity.  </w:t>
      </w:r>
      <w:r w:rsidRPr="00E92038">
        <w:rPr>
          <w:sz w:val="24"/>
          <w:szCs w:val="24"/>
        </w:rPr>
        <w:t>Vulnerable Health EJ Populations are those that have evidence of higher than average rates of environmentally-related health outcomes, making them particularly vulnerable to adverse environmental exposures.</w:t>
      </w:r>
    </w:p>
    <w:p w14:paraId="5EF1BBD6" w14:textId="7E6A39C4" w:rsidR="00367354" w:rsidRPr="00E92038" w:rsidRDefault="00367354" w:rsidP="000E7C99">
      <w:pPr>
        <w:spacing w:line="360" w:lineRule="auto"/>
        <w:ind w:right="0"/>
        <w:rPr>
          <w:sz w:val="24"/>
          <w:szCs w:val="24"/>
        </w:rPr>
      </w:pPr>
      <w:r w:rsidRPr="00E92038">
        <w:rPr>
          <w:sz w:val="24"/>
          <w:szCs w:val="24"/>
        </w:rPr>
        <w:t>In comparing the prevalence of these health outcomes between EJ and non-EJ populations, the disparities are evident</w:t>
      </w:r>
      <w:r w:rsidR="00774D1C" w:rsidRPr="00E92038">
        <w:rPr>
          <w:sz w:val="24"/>
          <w:szCs w:val="24"/>
        </w:rPr>
        <w:t xml:space="preserve">, as seen in </w:t>
      </w:r>
      <w:r w:rsidR="00774D1C" w:rsidRPr="00E92038">
        <w:rPr>
          <w:b/>
          <w:sz w:val="24"/>
          <w:szCs w:val="24"/>
        </w:rPr>
        <w:t>Figure 3.8</w:t>
      </w:r>
      <w:r w:rsidRPr="00E92038">
        <w:rPr>
          <w:sz w:val="24"/>
          <w:szCs w:val="24"/>
        </w:rPr>
        <w:t>.</w:t>
      </w:r>
    </w:p>
    <w:p w14:paraId="7ABFF6AD" w14:textId="77777777" w:rsidR="00367354" w:rsidRPr="00E92038" w:rsidRDefault="00367354" w:rsidP="000E7C99">
      <w:pPr>
        <w:pStyle w:val="ListParagraph"/>
        <w:numPr>
          <w:ilvl w:val="0"/>
          <w:numId w:val="55"/>
        </w:numPr>
        <w:spacing w:line="360" w:lineRule="auto"/>
        <w:ind w:right="0"/>
        <w:rPr>
          <w:sz w:val="24"/>
          <w:szCs w:val="24"/>
          <w:shd w:val="clear" w:color="auto" w:fill="FFFFFF"/>
        </w:rPr>
      </w:pPr>
      <w:r w:rsidRPr="00E92038">
        <w:rPr>
          <w:sz w:val="24"/>
          <w:szCs w:val="24"/>
          <w:shd w:val="clear" w:color="auto" w:fill="FFFFFF"/>
        </w:rPr>
        <w:t xml:space="preserve">While only 4% of non-EJ communities had a rate of childhood asthma emergency department (ED) visits greater than 110% of the state rate, 27% of EJ communities (those with at least one EJ block group), had a rate of asthma ED visits greater than 110% of the state rate (2009-2013). </w:t>
      </w:r>
    </w:p>
    <w:p w14:paraId="3167474E" w14:textId="77777777" w:rsidR="00367354" w:rsidRPr="00E92038" w:rsidRDefault="00367354" w:rsidP="000E7C99">
      <w:pPr>
        <w:pStyle w:val="ListParagraph"/>
        <w:numPr>
          <w:ilvl w:val="0"/>
          <w:numId w:val="55"/>
        </w:numPr>
        <w:spacing w:line="360" w:lineRule="auto"/>
        <w:ind w:right="0"/>
        <w:rPr>
          <w:sz w:val="24"/>
          <w:szCs w:val="24"/>
          <w:shd w:val="clear" w:color="auto" w:fill="FFFFFF"/>
        </w:rPr>
      </w:pPr>
      <w:r w:rsidRPr="00E92038">
        <w:rPr>
          <w:sz w:val="24"/>
          <w:szCs w:val="24"/>
          <w:shd w:val="clear" w:color="auto" w:fill="FFFFFF"/>
        </w:rPr>
        <w:t xml:space="preserve">A high prevalence of children with elevated blood lead levels and an elevated rate of heart disease morbidity were both present in nearly double the proportion of EJ populations compared to non-EJ (42% v. 19% and 40% v. 22%, respectively).  </w:t>
      </w:r>
    </w:p>
    <w:p w14:paraId="622749EF" w14:textId="77777777" w:rsidR="00367354" w:rsidRPr="00E92038" w:rsidRDefault="00367354" w:rsidP="000E7C99">
      <w:pPr>
        <w:pStyle w:val="ListParagraph"/>
        <w:numPr>
          <w:ilvl w:val="0"/>
          <w:numId w:val="55"/>
        </w:numPr>
        <w:spacing w:line="360" w:lineRule="auto"/>
        <w:ind w:right="0"/>
        <w:rPr>
          <w:sz w:val="24"/>
          <w:szCs w:val="24"/>
          <w:shd w:val="clear" w:color="auto" w:fill="FFFFFF"/>
        </w:rPr>
      </w:pPr>
      <w:r w:rsidRPr="00E92038">
        <w:rPr>
          <w:sz w:val="24"/>
          <w:szCs w:val="24"/>
          <w:shd w:val="clear" w:color="auto" w:fill="FFFFFF"/>
        </w:rPr>
        <w:t xml:space="preserve">From 2010 to 2014, 49% of EJ block groups had a rate of low birth weight above 110% of the state rate, while 31% of non-EJ block groups had a rate of low birth weight above 110% of the state rate. </w:t>
      </w:r>
    </w:p>
    <w:p w14:paraId="1F8D5BC8" w14:textId="77777777" w:rsidR="00C453EE" w:rsidRPr="00E92038" w:rsidRDefault="00C453EE" w:rsidP="000E7C99">
      <w:pPr>
        <w:pStyle w:val="Heading3"/>
        <w:spacing w:line="360" w:lineRule="auto"/>
        <w:rPr>
          <w:b/>
          <w:color w:val="000000" w:themeColor="text1"/>
          <w:sz w:val="24"/>
          <w:szCs w:val="24"/>
        </w:rPr>
      </w:pPr>
      <w:r w:rsidRPr="00E92038">
        <w:rPr>
          <w:b/>
          <w:color w:val="000000" w:themeColor="text1"/>
          <w:sz w:val="24"/>
          <w:szCs w:val="24"/>
        </w:rPr>
        <w:lastRenderedPageBreak/>
        <w:t>Occupational Exposures and Disease</w:t>
      </w:r>
    </w:p>
    <w:p w14:paraId="0D06BF08" w14:textId="3B732238" w:rsidR="00C453EE" w:rsidRPr="00E92038" w:rsidRDefault="00C453EE" w:rsidP="000E7C99">
      <w:pPr>
        <w:spacing w:line="360" w:lineRule="auto"/>
        <w:ind w:right="0"/>
        <w:rPr>
          <w:sz w:val="24"/>
          <w:szCs w:val="24"/>
          <w:lang w:eastAsia="ko-KR"/>
        </w:rPr>
      </w:pPr>
      <w:r w:rsidRPr="00E92038">
        <w:rPr>
          <w:sz w:val="24"/>
          <w:szCs w:val="24"/>
          <w:lang w:eastAsia="ko-KR"/>
        </w:rPr>
        <w:t>Conditions in the workplace, including chemicals, may impact health. Workers may breathe in dust, fumes, and vapors or absorb them through the skin. Some of the chemicals can have short-lived acute health effects; other chemicals can have long-lasting health implications. Some chemical exposures can contribute to common chronic diseases, such as asthma, chronic obstructive pulmonary disease, lung</w:t>
      </w:r>
      <w:r w:rsidR="008E2FC8" w:rsidRPr="00E92038">
        <w:rPr>
          <w:sz w:val="24"/>
          <w:szCs w:val="24"/>
          <w:lang w:eastAsia="ko-KR"/>
        </w:rPr>
        <w:t xml:space="preserve"> </w:t>
      </w:r>
      <w:r w:rsidRPr="00E92038">
        <w:rPr>
          <w:sz w:val="24"/>
          <w:szCs w:val="24"/>
          <w:lang w:eastAsia="ko-KR"/>
        </w:rPr>
        <w:t xml:space="preserve">and other cancers, and cardiovascular disease. </w:t>
      </w:r>
    </w:p>
    <w:p w14:paraId="48A309C0" w14:textId="0E1408AB" w:rsidR="00C453EE" w:rsidRPr="000E7C99" w:rsidRDefault="00C453EE" w:rsidP="000E7C99">
      <w:pPr>
        <w:spacing w:line="360" w:lineRule="auto"/>
        <w:ind w:right="0"/>
        <w:rPr>
          <w:sz w:val="24"/>
          <w:szCs w:val="24"/>
          <w:lang w:eastAsia="ko-KR"/>
        </w:rPr>
      </w:pPr>
      <w:r w:rsidRPr="00E92038">
        <w:rPr>
          <w:sz w:val="24"/>
          <w:szCs w:val="24"/>
          <w:lang w:eastAsia="ko-KR"/>
        </w:rPr>
        <w:t xml:space="preserve">This section includes information about health outcomes associated with two chemicals that have long been recognized as workplace hazards that can have serious health effects: lead and asbestos. </w:t>
      </w:r>
    </w:p>
    <w:p w14:paraId="40E99A9B" w14:textId="06781AA6" w:rsidR="00367354" w:rsidRPr="00E92038" w:rsidRDefault="001E3647" w:rsidP="000E7C99">
      <w:pPr>
        <w:pStyle w:val="SHAFigureNumber"/>
        <w:spacing w:line="360" w:lineRule="auto"/>
        <w:rPr>
          <w:sz w:val="24"/>
          <w:szCs w:val="24"/>
          <w:shd w:val="clear" w:color="auto" w:fill="FFFFFF"/>
        </w:rPr>
      </w:pPr>
      <w:r w:rsidRPr="00E92038">
        <w:rPr>
          <w:sz w:val="24"/>
          <w:szCs w:val="24"/>
        </w:rPr>
        <w:t>Figure</w:t>
      </w:r>
      <w:r w:rsidR="00367354" w:rsidRPr="00E92038">
        <w:rPr>
          <w:sz w:val="24"/>
          <w:szCs w:val="24"/>
        </w:rPr>
        <w:t xml:space="preserve"> 3.</w:t>
      </w:r>
      <w:r w:rsidR="00AC4D06" w:rsidRPr="00E92038">
        <w:rPr>
          <w:sz w:val="24"/>
          <w:szCs w:val="24"/>
        </w:rPr>
        <w:t>8</w:t>
      </w:r>
    </w:p>
    <w:p w14:paraId="5CDD0F10" w14:textId="0627064E" w:rsidR="00367354" w:rsidRPr="00E92038" w:rsidRDefault="00367354" w:rsidP="000E7C99">
      <w:pPr>
        <w:pStyle w:val="SHAFigureNumber"/>
        <w:spacing w:line="360" w:lineRule="auto"/>
        <w:rPr>
          <w:sz w:val="24"/>
          <w:szCs w:val="24"/>
        </w:rPr>
      </w:pPr>
      <w:r w:rsidRPr="00E92038">
        <w:rPr>
          <w:sz w:val="24"/>
          <w:szCs w:val="24"/>
        </w:rPr>
        <w:t>Prevalence of Vulnerable He</w:t>
      </w:r>
      <w:r w:rsidR="00925A89" w:rsidRPr="00E92038">
        <w:rPr>
          <w:sz w:val="24"/>
          <w:szCs w:val="24"/>
        </w:rPr>
        <w:t>alth Criteria in Massachusetts a</w:t>
      </w:r>
      <w:r w:rsidRPr="00E92038">
        <w:rPr>
          <w:sz w:val="24"/>
          <w:szCs w:val="24"/>
        </w:rPr>
        <w:t>mong Environmental Justice and non-Environmental Justice Populations</w:t>
      </w:r>
      <w:r w:rsidR="00DA71C9" w:rsidRPr="00E92038">
        <w:rPr>
          <w:sz w:val="24"/>
          <w:szCs w:val="24"/>
        </w:rPr>
        <w:t>, 2010-2014</w:t>
      </w:r>
    </w:p>
    <w:p w14:paraId="2797C217" w14:textId="5DEC863F" w:rsidR="00367354" w:rsidRPr="00891FE2" w:rsidRDefault="001C0EB8" w:rsidP="000E7C99">
      <w:pPr>
        <w:spacing w:line="360" w:lineRule="auto"/>
        <w:ind w:right="0"/>
        <w:jc w:val="center"/>
        <w:rPr>
          <w:szCs w:val="24"/>
        </w:rPr>
      </w:pPr>
      <w:r>
        <w:drawing>
          <wp:inline distT="0" distB="0" distL="0" distR="0" wp14:anchorId="55E702C4" wp14:editId="5CE22AAB">
            <wp:extent cx="4933950" cy="3095625"/>
            <wp:effectExtent l="0" t="0" r="0" b="0"/>
            <wp:docPr id="68" name="Chart 68" descr="This bar graph displays the percent of Massachusetts populations (y axis) with rates of each of four health outcomes exceeding the state average by 10% or more (x axis) for the period 2010 to 2014 for Environmental Justice (or EJ) populations compared to non-Environmental Justice (or non-EJ) populations.  The four health outcomes are childhood asthma emergency department (or ED) visits, low birth weight births, children with elevated blood lead levels, and heart attack hospital admissions.  For each health outcome, two bars are compared where one represents EJ populations and the other represents non-EJ populations.  The percent of EJ populations with a high rate of ED visits for childhood asthma was 27%.  For non-EJ populations it was 4%. The percent of EJ populations with a high rate of births with low birth weight was 49%.  For non-EJ populations it was 31%. The percent of EJ populations with high prevalence of children with elevated blood lead levels was 42%.  For non-EJ populations it was 19%. The percent of EJ populations with a high rate of hospital admissions for heart attacks was 40%.  For non-EJ populations it was 22%.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9EEEC76-59D8-4673-9544-D68DB5BB0C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3FDA7B4" w14:textId="781AE945" w:rsidR="00367354" w:rsidRPr="00E92038" w:rsidRDefault="001E3647" w:rsidP="000E7C99">
      <w:pPr>
        <w:pStyle w:val="SHAFigureNote"/>
        <w:spacing w:line="360" w:lineRule="auto"/>
        <w:rPr>
          <w:rStyle w:val="Emphasis"/>
          <w:i w:val="0"/>
          <w:sz w:val="24"/>
          <w:szCs w:val="24"/>
        </w:rPr>
      </w:pPr>
      <w:r w:rsidRPr="00E92038">
        <w:rPr>
          <w:rStyle w:val="Emphasis"/>
          <w:i w:val="0"/>
          <w:sz w:val="24"/>
          <w:szCs w:val="24"/>
        </w:rPr>
        <w:t xml:space="preserve">NOTES: CHILDHOOD ASTHMA MEASURE DEFINED AS A FIVE-YEAR AVERAGE RATE OF EMERGENCY DEPARTMENT VISITS FOR CHILDHOOD ASTHMA GREATER THAN OR EQUAL TO 110% OF THE STATE RATE. LOW BIRTH WEIGHT MEASURE DEFINED AS A FIVE-YEAR AVERAGE RATE OF (FULL-TERM) LOW BIRTH WEIGHT ABOVE 110% OF THE STATE RATE. ELEVATED CHILDHOOD BLOOD LEAD MEASURE DEFINED AS A FIVE-YEAR AVERAGE PREVALENCE OF CONFIRMED ELEVATED BLOOD LEAD LEVELS (≥10µG/DL) GREATER THAN 110% OF </w:t>
      </w:r>
      <w:r w:rsidRPr="00E92038">
        <w:rPr>
          <w:rStyle w:val="Emphasis"/>
          <w:i w:val="0"/>
          <w:sz w:val="24"/>
          <w:szCs w:val="24"/>
        </w:rPr>
        <w:lastRenderedPageBreak/>
        <w:t>THE STATE PREVALENCE. HEART DISEASE MORBIDITY MEASURE DEFINED AS A FIVE-YEAR AVERAGE AGE-ADJUSTED RATE OF HOSPITALIZATIONS FOR MYOCARDIAL INFARCTION GREATER THAN 110% OF THE STATE RATE. EJ POPULATIONS DEFINED AT THE BLOCK GROUP LEVEL FOR LOW BIRTH WEIGHT AND CHILDHOOD LEAD EXPOSURE MEASURES AND AT THE COMMUNITY LEVEL FOR CHILDHOOD ASTHMA AND HEART DISEASE MORBIDITY MEASURES.  COMMUNITIES WITH AT LEAST ONE EJ BLOCK GROUP WERE DEFINED AS EJ COMMUNITIES.</w:t>
      </w:r>
    </w:p>
    <w:p w14:paraId="3A40CA5F" w14:textId="77777777" w:rsidR="00367354" w:rsidRPr="00E92038" w:rsidRDefault="00367354" w:rsidP="000E7C99">
      <w:pPr>
        <w:pStyle w:val="Heading3"/>
        <w:spacing w:line="360" w:lineRule="auto"/>
        <w:rPr>
          <w:sz w:val="24"/>
          <w:szCs w:val="24"/>
        </w:rPr>
      </w:pPr>
      <w:r w:rsidRPr="00E92038">
        <w:rPr>
          <w:sz w:val="24"/>
          <w:szCs w:val="24"/>
        </w:rPr>
        <w:t>Adult Lead Exposure</w:t>
      </w:r>
    </w:p>
    <w:p w14:paraId="62A08444" w14:textId="77777777" w:rsidR="00367354" w:rsidRPr="00E92038" w:rsidRDefault="00367354" w:rsidP="000E7C99">
      <w:pPr>
        <w:spacing w:line="360" w:lineRule="auto"/>
        <w:ind w:right="0"/>
        <w:rPr>
          <w:sz w:val="24"/>
          <w:szCs w:val="24"/>
        </w:rPr>
      </w:pPr>
      <w:r w:rsidRPr="00E92038">
        <w:rPr>
          <w:sz w:val="24"/>
          <w:szCs w:val="24"/>
        </w:rPr>
        <w:t>Lead can harm nearly every system in the body, even at levels previously thought to be safe. Exposure to lead in adults can cause anemia, nervous system dysfunction, high blood pressure, kidney damage, cognitive impairment, and adverse reproductive outcomes.</w:t>
      </w:r>
      <w:r w:rsidRPr="00E92038">
        <w:rPr>
          <w:sz w:val="24"/>
          <w:szCs w:val="24"/>
          <w:vertAlign w:val="superscript"/>
        </w:rPr>
        <w:endnoteReference w:id="25"/>
      </w:r>
      <w:r w:rsidRPr="00E92038">
        <w:rPr>
          <w:sz w:val="24"/>
          <w:szCs w:val="24"/>
          <w:vertAlign w:val="superscript"/>
        </w:rPr>
        <w:t>,</w:t>
      </w:r>
      <w:r w:rsidRPr="00E92038">
        <w:rPr>
          <w:rStyle w:val="EndnoteReference"/>
          <w:rFonts w:cs="Times New Roman"/>
          <w:sz w:val="24"/>
          <w:szCs w:val="24"/>
        </w:rPr>
        <w:endnoteReference w:id="26"/>
      </w:r>
      <w:r w:rsidRPr="00E92038">
        <w:rPr>
          <w:sz w:val="24"/>
          <w:szCs w:val="24"/>
          <w:vertAlign w:val="superscript"/>
        </w:rPr>
        <w:t>,</w:t>
      </w:r>
      <w:r w:rsidRPr="00E92038">
        <w:rPr>
          <w:rStyle w:val="EndnoteReference"/>
          <w:rFonts w:cs="Times New Roman"/>
          <w:sz w:val="24"/>
          <w:szCs w:val="24"/>
        </w:rPr>
        <w:endnoteReference w:id="27"/>
      </w:r>
      <w:r w:rsidRPr="00E92038">
        <w:rPr>
          <w:sz w:val="24"/>
          <w:szCs w:val="24"/>
          <w:vertAlign w:val="superscript"/>
        </w:rPr>
        <w:t>,</w:t>
      </w:r>
      <w:r w:rsidRPr="00E92038">
        <w:rPr>
          <w:rStyle w:val="EndnoteReference"/>
          <w:rFonts w:cs="Times New Roman"/>
          <w:sz w:val="24"/>
          <w:szCs w:val="24"/>
        </w:rPr>
        <w:endnoteReference w:id="28"/>
      </w:r>
      <w:r w:rsidRPr="00E92038">
        <w:rPr>
          <w:sz w:val="24"/>
          <w:szCs w:val="24"/>
        </w:rPr>
        <w:t xml:space="preserve"> </w:t>
      </w:r>
    </w:p>
    <w:p w14:paraId="42FF08CF" w14:textId="7784120C" w:rsidR="00367354" w:rsidRPr="00E92038" w:rsidRDefault="00367354" w:rsidP="000E7C99">
      <w:pPr>
        <w:spacing w:line="360" w:lineRule="auto"/>
        <w:ind w:right="0"/>
        <w:rPr>
          <w:rFonts w:cs="Times New Roman"/>
          <w:sz w:val="24"/>
          <w:szCs w:val="24"/>
          <w:vertAlign w:val="superscript"/>
        </w:rPr>
      </w:pPr>
      <w:r w:rsidRPr="00E92038">
        <w:rPr>
          <w:sz w:val="24"/>
          <w:szCs w:val="24"/>
        </w:rPr>
        <w:t xml:space="preserve">The </w:t>
      </w:r>
      <w:r w:rsidR="00774D1C" w:rsidRPr="00E92038">
        <w:rPr>
          <w:sz w:val="24"/>
          <w:szCs w:val="24"/>
        </w:rPr>
        <w:t>blood lead level (</w:t>
      </w:r>
      <w:r w:rsidRPr="00E92038">
        <w:rPr>
          <w:sz w:val="24"/>
          <w:szCs w:val="24"/>
        </w:rPr>
        <w:t>BLL</w:t>
      </w:r>
      <w:r w:rsidR="00774D1C" w:rsidRPr="00E92038">
        <w:rPr>
          <w:sz w:val="24"/>
          <w:szCs w:val="24"/>
        </w:rPr>
        <w:t>)</w:t>
      </w:r>
      <w:r w:rsidRPr="00E92038">
        <w:rPr>
          <w:sz w:val="24"/>
          <w:szCs w:val="24"/>
        </w:rPr>
        <w:t xml:space="preserve"> is the best biological indicator of recent lead exposure. Previously, a blood lead level of 25 micrograms per deciliter (</w:t>
      </w:r>
      <w:r w:rsidRPr="00E92038">
        <w:rPr>
          <w:rFonts w:cs="Calibri"/>
          <w:sz w:val="24"/>
          <w:szCs w:val="24"/>
        </w:rPr>
        <w:t>µ</w:t>
      </w:r>
      <w:r w:rsidRPr="00E92038">
        <w:rPr>
          <w:sz w:val="24"/>
          <w:szCs w:val="24"/>
        </w:rPr>
        <w:t xml:space="preserve">g/dL) or greater was considered by CDC as "elevated" for adults. This has recently been lowered to 5 </w:t>
      </w:r>
      <w:r w:rsidRPr="00E92038">
        <w:rPr>
          <w:rFonts w:cs="Calibri"/>
          <w:sz w:val="24"/>
          <w:szCs w:val="24"/>
        </w:rPr>
        <w:t>µ</w:t>
      </w:r>
      <w:r w:rsidRPr="00E92038">
        <w:rPr>
          <w:sz w:val="24"/>
          <w:szCs w:val="24"/>
        </w:rPr>
        <w:t>g/dL, the same as the CDC’s reference level for blood lead in children.</w:t>
      </w:r>
      <w:r w:rsidRPr="00E92038">
        <w:rPr>
          <w:sz w:val="24"/>
          <w:szCs w:val="24"/>
          <w:vertAlign w:val="superscript"/>
        </w:rPr>
        <w:endnoteReference w:id="29"/>
      </w:r>
      <w:r w:rsidRPr="00E92038">
        <w:rPr>
          <w:sz w:val="24"/>
          <w:szCs w:val="24"/>
        </w:rPr>
        <w:t xml:space="preserve"> </w:t>
      </w:r>
      <w:r w:rsidRPr="00E92038">
        <w:rPr>
          <w:rFonts w:cs="Times New Roman"/>
          <w:sz w:val="24"/>
          <w:szCs w:val="24"/>
        </w:rPr>
        <w:t>Clinical laboratories in Massachusetts are required to report all adult blood lead test results electronically to the Massachusetts Occupational Lead Poisoning Registry in the Department of Labor Standards (DLS).</w:t>
      </w:r>
      <w:r w:rsidRPr="00E92038">
        <w:rPr>
          <w:rFonts w:cs="Times New Roman"/>
          <w:sz w:val="24"/>
          <w:szCs w:val="24"/>
          <w:vertAlign w:val="superscript"/>
        </w:rPr>
        <w:endnoteReference w:id="30"/>
      </w:r>
      <w:r w:rsidRPr="00E92038">
        <w:rPr>
          <w:rFonts w:cs="Times New Roman"/>
          <w:sz w:val="24"/>
          <w:szCs w:val="24"/>
        </w:rPr>
        <w:t xml:space="preserve"> Federal and state laws require employers to protect their employees from exposure to lead in the workplace. </w:t>
      </w:r>
      <w:r w:rsidRPr="00E92038">
        <w:rPr>
          <w:rFonts w:cs="Times New Roman"/>
          <w:sz w:val="24"/>
          <w:szCs w:val="24"/>
          <w:vertAlign w:val="superscript"/>
        </w:rPr>
        <w:endnoteReference w:id="31"/>
      </w:r>
      <w:r w:rsidRPr="00E92038">
        <w:rPr>
          <w:rFonts w:cs="Times New Roman"/>
          <w:sz w:val="24"/>
          <w:szCs w:val="24"/>
          <w:vertAlign w:val="superscript"/>
        </w:rPr>
        <w:t>,</w:t>
      </w:r>
      <w:r w:rsidRPr="00E92038">
        <w:rPr>
          <w:rStyle w:val="EndnoteReference"/>
          <w:rFonts w:cs="Times New Roman"/>
          <w:sz w:val="24"/>
          <w:szCs w:val="24"/>
        </w:rPr>
        <w:endnoteReference w:id="32"/>
      </w:r>
      <w:r w:rsidRPr="00E92038">
        <w:rPr>
          <w:rFonts w:cs="Times New Roman"/>
          <w:sz w:val="24"/>
          <w:szCs w:val="24"/>
          <w:vertAlign w:val="superscript"/>
        </w:rPr>
        <w:t>,</w:t>
      </w:r>
      <w:r w:rsidRPr="00E92038">
        <w:rPr>
          <w:rFonts w:cs="Times New Roman"/>
          <w:sz w:val="24"/>
          <w:szCs w:val="24"/>
          <w:vertAlign w:val="superscript"/>
        </w:rPr>
        <w:endnoteReference w:id="33"/>
      </w:r>
      <w:r w:rsidRPr="00E92038">
        <w:rPr>
          <w:rFonts w:cs="Times New Roman"/>
          <w:sz w:val="24"/>
          <w:szCs w:val="24"/>
          <w:vertAlign w:val="superscript"/>
        </w:rPr>
        <w:t>,</w:t>
      </w:r>
    </w:p>
    <w:p w14:paraId="4D01BA73" w14:textId="58A7A6F2" w:rsidR="00367354" w:rsidRPr="00E92038" w:rsidRDefault="00367354" w:rsidP="000E7C99">
      <w:pPr>
        <w:spacing w:line="360" w:lineRule="auto"/>
        <w:ind w:right="0"/>
        <w:rPr>
          <w:rFonts w:cs="Times New Roman"/>
          <w:sz w:val="24"/>
          <w:szCs w:val="24"/>
        </w:rPr>
      </w:pPr>
      <w:r w:rsidRPr="00E92038">
        <w:rPr>
          <w:sz w:val="24"/>
          <w:szCs w:val="24"/>
        </w:rPr>
        <w:t xml:space="preserve">Most adults with high </w:t>
      </w:r>
      <w:r w:rsidR="00774D1C" w:rsidRPr="00E92038">
        <w:rPr>
          <w:sz w:val="24"/>
          <w:szCs w:val="24"/>
        </w:rPr>
        <w:t>BLL</w:t>
      </w:r>
      <w:r w:rsidRPr="00E92038">
        <w:rPr>
          <w:sz w:val="24"/>
          <w:szCs w:val="24"/>
        </w:rPr>
        <w:t xml:space="preserve"> are exposed to lead at the workplace.</w:t>
      </w:r>
      <w:r w:rsidRPr="00E92038">
        <w:rPr>
          <w:sz w:val="24"/>
          <w:szCs w:val="24"/>
          <w:vertAlign w:val="superscript"/>
        </w:rPr>
        <w:endnoteReference w:id="34"/>
      </w:r>
      <w:r w:rsidRPr="00E92038" w:rsidDel="00780B77">
        <w:rPr>
          <w:sz w:val="24"/>
          <w:szCs w:val="24"/>
          <w:vertAlign w:val="superscript"/>
        </w:rPr>
        <w:t xml:space="preserve"> </w:t>
      </w:r>
      <w:r w:rsidRPr="00E92038">
        <w:rPr>
          <w:sz w:val="24"/>
          <w:szCs w:val="24"/>
        </w:rPr>
        <w:t>Adults may also be exposed though other sources such as hobbies and at firing ranges. Lead on the job may be brought home and affect family members, including pregnant women and children less than six years of age who are at high risk.</w:t>
      </w:r>
      <w:r w:rsidRPr="00E92038">
        <w:rPr>
          <w:rStyle w:val="EndnoteReference"/>
          <w:rFonts w:cs="Times New Roman"/>
          <w:sz w:val="24"/>
          <w:szCs w:val="24"/>
        </w:rPr>
        <w:endnoteReference w:id="35"/>
      </w:r>
      <w:r w:rsidRPr="00E92038">
        <w:rPr>
          <w:rFonts w:cs="Times New Roman"/>
          <w:sz w:val="24"/>
          <w:szCs w:val="24"/>
        </w:rPr>
        <w:t xml:space="preserve"> </w:t>
      </w:r>
    </w:p>
    <w:p w14:paraId="565AB208" w14:textId="77777777" w:rsidR="00367354" w:rsidRPr="00E92038" w:rsidRDefault="00367354" w:rsidP="000E7C99">
      <w:pPr>
        <w:pStyle w:val="Heading4"/>
        <w:spacing w:line="360" w:lineRule="auto"/>
        <w:ind w:right="0"/>
      </w:pPr>
      <w:r w:rsidRPr="00E92038">
        <w:t>Trends/Disparities</w:t>
      </w:r>
    </w:p>
    <w:p w14:paraId="706CB817" w14:textId="68FD2201" w:rsidR="00367354" w:rsidRPr="00E92038" w:rsidRDefault="00367354" w:rsidP="000E7C99">
      <w:pPr>
        <w:spacing w:line="360" w:lineRule="auto"/>
        <w:ind w:right="0"/>
        <w:rPr>
          <w:sz w:val="24"/>
          <w:szCs w:val="24"/>
        </w:rPr>
      </w:pPr>
      <w:r w:rsidRPr="00E92038">
        <w:rPr>
          <w:sz w:val="24"/>
          <w:szCs w:val="24"/>
        </w:rPr>
        <w:t>According to the Massachusetts Occupational Lead Pois</w:t>
      </w:r>
      <w:r w:rsidR="00127F33" w:rsidRPr="00E92038">
        <w:rPr>
          <w:sz w:val="24"/>
          <w:szCs w:val="24"/>
        </w:rPr>
        <w:t>on</w:t>
      </w:r>
      <w:r w:rsidRPr="00E92038">
        <w:rPr>
          <w:sz w:val="24"/>
          <w:szCs w:val="24"/>
        </w:rPr>
        <w:t>ing Registry, from 2005 to 2014, for each of these years, on average, 154 adults were reported with blood lead levels ≥ 25 µg/dL.</w:t>
      </w:r>
    </w:p>
    <w:p w14:paraId="328F7DDF" w14:textId="77777777" w:rsidR="00367354" w:rsidRPr="00E92038" w:rsidRDefault="00367354" w:rsidP="000E7C99">
      <w:pPr>
        <w:pStyle w:val="ListParagraph"/>
        <w:numPr>
          <w:ilvl w:val="0"/>
          <w:numId w:val="56"/>
        </w:numPr>
        <w:spacing w:line="360" w:lineRule="auto"/>
        <w:ind w:right="0"/>
        <w:rPr>
          <w:sz w:val="24"/>
          <w:szCs w:val="24"/>
          <w:shd w:val="clear" w:color="auto" w:fill="FFFFFF"/>
        </w:rPr>
      </w:pPr>
      <w:r w:rsidRPr="00E92038">
        <w:rPr>
          <w:sz w:val="24"/>
          <w:szCs w:val="24"/>
          <w:shd w:val="clear" w:color="auto" w:fill="FFFFFF"/>
        </w:rPr>
        <w:t xml:space="preserve">The prevalence of blood lead levels ≥ 25 µg/dL among adults in Massachusetts was significantly lower than that reported for the US in six of the last ten years (2005, 2007, 2008, 2010, 2012, and 2013).  </w:t>
      </w:r>
    </w:p>
    <w:p w14:paraId="45DCA8FB" w14:textId="77777777" w:rsidR="00367354" w:rsidRPr="00E92038" w:rsidRDefault="00367354" w:rsidP="000E7C99">
      <w:pPr>
        <w:pStyle w:val="ListParagraph"/>
        <w:numPr>
          <w:ilvl w:val="0"/>
          <w:numId w:val="56"/>
        </w:numPr>
        <w:spacing w:line="360" w:lineRule="auto"/>
        <w:ind w:right="0"/>
        <w:rPr>
          <w:sz w:val="24"/>
          <w:szCs w:val="24"/>
          <w:shd w:val="clear" w:color="auto" w:fill="FFFFFF"/>
        </w:rPr>
      </w:pPr>
      <w:r w:rsidRPr="00E92038">
        <w:rPr>
          <w:rFonts w:ascii="Calibri" w:hAnsi="Calibri"/>
          <w:color w:val="000000"/>
          <w:sz w:val="24"/>
          <w:szCs w:val="24"/>
        </w:rPr>
        <w:lastRenderedPageBreak/>
        <w:t>The prevalence of blood lead levels ≥ 25 µg/dL among adults both in Massachusetts and the nation has declined significantly since surveillance began in the early 1990s</w:t>
      </w:r>
      <w:r w:rsidRPr="00E92038">
        <w:rPr>
          <w:sz w:val="24"/>
          <w:szCs w:val="24"/>
          <w:shd w:val="clear" w:color="auto" w:fill="FFFFFF"/>
        </w:rPr>
        <w:t>.</w:t>
      </w:r>
      <w:r w:rsidRPr="00E92038">
        <w:rPr>
          <w:sz w:val="24"/>
          <w:szCs w:val="24"/>
          <w:shd w:val="clear" w:color="auto" w:fill="FFFFFF"/>
          <w:vertAlign w:val="superscript"/>
        </w:rPr>
        <w:endnoteReference w:id="36"/>
      </w:r>
      <w:r w:rsidRPr="00E92038">
        <w:rPr>
          <w:sz w:val="24"/>
          <w:szCs w:val="24"/>
          <w:shd w:val="clear" w:color="auto" w:fill="FFFFFF"/>
        </w:rPr>
        <w:t xml:space="preserve"> </w:t>
      </w:r>
    </w:p>
    <w:p w14:paraId="469018A4" w14:textId="77777777" w:rsidR="00F67A4A" w:rsidRPr="00E92038" w:rsidRDefault="00F67A4A" w:rsidP="000E7C99">
      <w:pPr>
        <w:pStyle w:val="ListParagraph"/>
        <w:spacing w:line="360" w:lineRule="auto"/>
        <w:ind w:left="360" w:right="0"/>
        <w:rPr>
          <w:sz w:val="24"/>
          <w:szCs w:val="24"/>
          <w:shd w:val="clear" w:color="auto" w:fill="FFFFFF"/>
        </w:rPr>
      </w:pPr>
    </w:p>
    <w:p w14:paraId="3D4B7E46" w14:textId="3A624518" w:rsidR="00367354" w:rsidRPr="00E92038" w:rsidRDefault="00AC4D06" w:rsidP="000E7C99">
      <w:pPr>
        <w:pStyle w:val="SHAFigureNumber"/>
        <w:spacing w:line="360" w:lineRule="auto"/>
        <w:rPr>
          <w:sz w:val="24"/>
          <w:szCs w:val="24"/>
        </w:rPr>
      </w:pPr>
      <w:r w:rsidRPr="00E92038">
        <w:rPr>
          <w:sz w:val="24"/>
          <w:szCs w:val="24"/>
        </w:rPr>
        <w:t>Figure</w:t>
      </w:r>
      <w:r w:rsidR="00367354" w:rsidRPr="00E92038">
        <w:rPr>
          <w:sz w:val="24"/>
          <w:szCs w:val="24"/>
        </w:rPr>
        <w:t xml:space="preserve"> </w:t>
      </w:r>
      <w:r w:rsidRPr="00E92038">
        <w:rPr>
          <w:sz w:val="24"/>
          <w:szCs w:val="24"/>
        </w:rPr>
        <w:t>3.9</w:t>
      </w:r>
    </w:p>
    <w:p w14:paraId="14381C26" w14:textId="416808F9" w:rsidR="00367354" w:rsidRPr="00E92038" w:rsidRDefault="00367354" w:rsidP="000E7C99">
      <w:pPr>
        <w:pStyle w:val="SHAFigureNumber"/>
        <w:spacing w:line="360" w:lineRule="auto"/>
        <w:rPr>
          <w:sz w:val="24"/>
          <w:szCs w:val="24"/>
        </w:rPr>
      </w:pPr>
      <w:r w:rsidRPr="00E92038">
        <w:rPr>
          <w:rStyle w:val="SubtleEmphasis"/>
          <w:b/>
          <w:iCs w:val="0"/>
          <w:color w:val="auto"/>
          <w:sz w:val="24"/>
          <w:szCs w:val="24"/>
        </w:rPr>
        <w:t xml:space="preserve">Prevalence of Elevated Blood Lead Levels (BLL  </w:t>
      </w:r>
      <w:r w:rsidRPr="00E92038">
        <w:rPr>
          <w:rStyle w:val="SubtleEmphasis"/>
          <w:b/>
          <w:iCs w:val="0"/>
          <w:color w:val="auto"/>
          <w:sz w:val="24"/>
          <w:szCs w:val="24"/>
        </w:rPr>
        <w:sym w:font="Symbol" w:char="F0B3"/>
      </w:r>
      <w:r w:rsidR="00CD69CF" w:rsidRPr="00E92038">
        <w:rPr>
          <w:rStyle w:val="SubtleEmphasis"/>
          <w:b/>
          <w:iCs w:val="0"/>
          <w:color w:val="auto"/>
          <w:sz w:val="24"/>
          <w:szCs w:val="24"/>
        </w:rPr>
        <w:t xml:space="preserve"> 25 </w:t>
      </w:r>
      <w:r w:rsidR="00CD69CF" w:rsidRPr="00E92038">
        <w:rPr>
          <w:sz w:val="24"/>
          <w:szCs w:val="24"/>
          <w:shd w:val="clear" w:color="auto" w:fill="FFFFFF"/>
        </w:rPr>
        <w:t>µ</w:t>
      </w:r>
      <w:r w:rsidRPr="00E92038">
        <w:rPr>
          <w:rStyle w:val="SubtleEmphasis"/>
          <w:b/>
          <w:iCs w:val="0"/>
          <w:color w:val="auto"/>
          <w:sz w:val="24"/>
          <w:szCs w:val="24"/>
        </w:rPr>
        <w:t>g/dL) in Adults, by Year, US &amp; Massachusetts, 2005 – 2014</w:t>
      </w:r>
      <w:r w:rsidRPr="00E92038">
        <w:rPr>
          <w:sz w:val="24"/>
          <w:szCs w:val="24"/>
        </w:rPr>
        <w:t xml:space="preserve"> </w:t>
      </w:r>
      <w:r w:rsidRPr="00E92038">
        <w:rPr>
          <w:rStyle w:val="EndnoteReference"/>
          <w:sz w:val="24"/>
          <w:szCs w:val="24"/>
        </w:rPr>
        <w:endnoteReference w:id="37"/>
      </w:r>
    </w:p>
    <w:p w14:paraId="479C93AE" w14:textId="151257B0" w:rsidR="00367354" w:rsidRDefault="00774D1C" w:rsidP="000E7C99">
      <w:pPr>
        <w:pStyle w:val="ListParagraph"/>
        <w:spacing w:line="360" w:lineRule="auto"/>
        <w:ind w:left="-360" w:right="0"/>
        <w:jc w:val="center"/>
      </w:pPr>
      <w:r>
        <w:drawing>
          <wp:inline distT="0" distB="0" distL="0" distR="0" wp14:anchorId="7BBAC75C" wp14:editId="67663429">
            <wp:extent cx="5486400" cy="3343275"/>
            <wp:effectExtent l="0" t="0" r="0" b="0"/>
            <wp:docPr id="70" name="Chart 70" descr="This line graph compares the prevalence rates of elevated blood lead levels among adults in Massachusetts and the US by year. The prevalence rates of elevated blood lead levels in Massachusetts were 5.8 cases per 100,000 workers in 2005, 6.1 in 2006, 5 in 2007, 4.9 in 2008, 4.7 in 2009, 4.5 in 2010, 5.5 in 2011, 3.6 in 2012, 3.2 in 2013, and 4.2 in 2014. The prevalence rates of elevated blood lead levels in the US were 7.3 cases per 100,000 workers in 2005, 7.5 in 2006, 7.6 in 2006, 7.1 in 2008, 6.1 in 2009, 6.7 in 2010, 6.4 in 2011, 5.6 in 2012, 4.9 in 2013, and 4.3 in 2014.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A6B750-73A1-424B-A917-D73AD0293B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CDA44B0" w14:textId="5946DEEE" w:rsidR="00367354" w:rsidRPr="00E92038" w:rsidRDefault="001E3647" w:rsidP="000E7C99">
      <w:pPr>
        <w:pStyle w:val="SHAFigureNote"/>
        <w:spacing w:line="360" w:lineRule="auto"/>
        <w:rPr>
          <w:rStyle w:val="Emphasis"/>
          <w:i w:val="0"/>
          <w:sz w:val="24"/>
          <w:szCs w:val="24"/>
        </w:rPr>
      </w:pPr>
      <w:r w:rsidRPr="00462303">
        <w:rPr>
          <w:rStyle w:val="Emphasis"/>
          <w:i w:val="0"/>
          <w:sz w:val="22"/>
          <w:szCs w:val="22"/>
        </w:rPr>
        <w:t xml:space="preserve">SOURCES: NUMERATOR: MA: MA DEPARTMENT OF LABOR STANDARD'S OCCUPATIONAL LEAD POISONING REGISTRY, US: ADULT BLOOD LEAD EPIDEMIOLOGY SURVEILLANCE SYSTEM (ABLES). DENOMINATOR: ESTIMATES FOR THE NUMBER </w:t>
      </w:r>
      <w:r w:rsidRPr="00E92038">
        <w:rPr>
          <w:rStyle w:val="Emphasis"/>
          <w:i w:val="0"/>
          <w:sz w:val="24"/>
          <w:szCs w:val="24"/>
        </w:rPr>
        <w:t xml:space="preserve">OF EMPLOYED ADULTS OBTAINED FROM THE </w:t>
      </w:r>
      <w:r w:rsidR="00774D1C" w:rsidRPr="00E92038">
        <w:rPr>
          <w:rStyle w:val="Emphasis"/>
          <w:i w:val="0"/>
          <w:sz w:val="24"/>
          <w:szCs w:val="24"/>
        </w:rPr>
        <w:t>GEOGRAPHIC</w:t>
      </w:r>
      <w:r w:rsidRPr="00E92038">
        <w:rPr>
          <w:rStyle w:val="Emphasis"/>
          <w:i w:val="0"/>
          <w:sz w:val="24"/>
          <w:szCs w:val="24"/>
        </w:rPr>
        <w:t xml:space="preserve"> PROGRAM</w:t>
      </w:r>
      <w:r w:rsidR="00774D1C" w:rsidRPr="00E92038">
        <w:rPr>
          <w:rStyle w:val="Emphasis"/>
          <w:i w:val="0"/>
          <w:sz w:val="24"/>
          <w:szCs w:val="24"/>
        </w:rPr>
        <w:t xml:space="preserve"> (GP) AND LOCAL AREA UNEMPLOYMENT STATISTICS (LAUS)</w:t>
      </w:r>
      <w:r w:rsidRPr="00E92038">
        <w:rPr>
          <w:rStyle w:val="Emphasis"/>
          <w:i w:val="0"/>
          <w:sz w:val="24"/>
          <w:szCs w:val="24"/>
        </w:rPr>
        <w:t xml:space="preserve">, </w:t>
      </w:r>
      <w:r w:rsidR="00774D1C" w:rsidRPr="00E92038">
        <w:rPr>
          <w:rStyle w:val="Emphasis"/>
          <w:i w:val="0"/>
          <w:sz w:val="24"/>
          <w:szCs w:val="24"/>
        </w:rPr>
        <w:t xml:space="preserve">US </w:t>
      </w:r>
      <w:r w:rsidRPr="00E92038">
        <w:rPr>
          <w:rStyle w:val="Emphasis"/>
          <w:i w:val="0"/>
          <w:sz w:val="24"/>
          <w:szCs w:val="24"/>
        </w:rPr>
        <w:t>BUREAU OF LABOR STATISTICS, AND US DEPARTMENT OF LABOR</w:t>
      </w:r>
    </w:p>
    <w:p w14:paraId="159E587F" w14:textId="11DB3D1E" w:rsidR="00367354" w:rsidRPr="00E92038" w:rsidRDefault="001E3647" w:rsidP="000E7C99">
      <w:pPr>
        <w:pStyle w:val="SHAFigureNote"/>
        <w:spacing w:line="360" w:lineRule="auto"/>
        <w:rPr>
          <w:rFonts w:asciiTheme="majorHAnsi" w:hAnsiTheme="majorHAnsi"/>
          <w:i/>
          <w:sz w:val="24"/>
          <w:szCs w:val="24"/>
        </w:rPr>
      </w:pPr>
      <w:r w:rsidRPr="00E92038">
        <w:rPr>
          <w:rStyle w:val="Emphasis"/>
          <w:i w:val="0"/>
          <w:sz w:val="24"/>
          <w:szCs w:val="24"/>
        </w:rPr>
        <w:t>NO</w:t>
      </w:r>
      <w:r w:rsidR="003D1BF3" w:rsidRPr="00E92038">
        <w:rPr>
          <w:rStyle w:val="Emphasis"/>
          <w:i w:val="0"/>
          <w:sz w:val="24"/>
          <w:szCs w:val="24"/>
        </w:rPr>
        <w:t>TES: BASED ON MA RESIDENTS, AGED</w:t>
      </w:r>
      <w:r w:rsidRPr="00E92038">
        <w:rPr>
          <w:rStyle w:val="Emphasis"/>
          <w:i w:val="0"/>
          <w:sz w:val="24"/>
          <w:szCs w:val="24"/>
        </w:rPr>
        <w:t xml:space="preserve"> 16 AND OLDER; ANNUAL CRUDE RATE IS EXPRESSED PER 100,000 WORKERS. US RATES BASED ON THE NUMBER OF STATES REPORTING DATA TO NIOSH IN A GIVEN YEAR (AVERAGE # OF STATES REPORTING OVER THIS PERIOD WAS 39 STATES)</w:t>
      </w:r>
    </w:p>
    <w:p w14:paraId="731C7AEF" w14:textId="77777777" w:rsidR="00462303" w:rsidRPr="00E92038" w:rsidRDefault="00462303" w:rsidP="000E7C99">
      <w:pPr>
        <w:spacing w:line="360" w:lineRule="auto"/>
        <w:ind w:right="0"/>
        <w:rPr>
          <w:sz w:val="24"/>
          <w:szCs w:val="24"/>
        </w:rPr>
      </w:pPr>
    </w:p>
    <w:p w14:paraId="76B5CE49" w14:textId="77777777" w:rsidR="00367354" w:rsidRPr="00E92038" w:rsidRDefault="00367354" w:rsidP="000E7C99">
      <w:pPr>
        <w:spacing w:line="360" w:lineRule="auto"/>
        <w:ind w:right="0"/>
        <w:rPr>
          <w:sz w:val="24"/>
          <w:szCs w:val="24"/>
        </w:rPr>
      </w:pPr>
      <w:r w:rsidRPr="00E92038">
        <w:rPr>
          <w:sz w:val="24"/>
          <w:szCs w:val="24"/>
        </w:rPr>
        <w:t>Other trends/disparities include:</w:t>
      </w:r>
    </w:p>
    <w:p w14:paraId="37B7B1AB" w14:textId="6B31631B" w:rsidR="00367354" w:rsidRPr="00E92038" w:rsidRDefault="00367354" w:rsidP="000E7C99">
      <w:pPr>
        <w:pStyle w:val="ListParagraph"/>
        <w:numPr>
          <w:ilvl w:val="0"/>
          <w:numId w:val="57"/>
        </w:numPr>
        <w:spacing w:line="360" w:lineRule="auto"/>
        <w:ind w:right="0"/>
        <w:rPr>
          <w:sz w:val="24"/>
          <w:szCs w:val="24"/>
          <w:shd w:val="clear" w:color="auto" w:fill="FFFFFF"/>
        </w:rPr>
      </w:pPr>
      <w:r w:rsidRPr="00E92038">
        <w:rPr>
          <w:sz w:val="24"/>
          <w:szCs w:val="24"/>
          <w:shd w:val="clear" w:color="auto" w:fill="FFFFFF"/>
        </w:rPr>
        <w:lastRenderedPageBreak/>
        <w:t xml:space="preserve">In Massachusetts, the largest numbers of workers with the highest blood lead levels (40 </w:t>
      </w:r>
      <w:r w:rsidR="00CD69CF" w:rsidRPr="00E92038">
        <w:rPr>
          <w:sz w:val="24"/>
          <w:szCs w:val="24"/>
          <w:shd w:val="clear" w:color="auto" w:fill="FFFFFF"/>
        </w:rPr>
        <w:t>µ</w:t>
      </w:r>
      <w:r w:rsidRPr="00E92038">
        <w:rPr>
          <w:sz w:val="24"/>
          <w:szCs w:val="24"/>
          <w:shd w:val="clear" w:color="auto" w:fill="FFFFFF"/>
        </w:rPr>
        <w:t>g/dL) were employed in the construction industry, primarily as painters and de-leaders.</w:t>
      </w:r>
      <w:r w:rsidRPr="00E92038">
        <w:rPr>
          <w:sz w:val="24"/>
          <w:szCs w:val="24"/>
          <w:shd w:val="clear" w:color="auto" w:fill="FFFFFF"/>
          <w:vertAlign w:val="superscript"/>
        </w:rPr>
        <w:endnoteReference w:id="38"/>
      </w:r>
      <w:r w:rsidRPr="00E92038">
        <w:rPr>
          <w:sz w:val="24"/>
          <w:szCs w:val="24"/>
          <w:shd w:val="clear" w:color="auto" w:fill="FFFFFF"/>
        </w:rPr>
        <w:t xml:space="preserve">   </w:t>
      </w:r>
    </w:p>
    <w:p w14:paraId="1D27BD5F" w14:textId="1B11C786" w:rsidR="00367354" w:rsidRPr="00E92038" w:rsidRDefault="00367354" w:rsidP="000E7C99">
      <w:pPr>
        <w:pStyle w:val="ListParagraph"/>
        <w:numPr>
          <w:ilvl w:val="0"/>
          <w:numId w:val="57"/>
        </w:numPr>
        <w:spacing w:line="360" w:lineRule="auto"/>
        <w:ind w:right="0"/>
        <w:rPr>
          <w:sz w:val="24"/>
          <w:szCs w:val="24"/>
          <w:shd w:val="clear" w:color="auto" w:fill="FFFFFF"/>
        </w:rPr>
      </w:pPr>
      <w:r w:rsidRPr="00E92038">
        <w:rPr>
          <w:sz w:val="24"/>
          <w:szCs w:val="24"/>
          <w:shd w:val="clear" w:color="auto" w:fill="FFFFFF"/>
        </w:rPr>
        <w:t>Hispanic workers have been found to be over-represented among adults reported with elevated blood lead levels.</w:t>
      </w:r>
      <w:r w:rsidRPr="00E92038">
        <w:rPr>
          <w:sz w:val="24"/>
          <w:szCs w:val="24"/>
          <w:shd w:val="clear" w:color="auto" w:fill="FFFFFF"/>
          <w:vertAlign w:val="superscript"/>
        </w:rPr>
        <w:endnoteReference w:id="39"/>
      </w:r>
      <w:r w:rsidRPr="00E92038">
        <w:rPr>
          <w:sz w:val="24"/>
          <w:szCs w:val="24"/>
          <w:shd w:val="clear" w:color="auto" w:fill="FFFFFF"/>
          <w:vertAlign w:val="superscript"/>
        </w:rPr>
        <w:t>,</w:t>
      </w:r>
      <w:r w:rsidRPr="00E92038">
        <w:rPr>
          <w:sz w:val="24"/>
          <w:szCs w:val="24"/>
          <w:shd w:val="clear" w:color="auto" w:fill="FFFFFF"/>
          <w:vertAlign w:val="superscript"/>
        </w:rPr>
        <w:endnoteReference w:id="40"/>
      </w:r>
      <w:r w:rsidRPr="00E92038">
        <w:rPr>
          <w:sz w:val="24"/>
          <w:szCs w:val="24"/>
          <w:shd w:val="clear" w:color="auto" w:fill="FFFFFF"/>
          <w:vertAlign w:val="superscript"/>
        </w:rPr>
        <w:t xml:space="preserve"> </w:t>
      </w:r>
      <w:r w:rsidRPr="00E92038">
        <w:rPr>
          <w:sz w:val="24"/>
          <w:szCs w:val="24"/>
          <w:shd w:val="clear" w:color="auto" w:fill="FFFFFF"/>
        </w:rPr>
        <w:t>From 2003-2009, the most recent time period for which data on ethnicity is available, Hispanic workers in Massachusetts accounted for 10% of cases with the h</w:t>
      </w:r>
      <w:r w:rsidR="00CD69CF" w:rsidRPr="00E92038">
        <w:rPr>
          <w:sz w:val="24"/>
          <w:szCs w:val="24"/>
          <w:shd w:val="clear" w:color="auto" w:fill="FFFFFF"/>
        </w:rPr>
        <w:t>ighest blood lead levels (≥ 40 µ</w:t>
      </w:r>
      <w:r w:rsidRPr="00E92038">
        <w:rPr>
          <w:sz w:val="24"/>
          <w:szCs w:val="24"/>
          <w:shd w:val="clear" w:color="auto" w:fill="FFFFFF"/>
        </w:rPr>
        <w:t xml:space="preserve">g/dL), whereas Hispanic residents made up 6% of the Massachusetts workforce. </w:t>
      </w:r>
    </w:p>
    <w:p w14:paraId="1898AD98" w14:textId="78937404" w:rsidR="00367354" w:rsidRPr="00E92038" w:rsidRDefault="00172459" w:rsidP="000E7C99">
      <w:pPr>
        <w:pStyle w:val="ListParagraph"/>
        <w:numPr>
          <w:ilvl w:val="0"/>
          <w:numId w:val="57"/>
        </w:numPr>
        <w:spacing w:line="360" w:lineRule="auto"/>
        <w:ind w:right="0"/>
        <w:rPr>
          <w:sz w:val="24"/>
          <w:szCs w:val="24"/>
          <w:shd w:val="clear" w:color="auto" w:fill="FFFFFF"/>
        </w:rPr>
      </w:pPr>
      <w:r w:rsidRPr="00E92038">
        <w:rPr>
          <w:sz w:val="24"/>
          <w:szCs w:val="24"/>
          <w:shd w:val="clear" w:color="auto" w:fill="FFFFFF"/>
        </w:rPr>
        <w:t>Low-</w:t>
      </w:r>
      <w:r w:rsidR="00367354" w:rsidRPr="00E92038">
        <w:rPr>
          <w:sz w:val="24"/>
          <w:szCs w:val="24"/>
          <w:shd w:val="clear" w:color="auto" w:fill="FFFFFF"/>
        </w:rPr>
        <w:t>income residents, racial/ethnic minorities, and immigrants are often employed in more hazardous jobs with higher exposures to lead and other chemical, physical and psychosocial hazards.</w:t>
      </w:r>
      <w:r w:rsidR="00367354" w:rsidRPr="00E92038">
        <w:rPr>
          <w:sz w:val="24"/>
          <w:szCs w:val="24"/>
          <w:shd w:val="clear" w:color="auto" w:fill="FFFFFF"/>
          <w:vertAlign w:val="superscript"/>
        </w:rPr>
        <w:endnoteReference w:id="41"/>
      </w:r>
      <w:r w:rsidR="00367354" w:rsidRPr="00E92038">
        <w:rPr>
          <w:sz w:val="24"/>
          <w:szCs w:val="24"/>
          <w:shd w:val="clear" w:color="auto" w:fill="FFFFFF"/>
        </w:rPr>
        <w:t xml:space="preserve">  </w:t>
      </w:r>
    </w:p>
    <w:p w14:paraId="34487005" w14:textId="3792A4F1" w:rsidR="00367354" w:rsidRPr="00E92038" w:rsidRDefault="00367354" w:rsidP="000E7C99">
      <w:pPr>
        <w:pStyle w:val="ListParagraph"/>
        <w:numPr>
          <w:ilvl w:val="0"/>
          <w:numId w:val="57"/>
        </w:numPr>
        <w:spacing w:line="360" w:lineRule="auto"/>
        <w:ind w:right="0"/>
        <w:rPr>
          <w:sz w:val="24"/>
          <w:szCs w:val="24"/>
        </w:rPr>
      </w:pPr>
      <w:r w:rsidRPr="00E92038">
        <w:rPr>
          <w:sz w:val="24"/>
          <w:szCs w:val="24"/>
          <w:shd w:val="clear" w:color="auto" w:fill="FFFFFF"/>
        </w:rPr>
        <w:t>In addition to higher risks of being exposed to lead both at work and in the communities where they live, low</w:t>
      </w:r>
      <w:r w:rsidR="00172459" w:rsidRPr="00E92038">
        <w:rPr>
          <w:sz w:val="24"/>
          <w:szCs w:val="24"/>
          <w:shd w:val="clear" w:color="auto" w:fill="FFFFFF"/>
        </w:rPr>
        <w:t>-</w:t>
      </w:r>
      <w:r w:rsidRPr="00E92038">
        <w:rPr>
          <w:sz w:val="24"/>
          <w:szCs w:val="24"/>
          <w:shd w:val="clear" w:color="auto" w:fill="FFFFFF"/>
        </w:rPr>
        <w:t>income, minority and immigrant workers may not have access to the resources, health and safety training, and benefits available through more secure employment and be unaware of their rights in the workplace.  Poverty and economic insecurity contributes to these workers remaining in high-risk, low-paying jobs, increasing their risk for occupational injury and decreasing the likelihood that they will report these workplace hazards to their employers.</w:t>
      </w:r>
      <w:r w:rsidRPr="00E92038">
        <w:rPr>
          <w:rStyle w:val="EndnoteReference"/>
          <w:sz w:val="24"/>
          <w:szCs w:val="24"/>
          <w:shd w:val="clear" w:color="auto" w:fill="FFFFFF"/>
        </w:rPr>
        <w:t xml:space="preserve"> </w:t>
      </w:r>
      <w:r w:rsidRPr="00E92038">
        <w:rPr>
          <w:rStyle w:val="EndnoteReference"/>
          <w:sz w:val="24"/>
          <w:szCs w:val="24"/>
          <w:shd w:val="clear" w:color="auto" w:fill="FFFFFF"/>
        </w:rPr>
        <w:endnoteReference w:id="42"/>
      </w:r>
      <w:r w:rsidRPr="00E92038">
        <w:rPr>
          <w:sz w:val="24"/>
          <w:szCs w:val="24"/>
          <w:shd w:val="clear" w:color="auto" w:fill="FFFFFF"/>
        </w:rPr>
        <w:t xml:space="preserve"> Discrimination, or the fear of discrimination, among this population also deters them from speaking out about hazards in the workplace.</w:t>
      </w:r>
      <w:r w:rsidRPr="00E92038">
        <w:rPr>
          <w:rFonts w:cs="Times New Roman"/>
          <w:sz w:val="24"/>
          <w:szCs w:val="24"/>
          <w:vertAlign w:val="superscript"/>
        </w:rPr>
        <w:endnoteReference w:id="43"/>
      </w:r>
      <w:r w:rsidRPr="00E92038">
        <w:rPr>
          <w:rFonts w:cs="Times New Roman"/>
          <w:sz w:val="24"/>
          <w:szCs w:val="24"/>
          <w:vertAlign w:val="superscript"/>
        </w:rPr>
        <w:t>,</w:t>
      </w:r>
      <w:r w:rsidRPr="00E92038">
        <w:rPr>
          <w:rFonts w:cs="Times New Roman"/>
          <w:sz w:val="24"/>
          <w:szCs w:val="24"/>
          <w:vertAlign w:val="superscript"/>
        </w:rPr>
        <w:endnoteReference w:id="44"/>
      </w:r>
      <w:r w:rsidRPr="00E92038">
        <w:rPr>
          <w:rFonts w:cs="Times New Roman"/>
          <w:sz w:val="24"/>
          <w:szCs w:val="24"/>
          <w:vertAlign w:val="superscript"/>
        </w:rPr>
        <w:t>,</w:t>
      </w:r>
      <w:r w:rsidRPr="00E92038">
        <w:rPr>
          <w:rFonts w:cs="Times New Roman"/>
          <w:sz w:val="24"/>
          <w:szCs w:val="24"/>
          <w:vertAlign w:val="superscript"/>
        </w:rPr>
        <w:endnoteReference w:id="45"/>
      </w:r>
      <w:r w:rsidRPr="00E92038">
        <w:rPr>
          <w:rFonts w:cs="Times New Roman"/>
          <w:sz w:val="24"/>
          <w:szCs w:val="24"/>
          <w:vertAlign w:val="superscript"/>
        </w:rPr>
        <w:t>,</w:t>
      </w:r>
      <w:r w:rsidRPr="00E92038">
        <w:rPr>
          <w:rFonts w:cs="Times New Roman"/>
          <w:sz w:val="24"/>
          <w:szCs w:val="24"/>
          <w:vertAlign w:val="superscript"/>
        </w:rPr>
        <w:endnoteReference w:id="46"/>
      </w:r>
      <w:r w:rsidRPr="00E92038">
        <w:rPr>
          <w:rFonts w:cs="Times New Roman"/>
          <w:sz w:val="24"/>
          <w:szCs w:val="24"/>
          <w:vertAlign w:val="superscript"/>
        </w:rPr>
        <w:t>,</w:t>
      </w:r>
      <w:r w:rsidRPr="00E92038">
        <w:rPr>
          <w:rFonts w:cs="Times New Roman"/>
          <w:sz w:val="24"/>
          <w:szCs w:val="24"/>
          <w:vertAlign w:val="superscript"/>
        </w:rPr>
        <w:endnoteReference w:id="47"/>
      </w:r>
      <w:r w:rsidRPr="00E92038">
        <w:rPr>
          <w:sz w:val="24"/>
          <w:szCs w:val="24"/>
          <w:shd w:val="clear" w:color="auto" w:fill="FFFFFF"/>
        </w:rPr>
        <w:t xml:space="preserve"> </w:t>
      </w:r>
    </w:p>
    <w:p w14:paraId="59FE3473" w14:textId="77777777" w:rsidR="00367354" w:rsidRPr="00E92038" w:rsidRDefault="00367354" w:rsidP="000E7C99">
      <w:pPr>
        <w:pStyle w:val="Heading3"/>
        <w:spacing w:line="360" w:lineRule="auto"/>
        <w:rPr>
          <w:sz w:val="24"/>
          <w:szCs w:val="24"/>
        </w:rPr>
      </w:pPr>
      <w:r w:rsidRPr="00E92038">
        <w:rPr>
          <w:sz w:val="24"/>
          <w:szCs w:val="24"/>
        </w:rPr>
        <w:t xml:space="preserve">Asbestos-Related Disease </w:t>
      </w:r>
    </w:p>
    <w:p w14:paraId="60C00EC7" w14:textId="77777777" w:rsidR="00DD519D" w:rsidRPr="00E92038" w:rsidRDefault="00367354" w:rsidP="000E7C99">
      <w:pPr>
        <w:spacing w:line="360" w:lineRule="auto"/>
        <w:ind w:right="0"/>
        <w:rPr>
          <w:sz w:val="24"/>
          <w:szCs w:val="24"/>
          <w:vertAlign w:val="superscript"/>
        </w:rPr>
      </w:pPr>
      <w:r w:rsidRPr="00E92038">
        <w:rPr>
          <w:sz w:val="24"/>
          <w:szCs w:val="24"/>
        </w:rPr>
        <w:t>Exposure to asbestos most often occurs in occupational settings.</w:t>
      </w:r>
      <w:r w:rsidRPr="00E92038">
        <w:rPr>
          <w:rStyle w:val="EndnoteReference"/>
          <w:rFonts w:eastAsia="Calibri" w:cs="Calibri"/>
          <w:sz w:val="24"/>
          <w:szCs w:val="24"/>
        </w:rPr>
        <w:endnoteReference w:id="48"/>
      </w:r>
      <w:r w:rsidRPr="00E92038">
        <w:rPr>
          <w:sz w:val="24"/>
          <w:szCs w:val="24"/>
          <w:vertAlign w:val="superscript"/>
        </w:rPr>
        <w:t>,</w:t>
      </w:r>
      <w:r w:rsidRPr="00E92038">
        <w:rPr>
          <w:rStyle w:val="EndnoteReference"/>
          <w:rFonts w:eastAsia="Calibri" w:cs="Calibri"/>
          <w:sz w:val="24"/>
          <w:szCs w:val="24"/>
        </w:rPr>
        <w:endnoteReference w:id="49"/>
      </w:r>
      <w:r w:rsidRPr="00E92038">
        <w:rPr>
          <w:sz w:val="24"/>
          <w:szCs w:val="24"/>
          <w:vertAlign w:val="superscript"/>
        </w:rPr>
        <w:t>,</w:t>
      </w:r>
      <w:r w:rsidRPr="00E92038">
        <w:rPr>
          <w:rStyle w:val="EndnoteReference"/>
          <w:rFonts w:eastAsia="Calibri" w:cs="Calibri"/>
          <w:sz w:val="24"/>
          <w:szCs w:val="24"/>
        </w:rPr>
        <w:endnoteReference w:id="50"/>
      </w:r>
      <w:r w:rsidRPr="00E92038">
        <w:rPr>
          <w:sz w:val="24"/>
          <w:szCs w:val="24"/>
        </w:rPr>
        <w:t xml:space="preserve"> Breathing in dust that contains asbestos can damage the lungs and other organs causing diseases such as mesothelioma, asbestosis, and lung cancer.</w:t>
      </w:r>
      <w:r w:rsidRPr="00E92038">
        <w:rPr>
          <w:rStyle w:val="EndnoteReference"/>
          <w:rFonts w:eastAsia="Calibri" w:cs="Calibri"/>
          <w:sz w:val="24"/>
          <w:szCs w:val="24"/>
        </w:rPr>
        <w:endnoteReference w:id="51"/>
      </w:r>
      <w:r w:rsidRPr="00E92038">
        <w:rPr>
          <w:sz w:val="24"/>
          <w:szCs w:val="24"/>
          <w:vertAlign w:val="superscript"/>
        </w:rPr>
        <w:t>,</w:t>
      </w:r>
      <w:r w:rsidRPr="00E92038">
        <w:rPr>
          <w:rStyle w:val="EndnoteReference"/>
          <w:rFonts w:eastAsia="Calibri" w:cs="Calibri"/>
          <w:sz w:val="24"/>
          <w:szCs w:val="24"/>
        </w:rPr>
        <w:endnoteReference w:id="52"/>
      </w:r>
      <w:r w:rsidRPr="00E92038">
        <w:rPr>
          <w:sz w:val="24"/>
          <w:szCs w:val="24"/>
        </w:rPr>
        <w:t xml:space="preserve"> Asbestos is the only well-established risk factor for mesothelioma, a usually fatal cancer of the lining of the lung and abdomen</w:t>
      </w:r>
      <w:r w:rsidRPr="00E92038">
        <w:rPr>
          <w:i/>
          <w:sz w:val="24"/>
          <w:szCs w:val="24"/>
        </w:rPr>
        <w:t xml:space="preserve">. </w:t>
      </w:r>
      <w:r w:rsidRPr="00E92038">
        <w:rPr>
          <w:sz w:val="24"/>
          <w:szCs w:val="24"/>
          <w:highlight w:val="yellow"/>
          <w:vertAlign w:val="superscript"/>
        </w:rPr>
        <w:t xml:space="preserve"> </w:t>
      </w:r>
    </w:p>
    <w:p w14:paraId="0F5E5ABA" w14:textId="16EB6CF7" w:rsidR="00367354" w:rsidRPr="00E92038" w:rsidRDefault="00367354" w:rsidP="000E7C99">
      <w:pPr>
        <w:pStyle w:val="Heading4"/>
        <w:spacing w:line="360" w:lineRule="auto"/>
      </w:pPr>
      <w:r w:rsidRPr="00E92038">
        <w:t>Trends/ Disparities</w:t>
      </w:r>
    </w:p>
    <w:p w14:paraId="31CB4280" w14:textId="77777777" w:rsidR="00367354" w:rsidRPr="00E92038" w:rsidRDefault="00367354" w:rsidP="000E7C99">
      <w:pPr>
        <w:spacing w:line="360" w:lineRule="auto"/>
        <w:ind w:right="0"/>
        <w:rPr>
          <w:sz w:val="24"/>
          <w:szCs w:val="24"/>
          <w:highlight w:val="white"/>
        </w:rPr>
      </w:pPr>
      <w:r w:rsidRPr="00E92038">
        <w:rPr>
          <w:sz w:val="24"/>
          <w:szCs w:val="24"/>
          <w:highlight w:val="white"/>
        </w:rPr>
        <w:t>From 2005-2013, an average of 93 cases of mesothelioma was reported to MDPH each year, and the incidence rate of mesothelioma exceeded that for the nation for all but two years (2008 and 2011). There was a downward trend in the Massachusetts mesothelioma incidence rate over time, ranging from 19.4 cases per million in 2005 to 14.6 cases per million in 2013.</w:t>
      </w:r>
      <w:r w:rsidRPr="00E92038">
        <w:rPr>
          <w:rStyle w:val="EndnoteReference"/>
          <w:sz w:val="24"/>
          <w:szCs w:val="24"/>
          <w:highlight w:val="white"/>
        </w:rPr>
        <w:endnoteReference w:id="53"/>
      </w:r>
    </w:p>
    <w:p w14:paraId="5DC2F36D" w14:textId="55671141" w:rsidR="00367354" w:rsidRPr="00E92038" w:rsidRDefault="00367354" w:rsidP="000E7C99">
      <w:pPr>
        <w:spacing w:line="360" w:lineRule="auto"/>
        <w:ind w:right="0"/>
        <w:rPr>
          <w:sz w:val="24"/>
          <w:szCs w:val="24"/>
          <w:shd w:val="clear" w:color="auto" w:fill="FFFFFF"/>
        </w:rPr>
      </w:pPr>
      <w:r w:rsidRPr="00E92038">
        <w:rPr>
          <w:sz w:val="24"/>
          <w:szCs w:val="24"/>
        </w:rPr>
        <w:lastRenderedPageBreak/>
        <w:t xml:space="preserve">From 2005-2014, there was an average of 799 hospitalizations of individuals with a diagnosis of asbestosis each year, </w:t>
      </w:r>
      <w:r w:rsidR="00774D1C" w:rsidRPr="00E92038">
        <w:rPr>
          <w:sz w:val="24"/>
          <w:szCs w:val="24"/>
        </w:rPr>
        <w:t>with a hospitalization</w:t>
      </w:r>
      <w:r w:rsidRPr="00E92038">
        <w:rPr>
          <w:sz w:val="24"/>
          <w:szCs w:val="24"/>
        </w:rPr>
        <w:t xml:space="preserve"> rate that </w:t>
      </w:r>
      <w:r w:rsidRPr="00E92038">
        <w:rPr>
          <w:sz w:val="24"/>
          <w:szCs w:val="24"/>
          <w:shd w:val="clear" w:color="auto" w:fill="FFFFFF"/>
        </w:rPr>
        <w:t>consistently</w:t>
      </w:r>
      <w:r w:rsidR="00774D1C" w:rsidRPr="00E92038">
        <w:rPr>
          <w:sz w:val="24"/>
          <w:szCs w:val="24"/>
          <w:shd w:val="clear" w:color="auto" w:fill="FFFFFF"/>
        </w:rPr>
        <w:t xml:space="preserve"> exceeded</w:t>
      </w:r>
      <w:r w:rsidRPr="00E92038">
        <w:rPr>
          <w:sz w:val="24"/>
          <w:szCs w:val="24"/>
          <w:shd w:val="clear" w:color="auto" w:fill="FFFFFF"/>
        </w:rPr>
        <w:t xml:space="preserve"> </w:t>
      </w:r>
      <w:r w:rsidR="00774D1C" w:rsidRPr="00E92038">
        <w:rPr>
          <w:sz w:val="24"/>
          <w:szCs w:val="24"/>
          <w:shd w:val="clear" w:color="auto" w:fill="FFFFFF"/>
        </w:rPr>
        <w:t>the national rate</w:t>
      </w:r>
      <w:r w:rsidRPr="00E92038">
        <w:rPr>
          <w:sz w:val="24"/>
          <w:szCs w:val="24"/>
          <w:shd w:val="clear" w:color="auto" w:fill="FFFFFF"/>
        </w:rPr>
        <w:t xml:space="preserve">. There has been a significant decline in hospitalizations from asbestosis in Massachusetts since 2007. Almost all of the individuals with mesothelioma or hospitalized with asbestosis were male and over 50 years of age. </w:t>
      </w:r>
    </w:p>
    <w:p w14:paraId="1B018F04" w14:textId="5D4F18A4" w:rsidR="000E7C99" w:rsidRDefault="00367354" w:rsidP="000E7C99">
      <w:pPr>
        <w:widowControl w:val="0"/>
        <w:pBdr>
          <w:top w:val="nil"/>
          <w:left w:val="nil"/>
          <w:bottom w:val="nil"/>
          <w:right w:val="nil"/>
          <w:between w:val="nil"/>
        </w:pBdr>
        <w:tabs>
          <w:tab w:val="left" w:pos="360"/>
        </w:tabs>
        <w:spacing w:before="0" w:after="0" w:line="360" w:lineRule="auto"/>
        <w:ind w:right="0"/>
        <w:contextualSpacing/>
        <w:rPr>
          <w:rFonts w:eastAsia="Calibri" w:cs="Calibri"/>
          <w:sz w:val="24"/>
          <w:szCs w:val="24"/>
        </w:rPr>
      </w:pPr>
      <w:r w:rsidRPr="00E92038">
        <w:rPr>
          <w:rFonts w:eastAsia="Calibri" w:cs="Calibri"/>
          <w:sz w:val="24"/>
          <w:szCs w:val="24"/>
        </w:rPr>
        <w:t xml:space="preserve">In 2015, there were more than 23,000 registered asbestos removal projects in Massachusetts. Many of the workers potentially exposed to asbestos during abatement activities are foreign-born. </w:t>
      </w:r>
      <w:r w:rsidRPr="00E92038">
        <w:rPr>
          <w:rStyle w:val="EndnoteReference"/>
          <w:rFonts w:eastAsia="Calibri" w:cs="Calibri"/>
          <w:sz w:val="24"/>
          <w:szCs w:val="24"/>
        </w:rPr>
        <w:endnoteReference w:id="54"/>
      </w:r>
      <w:r w:rsidRPr="00E92038">
        <w:rPr>
          <w:rFonts w:eastAsia="Calibri" w:cs="Calibri"/>
          <w:sz w:val="24"/>
          <w:szCs w:val="24"/>
        </w:rPr>
        <w:t xml:space="preserve">  A study of Cambodian asbestos abatement workers in Lowell found that they, like other recent arrivers, accepted jobs in hazardous industries, such as asbestos abatement, hazardous waste and other temporary employment.</w:t>
      </w:r>
      <w:r w:rsidRPr="00E92038">
        <w:rPr>
          <w:rStyle w:val="EndnoteReference"/>
          <w:rFonts w:eastAsia="Calibri" w:cs="Calibri"/>
          <w:sz w:val="24"/>
          <w:szCs w:val="24"/>
        </w:rPr>
        <w:t xml:space="preserve"> </w:t>
      </w:r>
      <w:r w:rsidRPr="00E92038">
        <w:rPr>
          <w:rStyle w:val="EndnoteReference"/>
          <w:rFonts w:eastAsia="Calibri" w:cs="Calibri"/>
          <w:sz w:val="24"/>
          <w:szCs w:val="24"/>
        </w:rPr>
        <w:endnoteReference w:id="55"/>
      </w:r>
      <w:r w:rsidRPr="00E92038">
        <w:rPr>
          <w:rFonts w:eastAsia="Calibri" w:cs="Calibri"/>
          <w:sz w:val="24"/>
          <w:szCs w:val="24"/>
        </w:rPr>
        <w:t xml:space="preserve"> Discrimination and economic insecurity that make workers hesitant to speak up about workplace hazards may also contribute to disparities in occupational health risks.</w:t>
      </w:r>
      <w:r w:rsidRPr="00E92038">
        <w:rPr>
          <w:rStyle w:val="EndnoteReference"/>
          <w:rFonts w:eastAsia="Calibri" w:cs="Calibri"/>
          <w:sz w:val="24"/>
          <w:szCs w:val="24"/>
        </w:rPr>
        <w:endnoteReference w:id="56"/>
      </w:r>
    </w:p>
    <w:p w14:paraId="3E713A8C" w14:textId="77777777" w:rsidR="000E7C99" w:rsidRDefault="000E7C99">
      <w:pPr>
        <w:spacing w:before="0"/>
        <w:ind w:left="0" w:right="0"/>
        <w:jc w:val="left"/>
        <w:rPr>
          <w:rFonts w:eastAsia="Calibri" w:cs="Calibri"/>
          <w:sz w:val="24"/>
          <w:szCs w:val="24"/>
        </w:rPr>
      </w:pPr>
      <w:r>
        <w:rPr>
          <w:rFonts w:eastAsia="Calibri" w:cs="Calibri"/>
          <w:sz w:val="24"/>
          <w:szCs w:val="24"/>
        </w:rPr>
        <w:br w:type="page"/>
      </w:r>
    </w:p>
    <w:p w14:paraId="77D91031" w14:textId="77777777" w:rsidR="00367354" w:rsidRPr="00E92038" w:rsidRDefault="00367354" w:rsidP="000E7C99">
      <w:pPr>
        <w:widowControl w:val="0"/>
        <w:pBdr>
          <w:top w:val="nil"/>
          <w:left w:val="nil"/>
          <w:bottom w:val="nil"/>
          <w:right w:val="nil"/>
          <w:between w:val="nil"/>
        </w:pBdr>
        <w:tabs>
          <w:tab w:val="left" w:pos="360"/>
        </w:tabs>
        <w:spacing w:before="0" w:after="0" w:line="360" w:lineRule="auto"/>
        <w:ind w:right="0"/>
        <w:contextualSpacing/>
        <w:rPr>
          <w:rFonts w:eastAsia="Calibri" w:cs="Calibri"/>
          <w:sz w:val="24"/>
          <w:szCs w:val="24"/>
        </w:rPr>
      </w:pPr>
      <w:bookmarkStart w:id="1" w:name="_GoBack"/>
      <w:bookmarkEnd w:id="1"/>
    </w:p>
    <w:p w14:paraId="7632E6F2" w14:textId="471FD46C" w:rsidR="00367354" w:rsidRPr="00E92038" w:rsidRDefault="00AC4D06" w:rsidP="000E7C99">
      <w:pPr>
        <w:pStyle w:val="SHAFigureNumber"/>
        <w:spacing w:line="360" w:lineRule="auto"/>
        <w:rPr>
          <w:sz w:val="24"/>
          <w:szCs w:val="24"/>
        </w:rPr>
      </w:pPr>
      <w:r w:rsidRPr="00E92038">
        <w:rPr>
          <w:sz w:val="24"/>
          <w:szCs w:val="24"/>
        </w:rPr>
        <w:t>Figure</w:t>
      </w:r>
      <w:r w:rsidR="00367354" w:rsidRPr="00E92038">
        <w:rPr>
          <w:sz w:val="24"/>
          <w:szCs w:val="24"/>
        </w:rPr>
        <w:t xml:space="preserve"> </w:t>
      </w:r>
      <w:r w:rsidRPr="00E92038">
        <w:rPr>
          <w:sz w:val="24"/>
          <w:szCs w:val="24"/>
        </w:rPr>
        <w:t>3.10</w:t>
      </w:r>
    </w:p>
    <w:p w14:paraId="19D2CE4C" w14:textId="3595E25F" w:rsidR="00367354" w:rsidRPr="00E92038" w:rsidRDefault="00367354" w:rsidP="000E7C99">
      <w:pPr>
        <w:pStyle w:val="SHAFigureNumber"/>
        <w:spacing w:line="360" w:lineRule="auto"/>
        <w:rPr>
          <w:sz w:val="24"/>
          <w:szCs w:val="24"/>
        </w:rPr>
      </w:pPr>
      <w:r w:rsidRPr="00E92038">
        <w:rPr>
          <w:sz w:val="24"/>
          <w:szCs w:val="24"/>
        </w:rPr>
        <w:t>Age-Standardized Rate of Hospitalizations from or with Asbestosis by</w:t>
      </w:r>
      <w:r w:rsidR="008549B4" w:rsidRPr="00E92038">
        <w:rPr>
          <w:sz w:val="24"/>
          <w:szCs w:val="24"/>
        </w:rPr>
        <w:t xml:space="preserve"> Year, US &amp; Massachusetts, 2005</w:t>
      </w:r>
      <w:r w:rsidRPr="00E92038">
        <w:rPr>
          <w:sz w:val="24"/>
          <w:szCs w:val="24"/>
        </w:rPr>
        <w:t>-2014</w:t>
      </w:r>
      <w:r w:rsidRPr="00E92038">
        <w:rPr>
          <w:sz w:val="24"/>
          <w:szCs w:val="24"/>
          <w:vertAlign w:val="superscript"/>
        </w:rPr>
        <w:endnoteReference w:id="57"/>
      </w:r>
      <w:r w:rsidRPr="00E92038">
        <w:rPr>
          <w:sz w:val="24"/>
          <w:szCs w:val="24"/>
        </w:rPr>
        <w:br/>
      </w:r>
      <w:r w:rsidR="005C00B3" w:rsidRPr="00E92038">
        <w:rPr>
          <w:noProof/>
          <w:sz w:val="24"/>
          <w:szCs w:val="24"/>
        </w:rPr>
        <w:drawing>
          <wp:inline distT="0" distB="0" distL="0" distR="0" wp14:anchorId="75D0B768" wp14:editId="35E91DF0">
            <wp:extent cx="6172200" cy="3361266"/>
            <wp:effectExtent l="0" t="0" r="0" b="0"/>
            <wp:docPr id="219" name="Chart 219" descr="This line graph compares the age standardized rate of hospitalization from or with asbestosis in Massachusetts and the US by year.  In 2005, the age standardized rate in Massachusetts was 145 per 1,000,000 residents in 2005 , 173 in 2006, 175 in 2007, 169 in 2008, 154 in 2009, 143 in 2010, 115 in 2011,103 in 2012, 100 in 2013, and 83 in 2014.  These rates were compared with the available US rates. The age-standardized rate in the US was 60 per 1,000,000 residents in 2005, 61 in 2006, 62 in 2007, 70 in 2008, 48 in 2009, and 33 in 20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3A6DDE-B0A4-4246-A129-5A438BE467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741012A" w14:textId="4745D58E" w:rsidR="00367354" w:rsidRPr="00E92038" w:rsidRDefault="00AC4D06" w:rsidP="000E7C99">
      <w:pPr>
        <w:pStyle w:val="SHAFigureNote"/>
        <w:spacing w:line="360" w:lineRule="auto"/>
        <w:rPr>
          <w:rStyle w:val="Emphasis"/>
          <w:i w:val="0"/>
          <w:sz w:val="24"/>
          <w:szCs w:val="24"/>
        </w:rPr>
      </w:pPr>
      <w:r w:rsidRPr="00462303">
        <w:rPr>
          <w:rStyle w:val="Emphasis"/>
          <w:i w:val="0"/>
          <w:sz w:val="22"/>
          <w:szCs w:val="22"/>
        </w:rPr>
        <w:t xml:space="preserve">SOURCE: MA INPATIENT HOSPITAL DISCHARGE DATASET; NATIONAL CENTER FOR HEALTH STATISTICS' NATIONAL </w:t>
      </w:r>
      <w:r w:rsidRPr="00E92038">
        <w:rPr>
          <w:rStyle w:val="Emphasis"/>
          <w:i w:val="0"/>
          <w:sz w:val="24"/>
          <w:szCs w:val="24"/>
        </w:rPr>
        <w:t>HOSPITAL DISCHARGE SURVEY (DISCONTINUED AFTER 2010); POPULATION ESTIMATES FROM US CENSUS</w:t>
      </w:r>
    </w:p>
    <w:p w14:paraId="23D69402" w14:textId="0323630D" w:rsidR="00367354" w:rsidRPr="00E92038" w:rsidRDefault="00AC4D06" w:rsidP="000E7C99">
      <w:pPr>
        <w:pStyle w:val="SHAFigureNote"/>
        <w:spacing w:line="360" w:lineRule="auto"/>
        <w:rPr>
          <w:rStyle w:val="Emphasis"/>
          <w:i w:val="0"/>
          <w:sz w:val="24"/>
          <w:szCs w:val="24"/>
        </w:rPr>
      </w:pPr>
      <w:r w:rsidRPr="00E92038">
        <w:rPr>
          <w:rStyle w:val="Emphasis"/>
          <w:i w:val="0"/>
          <w:sz w:val="24"/>
          <w:szCs w:val="24"/>
        </w:rPr>
        <w:t xml:space="preserve">NOTE: RATES ARE AGE-ADJUSTED </w:t>
      </w:r>
      <w:r w:rsidR="009000F1" w:rsidRPr="00E92038">
        <w:rPr>
          <w:rStyle w:val="Emphasis"/>
          <w:i w:val="0"/>
          <w:sz w:val="24"/>
          <w:szCs w:val="24"/>
        </w:rPr>
        <w:t xml:space="preserve">(STANDARDIZED) </w:t>
      </w:r>
      <w:r w:rsidRPr="00E92038">
        <w:rPr>
          <w:rStyle w:val="Emphasis"/>
          <w:i w:val="0"/>
          <w:sz w:val="24"/>
          <w:szCs w:val="24"/>
        </w:rPr>
        <w:t>TO THE 2000 US STANDARD POPULATION AND EXPRESSED PER MILLION</w:t>
      </w:r>
      <w:r w:rsidR="00E41A7E" w:rsidRPr="00E92038">
        <w:rPr>
          <w:rStyle w:val="Emphasis"/>
          <w:i w:val="0"/>
          <w:sz w:val="24"/>
          <w:szCs w:val="24"/>
        </w:rPr>
        <w:t xml:space="preserve"> MA RESIDENTS 15 YEARS OR OLDER</w:t>
      </w:r>
      <w:r w:rsidRPr="00E92038">
        <w:rPr>
          <w:rStyle w:val="Emphasis"/>
          <w:i w:val="0"/>
          <w:sz w:val="24"/>
          <w:szCs w:val="24"/>
        </w:rPr>
        <w:t xml:space="preserve"> </w:t>
      </w:r>
    </w:p>
    <w:p w14:paraId="60052576" w14:textId="77777777" w:rsidR="00DD519D" w:rsidRDefault="00DD519D" w:rsidP="000E7C99">
      <w:pPr>
        <w:spacing w:before="0" w:line="360" w:lineRule="auto"/>
        <w:ind w:left="0" w:right="0"/>
        <w:jc w:val="left"/>
        <w:rPr>
          <w:rFonts w:eastAsiaTheme="majorEastAsia" w:cstheme="majorBidi"/>
          <w:b/>
          <w:sz w:val="40"/>
          <w:szCs w:val="40"/>
          <w:lang w:val="fr-FR"/>
        </w:rPr>
      </w:pPr>
      <w:r>
        <w:rPr>
          <w:lang w:val="fr-FR"/>
        </w:rPr>
        <w:br w:type="page"/>
      </w:r>
    </w:p>
    <w:p w14:paraId="58B1035F" w14:textId="470466AB" w:rsidR="00367354" w:rsidRPr="00A83C18" w:rsidRDefault="00367354" w:rsidP="000E7C99">
      <w:pPr>
        <w:pStyle w:val="Heading1"/>
        <w:spacing w:line="360" w:lineRule="auto"/>
        <w:ind w:right="0"/>
        <w:rPr>
          <w:lang w:val="fr-FR"/>
        </w:rPr>
      </w:pPr>
      <w:r>
        <w:rPr>
          <w:lang w:val="fr-FR"/>
        </w:rPr>
        <w:lastRenderedPageBreak/>
        <w:t>Selected Resources, Programs</w:t>
      </w:r>
      <w:r w:rsidR="002865E8">
        <w:rPr>
          <w:lang w:val="fr-FR"/>
        </w:rPr>
        <w:t>,</w:t>
      </w:r>
      <w:r>
        <w:rPr>
          <w:lang w:val="fr-FR"/>
        </w:rPr>
        <w:t xml:space="preserve"> and Services</w:t>
      </w:r>
    </w:p>
    <w:p w14:paraId="19DB2E8D" w14:textId="77777777" w:rsidR="00367354" w:rsidRPr="00E92038" w:rsidRDefault="00367354" w:rsidP="000E7C99">
      <w:pPr>
        <w:keepNext/>
        <w:keepLines/>
        <w:spacing w:line="360" w:lineRule="auto"/>
        <w:ind w:right="0"/>
        <w:contextualSpacing/>
        <w:rPr>
          <w:sz w:val="24"/>
          <w:szCs w:val="24"/>
        </w:rPr>
      </w:pPr>
      <w:r w:rsidRPr="00E92038">
        <w:rPr>
          <w:sz w:val="24"/>
          <w:szCs w:val="24"/>
        </w:rPr>
        <w:t>Following are selected resources, services and programs that support the topics discussed in this chapter.</w:t>
      </w:r>
    </w:p>
    <w:p w14:paraId="0895A54D" w14:textId="77777777" w:rsidR="00367354" w:rsidRPr="00E92038" w:rsidRDefault="00367354" w:rsidP="000E7C99">
      <w:pPr>
        <w:keepNext/>
        <w:keepLines/>
        <w:spacing w:line="360" w:lineRule="auto"/>
        <w:ind w:right="0"/>
        <w:contextualSpacing/>
        <w:rPr>
          <w:b/>
          <w:sz w:val="24"/>
          <w:szCs w:val="24"/>
        </w:rPr>
      </w:pPr>
    </w:p>
    <w:p w14:paraId="6FF338C9" w14:textId="77777777" w:rsidR="00367354" w:rsidRPr="00E92038" w:rsidRDefault="00367354" w:rsidP="000E7C99">
      <w:pPr>
        <w:keepNext/>
        <w:keepLines/>
        <w:spacing w:line="360" w:lineRule="auto"/>
        <w:ind w:right="0"/>
        <w:contextualSpacing/>
        <w:rPr>
          <w:b/>
          <w:color w:val="203864"/>
          <w:sz w:val="24"/>
          <w:szCs w:val="24"/>
        </w:rPr>
      </w:pPr>
      <w:r w:rsidRPr="00E92038">
        <w:rPr>
          <w:b/>
          <w:color w:val="203864"/>
          <w:sz w:val="24"/>
          <w:szCs w:val="24"/>
        </w:rPr>
        <w:t>Public Health Fish Advisories</w:t>
      </w:r>
    </w:p>
    <w:p w14:paraId="60D6719A" w14:textId="6E0DD289" w:rsidR="00367354" w:rsidRPr="00E92038" w:rsidRDefault="00367354" w:rsidP="000E7C99">
      <w:pPr>
        <w:pStyle w:val="ListParagraph"/>
        <w:keepNext/>
        <w:keepLines/>
        <w:numPr>
          <w:ilvl w:val="0"/>
          <w:numId w:val="58"/>
        </w:numPr>
        <w:spacing w:line="360" w:lineRule="auto"/>
        <w:ind w:right="0"/>
        <w:rPr>
          <w:sz w:val="24"/>
          <w:szCs w:val="24"/>
        </w:rPr>
      </w:pPr>
      <w:r w:rsidRPr="00E92038">
        <w:rPr>
          <w:sz w:val="24"/>
          <w:szCs w:val="24"/>
        </w:rPr>
        <w:t xml:space="preserve">The </w:t>
      </w:r>
      <w:hyperlink r:id="rId95" w:history="1">
        <w:r w:rsidRPr="00E92038">
          <w:rPr>
            <w:rStyle w:val="Hyperlink"/>
            <w:sz w:val="24"/>
            <w:szCs w:val="24"/>
          </w:rPr>
          <w:t>MDPH fish advisory website</w:t>
        </w:r>
      </w:hyperlink>
      <w:r w:rsidRPr="00E92038">
        <w:rPr>
          <w:sz w:val="24"/>
          <w:szCs w:val="24"/>
        </w:rPr>
        <w:t xml:space="preserve"> provides guidance on the safe consumption of fish and information on fish advisories for specific waterbodies.</w:t>
      </w:r>
      <w:r w:rsidR="00774D1C" w:rsidRPr="00E92038">
        <w:rPr>
          <w:rStyle w:val="EndnoteReference"/>
          <w:sz w:val="24"/>
          <w:szCs w:val="24"/>
        </w:rPr>
        <w:endnoteReference w:id="58"/>
      </w:r>
    </w:p>
    <w:p w14:paraId="5C6B63DD" w14:textId="77777777" w:rsidR="003E3840" w:rsidRPr="00E92038" w:rsidRDefault="00367354" w:rsidP="000E7C99">
      <w:pPr>
        <w:pStyle w:val="ListParagraph"/>
        <w:keepNext/>
        <w:keepLines/>
        <w:numPr>
          <w:ilvl w:val="0"/>
          <w:numId w:val="58"/>
        </w:numPr>
        <w:spacing w:line="360" w:lineRule="auto"/>
        <w:ind w:right="0"/>
        <w:rPr>
          <w:sz w:val="24"/>
          <w:szCs w:val="24"/>
        </w:rPr>
      </w:pPr>
      <w:r w:rsidRPr="00E92038">
        <w:rPr>
          <w:sz w:val="24"/>
          <w:szCs w:val="24"/>
        </w:rPr>
        <w:t xml:space="preserve">Individuals can </w:t>
      </w:r>
      <w:hyperlink r:id="rId96" w:history="1">
        <w:r w:rsidRPr="00E92038">
          <w:rPr>
            <w:rStyle w:val="Hyperlink"/>
            <w:sz w:val="24"/>
            <w:szCs w:val="24"/>
          </w:rPr>
          <w:t>request testing of fish</w:t>
        </w:r>
      </w:hyperlink>
      <w:r w:rsidRPr="00E92038">
        <w:rPr>
          <w:sz w:val="24"/>
          <w:szCs w:val="24"/>
        </w:rPr>
        <w:t xml:space="preserve"> for contaminants in Massachusetts waterbodies</w:t>
      </w:r>
      <w:r w:rsidR="00127F33" w:rsidRPr="00E92038">
        <w:rPr>
          <w:sz w:val="24"/>
          <w:szCs w:val="24"/>
        </w:rPr>
        <w:t>.</w:t>
      </w:r>
      <w:r w:rsidR="00774D1C" w:rsidRPr="00E92038">
        <w:rPr>
          <w:rStyle w:val="EndnoteReference"/>
          <w:sz w:val="24"/>
          <w:szCs w:val="24"/>
        </w:rPr>
        <w:endnoteReference w:id="59"/>
      </w:r>
    </w:p>
    <w:p w14:paraId="2CA062C2" w14:textId="203A7237" w:rsidR="003E3840" w:rsidRPr="00E92038" w:rsidRDefault="00873159" w:rsidP="000E7C99">
      <w:pPr>
        <w:spacing w:after="0" w:line="360" w:lineRule="auto"/>
        <w:ind w:right="0"/>
        <w:rPr>
          <w:b/>
          <w:sz w:val="24"/>
          <w:szCs w:val="24"/>
        </w:rPr>
      </w:pPr>
      <w:r w:rsidRPr="00E92038">
        <w:rPr>
          <w:b/>
          <w:color w:val="203864"/>
          <w:sz w:val="24"/>
          <w:szCs w:val="24"/>
        </w:rPr>
        <w:t xml:space="preserve">Ambient Air Quality </w:t>
      </w:r>
    </w:p>
    <w:p w14:paraId="41D3AC69" w14:textId="3352BA56" w:rsidR="003E3840" w:rsidRPr="00E92038" w:rsidRDefault="003E3840" w:rsidP="000E7C99">
      <w:pPr>
        <w:pStyle w:val="ListParagraph"/>
        <w:numPr>
          <w:ilvl w:val="0"/>
          <w:numId w:val="216"/>
        </w:numPr>
        <w:spacing w:after="0" w:line="360" w:lineRule="auto"/>
        <w:ind w:right="0"/>
        <w:rPr>
          <w:color w:val="000000" w:themeColor="text1"/>
          <w:sz w:val="24"/>
          <w:szCs w:val="24"/>
        </w:rPr>
      </w:pPr>
      <w:r w:rsidRPr="00E92038">
        <w:rPr>
          <w:color w:val="000000" w:themeColor="text1"/>
          <w:sz w:val="24"/>
          <w:szCs w:val="24"/>
        </w:rPr>
        <w:t>The MassDEP provides daily air quality and pollution forecasts to help Massachusetts’ residents understand current ambient air conditions and their health impacts.</w:t>
      </w:r>
      <w:r w:rsidRPr="00E92038">
        <w:rPr>
          <w:rStyle w:val="EndnoteReference"/>
          <w:color w:val="000000" w:themeColor="text1"/>
          <w:sz w:val="24"/>
          <w:szCs w:val="24"/>
        </w:rPr>
        <w:endnoteReference w:id="60"/>
      </w:r>
    </w:p>
    <w:p w14:paraId="762337D3" w14:textId="77777777" w:rsidR="00367354" w:rsidRPr="00E92038" w:rsidRDefault="00367354" w:rsidP="000E7C99">
      <w:pPr>
        <w:spacing w:after="0" w:line="360" w:lineRule="auto"/>
        <w:ind w:right="0"/>
        <w:rPr>
          <w:b/>
          <w:color w:val="203864"/>
          <w:sz w:val="24"/>
          <w:szCs w:val="24"/>
        </w:rPr>
      </w:pPr>
      <w:r w:rsidRPr="00E92038">
        <w:rPr>
          <w:b/>
          <w:color w:val="203864"/>
          <w:sz w:val="24"/>
          <w:szCs w:val="24"/>
        </w:rPr>
        <w:t>Recreational Water Quality</w:t>
      </w:r>
    </w:p>
    <w:p w14:paraId="40219882" w14:textId="77777777" w:rsidR="00367354" w:rsidRPr="00E92038" w:rsidRDefault="00367354" w:rsidP="000E7C99">
      <w:pPr>
        <w:pStyle w:val="ListParagraph"/>
        <w:numPr>
          <w:ilvl w:val="0"/>
          <w:numId w:val="59"/>
        </w:numPr>
        <w:spacing w:after="0" w:line="360" w:lineRule="auto"/>
        <w:ind w:right="0"/>
        <w:rPr>
          <w:sz w:val="24"/>
          <w:szCs w:val="24"/>
        </w:rPr>
      </w:pPr>
      <w:r w:rsidRPr="00E92038">
        <w:rPr>
          <w:sz w:val="24"/>
          <w:szCs w:val="24"/>
        </w:rPr>
        <w:t xml:space="preserve">Local boards of health and the Massachusetts Department of Conservation and Recreation are required by law to regularly monitor beach water quality. The MDPH </w:t>
      </w:r>
      <w:hyperlink r:id="rId97" w:history="1">
        <w:r w:rsidRPr="00E92038">
          <w:rPr>
            <w:rStyle w:val="Hyperlink"/>
            <w:sz w:val="24"/>
            <w:szCs w:val="24"/>
          </w:rPr>
          <w:t>Beaches and Algae website</w:t>
        </w:r>
      </w:hyperlink>
      <w:r w:rsidRPr="00E92038">
        <w:rPr>
          <w:sz w:val="24"/>
          <w:szCs w:val="24"/>
        </w:rPr>
        <w:t xml:space="preserve"> provides daily updated information on fecal indicator bacteria levels and closures at marine beaches as well as historical test results.</w:t>
      </w:r>
      <w:r w:rsidRPr="00E92038">
        <w:rPr>
          <w:sz w:val="24"/>
          <w:szCs w:val="24"/>
          <w:vertAlign w:val="superscript"/>
        </w:rPr>
        <w:endnoteReference w:id="61"/>
      </w:r>
    </w:p>
    <w:p w14:paraId="63E47AA2" w14:textId="77777777" w:rsidR="00367354" w:rsidRPr="00E92038" w:rsidRDefault="00367354" w:rsidP="000E7C99">
      <w:pPr>
        <w:spacing w:after="0" w:line="360" w:lineRule="auto"/>
        <w:ind w:right="0"/>
        <w:rPr>
          <w:b/>
          <w:color w:val="203864"/>
          <w:sz w:val="24"/>
          <w:szCs w:val="24"/>
        </w:rPr>
      </w:pPr>
      <w:r w:rsidRPr="00E92038">
        <w:rPr>
          <w:b/>
          <w:color w:val="203864"/>
          <w:sz w:val="24"/>
          <w:szCs w:val="24"/>
        </w:rPr>
        <w:t>Public Drinking Water Quality</w:t>
      </w:r>
    </w:p>
    <w:p w14:paraId="4F4176A9" w14:textId="77777777" w:rsidR="00367354" w:rsidRPr="00E92038" w:rsidRDefault="00367354" w:rsidP="000E7C99">
      <w:pPr>
        <w:pStyle w:val="ListParagraph"/>
        <w:numPr>
          <w:ilvl w:val="0"/>
          <w:numId w:val="60"/>
        </w:numPr>
        <w:spacing w:after="0" w:line="360" w:lineRule="auto"/>
        <w:ind w:right="0"/>
        <w:rPr>
          <w:sz w:val="24"/>
          <w:szCs w:val="24"/>
        </w:rPr>
      </w:pPr>
      <w:r w:rsidRPr="00E92038">
        <w:rPr>
          <w:sz w:val="24"/>
          <w:szCs w:val="24"/>
        </w:rPr>
        <w:t xml:space="preserve">Consumer confidence reports (CCRs) are annual reports required by law and distributed to consumers by water suppliers. They contain information on the source of a community’s drinking water, the quality of the water, and compliance with state and federal drinking water regulations. </w:t>
      </w:r>
    </w:p>
    <w:p w14:paraId="1D721B1F" w14:textId="01A0832F" w:rsidR="00367354" w:rsidRPr="00E92038" w:rsidRDefault="00367354" w:rsidP="000E7C99">
      <w:pPr>
        <w:pStyle w:val="ListParagraph"/>
        <w:numPr>
          <w:ilvl w:val="0"/>
          <w:numId w:val="60"/>
        </w:numPr>
        <w:spacing w:after="0" w:line="360" w:lineRule="auto"/>
        <w:ind w:right="0"/>
        <w:rPr>
          <w:sz w:val="24"/>
          <w:szCs w:val="24"/>
        </w:rPr>
      </w:pPr>
      <w:r w:rsidRPr="00E92038">
        <w:rPr>
          <w:sz w:val="24"/>
          <w:szCs w:val="24"/>
        </w:rPr>
        <w:t xml:space="preserve">Information on drinking water quality is available at MassDEP’s </w:t>
      </w:r>
      <w:hyperlink r:id="rId98" w:history="1">
        <w:r w:rsidRPr="00E92038">
          <w:rPr>
            <w:rStyle w:val="Hyperlink"/>
            <w:sz w:val="24"/>
            <w:szCs w:val="24"/>
          </w:rPr>
          <w:t>website</w:t>
        </w:r>
      </w:hyperlink>
      <w:r w:rsidR="004F1FB7" w:rsidRPr="00E92038">
        <w:rPr>
          <w:rStyle w:val="EndnoteReference"/>
          <w:rFonts w:cstheme="minorHAnsi"/>
          <w:color w:val="303030"/>
          <w:sz w:val="24"/>
          <w:szCs w:val="24"/>
          <w:shd w:val="clear" w:color="auto" w:fill="FFFFFF"/>
        </w:rPr>
        <w:endnoteReference w:id="62"/>
      </w:r>
      <w:r w:rsidRPr="00E92038">
        <w:rPr>
          <w:sz w:val="24"/>
          <w:szCs w:val="24"/>
        </w:rPr>
        <w:t xml:space="preserve"> (or through your local water department</w:t>
      </w:r>
      <w:r w:rsidR="004F1FB7" w:rsidRPr="00E92038">
        <w:rPr>
          <w:sz w:val="24"/>
          <w:szCs w:val="24"/>
        </w:rPr>
        <w:t>)</w:t>
      </w:r>
      <w:r w:rsidRPr="00E92038">
        <w:rPr>
          <w:sz w:val="24"/>
          <w:szCs w:val="24"/>
        </w:rPr>
        <w:t xml:space="preserve"> and also at the </w:t>
      </w:r>
      <w:hyperlink r:id="rId99" w:history="1">
        <w:r w:rsidRPr="00E92038">
          <w:rPr>
            <w:rStyle w:val="Hyperlink"/>
            <w:sz w:val="24"/>
            <w:szCs w:val="24"/>
          </w:rPr>
          <w:t xml:space="preserve">Massachusetts Environmental Public Health Tracking </w:t>
        </w:r>
        <w:r w:rsidR="000F179D" w:rsidRPr="00E92038">
          <w:rPr>
            <w:rStyle w:val="Hyperlink"/>
            <w:sz w:val="24"/>
            <w:szCs w:val="24"/>
          </w:rPr>
          <w:t xml:space="preserve">(EPHT) </w:t>
        </w:r>
        <w:r w:rsidRPr="00E92038">
          <w:rPr>
            <w:rStyle w:val="Hyperlink"/>
            <w:sz w:val="24"/>
            <w:szCs w:val="24"/>
          </w:rPr>
          <w:t>website</w:t>
        </w:r>
      </w:hyperlink>
      <w:r w:rsidR="004F1FB7" w:rsidRPr="00E92038">
        <w:rPr>
          <w:rStyle w:val="EndnoteReference"/>
          <w:rFonts w:cstheme="minorHAnsi"/>
          <w:color w:val="303030"/>
          <w:sz w:val="24"/>
          <w:szCs w:val="24"/>
          <w:shd w:val="clear" w:color="auto" w:fill="FFFFFF"/>
        </w:rPr>
        <w:endnoteReference w:id="63"/>
      </w:r>
      <w:r w:rsidRPr="00E92038">
        <w:rPr>
          <w:sz w:val="24"/>
          <w:szCs w:val="24"/>
        </w:rPr>
        <w:t>.</w:t>
      </w:r>
    </w:p>
    <w:p w14:paraId="3D87330D" w14:textId="77777777" w:rsidR="00367354" w:rsidRPr="00E92038" w:rsidRDefault="00367354" w:rsidP="000E7C99">
      <w:pPr>
        <w:pStyle w:val="ListParagraph"/>
        <w:numPr>
          <w:ilvl w:val="0"/>
          <w:numId w:val="60"/>
        </w:numPr>
        <w:spacing w:after="0" w:line="360" w:lineRule="auto"/>
        <w:ind w:right="0"/>
        <w:rPr>
          <w:sz w:val="24"/>
          <w:szCs w:val="24"/>
        </w:rPr>
      </w:pPr>
      <w:r w:rsidRPr="00E92038">
        <w:rPr>
          <w:sz w:val="24"/>
          <w:szCs w:val="24"/>
        </w:rPr>
        <w:t xml:space="preserve">The MassDEP </w:t>
      </w:r>
      <w:hyperlink r:id="rId100" w:history="1">
        <w:r w:rsidRPr="00E92038">
          <w:rPr>
            <w:rStyle w:val="Hyperlink"/>
            <w:sz w:val="24"/>
            <w:szCs w:val="24"/>
          </w:rPr>
          <w:t>Assistance Program for Lead in School Drinking Water</w:t>
        </w:r>
      </w:hyperlink>
      <w:r w:rsidRPr="00E92038">
        <w:rPr>
          <w:sz w:val="24"/>
          <w:szCs w:val="24"/>
        </w:rPr>
        <w:t xml:space="preserve"> provides financial and technical assistance to schools to test drinking water for the presence of lead and copper. </w:t>
      </w:r>
    </w:p>
    <w:p w14:paraId="06BE5BCF" w14:textId="77777777" w:rsidR="00367354" w:rsidRPr="00E92038" w:rsidRDefault="00367354" w:rsidP="000E7C99">
      <w:pPr>
        <w:spacing w:line="360" w:lineRule="auto"/>
        <w:ind w:right="0"/>
        <w:rPr>
          <w:b/>
          <w:color w:val="203864"/>
          <w:sz w:val="24"/>
          <w:szCs w:val="24"/>
        </w:rPr>
      </w:pPr>
      <w:r w:rsidRPr="00E92038">
        <w:rPr>
          <w:b/>
          <w:color w:val="203864"/>
          <w:sz w:val="24"/>
          <w:szCs w:val="24"/>
        </w:rPr>
        <w:t>Childhood Lead Exposure</w:t>
      </w:r>
    </w:p>
    <w:p w14:paraId="4FD4BEC2" w14:textId="467B93DB" w:rsidR="00367354" w:rsidRPr="00E92038" w:rsidRDefault="00367354" w:rsidP="000E7C99">
      <w:pPr>
        <w:pStyle w:val="ListParagraph"/>
        <w:numPr>
          <w:ilvl w:val="0"/>
          <w:numId w:val="61"/>
        </w:numPr>
        <w:spacing w:after="0" w:line="360" w:lineRule="auto"/>
        <w:ind w:right="0"/>
        <w:rPr>
          <w:sz w:val="24"/>
          <w:szCs w:val="24"/>
        </w:rPr>
      </w:pPr>
      <w:r w:rsidRPr="00E92038">
        <w:rPr>
          <w:sz w:val="24"/>
          <w:szCs w:val="24"/>
        </w:rPr>
        <w:lastRenderedPageBreak/>
        <w:t>Community Progress Report Initiative</w:t>
      </w:r>
      <w:r w:rsidRPr="00E92038">
        <w:rPr>
          <w:sz w:val="24"/>
          <w:szCs w:val="24"/>
          <w:vertAlign w:val="superscript"/>
        </w:rPr>
        <w:endnoteReference w:id="64"/>
      </w:r>
      <w:r w:rsidR="008549B4" w:rsidRPr="00E92038">
        <w:rPr>
          <w:sz w:val="24"/>
          <w:szCs w:val="24"/>
        </w:rPr>
        <w:t xml:space="preserve"> </w:t>
      </w:r>
      <w:r w:rsidRPr="00E92038">
        <w:rPr>
          <w:sz w:val="24"/>
          <w:szCs w:val="24"/>
        </w:rPr>
        <w:t>addres</w:t>
      </w:r>
      <w:r w:rsidR="008549B4" w:rsidRPr="00E92038">
        <w:rPr>
          <w:sz w:val="24"/>
          <w:szCs w:val="24"/>
        </w:rPr>
        <w:t>es</w:t>
      </w:r>
      <w:r w:rsidRPr="00E92038">
        <w:rPr>
          <w:sz w:val="24"/>
          <w:szCs w:val="24"/>
        </w:rPr>
        <w:t>s the wide variation in blood lead screening and prevalence rates at the community level, MDPH developed a direct mailing tool for physician outreach that provides community-specific indicators of childhood lead screening and exposure, highlights areas of needed improvement, and encourages clinicians to screen all children and educate parents on available resources.</w:t>
      </w:r>
    </w:p>
    <w:p w14:paraId="2FA6F8E9" w14:textId="0C46336A" w:rsidR="00367354" w:rsidRPr="00E92038" w:rsidRDefault="00367354" w:rsidP="000E7C99">
      <w:pPr>
        <w:pStyle w:val="ListParagraph"/>
        <w:numPr>
          <w:ilvl w:val="0"/>
          <w:numId w:val="61"/>
        </w:numPr>
        <w:spacing w:after="0" w:line="360" w:lineRule="auto"/>
        <w:ind w:right="0"/>
        <w:rPr>
          <w:sz w:val="24"/>
          <w:szCs w:val="24"/>
        </w:rPr>
      </w:pPr>
      <w:r w:rsidRPr="00E92038">
        <w:rPr>
          <w:sz w:val="24"/>
          <w:szCs w:val="24"/>
        </w:rPr>
        <w:t>Case Management and Primary Prevention services</w:t>
      </w:r>
      <w:r w:rsidR="008549B4" w:rsidRPr="00E92038">
        <w:rPr>
          <w:sz w:val="24"/>
          <w:szCs w:val="24"/>
        </w:rPr>
        <w:t xml:space="preserve"> availble w</w:t>
      </w:r>
      <w:r w:rsidRPr="00E92038">
        <w:rPr>
          <w:sz w:val="24"/>
          <w:szCs w:val="24"/>
        </w:rPr>
        <w:t>hen a child is identified with a high blood lead level</w:t>
      </w:r>
      <w:r w:rsidR="008549B4" w:rsidRPr="00E92038">
        <w:rPr>
          <w:sz w:val="24"/>
          <w:szCs w:val="24"/>
        </w:rPr>
        <w:t>.</w:t>
      </w:r>
      <w:r w:rsidRPr="00E92038">
        <w:rPr>
          <w:sz w:val="24"/>
          <w:szCs w:val="24"/>
        </w:rPr>
        <w:t xml:space="preserve"> MDPH provides services to the family including a code enforcement inspection of the property to identify and eliminate sources of exposure, culturally and linguistically appropriate family advocacy, clinical case management, and community health worker assistance.</w:t>
      </w:r>
    </w:p>
    <w:p w14:paraId="33A7D3B8" w14:textId="519F5DA4" w:rsidR="00367354" w:rsidRPr="00E92038" w:rsidRDefault="008549B4" w:rsidP="000E7C99">
      <w:pPr>
        <w:pStyle w:val="ListParagraph"/>
        <w:numPr>
          <w:ilvl w:val="0"/>
          <w:numId w:val="61"/>
        </w:numPr>
        <w:spacing w:after="0" w:line="360" w:lineRule="auto"/>
        <w:ind w:right="0"/>
        <w:rPr>
          <w:sz w:val="24"/>
          <w:szCs w:val="24"/>
        </w:rPr>
      </w:pPr>
      <w:r w:rsidRPr="00E92038">
        <w:rPr>
          <w:sz w:val="24"/>
          <w:szCs w:val="24"/>
        </w:rPr>
        <w:t>Primary Prevention Services available through t</w:t>
      </w:r>
      <w:r w:rsidR="00367354" w:rsidRPr="00E92038">
        <w:rPr>
          <w:sz w:val="24"/>
          <w:szCs w:val="24"/>
        </w:rPr>
        <w:t>he MDPH Childhood Lead Poisoning Prevention Program</w:t>
      </w:r>
      <w:r w:rsidRPr="00E92038">
        <w:rPr>
          <w:sz w:val="24"/>
          <w:szCs w:val="24"/>
        </w:rPr>
        <w:t xml:space="preserve">.  Private lead inspectors obtain licenses and training on </w:t>
      </w:r>
      <w:r w:rsidR="00367354" w:rsidRPr="00E92038">
        <w:rPr>
          <w:sz w:val="24"/>
          <w:szCs w:val="24"/>
        </w:rPr>
        <w:t>inspections and compliance activities for property owners.</w:t>
      </w:r>
    </w:p>
    <w:p w14:paraId="487201DA" w14:textId="77777777" w:rsidR="00367354" w:rsidRPr="00E92038" w:rsidRDefault="00367354" w:rsidP="000E7C99">
      <w:pPr>
        <w:pStyle w:val="ListParagraph"/>
        <w:numPr>
          <w:ilvl w:val="0"/>
          <w:numId w:val="61"/>
        </w:numPr>
        <w:spacing w:after="0" w:line="360" w:lineRule="auto"/>
        <w:ind w:right="0"/>
        <w:rPr>
          <w:sz w:val="24"/>
          <w:szCs w:val="24"/>
        </w:rPr>
      </w:pPr>
      <w:r w:rsidRPr="00E92038">
        <w:rPr>
          <w:sz w:val="24"/>
          <w:szCs w:val="24"/>
        </w:rPr>
        <w:t xml:space="preserve">The Lead Law is designed to protect children from harmful exposures by requiring lead safe housing wherever a child under the age of six resides. Frequently, families are illegally steered away from apartments that may contain lead, a practice that disproportionately impacts lower-income families and can lead to homelessness. Fair housing laws prohibit owners from refusing to rent to families because they have young children. </w:t>
      </w:r>
    </w:p>
    <w:p w14:paraId="58BDD106" w14:textId="77777777" w:rsidR="00367354" w:rsidRPr="00E92038" w:rsidRDefault="00367354" w:rsidP="000E7C99">
      <w:pPr>
        <w:pStyle w:val="ListParagraph"/>
        <w:numPr>
          <w:ilvl w:val="0"/>
          <w:numId w:val="61"/>
        </w:numPr>
        <w:spacing w:after="0" w:line="360" w:lineRule="auto"/>
        <w:ind w:right="0"/>
        <w:rPr>
          <w:sz w:val="24"/>
          <w:szCs w:val="24"/>
        </w:rPr>
      </w:pPr>
      <w:r w:rsidRPr="00E92038">
        <w:rPr>
          <w:sz w:val="24"/>
          <w:szCs w:val="24"/>
        </w:rPr>
        <w:t xml:space="preserve">Regulations for Lead Poisoning Prevention and Control: </w:t>
      </w:r>
      <w:r w:rsidRPr="00E92038">
        <w:rPr>
          <w:rFonts w:ascii="Calibri" w:eastAsia="Calibri" w:hAnsi="Calibri" w:cs="Times New Roman"/>
          <w:sz w:val="24"/>
          <w:szCs w:val="24"/>
        </w:rPr>
        <w:t>The Childhood Lead Poisoning Prevention Program (CLPPP) has proposed amendments to lower the definition of lead poisoning to 10 µg/dL with mandatory code enforcement inspection and remediation of the child’s home, strengthen confirmatory screening with venous blood, and reduce the cost of de-leading by refining lead hazard criteria.</w:t>
      </w:r>
    </w:p>
    <w:p w14:paraId="0508C24D" w14:textId="46408E9F" w:rsidR="00367354" w:rsidRPr="00E92038" w:rsidRDefault="00367354" w:rsidP="000E7C99">
      <w:pPr>
        <w:pStyle w:val="ListParagraph"/>
        <w:numPr>
          <w:ilvl w:val="0"/>
          <w:numId w:val="61"/>
        </w:numPr>
        <w:spacing w:after="0" w:line="360" w:lineRule="auto"/>
        <w:ind w:right="0"/>
        <w:rPr>
          <w:sz w:val="24"/>
          <w:szCs w:val="24"/>
        </w:rPr>
      </w:pPr>
      <w:r w:rsidRPr="00E92038">
        <w:rPr>
          <w:sz w:val="24"/>
          <w:szCs w:val="24"/>
        </w:rPr>
        <w:t xml:space="preserve">Financial help for lead abatement is available through tax credits, grants, and loans to help with the cost of lead abatement and reduce housing discrimination. Detailed information is available on the </w:t>
      </w:r>
      <w:r w:rsidR="008549B4" w:rsidRPr="00E92038">
        <w:rPr>
          <w:sz w:val="24"/>
          <w:szCs w:val="24"/>
        </w:rPr>
        <w:t>M</w:t>
      </w:r>
      <w:r w:rsidRPr="00E92038">
        <w:rPr>
          <w:sz w:val="24"/>
          <w:szCs w:val="24"/>
        </w:rPr>
        <w:t xml:space="preserve">DPH Childhood Lead Poisoning Prevention Program (CLPPP) </w:t>
      </w:r>
      <w:hyperlink r:id="rId101" w:history="1">
        <w:r w:rsidRPr="00E92038">
          <w:rPr>
            <w:rStyle w:val="Hyperlink"/>
            <w:sz w:val="24"/>
            <w:szCs w:val="24"/>
          </w:rPr>
          <w:t>website</w:t>
        </w:r>
      </w:hyperlink>
      <w:r w:rsidRPr="00E92038">
        <w:rPr>
          <w:bCs/>
          <w:sz w:val="24"/>
          <w:szCs w:val="24"/>
          <w:lang w:val="en"/>
        </w:rPr>
        <w:t>.</w:t>
      </w:r>
    </w:p>
    <w:p w14:paraId="3C12C5C3" w14:textId="77777777" w:rsidR="00367354" w:rsidRPr="00E92038" w:rsidRDefault="00367354" w:rsidP="000E7C99">
      <w:pPr>
        <w:spacing w:line="360" w:lineRule="auto"/>
        <w:ind w:right="0"/>
        <w:rPr>
          <w:b/>
          <w:color w:val="203864"/>
          <w:sz w:val="24"/>
          <w:szCs w:val="24"/>
        </w:rPr>
      </w:pPr>
      <w:r w:rsidRPr="00E92038">
        <w:rPr>
          <w:b/>
          <w:color w:val="203864"/>
          <w:sz w:val="24"/>
          <w:szCs w:val="24"/>
        </w:rPr>
        <w:t>Climate and Health</w:t>
      </w:r>
    </w:p>
    <w:p w14:paraId="37398FC0" w14:textId="2FDE2D16" w:rsidR="00367354" w:rsidRPr="00E92038" w:rsidRDefault="00367354" w:rsidP="000E7C99">
      <w:pPr>
        <w:pStyle w:val="ListParagraph"/>
        <w:numPr>
          <w:ilvl w:val="0"/>
          <w:numId w:val="62"/>
        </w:numPr>
        <w:spacing w:line="360" w:lineRule="auto"/>
        <w:ind w:right="0"/>
        <w:jc w:val="left"/>
        <w:rPr>
          <w:b/>
          <w:sz w:val="24"/>
          <w:szCs w:val="24"/>
        </w:rPr>
      </w:pPr>
      <w:r w:rsidRPr="00E92038">
        <w:rPr>
          <w:sz w:val="24"/>
          <w:szCs w:val="24"/>
        </w:rPr>
        <w:lastRenderedPageBreak/>
        <w:t xml:space="preserve">The MDPH Bureau of Environmental Health (BEH) supports local health department and municipal efforts to develop adaptation plans to reduce health impacts from climate change. The </w:t>
      </w:r>
      <w:r w:rsidR="000F179D" w:rsidRPr="00E92038">
        <w:rPr>
          <w:sz w:val="24"/>
          <w:szCs w:val="24"/>
        </w:rPr>
        <w:t xml:space="preserve">EPHT </w:t>
      </w:r>
      <w:r w:rsidRPr="00E92038">
        <w:rPr>
          <w:sz w:val="24"/>
          <w:szCs w:val="24"/>
        </w:rPr>
        <w:t>has information on this work.</w:t>
      </w:r>
      <w:r w:rsidR="004F1FB7" w:rsidRPr="00E92038">
        <w:rPr>
          <w:rStyle w:val="EndnoteReference"/>
          <w:sz w:val="24"/>
          <w:szCs w:val="24"/>
        </w:rPr>
        <w:endnoteReference w:id="65"/>
      </w:r>
    </w:p>
    <w:p w14:paraId="364C7E49" w14:textId="77777777" w:rsidR="00367354" w:rsidRPr="00E92038" w:rsidRDefault="00367354" w:rsidP="000E7C99">
      <w:pPr>
        <w:spacing w:line="360" w:lineRule="auto"/>
        <w:ind w:right="0"/>
        <w:rPr>
          <w:b/>
          <w:color w:val="203864"/>
          <w:sz w:val="24"/>
          <w:szCs w:val="24"/>
        </w:rPr>
      </w:pPr>
      <w:r w:rsidRPr="00E92038">
        <w:rPr>
          <w:b/>
          <w:color w:val="203864"/>
          <w:sz w:val="24"/>
          <w:szCs w:val="24"/>
        </w:rPr>
        <w:t>Environmental Justice Populations and Health</w:t>
      </w:r>
    </w:p>
    <w:p w14:paraId="2F957F93" w14:textId="77777777" w:rsidR="00367354" w:rsidRPr="00E92038" w:rsidRDefault="00367354" w:rsidP="000E7C99">
      <w:pPr>
        <w:pStyle w:val="ListParagraph"/>
        <w:numPr>
          <w:ilvl w:val="0"/>
          <w:numId w:val="63"/>
        </w:numPr>
        <w:spacing w:line="360" w:lineRule="auto"/>
        <w:ind w:right="0"/>
        <w:rPr>
          <w:sz w:val="24"/>
          <w:szCs w:val="24"/>
        </w:rPr>
      </w:pPr>
      <w:r w:rsidRPr="00E92038">
        <w:rPr>
          <w:sz w:val="24"/>
          <w:szCs w:val="24"/>
        </w:rPr>
        <w:t>Vulnerable Health Environmental Justice population identification can be used as a screening tool to evaluate existing health burdens and vulnerabilities among Environmental Justice populations.</w:t>
      </w:r>
    </w:p>
    <w:p w14:paraId="154C0811" w14:textId="77777777" w:rsidR="00367354" w:rsidRPr="00E92038" w:rsidRDefault="00367354" w:rsidP="000E7C99">
      <w:pPr>
        <w:spacing w:line="360" w:lineRule="auto"/>
        <w:ind w:right="0"/>
        <w:rPr>
          <w:b/>
          <w:color w:val="203864"/>
          <w:sz w:val="24"/>
          <w:szCs w:val="24"/>
        </w:rPr>
      </w:pPr>
      <w:r w:rsidRPr="00E92038">
        <w:rPr>
          <w:b/>
          <w:color w:val="203864"/>
          <w:sz w:val="24"/>
          <w:szCs w:val="24"/>
        </w:rPr>
        <w:t>Occupational Exposures and Disease</w:t>
      </w:r>
    </w:p>
    <w:p w14:paraId="20DE299A" w14:textId="66DEB641" w:rsidR="00367354" w:rsidRPr="00E92038" w:rsidRDefault="00367354" w:rsidP="000E7C99">
      <w:pPr>
        <w:pStyle w:val="ListParagraph"/>
        <w:numPr>
          <w:ilvl w:val="0"/>
          <w:numId w:val="64"/>
        </w:numPr>
        <w:spacing w:after="0" w:line="360" w:lineRule="auto"/>
        <w:ind w:right="0"/>
        <w:rPr>
          <w:sz w:val="24"/>
          <w:szCs w:val="24"/>
        </w:rPr>
      </w:pPr>
      <w:r w:rsidRPr="00E92038">
        <w:rPr>
          <w:sz w:val="24"/>
          <w:szCs w:val="24"/>
        </w:rPr>
        <w:t>The MDPH Occupational Health Surveillance Program collaborates with other agencies to ensure that adults exposed to lead have appropriate medical treatment and to promote workplace changes to reduce occupational exposures to lead</w:t>
      </w:r>
      <w:r w:rsidR="00FE3A12" w:rsidRPr="00E92038">
        <w:rPr>
          <w:sz w:val="24"/>
          <w:szCs w:val="24"/>
        </w:rPr>
        <w:t>.</w:t>
      </w:r>
    </w:p>
    <w:p w14:paraId="3347BB27" w14:textId="24031483" w:rsidR="00367354" w:rsidRPr="00E92038" w:rsidRDefault="00367354" w:rsidP="000E7C99">
      <w:pPr>
        <w:pStyle w:val="ListParagraph"/>
        <w:numPr>
          <w:ilvl w:val="0"/>
          <w:numId w:val="64"/>
        </w:numPr>
        <w:spacing w:after="0" w:line="360" w:lineRule="auto"/>
        <w:ind w:right="0"/>
        <w:rPr>
          <w:sz w:val="24"/>
          <w:szCs w:val="24"/>
        </w:rPr>
      </w:pPr>
      <w:r w:rsidRPr="00E92038">
        <w:rPr>
          <w:sz w:val="24"/>
          <w:szCs w:val="24"/>
        </w:rPr>
        <w:t xml:space="preserve">The Massachusetts Occupational Lead Poisoning Registry (OLPR):follows up with adults with higher blood lead levels, their health care providers, and employers to ensure adequate medical treatment and removal from exposure and to control exposures to protect others at </w:t>
      </w:r>
      <w:r w:rsidR="00127F33" w:rsidRPr="00E92038">
        <w:rPr>
          <w:sz w:val="24"/>
          <w:szCs w:val="24"/>
        </w:rPr>
        <w:t>risk, disseminates educational materials in multiple languages about adult and childhood lead poisoning, and coordinates with the Childhood Lead Poisoning Prevention Program to address potential cases of take home lead exposures.</w:t>
      </w:r>
      <w:r w:rsidRPr="00E92038">
        <w:rPr>
          <w:sz w:val="24"/>
          <w:szCs w:val="24"/>
        </w:rPr>
        <w:t xml:space="preserve"> </w:t>
      </w:r>
    </w:p>
    <w:p w14:paraId="61E39F22" w14:textId="2536AA9A" w:rsidR="00367354" w:rsidRPr="00E92038" w:rsidRDefault="00367354" w:rsidP="000E7C99">
      <w:pPr>
        <w:pStyle w:val="ListParagraph"/>
        <w:numPr>
          <w:ilvl w:val="0"/>
          <w:numId w:val="64"/>
        </w:numPr>
        <w:spacing w:after="0" w:line="360" w:lineRule="auto"/>
        <w:ind w:right="0"/>
        <w:rPr>
          <w:sz w:val="24"/>
          <w:szCs w:val="24"/>
        </w:rPr>
      </w:pPr>
      <w:r w:rsidRPr="00E92038">
        <w:rPr>
          <w:sz w:val="24"/>
          <w:szCs w:val="24"/>
        </w:rPr>
        <w:t>Massachusetts Department of Labor Standards oversees licensing and training of lead abatement workers</w:t>
      </w:r>
      <w:r w:rsidR="00127F33" w:rsidRPr="00E92038">
        <w:rPr>
          <w:sz w:val="24"/>
          <w:szCs w:val="24"/>
        </w:rPr>
        <w:t>.</w:t>
      </w:r>
    </w:p>
    <w:p w14:paraId="745CBEA1" w14:textId="1111FC27" w:rsidR="00367354" w:rsidRPr="00E92038" w:rsidRDefault="00367354" w:rsidP="000E7C99">
      <w:pPr>
        <w:pStyle w:val="ListParagraph"/>
        <w:numPr>
          <w:ilvl w:val="0"/>
          <w:numId w:val="64"/>
        </w:numPr>
        <w:spacing w:after="0" w:line="360" w:lineRule="auto"/>
        <w:ind w:right="0"/>
        <w:rPr>
          <w:sz w:val="24"/>
          <w:szCs w:val="24"/>
        </w:rPr>
      </w:pPr>
      <w:r w:rsidRPr="00E92038">
        <w:rPr>
          <w:sz w:val="24"/>
          <w:szCs w:val="24"/>
        </w:rPr>
        <w:t xml:space="preserve">The Massachusetts Department of Labor Standards and the </w:t>
      </w:r>
      <w:r w:rsidR="003E3840" w:rsidRPr="00E92038">
        <w:rPr>
          <w:sz w:val="24"/>
          <w:szCs w:val="24"/>
        </w:rPr>
        <w:t xml:space="preserve">Massachusetts </w:t>
      </w:r>
      <w:r w:rsidRPr="00E92038">
        <w:rPr>
          <w:sz w:val="24"/>
          <w:szCs w:val="24"/>
        </w:rPr>
        <w:t>Department of Environmental Protection enforce laws requiring control of asbestos exposure during removal projects and the training and licensing of asbestos abatement supervisors and certification of workers.</w:t>
      </w:r>
    </w:p>
    <w:p w14:paraId="0F9B1B93" w14:textId="77777777" w:rsidR="00367354" w:rsidRPr="00E92038" w:rsidRDefault="00367354" w:rsidP="000E7C99">
      <w:pPr>
        <w:pStyle w:val="ListParagraph"/>
        <w:numPr>
          <w:ilvl w:val="0"/>
          <w:numId w:val="64"/>
        </w:numPr>
        <w:spacing w:before="0" w:after="0" w:line="360" w:lineRule="auto"/>
        <w:ind w:right="0"/>
        <w:rPr>
          <w:sz w:val="24"/>
          <w:szCs w:val="24"/>
        </w:rPr>
      </w:pPr>
      <w:r w:rsidRPr="00E92038">
        <w:rPr>
          <w:sz w:val="24"/>
          <w:szCs w:val="24"/>
        </w:rPr>
        <w:t>The MDPH Cancer Registry Program and the Occupational Health Surveillance Program are collaborating with the Centers for Disease Control and Prevention to analyze cancer registry data by industry and occupation for five states, including Massachusetts, in an effort to identify previously unrecognized settings in which workers and community members may be at risk of exposure to hazards such as asbestos which can lead to cancers such as mesothelioma and lung cancer.</w:t>
      </w:r>
      <w:r w:rsidRPr="00E92038">
        <w:rPr>
          <w:sz w:val="24"/>
          <w:szCs w:val="24"/>
        </w:rPr>
        <w:br w:type="page"/>
      </w:r>
    </w:p>
    <w:p w14:paraId="4EDA5577" w14:textId="77777777" w:rsidR="00AA055A" w:rsidRDefault="00367354" w:rsidP="00AC4D06">
      <w:pPr>
        <w:pStyle w:val="Heading1"/>
        <w:sectPr w:rsidR="00AA055A" w:rsidSect="000D3215">
          <w:endnotePr>
            <w:numFmt w:val="decimal"/>
          </w:endnotePr>
          <w:type w:val="continuous"/>
          <w:pgSz w:w="12240" w:h="15840"/>
          <w:pgMar w:top="1440" w:right="1080" w:bottom="1440" w:left="1080" w:header="720" w:footer="720" w:gutter="0"/>
          <w:cols w:space="720"/>
          <w:docGrid w:linePitch="360"/>
        </w:sectPr>
      </w:pPr>
      <w:r w:rsidRPr="00785AA1">
        <w:lastRenderedPageBreak/>
        <w:t>References</w:t>
      </w:r>
    </w:p>
    <w:p w14:paraId="3BA11DE8" w14:textId="3A6A138D" w:rsidR="005A0277" w:rsidRPr="00056BF8" w:rsidRDefault="005A0277" w:rsidP="00056BF8">
      <w:pPr>
        <w:spacing w:before="0"/>
        <w:ind w:left="0" w:right="0"/>
        <w:jc w:val="left"/>
        <w:rPr>
          <w:b/>
          <w:sz w:val="40"/>
          <w:szCs w:val="40"/>
        </w:rPr>
      </w:pPr>
    </w:p>
    <w:sectPr w:rsidR="005A0277" w:rsidRPr="00056BF8" w:rsidSect="00056BF8">
      <w:endnotePr>
        <w:numFmt w:val="decimal"/>
      </w:endnotePr>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C360A" w14:textId="77777777" w:rsidR="00F57CBB" w:rsidRPr="00EC73EF" w:rsidRDefault="00F57CBB" w:rsidP="00EC73EF">
      <w:pPr>
        <w:pStyle w:val="Footer"/>
      </w:pPr>
    </w:p>
  </w:endnote>
  <w:endnote w:type="continuationSeparator" w:id="0">
    <w:p w14:paraId="49B7E26A" w14:textId="77777777" w:rsidR="00F57CBB" w:rsidRPr="00EC73EF" w:rsidRDefault="00F57CBB" w:rsidP="00EC73EF">
      <w:pPr>
        <w:pStyle w:val="Footer"/>
      </w:pPr>
    </w:p>
  </w:endnote>
  <w:endnote w:type="continuationNotice" w:id="1">
    <w:p w14:paraId="7C1CA9F0" w14:textId="77777777" w:rsidR="00F57CBB" w:rsidRPr="00EC73EF" w:rsidRDefault="00F57CBB" w:rsidP="00EC73EF">
      <w:pPr>
        <w:pStyle w:val="Footer"/>
      </w:pPr>
    </w:p>
  </w:endnote>
  <w:endnote w:id="2">
    <w:p w14:paraId="588CFBE7" w14:textId="711DA18B"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US Department of Health and Human Services.</w:t>
      </w:r>
      <w:proofErr w:type="gramEnd"/>
      <w:r w:rsidRPr="00FE4FD3">
        <w:rPr>
          <w:rFonts w:cstheme="minorHAnsi"/>
        </w:rPr>
        <w:t xml:space="preserve"> </w:t>
      </w:r>
      <w:proofErr w:type="gramStart"/>
      <w:r w:rsidRPr="00FE4FD3">
        <w:rPr>
          <w:rFonts w:cstheme="minorHAnsi"/>
        </w:rPr>
        <w:t>Healthy People 2020.</w:t>
      </w:r>
      <w:proofErr w:type="gramEnd"/>
      <w:r w:rsidRPr="00FE4FD3">
        <w:rPr>
          <w:rFonts w:cstheme="minorHAnsi"/>
        </w:rPr>
        <w:t xml:space="preserve"> Available at: https://www.healthypeople.gov/2020/topics-objectives/topic/environmental-health. </w:t>
      </w:r>
      <w:proofErr w:type="gramStart"/>
      <w:r w:rsidRPr="00FE4FD3">
        <w:rPr>
          <w:rFonts w:cstheme="minorHAnsi"/>
        </w:rPr>
        <w:t>Accessed July 31, 2017.</w:t>
      </w:r>
      <w:proofErr w:type="gramEnd"/>
    </w:p>
  </w:endnote>
  <w:endnote w:id="3">
    <w:p w14:paraId="18F09FA7"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US EPA (2017).</w:t>
      </w:r>
      <w:proofErr w:type="gramEnd"/>
      <w:r w:rsidRPr="00FE4FD3">
        <w:rPr>
          <w:rFonts w:cstheme="minorHAnsi"/>
        </w:rPr>
        <w:t xml:space="preserve"> Should I Be Concerned About Eating Fish and Shellfish?  Last updated February 14, 2017.  Available at: </w:t>
      </w:r>
    </w:p>
    <w:p w14:paraId="68403014" w14:textId="2643AC0E" w:rsidR="003F257A" w:rsidRPr="00FE4FD3" w:rsidRDefault="003F257A" w:rsidP="00FE4FD3">
      <w:pPr>
        <w:pStyle w:val="REFERENCES"/>
        <w:rPr>
          <w:rFonts w:cstheme="minorHAnsi"/>
        </w:rPr>
      </w:pPr>
      <w:r w:rsidRPr="00FE4FD3">
        <w:rPr>
          <w:rFonts w:cstheme="minorHAnsi"/>
        </w:rPr>
        <w:t xml:space="preserve"> https://www.epa.gov/choose-fish-and-shellfish-wisely/should-i-be-concerned-about-eating-fish-and-shellfish.</w:t>
      </w:r>
    </w:p>
  </w:endnote>
  <w:endnote w:id="4">
    <w:p w14:paraId="01815373"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Fann</w:t>
      </w:r>
      <w:proofErr w:type="spellEnd"/>
      <w:r w:rsidRPr="00FE4FD3">
        <w:rPr>
          <w:rFonts w:cstheme="minorHAnsi"/>
        </w:rPr>
        <w:t xml:space="preserve">, N., </w:t>
      </w:r>
      <w:proofErr w:type="spellStart"/>
      <w:r w:rsidRPr="00FE4FD3">
        <w:rPr>
          <w:rFonts w:cstheme="minorHAnsi"/>
        </w:rPr>
        <w:t>Lamson</w:t>
      </w:r>
      <w:proofErr w:type="spellEnd"/>
      <w:r w:rsidRPr="00FE4FD3">
        <w:rPr>
          <w:rFonts w:cstheme="minorHAnsi"/>
        </w:rPr>
        <w:t xml:space="preserve">, A. D., </w:t>
      </w:r>
      <w:proofErr w:type="spellStart"/>
      <w:r w:rsidRPr="00FE4FD3">
        <w:rPr>
          <w:rFonts w:cstheme="minorHAnsi"/>
        </w:rPr>
        <w:t>Anenberg</w:t>
      </w:r>
      <w:proofErr w:type="spellEnd"/>
      <w:r w:rsidRPr="00FE4FD3">
        <w:rPr>
          <w:rFonts w:cstheme="minorHAnsi"/>
        </w:rPr>
        <w:t xml:space="preserve">, S. C., et al. </w:t>
      </w:r>
      <w:proofErr w:type="gramStart"/>
      <w:r w:rsidRPr="00FE4FD3">
        <w:rPr>
          <w:rFonts w:cstheme="minorHAnsi"/>
        </w:rPr>
        <w:t>Estimating</w:t>
      </w:r>
      <w:proofErr w:type="gramEnd"/>
      <w:r w:rsidRPr="00FE4FD3">
        <w:rPr>
          <w:rFonts w:cstheme="minorHAnsi"/>
        </w:rPr>
        <w:t xml:space="preserve"> the national public health burden associated with exposure to ambient PM2. </w:t>
      </w:r>
      <w:proofErr w:type="gramStart"/>
      <w:r w:rsidRPr="00FE4FD3">
        <w:rPr>
          <w:rFonts w:cstheme="minorHAnsi"/>
        </w:rPr>
        <w:t>5 and ozone.</w:t>
      </w:r>
      <w:proofErr w:type="gramEnd"/>
      <w:r w:rsidRPr="00FE4FD3">
        <w:rPr>
          <w:rFonts w:cstheme="minorHAnsi"/>
        </w:rPr>
        <w:t> </w:t>
      </w:r>
      <w:proofErr w:type="gramStart"/>
      <w:r w:rsidRPr="00FE4FD3">
        <w:rPr>
          <w:rFonts w:cstheme="minorHAnsi"/>
          <w:iCs/>
          <w:u w:val="single"/>
        </w:rPr>
        <w:t>Risk analysis</w:t>
      </w:r>
      <w:r w:rsidRPr="00FE4FD3">
        <w:rPr>
          <w:rFonts w:cstheme="minorHAnsi"/>
        </w:rPr>
        <w:t>.</w:t>
      </w:r>
      <w:proofErr w:type="gramEnd"/>
      <w:r w:rsidRPr="00FE4FD3">
        <w:rPr>
          <w:rFonts w:cstheme="minorHAnsi"/>
        </w:rPr>
        <w:t xml:space="preserve"> 2012; </w:t>
      </w:r>
      <w:r w:rsidRPr="00FE4FD3">
        <w:rPr>
          <w:rFonts w:cstheme="minorHAnsi"/>
          <w:i/>
          <w:iCs/>
        </w:rPr>
        <w:t>32</w:t>
      </w:r>
      <w:r w:rsidRPr="00FE4FD3">
        <w:rPr>
          <w:rFonts w:cstheme="minorHAnsi"/>
        </w:rPr>
        <w:t>(1), 81-95.</w:t>
      </w:r>
    </w:p>
  </w:endnote>
  <w:endnote w:id="5">
    <w:p w14:paraId="596B10A2"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Pope III CA, Burnett RT, Thun MJ, et al. Cardiopulmonary Mortality, and Long-term Exposure to Fine Particulate Air Pollution.</w:t>
      </w:r>
      <w:proofErr w:type="gramEnd"/>
      <w:r w:rsidRPr="00FE4FD3">
        <w:rPr>
          <w:rFonts w:cstheme="minorHAnsi"/>
        </w:rPr>
        <w:t> </w:t>
      </w:r>
      <w:proofErr w:type="gramStart"/>
      <w:r w:rsidRPr="00FE4FD3">
        <w:rPr>
          <w:rFonts w:cstheme="minorHAnsi"/>
          <w:i/>
          <w:iCs/>
        </w:rPr>
        <w:t>JAMA.</w:t>
      </w:r>
      <w:proofErr w:type="gramEnd"/>
      <w:r w:rsidRPr="00FE4FD3">
        <w:rPr>
          <w:rFonts w:cstheme="minorHAnsi"/>
        </w:rPr>
        <w:t> 2002; 287(9):1132–1141. </w:t>
      </w:r>
    </w:p>
  </w:endnote>
  <w:endnote w:id="6">
    <w:p w14:paraId="7B69F6FC"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proofErr w:type="gramStart"/>
      <w:r w:rsidRPr="00FE4FD3">
        <w:rPr>
          <w:rFonts w:cstheme="minorHAnsi"/>
        </w:rPr>
        <w:t>Jerrett</w:t>
      </w:r>
      <w:proofErr w:type="spellEnd"/>
      <w:r w:rsidRPr="00FE4FD3">
        <w:rPr>
          <w:rFonts w:cstheme="minorHAnsi"/>
        </w:rPr>
        <w:t>, M., Burnett, R. T., Pope III, C. A., et al. Long-term ozone exposure and mortality.</w:t>
      </w:r>
      <w:proofErr w:type="gramEnd"/>
      <w:r w:rsidRPr="00FE4FD3">
        <w:rPr>
          <w:rFonts w:cstheme="minorHAnsi"/>
        </w:rPr>
        <w:t> </w:t>
      </w:r>
      <w:proofErr w:type="gramStart"/>
      <w:r w:rsidRPr="00FE4FD3">
        <w:rPr>
          <w:rFonts w:cstheme="minorHAnsi"/>
          <w:iCs/>
          <w:u w:val="single"/>
        </w:rPr>
        <w:t>New England Journal of Medicine</w:t>
      </w:r>
      <w:r w:rsidRPr="00FE4FD3">
        <w:rPr>
          <w:rFonts w:cstheme="minorHAnsi"/>
        </w:rPr>
        <w:t>.</w:t>
      </w:r>
      <w:proofErr w:type="gramEnd"/>
      <w:r w:rsidRPr="00FE4FD3">
        <w:rPr>
          <w:rFonts w:cstheme="minorHAnsi"/>
        </w:rPr>
        <w:t xml:space="preserve"> 2009; </w:t>
      </w:r>
      <w:r w:rsidRPr="00FE4FD3">
        <w:rPr>
          <w:rFonts w:cstheme="minorHAnsi"/>
          <w:iCs/>
        </w:rPr>
        <w:t>360</w:t>
      </w:r>
      <w:r w:rsidRPr="00FE4FD3">
        <w:rPr>
          <w:rFonts w:cstheme="minorHAnsi"/>
        </w:rPr>
        <w:t>(11), 1085-1095.</w:t>
      </w:r>
    </w:p>
  </w:endnote>
  <w:endnote w:id="7">
    <w:p w14:paraId="2B350893"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Tagaris</w:t>
      </w:r>
      <w:proofErr w:type="spellEnd"/>
      <w:r w:rsidRPr="00FE4FD3">
        <w:rPr>
          <w:rFonts w:cstheme="minorHAnsi"/>
        </w:rPr>
        <w:t xml:space="preserve">, E., Liao, K. J., </w:t>
      </w:r>
      <w:proofErr w:type="spellStart"/>
      <w:r w:rsidRPr="00FE4FD3">
        <w:rPr>
          <w:rFonts w:cstheme="minorHAnsi"/>
        </w:rPr>
        <w:t>DeLucia</w:t>
      </w:r>
      <w:proofErr w:type="spellEnd"/>
      <w:r w:rsidRPr="00FE4FD3">
        <w:rPr>
          <w:rFonts w:cstheme="minorHAnsi"/>
        </w:rPr>
        <w:t xml:space="preserve">, A. J., et al Potential impact of climate change on air pollution-related human health effects. </w:t>
      </w:r>
      <w:proofErr w:type="gramStart"/>
      <w:r w:rsidRPr="00FE4FD3">
        <w:rPr>
          <w:rFonts w:cstheme="minorHAnsi"/>
          <w:u w:val="single"/>
        </w:rPr>
        <w:t>Environmental Science &amp; Technology</w:t>
      </w:r>
      <w:r w:rsidRPr="00FE4FD3">
        <w:rPr>
          <w:rFonts w:cstheme="minorHAnsi"/>
        </w:rPr>
        <w:t>.</w:t>
      </w:r>
      <w:proofErr w:type="gramEnd"/>
      <w:r w:rsidRPr="00FE4FD3">
        <w:rPr>
          <w:rFonts w:cstheme="minorHAnsi"/>
        </w:rPr>
        <w:t xml:space="preserve"> 2009; 43(13), 4979-4988.</w:t>
      </w:r>
    </w:p>
  </w:endnote>
  <w:endnote w:id="8">
    <w:p w14:paraId="0D5B8FF7" w14:textId="615780BA" w:rsidR="003F257A" w:rsidRPr="007C4A97" w:rsidRDefault="003F257A" w:rsidP="000F179D">
      <w:pPr>
        <w:pStyle w:val="EndnoteText"/>
        <w:ind w:right="1296"/>
        <w:rPr>
          <w:sz w:val="22"/>
          <w:szCs w:val="22"/>
        </w:rPr>
      </w:pPr>
      <w:r w:rsidRPr="007C4A97">
        <w:rPr>
          <w:rStyle w:val="EndnoteReference"/>
          <w:sz w:val="22"/>
          <w:szCs w:val="22"/>
        </w:rPr>
        <w:endnoteRef/>
      </w:r>
      <w:r w:rsidRPr="007C4A97">
        <w:rPr>
          <w:sz w:val="22"/>
          <w:szCs w:val="22"/>
        </w:rPr>
        <w:t xml:space="preserve">Massachusetts Environmental Public Health Tracking. Available at: </w:t>
      </w:r>
      <w:hyperlink r:id="rId1" w:anchor="ozone" w:history="1">
        <w:r w:rsidRPr="007C4A97">
          <w:rPr>
            <w:rStyle w:val="Hyperlink"/>
            <w:rFonts w:cstheme="minorBidi"/>
            <w:sz w:val="22"/>
            <w:szCs w:val="22"/>
            <w:shd w:val="clear" w:color="auto" w:fill="auto"/>
          </w:rPr>
          <w:t>https://matracking.ehs.state.ma.us/Environmental-Data/Air-Quality/Air-Quality-FAQ.html#ozone</w:t>
        </w:r>
      </w:hyperlink>
      <w:r w:rsidRPr="007C4A97">
        <w:rPr>
          <w:sz w:val="22"/>
          <w:szCs w:val="22"/>
        </w:rPr>
        <w:t xml:space="preserve">   Accessed October 16, 2016.   </w:t>
      </w:r>
    </w:p>
  </w:endnote>
  <w:endnote w:id="9">
    <w:p w14:paraId="2C96BFF4" w14:textId="700BC358" w:rsidR="003F257A" w:rsidRPr="007C4A97" w:rsidRDefault="003F257A" w:rsidP="00FE4FD3">
      <w:pPr>
        <w:pStyle w:val="REFERENCES"/>
        <w:rPr>
          <w:rFonts w:cstheme="minorHAnsi"/>
        </w:rPr>
      </w:pPr>
      <w:r w:rsidRPr="007C4A97">
        <w:rPr>
          <w:rStyle w:val="EndnoteReference"/>
          <w:rFonts w:cstheme="minorHAnsi"/>
        </w:rPr>
        <w:endnoteRef/>
      </w:r>
      <w:r w:rsidRPr="007C4A97">
        <w:rPr>
          <w:rFonts w:cstheme="minorHAnsi"/>
        </w:rPr>
        <w:t xml:space="preserve"> </w:t>
      </w:r>
      <w:r w:rsidRPr="003E3840">
        <w:rPr>
          <w:rFonts w:cstheme="minorHAnsi"/>
        </w:rPr>
        <w:t xml:space="preserve">Faber, D. R., &amp; Krieg, E. J. (2002). Unequal exposure to ecological hazards: environmental injustices in the Commonwealth of Massachusetts. </w:t>
      </w:r>
      <w:proofErr w:type="gramStart"/>
      <w:r w:rsidRPr="003E3840">
        <w:rPr>
          <w:rFonts w:cstheme="minorHAnsi"/>
        </w:rPr>
        <w:t>Environmental Health Perspectives.</w:t>
      </w:r>
      <w:proofErr w:type="gramEnd"/>
      <w:r w:rsidRPr="003E3840">
        <w:rPr>
          <w:rFonts w:cstheme="minorHAnsi"/>
        </w:rPr>
        <w:t xml:space="preserve"> 2002</w:t>
      </w:r>
      <w:proofErr w:type="gramStart"/>
      <w:r w:rsidRPr="003E3840">
        <w:rPr>
          <w:rFonts w:cstheme="minorHAnsi"/>
        </w:rPr>
        <w:t>;110</w:t>
      </w:r>
      <w:proofErr w:type="gramEnd"/>
      <w:r w:rsidRPr="003E3840">
        <w:rPr>
          <w:rFonts w:cstheme="minorHAnsi"/>
        </w:rPr>
        <w:t xml:space="preserve"> (</w:t>
      </w:r>
      <w:proofErr w:type="spellStart"/>
      <w:r w:rsidRPr="003E3840">
        <w:rPr>
          <w:rFonts w:cstheme="minorHAnsi"/>
        </w:rPr>
        <w:t>Suppl</w:t>
      </w:r>
      <w:proofErr w:type="spellEnd"/>
      <w:r w:rsidRPr="003E3840">
        <w:rPr>
          <w:rFonts w:cstheme="minorHAnsi"/>
        </w:rPr>
        <w:t xml:space="preserve"> 2): 277-288.</w:t>
      </w:r>
    </w:p>
  </w:endnote>
  <w:endnote w:id="10">
    <w:p w14:paraId="2E4EB13C" w14:textId="77777777" w:rsidR="003F257A" w:rsidRPr="007C4A97" w:rsidRDefault="003F257A" w:rsidP="00FE4FD3">
      <w:pPr>
        <w:pStyle w:val="REFERENCES"/>
        <w:rPr>
          <w:rFonts w:cstheme="minorHAnsi"/>
        </w:rPr>
      </w:pPr>
      <w:r w:rsidRPr="007C4A97">
        <w:rPr>
          <w:rStyle w:val="EndnoteReference"/>
          <w:rFonts w:cstheme="minorHAnsi"/>
        </w:rPr>
        <w:endnoteRef/>
      </w:r>
      <w:proofErr w:type="gramStart"/>
      <w:r w:rsidRPr="007C4A97">
        <w:rPr>
          <w:rFonts w:cstheme="minorHAnsi"/>
        </w:rPr>
        <w:t>American Academy of Pediatrics Committee on Environmental Health.</w:t>
      </w:r>
      <w:proofErr w:type="gramEnd"/>
      <w:r w:rsidRPr="007C4A97">
        <w:rPr>
          <w:rFonts w:cstheme="minorHAnsi"/>
        </w:rPr>
        <w:t xml:space="preserve"> Lead exposure in children: prevention, detection, and management. </w:t>
      </w:r>
      <w:proofErr w:type="gramStart"/>
      <w:r w:rsidRPr="007C4A97">
        <w:rPr>
          <w:rFonts w:cstheme="minorHAnsi"/>
          <w:u w:val="single"/>
        </w:rPr>
        <w:t>Pediatrics</w:t>
      </w:r>
      <w:r w:rsidRPr="007C4A97">
        <w:rPr>
          <w:rFonts w:cstheme="minorHAnsi"/>
        </w:rPr>
        <w:t>.</w:t>
      </w:r>
      <w:proofErr w:type="gramEnd"/>
      <w:r w:rsidRPr="007C4A97">
        <w:rPr>
          <w:rFonts w:cstheme="minorHAnsi"/>
        </w:rPr>
        <w:t xml:space="preserve"> 2005</w:t>
      </w:r>
      <w:proofErr w:type="gramStart"/>
      <w:r w:rsidRPr="007C4A97">
        <w:rPr>
          <w:rFonts w:cstheme="minorHAnsi"/>
        </w:rPr>
        <w:t>;116</w:t>
      </w:r>
      <w:proofErr w:type="gramEnd"/>
      <w:r w:rsidRPr="007C4A97">
        <w:rPr>
          <w:rFonts w:cstheme="minorHAnsi"/>
        </w:rPr>
        <w:t>(4):1036–1046.</w:t>
      </w:r>
    </w:p>
  </w:endnote>
  <w:endnote w:id="11">
    <w:p w14:paraId="1BF20A1D" w14:textId="77777777" w:rsidR="003F257A" w:rsidRPr="007C4A97" w:rsidRDefault="003F257A" w:rsidP="00FE4FD3">
      <w:pPr>
        <w:pStyle w:val="REFERENCES"/>
        <w:rPr>
          <w:rFonts w:cstheme="minorHAnsi"/>
        </w:rPr>
      </w:pPr>
      <w:r w:rsidRPr="007C4A97">
        <w:rPr>
          <w:rStyle w:val="EndnoteReference"/>
          <w:rFonts w:cstheme="minorHAnsi"/>
        </w:rPr>
        <w:endnoteRef/>
      </w:r>
      <w:proofErr w:type="gramStart"/>
      <w:r w:rsidRPr="007C4A97">
        <w:rPr>
          <w:rFonts w:cstheme="minorHAnsi"/>
        </w:rPr>
        <w:t>National Toxicology Program.</w:t>
      </w:r>
      <w:proofErr w:type="gramEnd"/>
      <w:r w:rsidRPr="007C4A97">
        <w:rPr>
          <w:rFonts w:cstheme="minorHAnsi"/>
        </w:rPr>
        <w:t xml:space="preserve"> </w:t>
      </w:r>
      <w:r w:rsidRPr="007C4A97">
        <w:rPr>
          <w:rFonts w:cstheme="minorHAnsi"/>
          <w:i/>
        </w:rPr>
        <w:t>Monograph on Health Effects of Low-Level Lead</w:t>
      </w:r>
      <w:r w:rsidRPr="007C4A97">
        <w:rPr>
          <w:rFonts w:cstheme="minorHAnsi"/>
        </w:rPr>
        <w:t>. Research Triangle Park, NC: National Institute of Environmental Health Sciences; 2012.</w:t>
      </w:r>
    </w:p>
  </w:endnote>
  <w:endnote w:id="12">
    <w:p w14:paraId="2F7AC0AB" w14:textId="77777777" w:rsidR="003F257A" w:rsidRPr="007C4A97" w:rsidRDefault="003F257A" w:rsidP="00FE4FD3">
      <w:pPr>
        <w:pStyle w:val="REFERENCES"/>
        <w:rPr>
          <w:rFonts w:cstheme="minorHAnsi"/>
        </w:rPr>
      </w:pPr>
      <w:r w:rsidRPr="007C4A97">
        <w:rPr>
          <w:rStyle w:val="EndnoteReference"/>
          <w:rFonts w:cstheme="minorHAnsi"/>
        </w:rPr>
        <w:endnoteRef/>
      </w:r>
      <w:proofErr w:type="spellStart"/>
      <w:r w:rsidRPr="007C4A97">
        <w:rPr>
          <w:rFonts w:cstheme="minorHAnsi"/>
        </w:rPr>
        <w:t>Lanphear</w:t>
      </w:r>
      <w:proofErr w:type="spellEnd"/>
      <w:r w:rsidRPr="007C4A97">
        <w:rPr>
          <w:rFonts w:cstheme="minorHAnsi"/>
        </w:rPr>
        <w:t xml:space="preserve"> BP, </w:t>
      </w:r>
      <w:proofErr w:type="spellStart"/>
      <w:r w:rsidRPr="007C4A97">
        <w:rPr>
          <w:rFonts w:cstheme="minorHAnsi"/>
        </w:rPr>
        <w:t>Hornung</w:t>
      </w:r>
      <w:proofErr w:type="spellEnd"/>
      <w:r w:rsidRPr="007C4A97">
        <w:rPr>
          <w:rFonts w:cstheme="minorHAnsi"/>
        </w:rPr>
        <w:t xml:space="preserve"> R, </w:t>
      </w:r>
      <w:proofErr w:type="spellStart"/>
      <w:r w:rsidRPr="007C4A97">
        <w:rPr>
          <w:rFonts w:cstheme="minorHAnsi"/>
        </w:rPr>
        <w:t>Khoury</w:t>
      </w:r>
      <w:proofErr w:type="spellEnd"/>
      <w:r w:rsidRPr="007C4A97">
        <w:rPr>
          <w:rFonts w:cstheme="minorHAnsi"/>
        </w:rPr>
        <w:t xml:space="preserve"> J, et al. Low-level environmental lead exposure and children’s intellectual function: an international pooled analysis. </w:t>
      </w:r>
      <w:r w:rsidRPr="007C4A97">
        <w:rPr>
          <w:rFonts w:cstheme="minorHAnsi"/>
          <w:u w:val="single"/>
        </w:rPr>
        <w:t xml:space="preserve">Environ Health </w:t>
      </w:r>
      <w:proofErr w:type="spellStart"/>
      <w:r w:rsidRPr="007C4A97">
        <w:rPr>
          <w:rFonts w:cstheme="minorHAnsi"/>
          <w:u w:val="single"/>
        </w:rPr>
        <w:t>Perspect</w:t>
      </w:r>
      <w:proofErr w:type="spellEnd"/>
      <w:r w:rsidRPr="007C4A97">
        <w:rPr>
          <w:rFonts w:cstheme="minorHAnsi"/>
        </w:rPr>
        <w:t>. 2005</w:t>
      </w:r>
      <w:proofErr w:type="gramStart"/>
      <w:r w:rsidRPr="007C4A97">
        <w:rPr>
          <w:rFonts w:cstheme="minorHAnsi"/>
        </w:rPr>
        <w:t>;113</w:t>
      </w:r>
      <w:proofErr w:type="gramEnd"/>
      <w:r w:rsidRPr="007C4A97">
        <w:rPr>
          <w:rFonts w:cstheme="minorHAnsi"/>
        </w:rPr>
        <w:t>(7):894–899.</w:t>
      </w:r>
    </w:p>
  </w:endnote>
  <w:endnote w:id="13">
    <w:p w14:paraId="133E3A90" w14:textId="77777777" w:rsidR="003F257A" w:rsidRPr="007C4A97" w:rsidRDefault="003F257A" w:rsidP="00FE4FD3">
      <w:pPr>
        <w:pStyle w:val="REFERENCES"/>
        <w:rPr>
          <w:rFonts w:cstheme="minorHAnsi"/>
        </w:rPr>
      </w:pPr>
      <w:r w:rsidRPr="007C4A97">
        <w:rPr>
          <w:rStyle w:val="EndnoteReference"/>
          <w:rFonts w:cstheme="minorHAnsi"/>
        </w:rPr>
        <w:endnoteRef/>
      </w:r>
      <w:r w:rsidRPr="007C4A97">
        <w:rPr>
          <w:rFonts w:cstheme="minorHAnsi"/>
        </w:rPr>
        <w:t xml:space="preserve">Dietrich KN, </w:t>
      </w:r>
      <w:proofErr w:type="spellStart"/>
      <w:r w:rsidRPr="007C4A97">
        <w:rPr>
          <w:rFonts w:cstheme="minorHAnsi"/>
        </w:rPr>
        <w:t>Ris</w:t>
      </w:r>
      <w:proofErr w:type="spellEnd"/>
      <w:r w:rsidRPr="007C4A97">
        <w:rPr>
          <w:rFonts w:cstheme="minorHAnsi"/>
        </w:rPr>
        <w:t xml:space="preserve"> MD, </w:t>
      </w:r>
      <w:proofErr w:type="spellStart"/>
      <w:r w:rsidRPr="007C4A97">
        <w:rPr>
          <w:rFonts w:cstheme="minorHAnsi"/>
        </w:rPr>
        <w:t>Succop</w:t>
      </w:r>
      <w:proofErr w:type="spellEnd"/>
      <w:r w:rsidRPr="007C4A97">
        <w:rPr>
          <w:rFonts w:cstheme="minorHAnsi"/>
        </w:rPr>
        <w:t xml:space="preserve"> PA, Berger OG, </w:t>
      </w:r>
      <w:proofErr w:type="spellStart"/>
      <w:r w:rsidRPr="007C4A97">
        <w:rPr>
          <w:rFonts w:cstheme="minorHAnsi"/>
        </w:rPr>
        <w:t>Bornschein</w:t>
      </w:r>
      <w:proofErr w:type="spellEnd"/>
      <w:r w:rsidRPr="007C4A97">
        <w:rPr>
          <w:rFonts w:cstheme="minorHAnsi"/>
        </w:rPr>
        <w:t xml:space="preserve"> RL. </w:t>
      </w:r>
      <w:proofErr w:type="gramStart"/>
      <w:r w:rsidRPr="007C4A97">
        <w:rPr>
          <w:rFonts w:cstheme="minorHAnsi"/>
        </w:rPr>
        <w:t>Early exposure to lead and juvenile delinquency.</w:t>
      </w:r>
      <w:proofErr w:type="gramEnd"/>
      <w:r w:rsidRPr="007C4A97">
        <w:rPr>
          <w:rFonts w:cstheme="minorHAnsi"/>
        </w:rPr>
        <w:t xml:space="preserve"> </w:t>
      </w:r>
      <w:proofErr w:type="spellStart"/>
      <w:r w:rsidRPr="007C4A97">
        <w:rPr>
          <w:rFonts w:cstheme="minorHAnsi"/>
          <w:u w:val="single"/>
        </w:rPr>
        <w:t>Neurotoxicol</w:t>
      </w:r>
      <w:proofErr w:type="spellEnd"/>
      <w:r w:rsidRPr="007C4A97">
        <w:rPr>
          <w:rFonts w:cstheme="minorHAnsi"/>
          <w:u w:val="single"/>
        </w:rPr>
        <w:t xml:space="preserve"> </w:t>
      </w:r>
      <w:proofErr w:type="spellStart"/>
      <w:r w:rsidRPr="007C4A97">
        <w:rPr>
          <w:rFonts w:cstheme="minorHAnsi"/>
          <w:u w:val="single"/>
        </w:rPr>
        <w:t>Teratol</w:t>
      </w:r>
      <w:proofErr w:type="spellEnd"/>
      <w:r w:rsidRPr="007C4A97">
        <w:rPr>
          <w:rFonts w:cstheme="minorHAnsi"/>
        </w:rPr>
        <w:t>. 2001</w:t>
      </w:r>
      <w:proofErr w:type="gramStart"/>
      <w:r w:rsidRPr="007C4A97">
        <w:rPr>
          <w:rFonts w:cstheme="minorHAnsi"/>
        </w:rPr>
        <w:t>;23</w:t>
      </w:r>
      <w:proofErr w:type="gramEnd"/>
      <w:r w:rsidRPr="007C4A97">
        <w:rPr>
          <w:rFonts w:cstheme="minorHAnsi"/>
        </w:rPr>
        <w:t>(6):511–518.</w:t>
      </w:r>
    </w:p>
  </w:endnote>
  <w:endnote w:id="14">
    <w:p w14:paraId="55596301" w14:textId="77777777" w:rsidR="003F257A" w:rsidRPr="00FE4FD3" w:rsidRDefault="003F257A" w:rsidP="00FE4FD3">
      <w:pPr>
        <w:pStyle w:val="REFERENCES"/>
        <w:rPr>
          <w:rFonts w:cstheme="minorHAnsi"/>
        </w:rPr>
      </w:pPr>
      <w:r w:rsidRPr="007C4A97">
        <w:rPr>
          <w:rStyle w:val="EndnoteReference"/>
          <w:rFonts w:cstheme="minorHAnsi"/>
        </w:rPr>
        <w:endnoteRef/>
      </w:r>
      <w:r w:rsidRPr="007C4A97">
        <w:rPr>
          <w:rFonts w:cstheme="minorHAnsi"/>
        </w:rPr>
        <w:t xml:space="preserve">Wright JP, Dietrich KN, </w:t>
      </w:r>
      <w:proofErr w:type="spellStart"/>
      <w:r w:rsidRPr="007C4A97">
        <w:rPr>
          <w:rFonts w:cstheme="minorHAnsi"/>
        </w:rPr>
        <w:t>Ris</w:t>
      </w:r>
      <w:proofErr w:type="spellEnd"/>
      <w:r w:rsidRPr="007C4A97">
        <w:rPr>
          <w:rFonts w:cstheme="minorHAnsi"/>
        </w:rPr>
        <w:t xml:space="preserve"> MD, et al. Association of prenatal and childhood blood lead concentrations with criminal arrests in early adulthood. </w:t>
      </w:r>
      <w:proofErr w:type="spellStart"/>
      <w:r w:rsidRPr="007C4A97">
        <w:rPr>
          <w:rFonts w:cstheme="minorHAnsi"/>
          <w:u w:val="single"/>
        </w:rPr>
        <w:t>PLoS</w:t>
      </w:r>
      <w:proofErr w:type="spellEnd"/>
      <w:r w:rsidRPr="007C4A97">
        <w:rPr>
          <w:rFonts w:cstheme="minorHAnsi"/>
          <w:u w:val="single"/>
        </w:rPr>
        <w:t xml:space="preserve"> Med</w:t>
      </w:r>
      <w:r w:rsidRPr="007C4A97">
        <w:rPr>
          <w:rFonts w:cstheme="minorHAnsi"/>
        </w:rPr>
        <w:t>. 2008</w:t>
      </w:r>
      <w:proofErr w:type="gramStart"/>
      <w:r w:rsidRPr="007C4A97">
        <w:rPr>
          <w:rFonts w:cstheme="minorHAnsi"/>
        </w:rPr>
        <w:t>;</w:t>
      </w:r>
      <w:r w:rsidRPr="00FE4FD3">
        <w:rPr>
          <w:rFonts w:cstheme="minorHAnsi"/>
        </w:rPr>
        <w:t>5</w:t>
      </w:r>
      <w:proofErr w:type="gramEnd"/>
      <w:r w:rsidRPr="00FE4FD3">
        <w:rPr>
          <w:rFonts w:cstheme="minorHAnsi"/>
        </w:rPr>
        <w:t>(5):e101.</w:t>
      </w:r>
    </w:p>
  </w:endnote>
  <w:endnote w:id="15">
    <w:p w14:paraId="6137FC25"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Reyes JW. </w:t>
      </w:r>
      <w:proofErr w:type="gramStart"/>
      <w:r w:rsidRPr="00FE4FD3">
        <w:rPr>
          <w:rFonts w:cstheme="minorHAnsi"/>
        </w:rPr>
        <w:t>Environmental policy as social policy?</w:t>
      </w:r>
      <w:proofErr w:type="gramEnd"/>
      <w:r w:rsidRPr="00FE4FD3">
        <w:rPr>
          <w:rFonts w:cstheme="minorHAnsi"/>
        </w:rPr>
        <w:t xml:space="preserve"> The </w:t>
      </w:r>
      <w:proofErr w:type="gramStart"/>
      <w:r w:rsidRPr="00FE4FD3">
        <w:rPr>
          <w:rFonts w:cstheme="minorHAnsi"/>
        </w:rPr>
        <w:t>impact of childhood lead</w:t>
      </w:r>
      <w:proofErr w:type="gramEnd"/>
      <w:r w:rsidRPr="00FE4FD3">
        <w:rPr>
          <w:rFonts w:cstheme="minorHAnsi"/>
        </w:rPr>
        <w:t xml:space="preserve"> exposure on crime. </w:t>
      </w:r>
      <w:r w:rsidRPr="00FE4FD3">
        <w:rPr>
          <w:rFonts w:cstheme="minorHAnsi"/>
          <w:u w:val="single"/>
        </w:rPr>
        <w:t>BE J Econ Anal Policy</w:t>
      </w:r>
      <w:r w:rsidRPr="00FE4FD3">
        <w:rPr>
          <w:rFonts w:cstheme="minorHAnsi"/>
        </w:rPr>
        <w:t>. 2007</w:t>
      </w:r>
      <w:proofErr w:type="gramStart"/>
      <w:r w:rsidRPr="00FE4FD3">
        <w:rPr>
          <w:rFonts w:cstheme="minorHAnsi"/>
        </w:rPr>
        <w:t>;7</w:t>
      </w:r>
      <w:proofErr w:type="gramEnd"/>
      <w:r w:rsidRPr="00FE4FD3">
        <w:rPr>
          <w:rFonts w:cstheme="minorHAnsi"/>
        </w:rPr>
        <w:t>(1):1–41.</w:t>
      </w:r>
    </w:p>
  </w:endnote>
  <w:endnote w:id="16">
    <w:p w14:paraId="3BD10F07" w14:textId="3F96AC11"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Duffy, P.B. and C. Tebaldi.</w:t>
      </w:r>
      <w:proofErr w:type="gramEnd"/>
      <w:r w:rsidRPr="00FE4FD3">
        <w:rPr>
          <w:rFonts w:cstheme="minorHAnsi"/>
        </w:rPr>
        <w:t xml:space="preserve">  Increasing prevalence of extreme summer temperatures in the US In: </w:t>
      </w:r>
      <w:r w:rsidRPr="00FE4FD3">
        <w:rPr>
          <w:rFonts w:cstheme="minorHAnsi"/>
          <w:i/>
        </w:rPr>
        <w:t>Climatic Change</w:t>
      </w:r>
      <w:r w:rsidRPr="00FE4FD3">
        <w:rPr>
          <w:rFonts w:cstheme="minorHAnsi"/>
        </w:rPr>
        <w:t xml:space="preserve">, </w:t>
      </w:r>
      <w:proofErr w:type="spellStart"/>
      <w:r w:rsidRPr="00FE4FD3">
        <w:rPr>
          <w:rFonts w:cstheme="minorHAnsi"/>
        </w:rPr>
        <w:t>vol</w:t>
      </w:r>
      <w:proofErr w:type="spellEnd"/>
      <w:r w:rsidRPr="00FE4FD3">
        <w:rPr>
          <w:rFonts w:cstheme="minorHAnsi"/>
        </w:rPr>
        <w:t xml:space="preserve"> 111, no. 2; 2012:pp. 487-495.  </w:t>
      </w:r>
    </w:p>
  </w:endnote>
  <w:endnote w:id="17">
    <w:p w14:paraId="5E3A557C"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Climate Change Adaptation Report.</w:t>
      </w:r>
      <w:proofErr w:type="gramEnd"/>
      <w:r w:rsidRPr="00FE4FD3">
        <w:rPr>
          <w:rFonts w:cstheme="minorHAnsi"/>
        </w:rPr>
        <w:t xml:space="preserve"> 2011. </w:t>
      </w:r>
    </w:p>
  </w:endnote>
  <w:endnote w:id="18">
    <w:p w14:paraId="7EEE5CFF" w14:textId="05D55242"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r>
        <w:rPr>
          <w:rFonts w:cstheme="minorHAnsi"/>
        </w:rPr>
        <w:t xml:space="preserve">MDPH, </w:t>
      </w:r>
      <w:r w:rsidRPr="00FE4FD3">
        <w:rPr>
          <w:rFonts w:cstheme="minorHAnsi"/>
        </w:rPr>
        <w:t xml:space="preserve">Massachusetts Environmental Public Health Tracking Portal. Available at: </w:t>
      </w:r>
      <w:hyperlink r:id="rId2" w:history="1">
        <w:r w:rsidRPr="005561F3">
          <w:rPr>
            <w:rStyle w:val="Hyperlink"/>
            <w:rFonts w:cstheme="minorBidi"/>
            <w:shd w:val="clear" w:color="auto" w:fill="auto"/>
          </w:rPr>
          <w:t>https://matracking.ehs.state.ma.us/</w:t>
        </w:r>
      </w:hyperlink>
      <w:r>
        <w:t xml:space="preserve">. </w:t>
      </w:r>
    </w:p>
  </w:endnote>
  <w:endnote w:id="19">
    <w:p w14:paraId="19729282" w14:textId="0F2E4BA8"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National Environmental Public Health Tracking Portal.</w:t>
      </w:r>
      <w:proofErr w:type="gramEnd"/>
      <w:r w:rsidRPr="00FE4FD3">
        <w:rPr>
          <w:rFonts w:cstheme="minorHAnsi"/>
        </w:rPr>
        <w:t xml:space="preserve"> Available at: </w:t>
      </w:r>
      <w:hyperlink r:id="rId3" w:history="1">
        <w:r w:rsidRPr="00FE4FD3">
          <w:rPr>
            <w:rStyle w:val="Hyperlink"/>
            <w:color w:val="auto"/>
          </w:rPr>
          <w:t>https://ephtracking.cdc.gov/showIndicatorPages.action?selectedContentAreaAbbreviation=15&amp;selectedIndicatorId=97&amp;selectedMeasureId</w:t>
        </w:r>
      </w:hyperlink>
      <w:r w:rsidRPr="00FE4FD3">
        <w:rPr>
          <w:rFonts w:cstheme="minorHAnsi"/>
        </w:rPr>
        <w:t>=.</w:t>
      </w:r>
    </w:p>
  </w:endnote>
  <w:endnote w:id="20">
    <w:p w14:paraId="5B6B400B" w14:textId="2B966429"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Tagaris</w:t>
      </w:r>
      <w:proofErr w:type="spellEnd"/>
      <w:r w:rsidRPr="00FE4FD3">
        <w:rPr>
          <w:rFonts w:cstheme="minorHAnsi"/>
        </w:rPr>
        <w:t xml:space="preserve">, E., Liao, K. J., </w:t>
      </w:r>
      <w:proofErr w:type="spellStart"/>
      <w:r w:rsidRPr="00FE4FD3">
        <w:rPr>
          <w:rFonts w:cstheme="minorHAnsi"/>
        </w:rPr>
        <w:t>DeLucia</w:t>
      </w:r>
      <w:proofErr w:type="spellEnd"/>
      <w:r w:rsidRPr="00FE4FD3">
        <w:rPr>
          <w:rFonts w:cstheme="minorHAnsi"/>
        </w:rPr>
        <w:t xml:space="preserve">, A. J., et al. Potential impact of climate change on air pollution-related human health effects. </w:t>
      </w:r>
      <w:r w:rsidRPr="000F179D">
        <w:rPr>
          <w:rFonts w:cstheme="minorHAnsi"/>
        </w:rPr>
        <w:t>2009;</w:t>
      </w:r>
      <w:r w:rsidRPr="00FE4FD3">
        <w:rPr>
          <w:rFonts w:cstheme="minorHAnsi"/>
        </w:rPr>
        <w:t xml:space="preserve"> 43(13), 4979-4988. </w:t>
      </w:r>
    </w:p>
  </w:endnote>
  <w:endnote w:id="21">
    <w:p w14:paraId="3C84D664" w14:textId="7E1913AA"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US </w:t>
      </w:r>
      <w:proofErr w:type="gramStart"/>
      <w:r w:rsidRPr="00FE4FD3">
        <w:rPr>
          <w:rFonts w:cstheme="minorHAnsi"/>
        </w:rPr>
        <w:t>EPA  and</w:t>
      </w:r>
      <w:proofErr w:type="gramEnd"/>
      <w:r w:rsidRPr="00FE4FD3">
        <w:rPr>
          <w:rFonts w:cstheme="minorHAnsi"/>
        </w:rPr>
        <w:t xml:space="preserve"> CDC. </w:t>
      </w:r>
      <w:proofErr w:type="gramStart"/>
      <w:r w:rsidRPr="00FE4FD3">
        <w:rPr>
          <w:rFonts w:cstheme="minorHAnsi"/>
        </w:rPr>
        <w:t>Climate Change and Extreme Heat, What You Can Do to Prepare.</w:t>
      </w:r>
      <w:proofErr w:type="gramEnd"/>
      <w:r w:rsidRPr="00FE4FD3">
        <w:rPr>
          <w:rFonts w:cstheme="minorHAnsi"/>
        </w:rPr>
        <w:t xml:space="preserve"> Available at: </w:t>
      </w:r>
      <w:hyperlink r:id="rId4" w:history="1">
        <w:r w:rsidRPr="00FE4FD3">
          <w:rPr>
            <w:rStyle w:val="Hyperlink"/>
            <w:color w:val="auto"/>
          </w:rPr>
          <w:t>https://www.epa.gov/sites/production/files/2016-10/documents/extreme-heat-guidebook.pdf</w:t>
        </w:r>
      </w:hyperlink>
      <w:r w:rsidRPr="00FE4FD3">
        <w:rPr>
          <w:rStyle w:val="Hyperlink"/>
          <w:color w:val="auto"/>
        </w:rPr>
        <w:t>.</w:t>
      </w:r>
    </w:p>
  </w:endnote>
  <w:endnote w:id="22">
    <w:p w14:paraId="4F217F7D" w14:textId="23146455"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USGCRP, 2016.</w:t>
      </w:r>
      <w:proofErr w:type="gramEnd"/>
      <w:r w:rsidRPr="00FE4FD3">
        <w:rPr>
          <w:rFonts w:cstheme="minorHAnsi"/>
        </w:rPr>
        <w:t xml:space="preserve"> The Impacts of Climate Change on Human Health in the United States: A Scientific Assessment. </w:t>
      </w:r>
      <w:proofErr w:type="spellStart"/>
      <w:r w:rsidRPr="00FE4FD3">
        <w:rPr>
          <w:rFonts w:cstheme="minorHAnsi"/>
        </w:rPr>
        <w:t>Crimmins</w:t>
      </w:r>
      <w:proofErr w:type="spellEnd"/>
      <w:r w:rsidRPr="00FE4FD3">
        <w:rPr>
          <w:rFonts w:cstheme="minorHAnsi"/>
        </w:rPr>
        <w:t xml:space="preserve">, A., J. </w:t>
      </w:r>
      <w:proofErr w:type="spellStart"/>
      <w:r w:rsidRPr="00FE4FD3">
        <w:rPr>
          <w:rFonts w:cstheme="minorHAnsi"/>
        </w:rPr>
        <w:t>Balbus</w:t>
      </w:r>
      <w:proofErr w:type="spellEnd"/>
      <w:r w:rsidRPr="00FE4FD3">
        <w:rPr>
          <w:rFonts w:cstheme="minorHAnsi"/>
        </w:rPr>
        <w:t xml:space="preserve">, J.L. Gamble, C.B. Beard, J.E. Bell, D. </w:t>
      </w:r>
      <w:proofErr w:type="spellStart"/>
      <w:r w:rsidRPr="00FE4FD3">
        <w:rPr>
          <w:rFonts w:cstheme="minorHAnsi"/>
        </w:rPr>
        <w:t>Dodgen</w:t>
      </w:r>
      <w:proofErr w:type="spellEnd"/>
      <w:r w:rsidRPr="00FE4FD3">
        <w:rPr>
          <w:rFonts w:cstheme="minorHAnsi"/>
        </w:rPr>
        <w:t xml:space="preserve">, R.J. </w:t>
      </w:r>
      <w:proofErr w:type="spellStart"/>
      <w:r w:rsidRPr="00FE4FD3">
        <w:rPr>
          <w:rFonts w:cstheme="minorHAnsi"/>
        </w:rPr>
        <w:t>Eisen</w:t>
      </w:r>
      <w:proofErr w:type="spellEnd"/>
      <w:r w:rsidRPr="00FE4FD3">
        <w:rPr>
          <w:rFonts w:cstheme="minorHAnsi"/>
        </w:rPr>
        <w:t xml:space="preserve">, N. </w:t>
      </w:r>
      <w:proofErr w:type="spellStart"/>
      <w:r w:rsidRPr="00FE4FD3">
        <w:rPr>
          <w:rFonts w:cstheme="minorHAnsi"/>
        </w:rPr>
        <w:t>Fann</w:t>
      </w:r>
      <w:proofErr w:type="spellEnd"/>
      <w:r w:rsidRPr="00FE4FD3">
        <w:rPr>
          <w:rFonts w:cstheme="minorHAnsi"/>
        </w:rPr>
        <w:t xml:space="preserve">, M.D. Hawkins, S.C. Herring, L. </w:t>
      </w:r>
      <w:proofErr w:type="spellStart"/>
      <w:r w:rsidRPr="00FE4FD3">
        <w:rPr>
          <w:rFonts w:cstheme="minorHAnsi"/>
        </w:rPr>
        <w:t>Jantarasami</w:t>
      </w:r>
      <w:proofErr w:type="spellEnd"/>
      <w:r w:rsidRPr="00FE4FD3">
        <w:rPr>
          <w:rFonts w:cstheme="minorHAnsi"/>
        </w:rPr>
        <w:t xml:space="preserve">, D.M. Mills, S. </w:t>
      </w:r>
      <w:proofErr w:type="spellStart"/>
      <w:r w:rsidRPr="00FE4FD3">
        <w:rPr>
          <w:rFonts w:cstheme="minorHAnsi"/>
        </w:rPr>
        <w:t>Saha</w:t>
      </w:r>
      <w:proofErr w:type="spellEnd"/>
      <w:r w:rsidRPr="00FE4FD3">
        <w:rPr>
          <w:rFonts w:cstheme="minorHAnsi"/>
        </w:rPr>
        <w:t xml:space="preserve">, M.C. </w:t>
      </w:r>
      <w:proofErr w:type="spellStart"/>
      <w:r w:rsidRPr="00FE4FD3">
        <w:rPr>
          <w:rFonts w:cstheme="minorHAnsi"/>
        </w:rPr>
        <w:t>Sarofim</w:t>
      </w:r>
      <w:proofErr w:type="spellEnd"/>
      <w:r w:rsidRPr="00FE4FD3">
        <w:rPr>
          <w:rFonts w:cstheme="minorHAnsi"/>
        </w:rPr>
        <w:t xml:space="preserve">, J. </w:t>
      </w:r>
      <w:proofErr w:type="spellStart"/>
      <w:r w:rsidRPr="00FE4FD3">
        <w:rPr>
          <w:rFonts w:cstheme="minorHAnsi"/>
        </w:rPr>
        <w:t>Trtanj</w:t>
      </w:r>
      <w:proofErr w:type="spellEnd"/>
      <w:r w:rsidRPr="00FE4FD3">
        <w:rPr>
          <w:rFonts w:cstheme="minorHAnsi"/>
        </w:rPr>
        <w:t xml:space="preserve">, and L. Ziska, Eds. US Global Change Research Program, Washington, DC, 312 pp.  Available at: </w:t>
      </w:r>
      <w:hyperlink r:id="rId5" w:history="1">
        <w:r w:rsidRPr="00FE4FD3">
          <w:rPr>
            <w:rStyle w:val="Hyperlink"/>
            <w:color w:val="auto"/>
          </w:rPr>
          <w:t>http://dx.doi.org/10.7930/J0R49NQX</w:t>
        </w:r>
      </w:hyperlink>
      <w:r w:rsidRPr="00FE4FD3">
        <w:rPr>
          <w:rStyle w:val="Hyperlink"/>
          <w:color w:val="auto"/>
        </w:rPr>
        <w:t>.</w:t>
      </w:r>
      <w:r w:rsidRPr="00FE4FD3">
        <w:rPr>
          <w:rFonts w:cstheme="minorHAnsi"/>
        </w:rPr>
        <w:t xml:space="preserve"> </w:t>
      </w:r>
    </w:p>
  </w:endnote>
  <w:endnote w:id="23">
    <w:p w14:paraId="5324AAFC" w14:textId="6059E938"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Environmental Public Health Tracking Portal.</w:t>
      </w:r>
      <w:proofErr w:type="gramEnd"/>
      <w:r w:rsidRPr="00FE4FD3">
        <w:rPr>
          <w:rFonts w:cstheme="minorHAnsi"/>
        </w:rPr>
        <w:t xml:space="preserve"> Available at: </w:t>
      </w:r>
      <w:hyperlink r:id="rId6" w:history="1">
        <w:r w:rsidRPr="00FE4FD3">
          <w:rPr>
            <w:rStyle w:val="Hyperlink"/>
            <w:color w:val="auto"/>
          </w:rPr>
          <w:t>https://matracking.ehs.state.ma.us/Health-Data/heat-stress-hospitalization.html</w:t>
        </w:r>
      </w:hyperlink>
      <w:r w:rsidRPr="00FE4FD3">
        <w:rPr>
          <w:rStyle w:val="Hyperlink"/>
          <w:color w:val="auto"/>
        </w:rPr>
        <w:t>.</w:t>
      </w:r>
    </w:p>
  </w:endnote>
  <w:endnote w:id="24">
    <w:p w14:paraId="40C077D0"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Brulle</w:t>
      </w:r>
      <w:proofErr w:type="spellEnd"/>
      <w:r w:rsidRPr="00FE4FD3">
        <w:rPr>
          <w:rFonts w:cstheme="minorHAnsi"/>
        </w:rPr>
        <w:t xml:space="preserve"> RJ and Pellow DN. ENVIRONMENTAL JUSTICE: Human Health and Environmental Inequalities. </w:t>
      </w:r>
      <w:proofErr w:type="gramStart"/>
      <w:r w:rsidRPr="00FE4FD3">
        <w:rPr>
          <w:rFonts w:cstheme="minorHAnsi"/>
          <w:u w:val="single"/>
        </w:rPr>
        <w:t>Annual Review of Public Health</w:t>
      </w:r>
      <w:r w:rsidRPr="00FE4FD3">
        <w:rPr>
          <w:rFonts w:cstheme="minorHAnsi"/>
        </w:rPr>
        <w:t>.</w:t>
      </w:r>
      <w:proofErr w:type="gramEnd"/>
      <w:r w:rsidRPr="00FE4FD3">
        <w:rPr>
          <w:rFonts w:cstheme="minorHAnsi"/>
        </w:rPr>
        <w:t xml:space="preserve"> 2006</w:t>
      </w:r>
      <w:proofErr w:type="gramStart"/>
      <w:r w:rsidRPr="00FE4FD3">
        <w:rPr>
          <w:rFonts w:cstheme="minorHAnsi"/>
        </w:rPr>
        <w:t>;27</w:t>
      </w:r>
      <w:proofErr w:type="gramEnd"/>
      <w:r w:rsidRPr="00FE4FD3">
        <w:rPr>
          <w:rFonts w:cstheme="minorHAnsi"/>
        </w:rPr>
        <w:t>(1):103-124.</w:t>
      </w:r>
    </w:p>
  </w:endnote>
  <w:endnote w:id="25">
    <w:p w14:paraId="32C1407A"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OSHA Safety and Health Topics.</w:t>
      </w:r>
      <w:proofErr w:type="gramEnd"/>
      <w:r w:rsidRPr="00FE4FD3">
        <w:rPr>
          <w:rFonts w:cstheme="minorHAnsi"/>
        </w:rPr>
        <w:t xml:space="preserve">  Available at:  lead </w:t>
      </w:r>
      <w:hyperlink r:id="rId7" w:history="1">
        <w:r w:rsidRPr="00FE4FD3">
          <w:rPr>
            <w:rStyle w:val="Hyperlink"/>
            <w:color w:val="auto"/>
          </w:rPr>
          <w:t>https://www.osha.gov/SLTC/lead/healtheffects.html</w:t>
        </w:r>
      </w:hyperlink>
      <w:r w:rsidRPr="00FE4FD3">
        <w:rPr>
          <w:rFonts w:cstheme="minorHAnsi"/>
        </w:rPr>
        <w:t>, Accessed July 14, 2017.</w:t>
      </w:r>
    </w:p>
  </w:endnote>
  <w:endnote w:id="26">
    <w:p w14:paraId="3AD360F6" w14:textId="125F3A5B"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r w:rsidRPr="00FE4FD3">
        <w:rPr>
          <w:rFonts w:cstheme="minorHAnsi"/>
          <w:shd w:val="clear" w:color="auto" w:fill="FFFFFF"/>
        </w:rPr>
        <w:t xml:space="preserve">Schwartz, B S, Stewart WF, </w:t>
      </w:r>
      <w:proofErr w:type="spellStart"/>
      <w:r w:rsidRPr="00FE4FD3">
        <w:rPr>
          <w:rFonts w:cstheme="minorHAnsi"/>
          <w:shd w:val="clear" w:color="auto" w:fill="FFFFFF"/>
        </w:rPr>
        <w:t>Bolla</w:t>
      </w:r>
      <w:proofErr w:type="spellEnd"/>
      <w:r w:rsidRPr="00FE4FD3">
        <w:rPr>
          <w:rFonts w:cstheme="minorHAnsi"/>
          <w:shd w:val="clear" w:color="auto" w:fill="FFFFFF"/>
        </w:rPr>
        <w:t xml:space="preserve"> KI et al. Past adult lead exposure is associated with longitudinal decline in cognitive function.2000;55: 1144-1150.</w:t>
      </w:r>
    </w:p>
  </w:endnote>
  <w:endnote w:id="27">
    <w:p w14:paraId="5A3B92A2" w14:textId="472E7E61"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Cullen MR, Robins JM, </w:t>
      </w:r>
      <w:proofErr w:type="spellStart"/>
      <w:r w:rsidRPr="00FE4FD3">
        <w:rPr>
          <w:rFonts w:cstheme="minorHAnsi"/>
        </w:rPr>
        <w:t>Eskenazi</w:t>
      </w:r>
      <w:proofErr w:type="spellEnd"/>
      <w:r w:rsidRPr="00FE4FD3">
        <w:rPr>
          <w:rFonts w:cstheme="minorHAnsi"/>
        </w:rPr>
        <w:t xml:space="preserve"> B. Adult inorganic lead intoxication: presentation of 31 new cases and a review of recent advances in the literature. 1983</w:t>
      </w:r>
      <w:proofErr w:type="gramStart"/>
      <w:r w:rsidRPr="00FE4FD3">
        <w:rPr>
          <w:rFonts w:cstheme="minorHAnsi"/>
        </w:rPr>
        <w:t>;62</w:t>
      </w:r>
      <w:proofErr w:type="gramEnd"/>
      <w:r w:rsidRPr="00FE4FD3">
        <w:rPr>
          <w:rFonts w:cstheme="minorHAnsi"/>
        </w:rPr>
        <w:t>: 221-247.</w:t>
      </w:r>
    </w:p>
  </w:endnote>
  <w:endnote w:id="28">
    <w:p w14:paraId="3A7545D1"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Schwartz, BS, Hu, H. Adult lead exposure: time for change. Environmental health perspectives 2007</w:t>
      </w:r>
      <w:proofErr w:type="gramStart"/>
      <w:r w:rsidRPr="00FE4FD3">
        <w:rPr>
          <w:rFonts w:cstheme="minorHAnsi"/>
        </w:rPr>
        <w:t>;115</w:t>
      </w:r>
      <w:proofErr w:type="gramEnd"/>
      <w:r w:rsidRPr="00FE4FD3">
        <w:rPr>
          <w:rFonts w:cstheme="minorHAnsi"/>
        </w:rPr>
        <w:t>: 451-454.</w:t>
      </w:r>
    </w:p>
  </w:endnote>
  <w:endnote w:id="29">
    <w:p w14:paraId="40042B28" w14:textId="7454E919"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CDC National Notifiable Diseases Surveillance System.</w:t>
      </w:r>
      <w:proofErr w:type="gramEnd"/>
      <w:r w:rsidRPr="00FE4FD3">
        <w:rPr>
          <w:rFonts w:cstheme="minorHAnsi"/>
        </w:rPr>
        <w:t xml:space="preserve"> Lead, elevated blood levels, 2016. Case definition: 2015 Atlanta, GA: US Department of Health and Human Services, DCD; 2015. Available at:  </w:t>
      </w:r>
      <w:hyperlink r:id="rId8" w:history="1">
        <w:r w:rsidRPr="00FE4FD3">
          <w:rPr>
            <w:rStyle w:val="Hyperlink"/>
            <w:color w:val="auto"/>
          </w:rPr>
          <w:t>https://wwwn.cdc.gov/nndss/conditions/lead-elevated-blood-levels/case-definition/2016/</w:t>
        </w:r>
      </w:hyperlink>
      <w:r w:rsidRPr="00FE4FD3">
        <w:rPr>
          <w:rFonts w:cstheme="minorHAnsi"/>
        </w:rPr>
        <w:t>. Accessed June 18, 2017</w:t>
      </w:r>
    </w:p>
  </w:endnote>
  <w:endnote w:id="30">
    <w:p w14:paraId="7AF87B43" w14:textId="787F698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Code of Massachusetts Regulations Occupational lead poisoning registry 454 CMR 23.00.</w:t>
      </w:r>
      <w:proofErr w:type="gramEnd"/>
    </w:p>
  </w:endnote>
  <w:endnote w:id="31">
    <w:p w14:paraId="299DC276" w14:textId="4B004D3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Occupational Safety and Health Administration.</w:t>
      </w:r>
      <w:proofErr w:type="gramEnd"/>
      <w:r w:rsidRPr="00FE4FD3">
        <w:rPr>
          <w:rFonts w:cstheme="minorHAnsi"/>
        </w:rPr>
        <w:t xml:space="preserve"> Lead. </w:t>
      </w:r>
      <w:proofErr w:type="gramStart"/>
      <w:r w:rsidRPr="00FE4FD3">
        <w:rPr>
          <w:rFonts w:cstheme="minorHAnsi"/>
        </w:rPr>
        <w:t xml:space="preserve">Available at </w:t>
      </w:r>
      <w:hyperlink r:id="rId9" w:history="1">
        <w:r w:rsidRPr="00FE4FD3">
          <w:rPr>
            <w:rStyle w:val="Hyperlink"/>
            <w:color w:val="auto"/>
          </w:rPr>
          <w:t>https://www.osha.gov/SLTC/lead/</w:t>
        </w:r>
      </w:hyperlink>
      <w:r w:rsidRPr="00FE4FD3">
        <w:rPr>
          <w:rStyle w:val="Hyperlink"/>
          <w:color w:val="auto"/>
        </w:rPr>
        <w:t>.</w:t>
      </w:r>
      <w:proofErr w:type="gramEnd"/>
      <w:r w:rsidRPr="00FE4FD3">
        <w:rPr>
          <w:rFonts w:cstheme="minorHAnsi"/>
        </w:rPr>
        <w:t xml:space="preserve"> </w:t>
      </w:r>
      <w:proofErr w:type="gramStart"/>
      <w:r w:rsidRPr="00FE4FD3">
        <w:rPr>
          <w:rFonts w:cstheme="minorHAnsi"/>
        </w:rPr>
        <w:t>Accessed June 25, 2017.</w:t>
      </w:r>
      <w:proofErr w:type="gramEnd"/>
    </w:p>
  </w:endnote>
  <w:endnote w:id="32">
    <w:p w14:paraId="2439EBEE" w14:textId="08DC2B39"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Environmental Protection Agency Lead-based paint poisoning prevention in certain residential structures 40 CFR.</w:t>
      </w:r>
      <w:proofErr w:type="gramEnd"/>
      <w:r w:rsidRPr="00FE4FD3">
        <w:rPr>
          <w:rFonts w:cstheme="minorHAnsi"/>
        </w:rPr>
        <w:t xml:space="preserve"> 745, Subpart E. Available at:  </w:t>
      </w:r>
      <w:hyperlink r:id="rId10" w:history="1">
        <w:r w:rsidRPr="00FE4FD3">
          <w:rPr>
            <w:rStyle w:val="Hyperlink"/>
            <w:color w:val="auto"/>
          </w:rPr>
          <w:t xml:space="preserve">https://www.epa.gov/lead/lead-renovation-repair-and-painting-program-rules. </w:t>
        </w:r>
        <w:proofErr w:type="gramStart"/>
        <w:r w:rsidRPr="00FE4FD3">
          <w:rPr>
            <w:rStyle w:val="Hyperlink"/>
            <w:color w:val="auto"/>
          </w:rPr>
          <w:t>Accessed July 17</w:t>
        </w:r>
      </w:hyperlink>
      <w:r w:rsidRPr="00FE4FD3">
        <w:rPr>
          <w:rFonts w:cstheme="minorHAnsi"/>
        </w:rPr>
        <w:t>, 2017.</w:t>
      </w:r>
      <w:proofErr w:type="gramEnd"/>
    </w:p>
  </w:endnote>
  <w:endnote w:id="33">
    <w:p w14:paraId="5D1CD2BD"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CMR 454 CMR 25.00 Occupational safety and health for state workers.</w:t>
      </w:r>
      <w:proofErr w:type="gramEnd"/>
      <w:r w:rsidRPr="00FE4FD3">
        <w:rPr>
          <w:rFonts w:cstheme="minorHAnsi"/>
        </w:rPr>
        <w:t xml:space="preserve"> </w:t>
      </w:r>
    </w:p>
  </w:endnote>
  <w:endnote w:id="34">
    <w:p w14:paraId="35CD8F3A"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Alarcon WA. 2015 Elevated Blood Lead Levels Among Employed Adults—United States, 1994-2013 MMWR Weekly Report October 23, 2015. Available at: </w:t>
      </w:r>
      <w:hyperlink r:id="rId11" w:history="1">
        <w:r w:rsidRPr="00FE4FD3">
          <w:rPr>
            <w:rStyle w:val="Hyperlink"/>
            <w:color w:val="auto"/>
          </w:rPr>
          <w:t>https://www.cdc.gov/mmwr/preview/mmwrhtml/mm6254a4.htm</w:t>
        </w:r>
      </w:hyperlink>
      <w:r w:rsidRPr="00FE4FD3">
        <w:rPr>
          <w:rStyle w:val="Hyperlink"/>
          <w:color w:val="auto"/>
        </w:rPr>
        <w:t xml:space="preserve">. </w:t>
      </w:r>
      <w:proofErr w:type="gramStart"/>
      <w:r w:rsidRPr="00FE4FD3">
        <w:rPr>
          <w:rStyle w:val="Hyperlink"/>
          <w:color w:val="auto"/>
        </w:rPr>
        <w:t>Accessed June 18, 2017.</w:t>
      </w:r>
      <w:proofErr w:type="gramEnd"/>
      <w:r w:rsidRPr="00FE4FD3">
        <w:rPr>
          <w:rStyle w:val="Hyperlink"/>
          <w:color w:val="auto"/>
        </w:rPr>
        <w:t xml:space="preserve"> </w:t>
      </w:r>
      <w:r w:rsidRPr="00FE4FD3">
        <w:rPr>
          <w:rFonts w:cstheme="minorHAnsi"/>
        </w:rPr>
        <w:t xml:space="preserve"> </w:t>
      </w:r>
    </w:p>
  </w:endnote>
  <w:endnote w:id="35">
    <w:p w14:paraId="29FC737F" w14:textId="0172DB9D"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 xml:space="preserve">Massachusetts 454 CMR 22 </w:t>
      </w:r>
      <w:proofErr w:type="spellStart"/>
      <w:r w:rsidRPr="00FE4FD3">
        <w:rPr>
          <w:rFonts w:cstheme="minorHAnsi"/>
        </w:rPr>
        <w:t>Deleading</w:t>
      </w:r>
      <w:proofErr w:type="spellEnd"/>
      <w:r w:rsidRPr="00FE4FD3">
        <w:rPr>
          <w:rFonts w:cstheme="minorHAnsi"/>
        </w:rPr>
        <w:t xml:space="preserve"> and lead-safe renovation regulations.</w:t>
      </w:r>
      <w:proofErr w:type="gramEnd"/>
    </w:p>
  </w:endnote>
  <w:endnote w:id="36">
    <w:p w14:paraId="54E7974B"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 xml:space="preserve">Barbosa F, Tanus-Santos JE, </w:t>
      </w:r>
      <w:proofErr w:type="spellStart"/>
      <w:r w:rsidRPr="00FE4FD3">
        <w:rPr>
          <w:rFonts w:cstheme="minorHAnsi"/>
        </w:rPr>
        <w:t>Gerlach</w:t>
      </w:r>
      <w:proofErr w:type="spellEnd"/>
      <w:r w:rsidRPr="00FE4FD3">
        <w:rPr>
          <w:rFonts w:cstheme="minorHAnsi"/>
        </w:rPr>
        <w:t xml:space="preserve"> RF, Parsons PJ.</w:t>
      </w:r>
      <w:proofErr w:type="gramEnd"/>
      <w:r w:rsidRPr="00FE4FD3">
        <w:rPr>
          <w:rFonts w:cstheme="minorHAnsi"/>
        </w:rPr>
        <w:t xml:space="preserve"> A critical review of biomarkers used for monitoring human exposure to lead: advantages, limitations and future needs. Environment Health </w:t>
      </w:r>
      <w:proofErr w:type="spellStart"/>
      <w:r w:rsidRPr="00FE4FD3">
        <w:rPr>
          <w:rFonts w:cstheme="minorHAnsi"/>
        </w:rPr>
        <w:t>Perspect</w:t>
      </w:r>
      <w:proofErr w:type="spellEnd"/>
      <w:r w:rsidRPr="00FE4FD3">
        <w:rPr>
          <w:rFonts w:cstheme="minorHAnsi"/>
        </w:rPr>
        <w:t xml:space="preserve"> 2005:113-1669-74.</w:t>
      </w:r>
    </w:p>
  </w:endnote>
  <w:endnote w:id="37">
    <w:p w14:paraId="53A3EF03" w14:textId="2E5FC8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Numerator: MA: The MA Department of Labor Standard’s Occupational Lead Poisoning Registry, US: The Adult Blood Lead Epidemiology Surveillance System (ABLES) Denominator: Estimates for the number of employed adults obtained from the Local Area Unemployment Statistics (LAUS) Program, Bureau of Labor Statistics, US Department of Labor. </w:t>
      </w:r>
    </w:p>
  </w:endnote>
  <w:endnote w:id="38">
    <w:p w14:paraId="53152CF7" w14:textId="56B2BCC3"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Division of Occupational Safety.</w:t>
      </w:r>
      <w:proofErr w:type="gramEnd"/>
      <w:r w:rsidRPr="00FE4FD3">
        <w:rPr>
          <w:rFonts w:cstheme="minorHAnsi"/>
        </w:rPr>
        <w:t xml:space="preserve"> Lead at Work:  Elevated blood lead levels in Massachusetts workers, 1996-2001. Available at: </w:t>
      </w:r>
      <w:hyperlink r:id="rId12" w:history="1">
        <w:r w:rsidRPr="00FE4FD3">
          <w:rPr>
            <w:rStyle w:val="Hyperlink"/>
            <w:color w:val="auto"/>
          </w:rPr>
          <w:t>http://www.mass.gov/eohhs/docs/dph/occupational-health/lead-at-work.pdf</w:t>
        </w:r>
      </w:hyperlink>
      <w:r w:rsidRPr="00FE4FD3">
        <w:rPr>
          <w:rFonts w:cstheme="minorHAnsi"/>
        </w:rPr>
        <w:t xml:space="preserve"> Accessed June 25, 2017.</w:t>
      </w:r>
    </w:p>
  </w:endnote>
  <w:endnote w:id="39">
    <w:p w14:paraId="166B4DB8" w14:textId="22B8B5C9"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California Department of Public Health (2017): Blood Lead Levels in California Workers Data Reported to the California Occupational Blood Lead Registry, 2012–2014.  Available at: https://archive.cdph.ca.gov/programs/olppp/Documents/CABLLReport2012-14.pdf Accessed July 13, 2017.</w:t>
      </w:r>
    </w:p>
  </w:endnote>
  <w:endnote w:id="40">
    <w:p w14:paraId="2D914E9B" w14:textId="23229213"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r w:rsidRPr="00FE4FD3">
        <w:rPr>
          <w:rFonts w:cstheme="minorHAnsi"/>
          <w:shd w:val="clear" w:color="auto" w:fill="FFFFFF"/>
        </w:rPr>
        <w:t>Mahaffey, Kathryn R., et al. "National estimates of blood lead levels: United States, 1976–1980: association with selected demographic and socioeconomic factors." </w:t>
      </w:r>
      <w:r w:rsidRPr="00FE4FD3">
        <w:rPr>
          <w:rFonts w:cstheme="minorHAnsi"/>
          <w:i/>
          <w:iCs/>
          <w:shd w:val="clear" w:color="auto" w:fill="FFFFFF"/>
        </w:rPr>
        <w:t>New England Journal of Medicine</w:t>
      </w:r>
      <w:r w:rsidRPr="00FE4FD3">
        <w:rPr>
          <w:rFonts w:cstheme="minorHAnsi"/>
          <w:shd w:val="clear" w:color="auto" w:fill="FFFFFF"/>
        </w:rPr>
        <w:t> 307.10 (1982): 573-579.</w:t>
      </w:r>
    </w:p>
  </w:endnote>
  <w:endnote w:id="41">
    <w:p w14:paraId="3A816414" w14:textId="18DCD0B6"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Rosenman</w:t>
      </w:r>
      <w:proofErr w:type="spellEnd"/>
      <w:r w:rsidRPr="00FE4FD3">
        <w:rPr>
          <w:rFonts w:cstheme="minorHAnsi"/>
        </w:rPr>
        <w:t xml:space="preserve"> KD, Health disparities in occupational exposures in Health Disparities in Respiratory Medicine, 2016. </w:t>
      </w:r>
      <w:r>
        <w:rPr>
          <w:rStyle w:val="Strong"/>
          <w:rFonts w:cstheme="minorHAnsi"/>
          <w:smallCaps w:val="0"/>
          <w:shd w:val="clear" w:color="auto" w:fill="FFFFFF"/>
        </w:rPr>
        <w:t>G</w:t>
      </w:r>
      <w:r w:rsidRPr="00925A89">
        <w:rPr>
          <w:rStyle w:val="Strong"/>
          <w:rFonts w:cstheme="minorHAnsi"/>
          <w:smallCaps w:val="0"/>
          <w:shd w:val="clear" w:color="auto" w:fill="FFFFFF"/>
        </w:rPr>
        <w:t>erald</w:t>
      </w:r>
      <w:r w:rsidRPr="00FE4FD3">
        <w:rPr>
          <w:rFonts w:cstheme="minorHAnsi"/>
          <w:shd w:val="clear" w:color="auto" w:fill="FFFFFF"/>
        </w:rPr>
        <w:t>, Lynn B., </w:t>
      </w:r>
      <w:r w:rsidRPr="00925A89">
        <w:rPr>
          <w:rStyle w:val="Strong"/>
          <w:rFonts w:cstheme="minorHAnsi"/>
          <w:smallCaps w:val="0"/>
          <w:shd w:val="clear" w:color="auto" w:fill="FFFFFF"/>
        </w:rPr>
        <w:t>Berry</w:t>
      </w:r>
      <w:r w:rsidRPr="00FE4FD3">
        <w:rPr>
          <w:rFonts w:cstheme="minorHAnsi"/>
          <w:shd w:val="clear" w:color="auto" w:fill="FFFFFF"/>
        </w:rPr>
        <w:t xml:space="preserve">, </w:t>
      </w:r>
      <w:proofErr w:type="spellStart"/>
      <w:r w:rsidRPr="00FE4FD3">
        <w:rPr>
          <w:rFonts w:cstheme="minorHAnsi"/>
          <w:shd w:val="clear" w:color="auto" w:fill="FFFFFF"/>
        </w:rPr>
        <w:t>Cristine</w:t>
      </w:r>
      <w:proofErr w:type="spellEnd"/>
      <w:r w:rsidRPr="00FE4FD3">
        <w:rPr>
          <w:rFonts w:cstheme="minorHAnsi"/>
          <w:shd w:val="clear" w:color="auto" w:fill="FFFFFF"/>
        </w:rPr>
        <w:t xml:space="preserve"> (Eds.). </w:t>
      </w:r>
      <w:proofErr w:type="gramStart"/>
      <w:r w:rsidRPr="00FE4FD3">
        <w:rPr>
          <w:rFonts w:cstheme="minorHAnsi"/>
          <w:shd w:val="clear" w:color="auto" w:fill="FFFFFF"/>
        </w:rPr>
        <w:t>Springer.</w:t>
      </w:r>
      <w:proofErr w:type="gramEnd"/>
    </w:p>
  </w:endnote>
  <w:endnote w:id="42">
    <w:p w14:paraId="10E92FF5"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Krieger, Nancy. </w:t>
      </w:r>
      <w:proofErr w:type="gramStart"/>
      <w:r w:rsidRPr="00FE4FD3">
        <w:rPr>
          <w:rFonts w:cstheme="minorHAnsi"/>
        </w:rPr>
        <w:t>"Discrimination and health."</w:t>
      </w:r>
      <w:proofErr w:type="gramEnd"/>
      <w:r w:rsidRPr="00FE4FD3">
        <w:rPr>
          <w:rFonts w:cstheme="minorHAnsi"/>
        </w:rPr>
        <w:t xml:space="preserve"> Social epidemiology 1 (2000): 36-75.</w:t>
      </w:r>
    </w:p>
  </w:endnote>
  <w:endnote w:id="43">
    <w:p w14:paraId="5CE17191"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Steege</w:t>
      </w:r>
      <w:proofErr w:type="spellEnd"/>
      <w:r w:rsidRPr="00FE4FD3">
        <w:rPr>
          <w:rFonts w:cstheme="minorHAnsi"/>
        </w:rPr>
        <w:t xml:space="preserve"> AL, Baron SL, Marsh SM, Menendez CC, Myers JR. Examining occupational health and safety disparities using national data: A cause for continuing concern. </w:t>
      </w:r>
      <w:proofErr w:type="gramStart"/>
      <w:r w:rsidRPr="00FE4FD3">
        <w:rPr>
          <w:rFonts w:cstheme="minorHAnsi"/>
        </w:rPr>
        <w:t>Am</w:t>
      </w:r>
      <w:proofErr w:type="gramEnd"/>
      <w:r w:rsidRPr="00FE4FD3">
        <w:rPr>
          <w:rFonts w:cstheme="minorHAnsi"/>
        </w:rPr>
        <w:t xml:space="preserve"> J </w:t>
      </w:r>
      <w:proofErr w:type="spellStart"/>
      <w:r w:rsidRPr="00FE4FD3">
        <w:rPr>
          <w:rFonts w:cstheme="minorHAnsi"/>
        </w:rPr>
        <w:t>Ind</w:t>
      </w:r>
      <w:proofErr w:type="spellEnd"/>
      <w:r w:rsidRPr="00FE4FD3">
        <w:rPr>
          <w:rFonts w:cstheme="minorHAnsi"/>
        </w:rPr>
        <w:t xml:space="preserve"> Med 57:527–538, 2014.</w:t>
      </w:r>
    </w:p>
  </w:endnote>
  <w:endnote w:id="44">
    <w:p w14:paraId="4FCE9DEB"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Landsbergis PA, </w:t>
      </w:r>
      <w:proofErr w:type="spellStart"/>
      <w:r w:rsidRPr="00FE4FD3">
        <w:rPr>
          <w:rFonts w:cstheme="minorHAnsi"/>
        </w:rPr>
        <w:t>Grzyacz</w:t>
      </w:r>
      <w:proofErr w:type="spellEnd"/>
      <w:r w:rsidRPr="00FE4FD3">
        <w:rPr>
          <w:rFonts w:cstheme="minorHAnsi"/>
        </w:rPr>
        <w:t xml:space="preserve"> JG, </w:t>
      </w:r>
      <w:proofErr w:type="spellStart"/>
      <w:r w:rsidRPr="00FE4FD3">
        <w:rPr>
          <w:rFonts w:cstheme="minorHAnsi"/>
        </w:rPr>
        <w:t>LaMontagne</w:t>
      </w:r>
      <w:proofErr w:type="spellEnd"/>
      <w:r w:rsidRPr="00FE4FD3">
        <w:rPr>
          <w:rFonts w:cstheme="minorHAnsi"/>
        </w:rPr>
        <w:t xml:space="preserve"> AD. Work organization, job insecurity and occupational health disparities. </w:t>
      </w:r>
      <w:proofErr w:type="gramStart"/>
      <w:r w:rsidRPr="00FE4FD3">
        <w:rPr>
          <w:rFonts w:cstheme="minorHAnsi"/>
        </w:rPr>
        <w:t>Am</w:t>
      </w:r>
      <w:proofErr w:type="gramEnd"/>
      <w:r w:rsidRPr="00FE4FD3">
        <w:rPr>
          <w:rFonts w:cstheme="minorHAnsi"/>
        </w:rPr>
        <w:t xml:space="preserve"> J </w:t>
      </w:r>
      <w:proofErr w:type="spellStart"/>
      <w:r w:rsidRPr="00FE4FD3">
        <w:rPr>
          <w:rFonts w:cstheme="minorHAnsi"/>
        </w:rPr>
        <w:t>Ind</w:t>
      </w:r>
      <w:proofErr w:type="spellEnd"/>
      <w:r w:rsidRPr="00FE4FD3">
        <w:rPr>
          <w:rFonts w:cstheme="minorHAnsi"/>
        </w:rPr>
        <w:t xml:space="preserve"> Med 57:495-515, 2014.</w:t>
      </w:r>
    </w:p>
  </w:endnote>
  <w:endnote w:id="45">
    <w:p w14:paraId="448D1CD5"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Stanbury</w:t>
      </w:r>
      <w:proofErr w:type="spellEnd"/>
      <w:r w:rsidRPr="00FE4FD3">
        <w:rPr>
          <w:rFonts w:cstheme="minorHAnsi"/>
        </w:rPr>
        <w:t xml:space="preserve"> M, </w:t>
      </w:r>
      <w:proofErr w:type="spellStart"/>
      <w:r w:rsidRPr="00FE4FD3">
        <w:rPr>
          <w:rFonts w:cstheme="minorHAnsi"/>
        </w:rPr>
        <w:t>Rosenman</w:t>
      </w:r>
      <w:proofErr w:type="spellEnd"/>
      <w:r w:rsidRPr="00FE4FD3">
        <w:rPr>
          <w:rFonts w:cstheme="minorHAnsi"/>
        </w:rPr>
        <w:t xml:space="preserve"> KD. Occupational health disparities: a state public health-based approach. </w:t>
      </w:r>
      <w:proofErr w:type="gramStart"/>
      <w:r w:rsidRPr="00FE4FD3">
        <w:rPr>
          <w:rFonts w:cstheme="minorHAnsi"/>
        </w:rPr>
        <w:t>Am</w:t>
      </w:r>
      <w:proofErr w:type="gramEnd"/>
      <w:r w:rsidRPr="00FE4FD3">
        <w:rPr>
          <w:rFonts w:cstheme="minorHAnsi"/>
        </w:rPr>
        <w:t xml:space="preserve"> J </w:t>
      </w:r>
      <w:proofErr w:type="spellStart"/>
      <w:r w:rsidRPr="00FE4FD3">
        <w:rPr>
          <w:rFonts w:cstheme="minorHAnsi"/>
        </w:rPr>
        <w:t>Ind</w:t>
      </w:r>
      <w:proofErr w:type="spellEnd"/>
      <w:r w:rsidRPr="00FE4FD3">
        <w:rPr>
          <w:rFonts w:cstheme="minorHAnsi"/>
        </w:rPr>
        <w:t xml:space="preserve"> Med 57:596–604, 2014.</w:t>
      </w:r>
    </w:p>
  </w:endnote>
  <w:endnote w:id="46">
    <w:p w14:paraId="7497F6C2"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Souza K, </w:t>
      </w:r>
      <w:proofErr w:type="spellStart"/>
      <w:r w:rsidRPr="00FE4FD3">
        <w:rPr>
          <w:rFonts w:cstheme="minorHAnsi"/>
        </w:rPr>
        <w:t>Steege</w:t>
      </w:r>
      <w:proofErr w:type="spellEnd"/>
      <w:r w:rsidRPr="00FE4FD3">
        <w:rPr>
          <w:rFonts w:cstheme="minorHAnsi"/>
        </w:rPr>
        <w:t xml:space="preserve"> AL, Baron SL. Surveillance of occupational health disparities: Challenges and opportunities. </w:t>
      </w:r>
      <w:proofErr w:type="gramStart"/>
      <w:r w:rsidRPr="00FE4FD3">
        <w:rPr>
          <w:rFonts w:cstheme="minorHAnsi"/>
        </w:rPr>
        <w:t>Am</w:t>
      </w:r>
      <w:proofErr w:type="gramEnd"/>
      <w:r w:rsidRPr="00FE4FD3">
        <w:rPr>
          <w:rFonts w:cstheme="minorHAnsi"/>
        </w:rPr>
        <w:t xml:space="preserve"> J </w:t>
      </w:r>
      <w:proofErr w:type="spellStart"/>
      <w:r w:rsidRPr="00FE4FD3">
        <w:rPr>
          <w:rFonts w:cstheme="minorHAnsi"/>
        </w:rPr>
        <w:t>Ind</w:t>
      </w:r>
      <w:proofErr w:type="spellEnd"/>
      <w:r w:rsidRPr="00FE4FD3">
        <w:rPr>
          <w:rFonts w:cstheme="minorHAnsi"/>
        </w:rPr>
        <w:t xml:space="preserve"> Med 53(2):84-94; 2010.</w:t>
      </w:r>
    </w:p>
  </w:endnote>
  <w:endnote w:id="47">
    <w:p w14:paraId="04E27973"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Krieger N, Chen JT, Waterman PD, Hartman C, Stoddard AM, Quinn MM, Sorenson G, </w:t>
      </w:r>
      <w:proofErr w:type="spellStart"/>
      <w:r w:rsidRPr="00FE4FD3">
        <w:rPr>
          <w:rFonts w:cstheme="minorHAnsi"/>
        </w:rPr>
        <w:t>Barbeau</w:t>
      </w:r>
      <w:proofErr w:type="spellEnd"/>
      <w:r w:rsidRPr="00FE4FD3">
        <w:rPr>
          <w:rFonts w:cstheme="minorHAnsi"/>
        </w:rPr>
        <w:t xml:space="preserve"> EM. The inverse hazard law: Blood pressure, sexual harassment, racial discrimination, workplace abuse and occupational exposures in US low-income black, white and Latino workers. </w:t>
      </w:r>
      <w:proofErr w:type="spellStart"/>
      <w:r w:rsidRPr="00FE4FD3">
        <w:rPr>
          <w:rFonts w:cstheme="minorHAnsi"/>
        </w:rPr>
        <w:t>Soc</w:t>
      </w:r>
      <w:proofErr w:type="spellEnd"/>
      <w:r w:rsidRPr="00FE4FD3">
        <w:rPr>
          <w:rFonts w:cstheme="minorHAnsi"/>
        </w:rPr>
        <w:t xml:space="preserve"> Science &amp; Med 67(12):1970-1981</w:t>
      </w:r>
      <w:proofErr w:type="gramStart"/>
      <w:r w:rsidRPr="00FE4FD3">
        <w:rPr>
          <w:rFonts w:cstheme="minorHAnsi"/>
        </w:rPr>
        <w:t>;2008</w:t>
      </w:r>
      <w:proofErr w:type="gramEnd"/>
      <w:r w:rsidRPr="00FE4FD3">
        <w:rPr>
          <w:rFonts w:cstheme="minorHAnsi"/>
        </w:rPr>
        <w:t>.</w:t>
      </w:r>
    </w:p>
  </w:endnote>
  <w:endnote w:id="48">
    <w:p w14:paraId="7F59E5C0" w14:textId="4DD8BAF6"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proofErr w:type="gramStart"/>
      <w:r w:rsidRPr="00FE4FD3">
        <w:rPr>
          <w:rFonts w:cstheme="minorHAnsi"/>
          <w:shd w:val="clear" w:color="auto" w:fill="FFFFFF"/>
        </w:rPr>
        <w:t>Oury</w:t>
      </w:r>
      <w:proofErr w:type="spellEnd"/>
      <w:r w:rsidRPr="00FE4FD3">
        <w:rPr>
          <w:rFonts w:cstheme="minorHAnsi"/>
          <w:shd w:val="clear" w:color="auto" w:fill="FFFFFF"/>
        </w:rPr>
        <w:t xml:space="preserve"> TD., </w:t>
      </w:r>
      <w:proofErr w:type="spellStart"/>
      <w:r w:rsidRPr="00FE4FD3">
        <w:rPr>
          <w:rFonts w:cstheme="minorHAnsi"/>
          <w:shd w:val="clear" w:color="auto" w:fill="FFFFFF"/>
        </w:rPr>
        <w:t>Sporn</w:t>
      </w:r>
      <w:proofErr w:type="spellEnd"/>
      <w:r w:rsidRPr="00FE4FD3">
        <w:rPr>
          <w:rFonts w:cstheme="minorHAnsi"/>
          <w:shd w:val="clear" w:color="auto" w:fill="FFFFFF"/>
        </w:rPr>
        <w:t xml:space="preserve"> TA, </w:t>
      </w:r>
      <w:proofErr w:type="spellStart"/>
      <w:r w:rsidRPr="00FE4FD3">
        <w:rPr>
          <w:rFonts w:cstheme="minorHAnsi"/>
          <w:shd w:val="clear" w:color="auto" w:fill="FFFFFF"/>
        </w:rPr>
        <w:t>Roggli</w:t>
      </w:r>
      <w:proofErr w:type="spellEnd"/>
      <w:r w:rsidRPr="00FE4FD3">
        <w:rPr>
          <w:rFonts w:cstheme="minorHAnsi"/>
          <w:shd w:val="clear" w:color="auto" w:fill="FFFFFF"/>
        </w:rPr>
        <w:t>, VL eds. </w:t>
      </w:r>
      <w:r w:rsidRPr="00FE4FD3">
        <w:rPr>
          <w:rFonts w:cstheme="minorHAnsi"/>
          <w:i/>
          <w:iCs/>
          <w:shd w:val="clear" w:color="auto" w:fill="FFFFFF"/>
        </w:rPr>
        <w:t>Pathology of asbestos-associated diseases</w:t>
      </w:r>
      <w:r w:rsidRPr="00FE4FD3">
        <w:rPr>
          <w:rFonts w:cstheme="minorHAnsi"/>
          <w:shd w:val="clear" w:color="auto" w:fill="FFFFFF"/>
        </w:rPr>
        <w:t>.</w:t>
      </w:r>
      <w:proofErr w:type="gramEnd"/>
      <w:r w:rsidRPr="00FE4FD3">
        <w:rPr>
          <w:rFonts w:cstheme="minorHAnsi"/>
          <w:shd w:val="clear" w:color="auto" w:fill="FFFFFF"/>
        </w:rPr>
        <w:t xml:space="preserve"> </w:t>
      </w:r>
      <w:proofErr w:type="gramStart"/>
      <w:r w:rsidRPr="00FE4FD3">
        <w:rPr>
          <w:rFonts w:cstheme="minorHAnsi"/>
          <w:shd w:val="clear" w:color="auto" w:fill="FFFFFF"/>
        </w:rPr>
        <w:t>Springer Science &amp; Business Media, 2014.</w:t>
      </w:r>
      <w:proofErr w:type="gramEnd"/>
    </w:p>
  </w:endnote>
  <w:endnote w:id="49">
    <w:p w14:paraId="36CFE0B3"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shd w:val="clear" w:color="auto" w:fill="FFFFFF"/>
        </w:rPr>
        <w:t>Peto</w:t>
      </w:r>
      <w:proofErr w:type="spellEnd"/>
      <w:r w:rsidRPr="00FE4FD3">
        <w:rPr>
          <w:rFonts w:cstheme="minorHAnsi"/>
          <w:shd w:val="clear" w:color="auto" w:fill="FFFFFF"/>
        </w:rPr>
        <w:t xml:space="preserve"> J, et al. Continuing increase in mesothelioma mortality in Britain. </w:t>
      </w:r>
      <w:r w:rsidRPr="00FE4FD3">
        <w:rPr>
          <w:rFonts w:cstheme="minorHAnsi"/>
          <w:i/>
          <w:iCs/>
          <w:shd w:val="clear" w:color="auto" w:fill="FFFFFF"/>
        </w:rPr>
        <w:t>The Lancet</w:t>
      </w:r>
      <w:r w:rsidRPr="00FE4FD3">
        <w:rPr>
          <w:rFonts w:cstheme="minorHAnsi"/>
          <w:shd w:val="clear" w:color="auto" w:fill="FFFFFF"/>
        </w:rPr>
        <w:t> 345.8949 (1995): 535-539</w:t>
      </w:r>
    </w:p>
  </w:endnote>
  <w:endnote w:id="50">
    <w:p w14:paraId="5FEC06DF" w14:textId="0E895DAB"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World Health Organization (WHO) International </w:t>
      </w:r>
      <w:proofErr w:type="spellStart"/>
      <w:r w:rsidRPr="00FE4FD3">
        <w:rPr>
          <w:rFonts w:cstheme="minorHAnsi"/>
        </w:rPr>
        <w:t>Programme</w:t>
      </w:r>
      <w:proofErr w:type="spellEnd"/>
      <w:r w:rsidRPr="00FE4FD3">
        <w:rPr>
          <w:rFonts w:cstheme="minorHAnsi"/>
        </w:rPr>
        <w:t xml:space="preserve"> on Chemical Safety: Asbestos Available at: http://www.who.int/ipcs/assessment/public_health/asbestos/en/ Accessed on July 14, 2017.</w:t>
      </w:r>
    </w:p>
  </w:endnote>
  <w:endnote w:id="51">
    <w:p w14:paraId="7CD07CAA" w14:textId="46DB1302"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USDHHS, National Institute of Health, National Heart, Lung and Blood Institute.</w:t>
      </w:r>
      <w:proofErr w:type="gramEnd"/>
      <w:r w:rsidRPr="00FE4FD3">
        <w:rPr>
          <w:rFonts w:cstheme="minorHAnsi"/>
        </w:rPr>
        <w:t xml:space="preserve"> Available at: https://www.nhlbi.nih.gov/health/health-topics/topics/asb Accessed on July 14, 2017.</w:t>
      </w:r>
    </w:p>
  </w:endnote>
  <w:endnote w:id="52">
    <w:p w14:paraId="654B75EC"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Becklake</w:t>
      </w:r>
      <w:proofErr w:type="spellEnd"/>
      <w:r w:rsidRPr="00FE4FD3">
        <w:rPr>
          <w:rFonts w:cstheme="minorHAnsi"/>
        </w:rPr>
        <w:t>, Margaret R. Asbestos-Related Diseases of the Lung and Other Organs: Their Epidemiology and Implications for Clinical Practice 1, 2. American review of respiratory disease 1976</w:t>
      </w:r>
      <w:proofErr w:type="gramStart"/>
      <w:r w:rsidRPr="00FE4FD3">
        <w:rPr>
          <w:rFonts w:cstheme="minorHAnsi"/>
        </w:rPr>
        <w:t>;114:187</w:t>
      </w:r>
      <w:proofErr w:type="gramEnd"/>
      <w:r w:rsidRPr="00FE4FD3">
        <w:rPr>
          <w:rFonts w:cstheme="minorHAnsi"/>
        </w:rPr>
        <w:t>-227.</w:t>
      </w:r>
    </w:p>
  </w:endnote>
  <w:endnote w:id="53">
    <w:p w14:paraId="1AF7DBCB" w14:textId="05C9AC01"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MDPH.</w:t>
      </w:r>
      <w:proofErr w:type="gramEnd"/>
      <w:r w:rsidRPr="00FE4FD3">
        <w:rPr>
          <w:rFonts w:cstheme="minorHAnsi"/>
        </w:rPr>
        <w:t xml:space="preserve"> Occupational Health Surveillance Program and MA Cancer Registry, 2005-2013.</w:t>
      </w:r>
    </w:p>
  </w:endnote>
  <w:endnote w:id="54">
    <w:p w14:paraId="31B7B44B"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Friedman-Jimenez G. Achieving Environmental Justice: The Role of Occupational Health Fordham Urban Law Journal 21(3):605-631</w:t>
      </w:r>
      <w:proofErr w:type="gramStart"/>
      <w:r w:rsidRPr="00FE4FD3">
        <w:rPr>
          <w:rFonts w:cstheme="minorHAnsi"/>
        </w:rPr>
        <w:t>;1993</w:t>
      </w:r>
      <w:proofErr w:type="gramEnd"/>
      <w:r w:rsidRPr="00FE4FD3">
        <w:rPr>
          <w:rFonts w:cstheme="minorHAnsi"/>
        </w:rPr>
        <w:t xml:space="preserve">. </w:t>
      </w:r>
    </w:p>
  </w:endnote>
  <w:endnote w:id="55">
    <w:p w14:paraId="6F8C67E7" w14:textId="0486ACB4"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Roelofs</w:t>
      </w:r>
      <w:proofErr w:type="spellEnd"/>
      <w:r w:rsidRPr="00FE4FD3">
        <w:rPr>
          <w:rFonts w:cstheme="minorHAnsi"/>
        </w:rPr>
        <w:t xml:space="preserve"> C. Latency attention deficit: Asbestos abatement workers need us to investigate. </w:t>
      </w:r>
      <w:r w:rsidRPr="00FE4FD3">
        <w:rPr>
          <w:rFonts w:cstheme="minorHAnsi"/>
          <w:i/>
        </w:rPr>
        <w:t xml:space="preserve">American Journal of Industrial Medicine </w:t>
      </w:r>
      <w:r w:rsidRPr="00FE4FD3">
        <w:rPr>
          <w:rFonts w:cstheme="minorHAnsi"/>
        </w:rPr>
        <w:t>58.12 (2015): 1231-1234.</w:t>
      </w:r>
    </w:p>
  </w:endnote>
  <w:endnote w:id="56">
    <w:p w14:paraId="787AEDC5" w14:textId="4EFF7852" w:rsidR="003F257A" w:rsidRPr="003E3840"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r w:rsidRPr="003E3840">
        <w:rPr>
          <w:rFonts w:cstheme="minorHAnsi"/>
        </w:rPr>
        <w:t xml:space="preserve">Krieger, Nancy. </w:t>
      </w:r>
      <w:proofErr w:type="gramStart"/>
      <w:r w:rsidRPr="003E3840">
        <w:rPr>
          <w:rFonts w:cstheme="minorHAnsi"/>
        </w:rPr>
        <w:t>Discrimination and health.</w:t>
      </w:r>
      <w:proofErr w:type="gramEnd"/>
      <w:r w:rsidRPr="003E3840">
        <w:rPr>
          <w:rFonts w:cstheme="minorHAnsi"/>
        </w:rPr>
        <w:t xml:space="preserve"> </w:t>
      </w:r>
      <w:r w:rsidRPr="003E3840">
        <w:rPr>
          <w:rFonts w:cstheme="minorHAnsi"/>
          <w:i/>
        </w:rPr>
        <w:t>Social epidemiology 1</w:t>
      </w:r>
      <w:r w:rsidRPr="003E3840">
        <w:rPr>
          <w:rFonts w:cstheme="minorHAnsi"/>
        </w:rPr>
        <w:t xml:space="preserve"> (2000): 36-75.</w:t>
      </w:r>
    </w:p>
  </w:endnote>
  <w:endnote w:id="57">
    <w:p w14:paraId="1F008B4A" w14:textId="72948B63" w:rsidR="003F257A" w:rsidRPr="003E3840" w:rsidRDefault="003F257A" w:rsidP="00FE4FD3">
      <w:pPr>
        <w:pStyle w:val="REFERENCES"/>
        <w:rPr>
          <w:rFonts w:cstheme="minorHAnsi"/>
        </w:rPr>
      </w:pPr>
      <w:r w:rsidRPr="003E3840">
        <w:rPr>
          <w:rStyle w:val="EndnoteReference"/>
          <w:rFonts w:cstheme="minorHAnsi"/>
        </w:rPr>
        <w:endnoteRef/>
      </w:r>
      <w:r w:rsidRPr="003E3840">
        <w:rPr>
          <w:rFonts w:cstheme="minorHAnsi"/>
        </w:rPr>
        <w:t xml:space="preserve"> </w:t>
      </w:r>
      <w:proofErr w:type="gramStart"/>
      <w:r w:rsidRPr="003E3840">
        <w:rPr>
          <w:rFonts w:cstheme="minorHAnsi"/>
        </w:rPr>
        <w:t>MA Inpatient Hospital Discharge Dataset and the National Hospital Discharge Survey.</w:t>
      </w:r>
      <w:proofErr w:type="gramEnd"/>
      <w:r w:rsidRPr="003E3840">
        <w:rPr>
          <w:rFonts w:cstheme="minorHAnsi"/>
        </w:rPr>
        <w:t xml:space="preserve"> Population estimates from the US Census.  </w:t>
      </w:r>
    </w:p>
  </w:endnote>
  <w:endnote w:id="58">
    <w:p w14:paraId="2352CF80" w14:textId="72AEBCFA" w:rsidR="003F257A" w:rsidRPr="003E3840" w:rsidRDefault="003F257A" w:rsidP="003E3840">
      <w:pPr>
        <w:pStyle w:val="EndnoteText"/>
        <w:ind w:right="-1440"/>
        <w:rPr>
          <w:sz w:val="22"/>
          <w:szCs w:val="22"/>
        </w:rPr>
      </w:pPr>
      <w:r w:rsidRPr="003E3840">
        <w:rPr>
          <w:rStyle w:val="EndnoteReference"/>
          <w:sz w:val="22"/>
          <w:szCs w:val="22"/>
        </w:rPr>
        <w:endnoteRef/>
      </w:r>
      <w:r w:rsidRPr="003E3840">
        <w:rPr>
          <w:sz w:val="22"/>
          <w:szCs w:val="22"/>
        </w:rPr>
        <w:t xml:space="preserve"> www.mass.gov/dph/fishadvisories.</w:t>
      </w:r>
    </w:p>
  </w:endnote>
  <w:endnote w:id="59">
    <w:p w14:paraId="7641CD8A" w14:textId="6F1AD01C" w:rsidR="003F257A" w:rsidRPr="003E3840" w:rsidRDefault="003F257A" w:rsidP="003E3840">
      <w:pPr>
        <w:pStyle w:val="EndnoteText"/>
        <w:ind w:right="-1440"/>
        <w:rPr>
          <w:sz w:val="22"/>
          <w:szCs w:val="22"/>
        </w:rPr>
      </w:pPr>
      <w:r w:rsidRPr="003E3840">
        <w:rPr>
          <w:rStyle w:val="EndnoteReference"/>
          <w:sz w:val="22"/>
          <w:szCs w:val="22"/>
        </w:rPr>
        <w:endnoteRef/>
      </w:r>
      <w:r w:rsidRPr="003E3840">
        <w:rPr>
          <w:sz w:val="22"/>
          <w:szCs w:val="22"/>
        </w:rPr>
        <w:t xml:space="preserve"> www.mass.gov/eea/docs/dep/toxics/stypes/fishform.pdf.</w:t>
      </w:r>
    </w:p>
  </w:endnote>
  <w:endnote w:id="60">
    <w:p w14:paraId="07C33AB4" w14:textId="67E870F9" w:rsidR="003F257A" w:rsidRPr="003E3840" w:rsidRDefault="003F257A" w:rsidP="003E3840">
      <w:pPr>
        <w:pStyle w:val="EndnoteText"/>
        <w:ind w:right="-1440"/>
        <w:rPr>
          <w:sz w:val="22"/>
          <w:szCs w:val="22"/>
        </w:rPr>
      </w:pPr>
      <w:r w:rsidRPr="003E3840">
        <w:rPr>
          <w:rStyle w:val="EndnoteReference"/>
          <w:sz w:val="22"/>
          <w:szCs w:val="22"/>
        </w:rPr>
        <w:endnoteRef/>
      </w:r>
      <w:r w:rsidRPr="003E3840">
        <w:rPr>
          <w:sz w:val="22"/>
          <w:szCs w:val="22"/>
        </w:rPr>
        <w:t>Massachusetts Department of Environmental Protection. MassAir Online. Available at: http://public.dep.state.ma.us/MassAir/Pages/MapCurrent.aspx?ht=1&amp;hi=101. Accessed October 16, 2017</w:t>
      </w:r>
    </w:p>
  </w:endnote>
  <w:endnote w:id="61">
    <w:p w14:paraId="72EC5EEF" w14:textId="5B42E47C" w:rsidR="003F257A" w:rsidRPr="003E3840" w:rsidRDefault="003F257A" w:rsidP="003E3840">
      <w:pPr>
        <w:pStyle w:val="REFERENCES"/>
        <w:ind w:right="-1440"/>
        <w:rPr>
          <w:rFonts w:cstheme="minorHAnsi"/>
        </w:rPr>
      </w:pPr>
      <w:r w:rsidRPr="003E3840">
        <w:rPr>
          <w:rStyle w:val="EndnoteReference"/>
          <w:rFonts w:cstheme="minorHAnsi"/>
        </w:rPr>
        <w:endnoteRef/>
      </w:r>
      <w:r w:rsidRPr="003E3840">
        <w:rPr>
          <w:rFonts w:cstheme="minorHAnsi"/>
        </w:rPr>
        <w:t xml:space="preserve"> </w:t>
      </w:r>
      <w:proofErr w:type="gramStart"/>
      <w:r>
        <w:rPr>
          <w:rFonts w:cstheme="minorHAnsi"/>
        </w:rPr>
        <w:t xml:space="preserve">MDPH, </w:t>
      </w:r>
      <w:r w:rsidRPr="003E3840">
        <w:rPr>
          <w:rFonts w:cstheme="minorHAnsi"/>
        </w:rPr>
        <w:t>Beach Testing website.</w:t>
      </w:r>
      <w:proofErr w:type="gramEnd"/>
      <w:r w:rsidRPr="003E3840">
        <w:rPr>
          <w:rFonts w:cstheme="minorHAnsi"/>
        </w:rPr>
        <w:t xml:space="preserve">  Available at: www.mass.gov/dph/beaches.</w:t>
      </w:r>
    </w:p>
  </w:endnote>
  <w:endnote w:id="62">
    <w:p w14:paraId="48612211" w14:textId="6AF488EB" w:rsidR="003F257A" w:rsidRPr="003E3840" w:rsidRDefault="003F257A" w:rsidP="003E3840">
      <w:pPr>
        <w:pStyle w:val="EndnoteText"/>
        <w:ind w:right="-1440"/>
        <w:rPr>
          <w:sz w:val="22"/>
          <w:szCs w:val="22"/>
        </w:rPr>
      </w:pPr>
      <w:r w:rsidRPr="003E3840">
        <w:rPr>
          <w:rStyle w:val="EndnoteReference"/>
          <w:sz w:val="22"/>
          <w:szCs w:val="22"/>
        </w:rPr>
        <w:endnoteRef/>
      </w:r>
      <w:r w:rsidRPr="003E3840">
        <w:rPr>
          <w:sz w:val="22"/>
          <w:szCs w:val="22"/>
        </w:rPr>
        <w:t xml:space="preserve"> </w:t>
      </w:r>
      <w:hyperlink r:id="rId13" w:history="1">
        <w:r w:rsidRPr="003E3840">
          <w:rPr>
            <w:rStyle w:val="Hyperlink"/>
            <w:rFonts w:cstheme="minorBidi"/>
            <w:sz w:val="22"/>
            <w:szCs w:val="22"/>
            <w:shd w:val="clear" w:color="auto" w:fill="auto"/>
          </w:rPr>
          <w:t>http://www.mass.gov/eea/agencies/massdep/water/drinking/overview-of-the-source-water-assessment-and-protection-pr.html</w:t>
        </w:r>
      </w:hyperlink>
      <w:r w:rsidRPr="003E3840">
        <w:rPr>
          <w:sz w:val="22"/>
          <w:szCs w:val="22"/>
        </w:rPr>
        <w:t xml:space="preserve">. </w:t>
      </w:r>
    </w:p>
  </w:endnote>
  <w:endnote w:id="63">
    <w:p w14:paraId="1F79B4E1" w14:textId="1F429B38" w:rsidR="003F257A" w:rsidRPr="003E3840" w:rsidRDefault="003F257A" w:rsidP="003E3840">
      <w:pPr>
        <w:pStyle w:val="EndnoteText"/>
        <w:ind w:right="-1440"/>
        <w:rPr>
          <w:sz w:val="22"/>
          <w:szCs w:val="22"/>
        </w:rPr>
      </w:pPr>
      <w:r w:rsidRPr="003E3840">
        <w:rPr>
          <w:rStyle w:val="EndnoteReference"/>
          <w:sz w:val="22"/>
          <w:szCs w:val="22"/>
        </w:rPr>
        <w:endnoteRef/>
      </w:r>
      <w:r w:rsidRPr="003E3840">
        <w:rPr>
          <w:sz w:val="22"/>
          <w:szCs w:val="22"/>
        </w:rPr>
        <w:t xml:space="preserve"> https://matracking.ehs.state.ma.us/</w:t>
      </w:r>
    </w:p>
  </w:endnote>
  <w:endnote w:id="64">
    <w:p w14:paraId="7102FAD8" w14:textId="5B94EF49" w:rsidR="003F257A" w:rsidRPr="003E3840" w:rsidRDefault="003F257A" w:rsidP="00FE4FD3">
      <w:pPr>
        <w:pStyle w:val="REFERENCES"/>
      </w:pPr>
      <w:r w:rsidRPr="003E3840">
        <w:rPr>
          <w:rStyle w:val="EndnoteReference"/>
          <w:rFonts w:cstheme="minorHAnsi"/>
        </w:rPr>
        <w:endnoteRef/>
      </w:r>
      <w:r w:rsidRPr="003E3840">
        <w:rPr>
          <w:rFonts w:cstheme="minorHAnsi"/>
        </w:rPr>
        <w:t xml:space="preserve"> </w:t>
      </w:r>
      <w:proofErr w:type="gramStart"/>
      <w:r w:rsidRPr="003E3840">
        <w:rPr>
          <w:rFonts w:cstheme="minorHAnsi"/>
        </w:rPr>
        <w:t>Childhood Lead Screening Community Progress Reports.</w:t>
      </w:r>
      <w:proofErr w:type="gramEnd"/>
      <w:r w:rsidRPr="003E3840">
        <w:rPr>
          <w:rFonts w:cstheme="minorHAnsi"/>
        </w:rPr>
        <w:t xml:space="preserve"> Available at: http://www.mass.gov/eohhs/researcher/community-health/environment-health/lead.</w:t>
      </w:r>
    </w:p>
  </w:endnote>
  <w:endnote w:id="65">
    <w:p w14:paraId="74C8A09B" w14:textId="481AFF4A" w:rsidR="003F257A" w:rsidRDefault="003F257A">
      <w:pPr>
        <w:pStyle w:val="EndnoteText"/>
      </w:pPr>
      <w:r w:rsidRPr="003E3840">
        <w:rPr>
          <w:rStyle w:val="EndnoteReference"/>
          <w:sz w:val="22"/>
          <w:szCs w:val="22"/>
        </w:rPr>
        <w:endnoteRef/>
      </w:r>
      <w:r w:rsidRPr="003E3840">
        <w:rPr>
          <w:sz w:val="22"/>
          <w:szCs w:val="22"/>
        </w:rPr>
        <w:t xml:space="preserve"> https://matracking.ehs.state.ma.us/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3F257A" w:rsidRPr="00195F02" w:rsidRDefault="003F257A"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0E7C99">
          <w:t>26</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F2A63" w14:textId="77777777" w:rsidR="00F57CBB" w:rsidRDefault="00F57CBB" w:rsidP="00E36D41">
      <w:r>
        <w:separator/>
      </w:r>
    </w:p>
    <w:p w14:paraId="7B9A07FB" w14:textId="77777777" w:rsidR="00F57CBB" w:rsidRDefault="00F57CBB"/>
    <w:p w14:paraId="5F31173A" w14:textId="77777777" w:rsidR="00F57CBB" w:rsidRDefault="00F57CBB"/>
  </w:footnote>
  <w:footnote w:type="continuationSeparator" w:id="0">
    <w:p w14:paraId="4A1EA0A4" w14:textId="77777777" w:rsidR="00F57CBB" w:rsidRDefault="00F57CBB" w:rsidP="00E36D41">
      <w:r>
        <w:continuationSeparator/>
      </w:r>
    </w:p>
    <w:p w14:paraId="14059F1A" w14:textId="77777777" w:rsidR="00F57CBB" w:rsidRDefault="00F57CBB"/>
    <w:p w14:paraId="36B57506" w14:textId="77777777" w:rsidR="00F57CBB" w:rsidRDefault="00F57CBB"/>
  </w:footnote>
  <w:footnote w:type="continuationNotice" w:id="1">
    <w:p w14:paraId="2E4F868B" w14:textId="77777777" w:rsidR="00F57CBB" w:rsidRDefault="00F57CBB" w:rsidP="00E36D41"/>
    <w:p w14:paraId="3BE95B23" w14:textId="77777777" w:rsidR="00F57CBB" w:rsidRDefault="00F57CBB"/>
    <w:p w14:paraId="025A22FD" w14:textId="77777777" w:rsidR="00F57CBB" w:rsidRDefault="00F57CB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1">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1">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0"/>
  </w:num>
  <w:num w:numId="3">
    <w:abstractNumId w:val="53"/>
  </w:num>
  <w:num w:numId="4">
    <w:abstractNumId w:val="195"/>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5"/>
  </w:num>
  <w:num w:numId="15">
    <w:abstractNumId w:val="170"/>
  </w:num>
  <w:num w:numId="16">
    <w:abstractNumId w:val="192"/>
  </w:num>
  <w:num w:numId="17">
    <w:abstractNumId w:val="48"/>
  </w:num>
  <w:num w:numId="18">
    <w:abstractNumId w:val="92"/>
  </w:num>
  <w:num w:numId="19">
    <w:abstractNumId w:val="190"/>
  </w:num>
  <w:num w:numId="20">
    <w:abstractNumId w:val="185"/>
  </w:num>
  <w:num w:numId="21">
    <w:abstractNumId w:val="102"/>
  </w:num>
  <w:num w:numId="22">
    <w:abstractNumId w:val="160"/>
  </w:num>
  <w:num w:numId="23">
    <w:abstractNumId w:val="60"/>
  </w:num>
  <w:num w:numId="24">
    <w:abstractNumId w:val="147"/>
  </w:num>
  <w:num w:numId="25">
    <w:abstractNumId w:val="179"/>
  </w:num>
  <w:num w:numId="26">
    <w:abstractNumId w:val="117"/>
  </w:num>
  <w:num w:numId="27">
    <w:abstractNumId w:val="54"/>
  </w:num>
  <w:num w:numId="28">
    <w:abstractNumId w:val="122"/>
  </w:num>
  <w:num w:numId="29">
    <w:abstractNumId w:val="115"/>
  </w:num>
  <w:num w:numId="30">
    <w:abstractNumId w:val="187"/>
  </w:num>
  <w:num w:numId="31">
    <w:abstractNumId w:val="106"/>
  </w:num>
  <w:num w:numId="32">
    <w:abstractNumId w:val="139"/>
  </w:num>
  <w:num w:numId="33">
    <w:abstractNumId w:val="130"/>
  </w:num>
  <w:num w:numId="34">
    <w:abstractNumId w:val="70"/>
  </w:num>
  <w:num w:numId="35">
    <w:abstractNumId w:val="35"/>
  </w:num>
  <w:num w:numId="36">
    <w:abstractNumId w:val="186"/>
  </w:num>
  <w:num w:numId="37">
    <w:abstractNumId w:val="104"/>
  </w:num>
  <w:num w:numId="38">
    <w:abstractNumId w:val="29"/>
  </w:num>
  <w:num w:numId="39">
    <w:abstractNumId w:val="126"/>
  </w:num>
  <w:num w:numId="40">
    <w:abstractNumId w:val="87"/>
  </w:num>
  <w:num w:numId="41">
    <w:abstractNumId w:val="119"/>
  </w:num>
  <w:num w:numId="42">
    <w:abstractNumId w:val="188"/>
  </w:num>
  <w:num w:numId="43">
    <w:abstractNumId w:val="125"/>
  </w:num>
  <w:num w:numId="44">
    <w:abstractNumId w:val="153"/>
  </w:num>
  <w:num w:numId="45">
    <w:abstractNumId w:val="100"/>
  </w:num>
  <w:num w:numId="46">
    <w:abstractNumId w:val="114"/>
  </w:num>
  <w:num w:numId="47">
    <w:abstractNumId w:val="208"/>
  </w:num>
  <w:num w:numId="48">
    <w:abstractNumId w:val="176"/>
  </w:num>
  <w:num w:numId="49">
    <w:abstractNumId w:val="71"/>
  </w:num>
  <w:num w:numId="50">
    <w:abstractNumId w:val="51"/>
  </w:num>
  <w:num w:numId="51">
    <w:abstractNumId w:val="133"/>
  </w:num>
  <w:num w:numId="52">
    <w:abstractNumId w:val="196"/>
  </w:num>
  <w:num w:numId="53">
    <w:abstractNumId w:val="73"/>
  </w:num>
  <w:num w:numId="54">
    <w:abstractNumId w:val="166"/>
  </w:num>
  <w:num w:numId="55">
    <w:abstractNumId w:val="4"/>
  </w:num>
  <w:num w:numId="56">
    <w:abstractNumId w:val="175"/>
  </w:num>
  <w:num w:numId="57">
    <w:abstractNumId w:val="206"/>
  </w:num>
  <w:num w:numId="58">
    <w:abstractNumId w:val="159"/>
  </w:num>
  <w:num w:numId="59">
    <w:abstractNumId w:val="138"/>
  </w:num>
  <w:num w:numId="60">
    <w:abstractNumId w:val="167"/>
  </w:num>
  <w:num w:numId="61">
    <w:abstractNumId w:val="23"/>
  </w:num>
  <w:num w:numId="62">
    <w:abstractNumId w:val="151"/>
  </w:num>
  <w:num w:numId="63">
    <w:abstractNumId w:val="16"/>
  </w:num>
  <w:num w:numId="64">
    <w:abstractNumId w:val="21"/>
  </w:num>
  <w:num w:numId="65">
    <w:abstractNumId w:val="184"/>
  </w:num>
  <w:num w:numId="66">
    <w:abstractNumId w:val="90"/>
  </w:num>
  <w:num w:numId="67">
    <w:abstractNumId w:val="140"/>
  </w:num>
  <w:num w:numId="68">
    <w:abstractNumId w:val="189"/>
  </w:num>
  <w:num w:numId="69">
    <w:abstractNumId w:val="164"/>
  </w:num>
  <w:num w:numId="70">
    <w:abstractNumId w:val="173"/>
  </w:num>
  <w:num w:numId="71">
    <w:abstractNumId w:val="180"/>
  </w:num>
  <w:num w:numId="72">
    <w:abstractNumId w:val="55"/>
  </w:num>
  <w:num w:numId="73">
    <w:abstractNumId w:val="52"/>
  </w:num>
  <w:num w:numId="74">
    <w:abstractNumId w:val="199"/>
  </w:num>
  <w:num w:numId="75">
    <w:abstractNumId w:val="25"/>
  </w:num>
  <w:num w:numId="76">
    <w:abstractNumId w:val="63"/>
  </w:num>
  <w:num w:numId="77">
    <w:abstractNumId w:val="109"/>
  </w:num>
  <w:num w:numId="78">
    <w:abstractNumId w:val="127"/>
  </w:num>
  <w:num w:numId="79">
    <w:abstractNumId w:val="56"/>
  </w:num>
  <w:num w:numId="80">
    <w:abstractNumId w:val="145"/>
  </w:num>
  <w:num w:numId="81">
    <w:abstractNumId w:val="84"/>
  </w:num>
  <w:num w:numId="82">
    <w:abstractNumId w:val="72"/>
  </w:num>
  <w:num w:numId="83">
    <w:abstractNumId w:val="80"/>
  </w:num>
  <w:num w:numId="84">
    <w:abstractNumId w:val="201"/>
  </w:num>
  <w:num w:numId="85">
    <w:abstractNumId w:val="79"/>
  </w:num>
  <w:num w:numId="86">
    <w:abstractNumId w:val="215"/>
  </w:num>
  <w:num w:numId="87">
    <w:abstractNumId w:val="28"/>
  </w:num>
  <w:num w:numId="88">
    <w:abstractNumId w:val="182"/>
  </w:num>
  <w:num w:numId="89">
    <w:abstractNumId w:val="37"/>
  </w:num>
  <w:num w:numId="90">
    <w:abstractNumId w:val="198"/>
  </w:num>
  <w:num w:numId="91">
    <w:abstractNumId w:val="137"/>
  </w:num>
  <w:num w:numId="92">
    <w:abstractNumId w:val="136"/>
  </w:num>
  <w:num w:numId="93">
    <w:abstractNumId w:val="45"/>
  </w:num>
  <w:num w:numId="94">
    <w:abstractNumId w:val="7"/>
  </w:num>
  <w:num w:numId="95">
    <w:abstractNumId w:val="144"/>
  </w:num>
  <w:num w:numId="96">
    <w:abstractNumId w:val="112"/>
  </w:num>
  <w:num w:numId="97">
    <w:abstractNumId w:val="149"/>
  </w:num>
  <w:num w:numId="98">
    <w:abstractNumId w:val="88"/>
  </w:num>
  <w:num w:numId="99">
    <w:abstractNumId w:val="5"/>
  </w:num>
  <w:num w:numId="100">
    <w:abstractNumId w:val="41"/>
  </w:num>
  <w:num w:numId="101">
    <w:abstractNumId w:val="134"/>
  </w:num>
  <w:num w:numId="102">
    <w:abstractNumId w:val="94"/>
  </w:num>
  <w:num w:numId="103">
    <w:abstractNumId w:val="22"/>
  </w:num>
  <w:num w:numId="104">
    <w:abstractNumId w:val="204"/>
  </w:num>
  <w:num w:numId="105">
    <w:abstractNumId w:val="113"/>
  </w:num>
  <w:num w:numId="106">
    <w:abstractNumId w:val="181"/>
  </w:num>
  <w:num w:numId="107">
    <w:abstractNumId w:val="161"/>
  </w:num>
  <w:num w:numId="108">
    <w:abstractNumId w:val="168"/>
  </w:num>
  <w:num w:numId="109">
    <w:abstractNumId w:val="210"/>
  </w:num>
  <w:num w:numId="110">
    <w:abstractNumId w:val="10"/>
  </w:num>
  <w:num w:numId="111">
    <w:abstractNumId w:val="209"/>
  </w:num>
  <w:num w:numId="112">
    <w:abstractNumId w:val="43"/>
  </w:num>
  <w:num w:numId="113">
    <w:abstractNumId w:val="111"/>
  </w:num>
  <w:num w:numId="114">
    <w:abstractNumId w:val="178"/>
  </w:num>
  <w:num w:numId="115">
    <w:abstractNumId w:val="36"/>
  </w:num>
  <w:num w:numId="116">
    <w:abstractNumId w:val="89"/>
  </w:num>
  <w:num w:numId="117">
    <w:abstractNumId w:val="46"/>
  </w:num>
  <w:num w:numId="118">
    <w:abstractNumId w:val="83"/>
  </w:num>
  <w:num w:numId="119">
    <w:abstractNumId w:val="13"/>
  </w:num>
  <w:num w:numId="120">
    <w:abstractNumId w:val="163"/>
  </w:num>
  <w:num w:numId="121">
    <w:abstractNumId w:val="62"/>
  </w:num>
  <w:num w:numId="122">
    <w:abstractNumId w:val="47"/>
  </w:num>
  <w:num w:numId="123">
    <w:abstractNumId w:val="42"/>
  </w:num>
  <w:num w:numId="124">
    <w:abstractNumId w:val="6"/>
  </w:num>
  <w:num w:numId="125">
    <w:abstractNumId w:val="14"/>
  </w:num>
  <w:num w:numId="126">
    <w:abstractNumId w:val="128"/>
  </w:num>
  <w:num w:numId="127">
    <w:abstractNumId w:val="96"/>
  </w:num>
  <w:num w:numId="128">
    <w:abstractNumId w:val="91"/>
  </w:num>
  <w:num w:numId="129">
    <w:abstractNumId w:val="24"/>
  </w:num>
  <w:num w:numId="130">
    <w:abstractNumId w:val="2"/>
  </w:num>
  <w:num w:numId="131">
    <w:abstractNumId w:val="143"/>
  </w:num>
  <w:num w:numId="132">
    <w:abstractNumId w:val="59"/>
  </w:num>
  <w:num w:numId="133">
    <w:abstractNumId w:val="20"/>
  </w:num>
  <w:num w:numId="134">
    <w:abstractNumId w:val="17"/>
  </w:num>
  <w:num w:numId="135">
    <w:abstractNumId w:val="129"/>
  </w:num>
  <w:num w:numId="136">
    <w:abstractNumId w:val="50"/>
  </w:num>
  <w:num w:numId="137">
    <w:abstractNumId w:val="214"/>
  </w:num>
  <w:num w:numId="138">
    <w:abstractNumId w:val="11"/>
  </w:num>
  <w:num w:numId="139">
    <w:abstractNumId w:val="101"/>
  </w:num>
  <w:num w:numId="140">
    <w:abstractNumId w:val="172"/>
  </w:num>
  <w:num w:numId="141">
    <w:abstractNumId w:val="57"/>
  </w:num>
  <w:num w:numId="142">
    <w:abstractNumId w:val="76"/>
  </w:num>
  <w:num w:numId="143">
    <w:abstractNumId w:val="177"/>
  </w:num>
  <w:num w:numId="144">
    <w:abstractNumId w:val="207"/>
  </w:num>
  <w:num w:numId="145">
    <w:abstractNumId w:val="205"/>
  </w:num>
  <w:num w:numId="146">
    <w:abstractNumId w:val="12"/>
  </w:num>
  <w:num w:numId="147">
    <w:abstractNumId w:val="142"/>
  </w:num>
  <w:num w:numId="148">
    <w:abstractNumId w:val="131"/>
  </w:num>
  <w:num w:numId="149">
    <w:abstractNumId w:val="154"/>
  </w:num>
  <w:num w:numId="150">
    <w:abstractNumId w:val="158"/>
  </w:num>
  <w:num w:numId="151">
    <w:abstractNumId w:val="82"/>
  </w:num>
  <w:num w:numId="152">
    <w:abstractNumId w:val="203"/>
  </w:num>
  <w:num w:numId="153">
    <w:abstractNumId w:val="155"/>
  </w:num>
  <w:num w:numId="154">
    <w:abstractNumId w:val="31"/>
  </w:num>
  <w:num w:numId="155">
    <w:abstractNumId w:val="118"/>
  </w:num>
  <w:num w:numId="156">
    <w:abstractNumId w:val="18"/>
  </w:num>
  <w:num w:numId="157">
    <w:abstractNumId w:val="194"/>
  </w:num>
  <w:num w:numId="158">
    <w:abstractNumId w:val="121"/>
  </w:num>
  <w:num w:numId="159">
    <w:abstractNumId w:val="3"/>
  </w:num>
  <w:num w:numId="160">
    <w:abstractNumId w:val="169"/>
  </w:num>
  <w:num w:numId="161">
    <w:abstractNumId w:val="193"/>
  </w:num>
  <w:num w:numId="162">
    <w:abstractNumId w:val="216"/>
  </w:num>
  <w:num w:numId="163">
    <w:abstractNumId w:val="19"/>
  </w:num>
  <w:num w:numId="164">
    <w:abstractNumId w:val="78"/>
  </w:num>
  <w:num w:numId="165">
    <w:abstractNumId w:val="211"/>
  </w:num>
  <w:num w:numId="166">
    <w:abstractNumId w:val="32"/>
  </w:num>
  <w:num w:numId="167">
    <w:abstractNumId w:val="34"/>
  </w:num>
  <w:num w:numId="168">
    <w:abstractNumId w:val="81"/>
  </w:num>
  <w:num w:numId="169">
    <w:abstractNumId w:val="141"/>
  </w:num>
  <w:num w:numId="170">
    <w:abstractNumId w:val="65"/>
  </w:num>
  <w:num w:numId="171">
    <w:abstractNumId w:val="74"/>
  </w:num>
  <w:num w:numId="172">
    <w:abstractNumId w:val="75"/>
  </w:num>
  <w:num w:numId="173">
    <w:abstractNumId w:val="26"/>
  </w:num>
  <w:num w:numId="174">
    <w:abstractNumId w:val="0"/>
  </w:num>
  <w:num w:numId="175">
    <w:abstractNumId w:val="213"/>
  </w:num>
  <w:num w:numId="176">
    <w:abstractNumId w:val="33"/>
  </w:num>
  <w:num w:numId="177">
    <w:abstractNumId w:val="156"/>
  </w:num>
  <w:num w:numId="178">
    <w:abstractNumId w:val="217"/>
  </w:num>
  <w:num w:numId="179">
    <w:abstractNumId w:val="49"/>
  </w:num>
  <w:num w:numId="180">
    <w:abstractNumId w:val="132"/>
  </w:num>
  <w:num w:numId="181">
    <w:abstractNumId w:val="8"/>
  </w:num>
  <w:num w:numId="182">
    <w:abstractNumId w:val="105"/>
  </w:num>
  <w:num w:numId="183">
    <w:abstractNumId w:val="124"/>
  </w:num>
  <w:num w:numId="184">
    <w:abstractNumId w:val="171"/>
  </w:num>
  <w:num w:numId="185">
    <w:abstractNumId w:val="110"/>
  </w:num>
  <w:num w:numId="186">
    <w:abstractNumId w:val="95"/>
  </w:num>
  <w:num w:numId="187">
    <w:abstractNumId w:val="39"/>
  </w:num>
  <w:num w:numId="188">
    <w:abstractNumId w:val="183"/>
  </w:num>
  <w:num w:numId="189">
    <w:abstractNumId w:val="116"/>
  </w:num>
  <w:num w:numId="190">
    <w:abstractNumId w:val="148"/>
  </w:num>
  <w:num w:numId="191">
    <w:abstractNumId w:val="146"/>
  </w:num>
  <w:num w:numId="192">
    <w:abstractNumId w:val="107"/>
  </w:num>
  <w:num w:numId="193">
    <w:abstractNumId w:val="97"/>
  </w:num>
  <w:num w:numId="194">
    <w:abstractNumId w:val="93"/>
  </w:num>
  <w:num w:numId="195">
    <w:abstractNumId w:val="86"/>
  </w:num>
  <w:num w:numId="196">
    <w:abstractNumId w:val="135"/>
  </w:num>
  <w:num w:numId="197">
    <w:abstractNumId w:val="98"/>
  </w:num>
  <w:num w:numId="198">
    <w:abstractNumId w:val="64"/>
  </w:num>
  <w:num w:numId="199">
    <w:abstractNumId w:val="38"/>
  </w:num>
  <w:num w:numId="200">
    <w:abstractNumId w:val="44"/>
  </w:num>
  <w:num w:numId="201">
    <w:abstractNumId w:val="162"/>
  </w:num>
  <w:num w:numId="202">
    <w:abstractNumId w:val="197"/>
  </w:num>
  <w:num w:numId="203">
    <w:abstractNumId w:val="85"/>
  </w:num>
  <w:num w:numId="204">
    <w:abstractNumId w:val="30"/>
  </w:num>
  <w:num w:numId="205">
    <w:abstractNumId w:val="68"/>
  </w:num>
  <w:num w:numId="206">
    <w:abstractNumId w:val="157"/>
  </w:num>
  <w:num w:numId="207">
    <w:abstractNumId w:val="120"/>
  </w:num>
  <w:num w:numId="208">
    <w:abstractNumId w:val="191"/>
  </w:num>
  <w:num w:numId="209">
    <w:abstractNumId w:val="123"/>
  </w:num>
  <w:num w:numId="210">
    <w:abstractNumId w:val="58"/>
  </w:num>
  <w:num w:numId="211">
    <w:abstractNumId w:val="15"/>
  </w:num>
  <w:num w:numId="212">
    <w:abstractNumId w:val="174"/>
  </w:num>
  <w:num w:numId="213">
    <w:abstractNumId w:val="212"/>
  </w:num>
  <w:num w:numId="214">
    <w:abstractNumId w:val="77"/>
  </w:num>
  <w:num w:numId="215">
    <w:abstractNumId w:val="150"/>
  </w:num>
  <w:num w:numId="216">
    <w:abstractNumId w:val="202"/>
  </w:num>
  <w:num w:numId="217">
    <w:abstractNumId w:val="152"/>
  </w:num>
  <w:num w:numId="218">
    <w:abstractNumId w:val="6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56BF8"/>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E7C99"/>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2B81"/>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22DB"/>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A5E"/>
    <w:rsid w:val="00BA3BBA"/>
    <w:rsid w:val="00BA41E3"/>
    <w:rsid w:val="00BA502D"/>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6059A"/>
    <w:rsid w:val="00E617A8"/>
    <w:rsid w:val="00E62FB8"/>
    <w:rsid w:val="00E6357B"/>
    <w:rsid w:val="00E64E6E"/>
    <w:rsid w:val="00E71300"/>
    <w:rsid w:val="00E739B7"/>
    <w:rsid w:val="00E73E94"/>
    <w:rsid w:val="00E756C0"/>
    <w:rsid w:val="00E7576A"/>
    <w:rsid w:val="00E7696A"/>
    <w:rsid w:val="00E77118"/>
    <w:rsid w:val="00E84BE2"/>
    <w:rsid w:val="00E877F2"/>
    <w:rsid w:val="00E90B58"/>
    <w:rsid w:val="00E90CBD"/>
    <w:rsid w:val="00E911AC"/>
    <w:rsid w:val="00E91BB8"/>
    <w:rsid w:val="00E9203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57CBB"/>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85" Type="http://schemas.openxmlformats.org/officeDocument/2006/relationships/hyperlink" Target="http://www.mass.gov/eea/agencies/massdep/water/drinking" TargetMode="External"/><Relationship Id="rId93" Type="http://schemas.openxmlformats.org/officeDocument/2006/relationships/chart" Target="charts/chart6.xml"/><Relationship Id="rId98" Type="http://schemas.openxmlformats.org/officeDocument/2006/relationships/hyperlink" Target="http://www.mass.gov/eea/agencies/massdep/water/drinking" TargetMode="External"/><Relationship Id="rId3" Type="http://schemas.openxmlformats.org/officeDocument/2006/relationships/styles" Target="styles.xml"/><Relationship Id="rId84" Type="http://schemas.openxmlformats.org/officeDocument/2006/relationships/image" Target="media/image32.svg"/><Relationship Id="rId89" Type="http://schemas.openxmlformats.org/officeDocument/2006/relationships/image" Target="media/image34.svg"/><Relationship Id="rId97" Type="http://schemas.openxmlformats.org/officeDocument/2006/relationships/hyperlink" Target="http://www.mass.gov/dph/beaches" TargetMode="External"/><Relationship Id="rId7" Type="http://schemas.openxmlformats.org/officeDocument/2006/relationships/footnotes" Target="footnotes.xml"/><Relationship Id="rId12" Type="http://schemas.openxmlformats.org/officeDocument/2006/relationships/chart" Target="charts/chart1.xml"/><Relationship Id="rId92" Type="http://schemas.openxmlformats.org/officeDocument/2006/relationships/chart" Target="charts/chart5.xml"/><Relationship Id="rId103" Type="http://schemas.openxmlformats.org/officeDocument/2006/relationships/theme" Target="theme/theme1.xml"/><Relationship Id="rId2" Type="http://schemas.openxmlformats.org/officeDocument/2006/relationships/numbering" Target="numbering.xml"/><Relationship Id="rId83" Type="http://schemas.openxmlformats.org/officeDocument/2006/relationships/image" Target="media/image4.png"/><Relationship Id="rId88" Type="http://schemas.openxmlformats.org/officeDocument/2006/relationships/image" Target="media/image5.png"/><Relationship Id="rId91" Type="http://schemas.openxmlformats.org/officeDocument/2006/relationships/chart" Target="charts/chart4.xml"/><Relationship Id="rId96" Type="http://schemas.openxmlformats.org/officeDocument/2006/relationships/hyperlink" Target="http://www.mass.gov/eea/docs/dep/toxics/stypes/fishform.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87" Type="http://schemas.openxmlformats.org/officeDocument/2006/relationships/chart" Target="charts/chart2.xml"/><Relationship Id="rId102" Type="http://schemas.openxmlformats.org/officeDocument/2006/relationships/fontTable" Target="fontTable.xml"/><Relationship Id="rId5" Type="http://schemas.openxmlformats.org/officeDocument/2006/relationships/settings" Target="settings.xml"/><Relationship Id="rId82" Type="http://schemas.openxmlformats.org/officeDocument/2006/relationships/image" Target="media/image30.svg"/><Relationship Id="rId90" Type="http://schemas.openxmlformats.org/officeDocument/2006/relationships/chart" Target="charts/chart3.xml"/><Relationship Id="rId95" Type="http://schemas.openxmlformats.org/officeDocument/2006/relationships/hyperlink" Target="http://www.mass.gov/dph/fishadvisories" TargetMode="External"/><Relationship Id="rId10" Type="http://schemas.openxmlformats.org/officeDocument/2006/relationships/image" Target="media/image2.jpeg"/><Relationship Id="rId86" Type="http://schemas.openxmlformats.org/officeDocument/2006/relationships/hyperlink" Target="http://www.mass.gov/eea/agencies/massdep/water/drinking/overview-of-the-source-water-assessment-and-protection-pr.html" TargetMode="External"/><Relationship Id="rId94" Type="http://schemas.openxmlformats.org/officeDocument/2006/relationships/chart" Target="charts/chart7.xml"/><Relationship Id="rId99" Type="http://schemas.openxmlformats.org/officeDocument/2006/relationships/hyperlink" Target="http://www.mass.gov/dph/matracking" TargetMode="External"/><Relationship Id="rId101" Type="http://schemas.openxmlformats.org/officeDocument/2006/relationships/hyperlink" Target="http://www.mass.gov/dph/clppp" TargetMode="External"/><Relationship Id="rId4" Type="http://schemas.microsoft.com/office/2007/relationships/stylesWithEffects" Target="stylesWithEffects.xml"/><Relationship Id="rId9" Type="http://schemas.openxmlformats.org/officeDocument/2006/relationships/image" Target="media/image1.jpeg"/><Relationship Id="rId100" Type="http://schemas.openxmlformats.org/officeDocument/2006/relationships/hyperlink" Target="http://www.mass.gov/eea/agencies/massdep/water/drinking/testing-assistance-for-lead-in-school-drinking-water.html"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n.cdc.gov/nndss/conditions/lead-elevated-blood-levels/case-definition/2016/" TargetMode="External"/><Relationship Id="rId13" Type="http://schemas.openxmlformats.org/officeDocument/2006/relationships/hyperlink" Target="http://www.mass.gov/eea/agencies/massdep/water/drinking/overview-of-the-source-water-assessment-and-protection-pr.html" TargetMode="External"/><Relationship Id="rId3" Type="http://schemas.openxmlformats.org/officeDocument/2006/relationships/hyperlink" Target="https://ephtracking.cdc.gov/showIndicatorPages.action?selectedContentAreaAbbreviation=15&amp;selectedIndicatorId=97&amp;selectedMeasureId" TargetMode="External"/><Relationship Id="rId7" Type="http://schemas.openxmlformats.org/officeDocument/2006/relationships/hyperlink" Target="https://www.osha.gov/SLTC/lead/healtheffects.html" TargetMode="External"/><Relationship Id="rId12" Type="http://schemas.openxmlformats.org/officeDocument/2006/relationships/hyperlink" Target="http://www.mass.gov/eohhs/docs/dph/occupational-health/lead-at-work.pdf" TargetMode="External"/><Relationship Id="rId2" Type="http://schemas.openxmlformats.org/officeDocument/2006/relationships/hyperlink" Target="https://matracking.ehs.state.ma.us/" TargetMode="External"/><Relationship Id="rId1" Type="http://schemas.openxmlformats.org/officeDocument/2006/relationships/hyperlink" Target="https://matracking.ehs.state.ma.us/Environmental-Data/Air-Quality/Air-Quality-FAQ.html" TargetMode="External"/><Relationship Id="rId6" Type="http://schemas.openxmlformats.org/officeDocument/2006/relationships/hyperlink" Target="https://matracking.ehs.state.ma.us/Health-Data/heat-stress-hospitalization.html" TargetMode="External"/><Relationship Id="rId11" Type="http://schemas.openxmlformats.org/officeDocument/2006/relationships/hyperlink" Target="https://www.cdc.gov/mmwr/preview/mmwrhtml/mm6254a4.htm" TargetMode="External"/><Relationship Id="rId5" Type="http://schemas.openxmlformats.org/officeDocument/2006/relationships/hyperlink" Target="http://dx.doi.org/10.7930/J0R49NQX" TargetMode="External"/><Relationship Id="rId10" Type="http://schemas.openxmlformats.org/officeDocument/2006/relationships/hyperlink" Target="https://www.epa.gov/lead/lead-renovation-repair-and-painting-program-rules.%20Accessed%20July%2017" TargetMode="External"/><Relationship Id="rId4" Type="http://schemas.openxmlformats.org/officeDocument/2006/relationships/hyperlink" Target="https://www.epa.gov/sites/production/files/2016-10/documents/extreme-heat-guidebook.pdf" TargetMode="External"/><Relationship Id="rId9" Type="http://schemas.openxmlformats.org/officeDocument/2006/relationships/hyperlink" Target="https://www.osha.gov/SLTC/lead/"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3\MA%20SHA_Chapter%203_Figures_9.21.17.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hria-fs\Berkeley\Common\Research&amp;Eval%20Dept\R&amp;E%20ACTIVE%20PROJECTS\MA%20SHA\SHA%20Report\Chapter%203\MA%20SHA_Chapter%203_Figures_9.21.17.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3\MA%20SHA_Chapter%203_Figures_9.21.17.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3\MA%20SHA_Chapter%203_Figures_9.21.17.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3\MA%20SHA_Chapter%203_Figures_9.21.17.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3\MA%20SHA_Chapter%203_Figures_9.21.17.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3\MA%20SHA_Chapter%203_Figures_9.21.17.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4"/>
          <c:order val="0"/>
          <c:tx>
            <c:strRef>
              <c:f>'Figure 3.1'!$A$17</c:f>
              <c:strCache>
                <c:ptCount val="1"/>
                <c:pt idx="0">
                  <c:v>Massachusetts</c:v>
                </c:pt>
              </c:strCache>
            </c:strRef>
          </c:tx>
          <c:spPr>
            <a:ln>
              <a:solidFill>
                <a:srgbClr val="203864"/>
              </a:solidFill>
            </a:ln>
          </c:spPr>
          <c:marker>
            <c:symbol val="circle"/>
            <c:size val="7"/>
            <c:spPr>
              <a:solidFill>
                <a:schemeClr val="bg1"/>
              </a:solidFill>
              <a:ln>
                <a:solidFill>
                  <a:srgbClr val="203864"/>
                </a:solidFill>
              </a:ln>
            </c:spPr>
          </c:marker>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CE8-4AF4-9A94-A21B6B6F5648}"/>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CE8-4AF4-9A94-A21B6B6F5648}"/>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CE8-4AF4-9A94-A21B6B6F5648}"/>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8CE8-4AF4-9A94-A21B6B6F5648}"/>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CE8-4AF4-9A94-A21B6B6F5648}"/>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8CE8-4AF4-9A94-A21B6B6F5648}"/>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CE8-4AF4-9A94-A21B6B6F5648}"/>
                </c:ext>
              </c:extLst>
            </c:dLbl>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'Figure 3.1'!$B$2:$L$2</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'Figure 3.1'!$B$17:$L$17</c:f>
              <c:numCache>
                <c:formatCode>General</c:formatCode>
                <c:ptCount val="11"/>
                <c:pt idx="0">
                  <c:v>131</c:v>
                </c:pt>
                <c:pt idx="1">
                  <c:v>77</c:v>
                </c:pt>
                <c:pt idx="2">
                  <c:v>138</c:v>
                </c:pt>
                <c:pt idx="3">
                  <c:v>47</c:v>
                </c:pt>
                <c:pt idx="4">
                  <c:v>29</c:v>
                </c:pt>
                <c:pt idx="5">
                  <c:v>31</c:v>
                </c:pt>
                <c:pt idx="6">
                  <c:v>19</c:v>
                </c:pt>
                <c:pt idx="7">
                  <c:v>36</c:v>
                </c:pt>
                <c:pt idx="8">
                  <c:v>13</c:v>
                </c:pt>
                <c:pt idx="9">
                  <c:v>0</c:v>
                </c:pt>
                <c:pt idx="10">
                  <c:v>7</c:v>
                </c:pt>
              </c:numCache>
            </c:numRef>
          </c:val>
          <c:smooth val="0"/>
          <c:extLst xmlns:c16r2="http://schemas.microsoft.com/office/drawing/2015/06/chart">
            <c:ext xmlns:c16="http://schemas.microsoft.com/office/drawing/2014/chart" uri="{C3380CC4-5D6E-409C-BE32-E72D297353CC}">
              <c16:uniqueId val="{0000000E-8CE8-4AF4-9A94-A21B6B6F5648}"/>
            </c:ext>
          </c:extLst>
        </c:ser>
        <c:dLbls>
          <c:showLegendKey val="0"/>
          <c:showVal val="0"/>
          <c:showCatName val="0"/>
          <c:showSerName val="0"/>
          <c:showPercent val="0"/>
          <c:showBubbleSize val="0"/>
        </c:dLbls>
        <c:marker val="1"/>
        <c:smooth val="0"/>
        <c:axId val="169759872"/>
        <c:axId val="169761792"/>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'Figure 3.1'!$A$3</c15:sqref>
                        </c15:formulaRef>
                      </c:ext>
                    </c:extLst>
                    <c:strCache>
                      <c:ptCount val="1"/>
                      <c:pt idx="0">
                        <c:v>Barnstable</c:v>
                      </c:pt>
                    </c:strCache>
                  </c:strRef>
                </c:tx>
                <c:marker>
                  <c:spPr>
                    <a:solidFill>
                      <a:schemeClr val="bg1"/>
                    </a:solidFill>
                    <a:ln>
                      <a:solidFill>
                        <a:srgbClr val="203864"/>
                      </a:solidFill>
                    </a:ln>
                  </c:spPr>
                </c:marker>
                <c:cat>
                  <c:numRef>
                    <c:extLst>
                      <c:ex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c:ext uri="{02D57815-91ED-43cb-92C2-25804820EDAC}">
                        <c15:formulaRef>
                          <c15:sqref>'Figure 3.1'!$B$3:$L$3</c15:sqref>
                        </c15:formulaRef>
                      </c:ext>
                    </c:extLst>
                    <c:numCache>
                      <c:formatCode>General</c:formatCode>
                      <c:ptCount val="11"/>
                      <c:pt idx="0">
                        <c:v>15</c:v>
                      </c:pt>
                      <c:pt idx="1">
                        <c:v>12</c:v>
                      </c:pt>
                      <c:pt idx="2">
                        <c:v>13</c:v>
                      </c:pt>
                      <c:pt idx="3">
                        <c:v>3</c:v>
                      </c:pt>
                      <c:pt idx="4">
                        <c:v>2</c:v>
                      </c:pt>
                      <c:pt idx="5">
                        <c:v>4</c:v>
                      </c:pt>
                      <c:pt idx="6">
                        <c:v>0</c:v>
                      </c:pt>
                      <c:pt idx="7">
                        <c:v>6</c:v>
                      </c:pt>
                      <c:pt idx="8">
                        <c:v>2</c:v>
                      </c:pt>
                      <c:pt idx="9">
                        <c:v>0</c:v>
                      </c:pt>
                    </c:numCache>
                  </c:numRef>
                </c:val>
                <c:smooth val="0"/>
                <c:extLst>
                  <c:ext xmlns:c16="http://schemas.microsoft.com/office/drawing/2014/chart" uri="{C3380CC4-5D6E-409C-BE32-E72D297353CC}">
                    <c16:uniqueId val="{00000000-8CE8-4AF4-9A94-A21B6B6F564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'Figure 3.1'!$A$4</c15:sqref>
                        </c15:formulaRef>
                      </c:ext>
                    </c:extLst>
                    <c:strCache>
                      <c:ptCount val="1"/>
                      <c:pt idx="0">
                        <c:v>Berkshire</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3.1'!$B$4:$L$4</c15:sqref>
                        </c15:formulaRef>
                      </c:ext>
                    </c:extLst>
                    <c:numCache>
                      <c:formatCode>General</c:formatCode>
                      <c:ptCount val="11"/>
                      <c:pt idx="0">
                        <c:v>11</c:v>
                      </c:pt>
                      <c:pt idx="1">
                        <c:v>4</c:v>
                      </c:pt>
                      <c:pt idx="2">
                        <c:v>11</c:v>
                      </c:pt>
                      <c:pt idx="3">
                        <c:v>2</c:v>
                      </c:pt>
                      <c:pt idx="4">
                        <c:v>2</c:v>
                      </c:pt>
                      <c:pt idx="7">
                        <c:v>0</c:v>
                      </c:pt>
                      <c:pt idx="8">
                        <c:v>1</c:v>
                      </c:pt>
                      <c:pt idx="9">
                        <c:v>0</c:v>
                      </c:pt>
                    </c:numCache>
                  </c:numRef>
                </c:val>
                <c:smooth val="0"/>
                <c:extLst xmlns:c15="http://schemas.microsoft.com/office/drawing/2012/chart">
                  <c:ext xmlns:c16="http://schemas.microsoft.com/office/drawing/2014/chart" uri="{C3380CC4-5D6E-409C-BE32-E72D297353CC}">
                    <c16:uniqueId val="{00000001-8CE8-4AF4-9A94-A21B6B6F564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'Figure 3.1'!$A$5</c15:sqref>
                        </c15:formulaRef>
                      </c:ext>
                    </c:extLst>
                    <c:strCache>
                      <c:ptCount val="1"/>
                      <c:pt idx="0">
                        <c:v>Bristol</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3.1'!$B$5:$L$5</c15:sqref>
                        </c15:formulaRef>
                      </c:ext>
                    </c:extLst>
                    <c:numCache>
                      <c:formatCode>General</c:formatCode>
                      <c:ptCount val="11"/>
                      <c:pt idx="0">
                        <c:v>9</c:v>
                      </c:pt>
                      <c:pt idx="1">
                        <c:v>8</c:v>
                      </c:pt>
                      <c:pt idx="2">
                        <c:v>3</c:v>
                      </c:pt>
                      <c:pt idx="3">
                        <c:v>4</c:v>
                      </c:pt>
                      <c:pt idx="4">
                        <c:v>1</c:v>
                      </c:pt>
                      <c:pt idx="5">
                        <c:v>5</c:v>
                      </c:pt>
                      <c:pt idx="6">
                        <c:v>4</c:v>
                      </c:pt>
                      <c:pt idx="7">
                        <c:v>6</c:v>
                      </c:pt>
                      <c:pt idx="8">
                        <c:v>4</c:v>
                      </c:pt>
                      <c:pt idx="9">
                        <c:v>0</c:v>
                      </c:pt>
                      <c:pt idx="10">
                        <c:v>1</c:v>
                      </c:pt>
                    </c:numCache>
                  </c:numRef>
                </c:val>
                <c:smooth val="0"/>
                <c:extLst xmlns:c15="http://schemas.microsoft.com/office/drawing/2012/chart">
                  <c:ext xmlns:c16="http://schemas.microsoft.com/office/drawing/2014/chart" uri="{C3380CC4-5D6E-409C-BE32-E72D297353CC}">
                    <c16:uniqueId val="{00000002-8CE8-4AF4-9A94-A21B6B6F564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'Figure 3.1'!$A$6</c15:sqref>
                        </c15:formulaRef>
                      </c:ext>
                    </c:extLst>
                    <c:strCache>
                      <c:ptCount val="1"/>
                      <c:pt idx="0">
                        <c:v>Dukes</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3.1'!$B$6:$L$6</c15:sqref>
                        </c15:formulaRef>
                      </c:ext>
                    </c:extLst>
                    <c:numCache>
                      <c:formatCode>General</c:formatCode>
                      <c:ptCount val="11"/>
                      <c:pt idx="0">
                        <c:v>15</c:v>
                      </c:pt>
                      <c:pt idx="1">
                        <c:v>6</c:v>
                      </c:pt>
                      <c:pt idx="2">
                        <c:v>6</c:v>
                      </c:pt>
                      <c:pt idx="3">
                        <c:v>5</c:v>
                      </c:pt>
                      <c:pt idx="5">
                        <c:v>6</c:v>
                      </c:pt>
                      <c:pt idx="6">
                        <c:v>5</c:v>
                      </c:pt>
                      <c:pt idx="7">
                        <c:v>8</c:v>
                      </c:pt>
                      <c:pt idx="8">
                        <c:v>1</c:v>
                      </c:pt>
                      <c:pt idx="9">
                        <c:v>0</c:v>
                      </c:pt>
                    </c:numCache>
                  </c:numRef>
                </c:val>
                <c:smooth val="0"/>
                <c:extLst xmlns:c15="http://schemas.microsoft.com/office/drawing/2012/chart">
                  <c:ext xmlns:c16="http://schemas.microsoft.com/office/drawing/2014/chart" uri="{C3380CC4-5D6E-409C-BE32-E72D297353CC}">
                    <c16:uniqueId val="{00000003-8CE8-4AF4-9A94-A21B6B6F564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'Figure 3.1'!$A$7</c15:sqref>
                        </c15:formulaRef>
                      </c:ext>
                    </c:extLst>
                    <c:strCache>
                      <c:ptCount val="1"/>
                      <c:pt idx="0">
                        <c:v>Essex</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3.1'!$B$7:$L$7</c15:sqref>
                        </c15:formulaRef>
                      </c:ext>
                    </c:extLst>
                    <c:numCache>
                      <c:formatCode>General</c:formatCode>
                      <c:ptCount val="11"/>
                      <c:pt idx="0">
                        <c:v>14</c:v>
                      </c:pt>
                      <c:pt idx="1">
                        <c:v>6</c:v>
                      </c:pt>
                      <c:pt idx="2">
                        <c:v>17</c:v>
                      </c:pt>
                      <c:pt idx="3">
                        <c:v>5</c:v>
                      </c:pt>
                      <c:pt idx="4">
                        <c:v>3</c:v>
                      </c:pt>
                      <c:pt idx="5">
                        <c:v>2</c:v>
                      </c:pt>
                      <c:pt idx="6">
                        <c:v>1</c:v>
                      </c:pt>
                      <c:pt idx="7">
                        <c:v>4</c:v>
                      </c:pt>
                      <c:pt idx="8">
                        <c:v>2</c:v>
                      </c:pt>
                      <c:pt idx="9">
                        <c:v>0</c:v>
                      </c:pt>
                      <c:pt idx="10">
                        <c:v>1</c:v>
                      </c:pt>
                    </c:numCache>
                  </c:numRef>
                </c:val>
                <c:smooth val="0"/>
                <c:extLst xmlns:c15="http://schemas.microsoft.com/office/drawing/2012/chart">
                  <c:ext xmlns:c16="http://schemas.microsoft.com/office/drawing/2014/chart" uri="{C3380CC4-5D6E-409C-BE32-E72D297353CC}">
                    <c16:uniqueId val="{00000004-8CE8-4AF4-9A94-A21B6B6F5648}"/>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'Figure 3.1'!$A$8</c15:sqref>
                        </c15:formulaRef>
                      </c:ext>
                    </c:extLst>
                    <c:strCache>
                      <c:ptCount val="1"/>
                      <c:pt idx="0">
                        <c:v>Franklin</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3.1'!$B$8:$L$8</c15:sqref>
                        </c15:formulaRef>
                      </c:ext>
                    </c:extLst>
                    <c:numCache>
                      <c:formatCode>General</c:formatCode>
                      <c:ptCount val="11"/>
                      <c:pt idx="9">
                        <c:v>0</c:v>
                      </c:pt>
                      <c:pt idx="10">
                        <c:v>0</c:v>
                      </c:pt>
                    </c:numCache>
                  </c:numRef>
                </c:val>
                <c:smooth val="0"/>
                <c:extLst xmlns:c15="http://schemas.microsoft.com/office/drawing/2012/chart">
                  <c:ext xmlns:c16="http://schemas.microsoft.com/office/drawing/2014/chart" uri="{C3380CC4-5D6E-409C-BE32-E72D297353CC}">
                    <c16:uniqueId val="{00000005-8CE8-4AF4-9A94-A21B6B6F5648}"/>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'Figure 3.1'!$A$9</c15:sqref>
                        </c15:formulaRef>
                      </c:ext>
                    </c:extLst>
                    <c:strCache>
                      <c:ptCount val="1"/>
                      <c:pt idx="0">
                        <c:v>Hampden</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3.1'!$B$9:$L$9</c15:sqref>
                        </c15:formulaRef>
                      </c:ext>
                    </c:extLst>
                    <c:numCache>
                      <c:formatCode>General</c:formatCode>
                      <c:ptCount val="11"/>
                      <c:pt idx="0">
                        <c:v>15</c:v>
                      </c:pt>
                      <c:pt idx="1">
                        <c:v>11</c:v>
                      </c:pt>
                      <c:pt idx="2">
                        <c:v>19</c:v>
                      </c:pt>
                      <c:pt idx="3">
                        <c:v>6</c:v>
                      </c:pt>
                      <c:pt idx="4">
                        <c:v>4</c:v>
                      </c:pt>
                      <c:pt idx="5">
                        <c:v>2</c:v>
                      </c:pt>
                      <c:pt idx="6">
                        <c:v>2</c:v>
                      </c:pt>
                      <c:pt idx="7">
                        <c:v>2</c:v>
                      </c:pt>
                      <c:pt idx="8">
                        <c:v>1</c:v>
                      </c:pt>
                      <c:pt idx="9">
                        <c:v>0</c:v>
                      </c:pt>
                      <c:pt idx="10">
                        <c:v>1</c:v>
                      </c:pt>
                    </c:numCache>
                  </c:numRef>
                </c:val>
                <c:smooth val="0"/>
                <c:extLst xmlns:c15="http://schemas.microsoft.com/office/drawing/2012/chart">
                  <c:ext xmlns:c16="http://schemas.microsoft.com/office/drawing/2014/chart" uri="{C3380CC4-5D6E-409C-BE32-E72D297353CC}">
                    <c16:uniqueId val="{00000006-8CE8-4AF4-9A94-A21B6B6F5648}"/>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'Figure 3.1'!$A$10</c15:sqref>
                        </c15:formulaRef>
                      </c:ext>
                    </c:extLst>
                    <c:strCache>
                      <c:ptCount val="1"/>
                      <c:pt idx="0">
                        <c:v>Hampshire</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3.1'!$B$10:$L$10</c15:sqref>
                        </c15:formulaRef>
                      </c:ext>
                    </c:extLst>
                    <c:numCache>
                      <c:formatCode>General</c:formatCode>
                      <c:ptCount val="11"/>
                      <c:pt idx="0">
                        <c:v>12</c:v>
                      </c:pt>
                      <c:pt idx="1">
                        <c:v>10</c:v>
                      </c:pt>
                      <c:pt idx="2">
                        <c:v>18</c:v>
                      </c:pt>
                      <c:pt idx="3">
                        <c:v>7</c:v>
                      </c:pt>
                      <c:pt idx="4">
                        <c:v>4</c:v>
                      </c:pt>
                      <c:pt idx="5">
                        <c:v>5</c:v>
                      </c:pt>
                      <c:pt idx="6">
                        <c:v>1</c:v>
                      </c:pt>
                      <c:pt idx="7">
                        <c:v>5</c:v>
                      </c:pt>
                      <c:pt idx="8">
                        <c:v>0</c:v>
                      </c:pt>
                      <c:pt idx="9">
                        <c:v>0</c:v>
                      </c:pt>
                      <c:pt idx="10">
                        <c:v>0</c:v>
                      </c:pt>
                    </c:numCache>
                  </c:numRef>
                </c:val>
                <c:smooth val="0"/>
                <c:extLst xmlns:c15="http://schemas.microsoft.com/office/drawing/2012/chart">
                  <c:ext xmlns:c16="http://schemas.microsoft.com/office/drawing/2014/chart" uri="{C3380CC4-5D6E-409C-BE32-E72D297353CC}">
                    <c16:uniqueId val="{00000007-8CE8-4AF4-9A94-A21B6B6F5648}"/>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'Figure 3.1'!$A$11</c15:sqref>
                        </c15:formulaRef>
                      </c:ext>
                    </c:extLst>
                    <c:strCache>
                      <c:ptCount val="1"/>
                      <c:pt idx="0">
                        <c:v>Middlesex</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3.1'!$B$11:$L$11</c15:sqref>
                        </c15:formulaRef>
                      </c:ext>
                    </c:extLst>
                    <c:numCache>
                      <c:formatCode>General</c:formatCode>
                      <c:ptCount val="11"/>
                      <c:pt idx="0">
                        <c:v>8</c:v>
                      </c:pt>
                      <c:pt idx="1">
                        <c:v>3</c:v>
                      </c:pt>
                      <c:pt idx="2">
                        <c:v>12</c:v>
                      </c:pt>
                      <c:pt idx="3">
                        <c:v>2</c:v>
                      </c:pt>
                      <c:pt idx="4">
                        <c:v>3</c:v>
                      </c:pt>
                      <c:pt idx="5">
                        <c:v>1</c:v>
                      </c:pt>
                      <c:pt idx="6">
                        <c:v>1</c:v>
                      </c:pt>
                      <c:pt idx="7">
                        <c:v>1</c:v>
                      </c:pt>
                      <c:pt idx="8">
                        <c:v>0</c:v>
                      </c:pt>
                      <c:pt idx="9">
                        <c:v>0</c:v>
                      </c:pt>
                      <c:pt idx="10">
                        <c:v>1</c:v>
                      </c:pt>
                    </c:numCache>
                  </c:numRef>
                </c:val>
                <c:smooth val="0"/>
                <c:extLst xmlns:c15="http://schemas.microsoft.com/office/drawing/2012/chart">
                  <c:ext xmlns:c16="http://schemas.microsoft.com/office/drawing/2014/chart" uri="{C3380CC4-5D6E-409C-BE32-E72D297353CC}">
                    <c16:uniqueId val="{00000008-8CE8-4AF4-9A94-A21B6B6F5648}"/>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'Figure 3.1'!$A$12</c15:sqref>
                        </c15:formulaRef>
                      </c:ext>
                    </c:extLst>
                    <c:strCache>
                      <c:ptCount val="1"/>
                      <c:pt idx="0">
                        <c:v>Nantucket</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3.1'!$B$12:$L$12</c15:sqref>
                        </c15:formulaRef>
                      </c:ext>
                    </c:extLst>
                    <c:numCache>
                      <c:formatCode>General</c:formatCode>
                      <c:ptCount val="11"/>
                    </c:numCache>
                  </c:numRef>
                </c:val>
                <c:smooth val="0"/>
                <c:extLst xmlns:c15="http://schemas.microsoft.com/office/drawing/2012/chart">
                  <c:ext xmlns:c16="http://schemas.microsoft.com/office/drawing/2014/chart" uri="{C3380CC4-5D6E-409C-BE32-E72D297353CC}">
                    <c16:uniqueId val="{00000009-8CE8-4AF4-9A94-A21B6B6F5648}"/>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'Figure 3.1'!$A$13</c15:sqref>
                        </c15:formulaRef>
                      </c:ext>
                    </c:extLst>
                    <c:strCache>
                      <c:ptCount val="1"/>
                      <c:pt idx="0">
                        <c:v>Norfolk</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3.1'!$B$13:$L$13</c15:sqref>
                        </c15:formulaRef>
                      </c:ext>
                    </c:extLst>
                    <c:numCache>
                      <c:formatCode>General</c:formatCode>
                      <c:ptCount val="11"/>
                      <c:pt idx="0">
                        <c:v>15</c:v>
                      </c:pt>
                      <c:pt idx="1">
                        <c:v>7</c:v>
                      </c:pt>
                      <c:pt idx="2">
                        <c:v>14</c:v>
                      </c:pt>
                      <c:pt idx="3">
                        <c:v>4</c:v>
                      </c:pt>
                      <c:pt idx="4">
                        <c:v>3</c:v>
                      </c:pt>
                      <c:pt idx="5">
                        <c:v>2</c:v>
                      </c:pt>
                      <c:pt idx="6">
                        <c:v>1</c:v>
                      </c:pt>
                      <c:pt idx="7">
                        <c:v>2</c:v>
                      </c:pt>
                      <c:pt idx="8">
                        <c:v>0</c:v>
                      </c:pt>
                      <c:pt idx="9">
                        <c:v>0</c:v>
                      </c:pt>
                      <c:pt idx="10">
                        <c:v>1</c:v>
                      </c:pt>
                    </c:numCache>
                  </c:numRef>
                </c:val>
                <c:smooth val="0"/>
                <c:extLst xmlns:c15="http://schemas.microsoft.com/office/drawing/2012/chart">
                  <c:ext xmlns:c16="http://schemas.microsoft.com/office/drawing/2014/chart" uri="{C3380CC4-5D6E-409C-BE32-E72D297353CC}">
                    <c16:uniqueId val="{0000000A-8CE8-4AF4-9A94-A21B6B6F5648}"/>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'Figure 3.1'!$A$14</c15:sqref>
                        </c15:formulaRef>
                      </c:ext>
                    </c:extLst>
                    <c:strCache>
                      <c:ptCount val="1"/>
                      <c:pt idx="0">
                        <c:v>Plymouth</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3.1'!$B$14:$L$14</c15:sqref>
                        </c15:formulaRef>
                      </c:ext>
                    </c:extLst>
                    <c:numCache>
                      <c:formatCode>General</c:formatCode>
                      <c:ptCount val="11"/>
                      <c:pt idx="9">
                        <c:v>0</c:v>
                      </c:pt>
                      <c:pt idx="10">
                        <c:v>1</c:v>
                      </c:pt>
                    </c:numCache>
                  </c:numRef>
                </c:val>
                <c:smooth val="0"/>
                <c:extLst xmlns:c15="http://schemas.microsoft.com/office/drawing/2012/chart">
                  <c:ext xmlns:c16="http://schemas.microsoft.com/office/drawing/2014/chart" uri="{C3380CC4-5D6E-409C-BE32-E72D297353CC}">
                    <c16:uniqueId val="{0000000B-8CE8-4AF4-9A94-A21B6B6F5648}"/>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'Figure 3.1'!$A$15</c15:sqref>
                        </c15:formulaRef>
                      </c:ext>
                    </c:extLst>
                    <c:strCache>
                      <c:ptCount val="1"/>
                      <c:pt idx="0">
                        <c:v>Suffolk</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3.1'!$B$15:$L$15</c15:sqref>
                        </c15:formulaRef>
                      </c:ext>
                    </c:extLst>
                    <c:numCache>
                      <c:formatCode>General</c:formatCode>
                      <c:ptCount val="11"/>
                      <c:pt idx="0">
                        <c:v>9</c:v>
                      </c:pt>
                      <c:pt idx="1">
                        <c:v>5</c:v>
                      </c:pt>
                      <c:pt idx="2">
                        <c:v>5</c:v>
                      </c:pt>
                      <c:pt idx="3">
                        <c:v>1</c:v>
                      </c:pt>
                      <c:pt idx="4">
                        <c:v>3</c:v>
                      </c:pt>
                      <c:pt idx="5">
                        <c:v>1</c:v>
                      </c:pt>
                      <c:pt idx="6">
                        <c:v>1</c:v>
                      </c:pt>
                      <c:pt idx="7">
                        <c:v>1</c:v>
                      </c:pt>
                      <c:pt idx="8">
                        <c:v>2</c:v>
                      </c:pt>
                      <c:pt idx="9">
                        <c:v>0</c:v>
                      </c:pt>
                      <c:pt idx="10">
                        <c:v>1</c:v>
                      </c:pt>
                    </c:numCache>
                  </c:numRef>
                </c:val>
                <c:smooth val="0"/>
                <c:extLst xmlns:c15="http://schemas.microsoft.com/office/drawing/2012/chart">
                  <c:ext xmlns:c16="http://schemas.microsoft.com/office/drawing/2014/chart" uri="{C3380CC4-5D6E-409C-BE32-E72D297353CC}">
                    <c16:uniqueId val="{0000000C-8CE8-4AF4-9A94-A21B6B6F5648}"/>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'Figure 3.1'!$A$16</c15:sqref>
                        </c15:formulaRef>
                      </c:ext>
                    </c:extLst>
                    <c:strCache>
                      <c:ptCount val="1"/>
                      <c:pt idx="0">
                        <c:v>Worcester</c:v>
                      </c:pt>
                    </c:strCache>
                  </c:strRef>
                </c:tx>
                <c:cat>
                  <c:numRef>
                    <c:extLst xmlns:c15="http://schemas.microsoft.com/office/drawing/2012/chart">
                      <c:ext xmlns:c15="http://schemas.microsoft.com/office/drawing/2012/chart" uri="{02D57815-91ED-43cb-92C2-25804820EDAC}">
                        <c15:formulaRef>
                          <c15:sqref>'Figure 3.1'!$B$2:$L$2</c15:sqref>
                        </c15:formulaRef>
                      </c:ext>
                    </c:extLst>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extLst xmlns:c15="http://schemas.microsoft.com/office/drawing/2012/chart">
                      <c:ext xmlns:c15="http://schemas.microsoft.com/office/drawing/2012/chart" uri="{02D57815-91ED-43cb-92C2-25804820EDAC}">
                        <c15:formulaRef>
                          <c15:sqref>'Figure 3.1'!$B$16:$L$16</c15:sqref>
                        </c15:formulaRef>
                      </c:ext>
                    </c:extLst>
                    <c:numCache>
                      <c:formatCode>General</c:formatCode>
                      <c:ptCount val="11"/>
                      <c:pt idx="0">
                        <c:v>8</c:v>
                      </c:pt>
                      <c:pt idx="1">
                        <c:v>5</c:v>
                      </c:pt>
                      <c:pt idx="2">
                        <c:v>20</c:v>
                      </c:pt>
                      <c:pt idx="3">
                        <c:v>8</c:v>
                      </c:pt>
                      <c:pt idx="4">
                        <c:v>4</c:v>
                      </c:pt>
                      <c:pt idx="5">
                        <c:v>3</c:v>
                      </c:pt>
                      <c:pt idx="6">
                        <c:v>3</c:v>
                      </c:pt>
                      <c:pt idx="7">
                        <c:v>1</c:v>
                      </c:pt>
                      <c:pt idx="8">
                        <c:v>0</c:v>
                      </c:pt>
                      <c:pt idx="9">
                        <c:v>0</c:v>
                      </c:pt>
                      <c:pt idx="10">
                        <c:v>0</c:v>
                      </c:pt>
                    </c:numCache>
                  </c:numRef>
                </c:val>
                <c:smooth val="0"/>
                <c:extLst xmlns:c15="http://schemas.microsoft.com/office/drawing/2012/chart">
                  <c:ext xmlns:c16="http://schemas.microsoft.com/office/drawing/2014/chart" uri="{C3380CC4-5D6E-409C-BE32-E72D297353CC}">
                    <c16:uniqueId val="{0000000D-8CE8-4AF4-9A94-A21B6B6F5648}"/>
                  </c:ext>
                </c:extLst>
              </c15:ser>
            </c15:filteredLineSeries>
          </c:ext>
        </c:extLst>
      </c:lineChart>
      <c:catAx>
        <c:axId val="169759872"/>
        <c:scaling>
          <c:orientation val="minMax"/>
        </c:scaling>
        <c:delete val="0"/>
        <c:axPos val="b"/>
        <c:numFmt formatCode="General" sourceLinked="1"/>
        <c:majorTickMark val="out"/>
        <c:minorTickMark val="none"/>
        <c:tickLblPos val="nextTo"/>
        <c:crossAx val="169761792"/>
        <c:crosses val="autoZero"/>
        <c:auto val="1"/>
        <c:lblAlgn val="ctr"/>
        <c:lblOffset val="100"/>
        <c:noMultiLvlLbl val="0"/>
      </c:catAx>
      <c:valAx>
        <c:axId val="169761792"/>
        <c:scaling>
          <c:orientation val="minMax"/>
        </c:scaling>
        <c:delete val="0"/>
        <c:axPos val="l"/>
        <c:title>
          <c:tx>
            <c:rich>
              <a:bodyPr/>
              <a:lstStyle/>
              <a:p>
                <a:pPr>
                  <a:defRPr/>
                </a:pPr>
                <a:r>
                  <a:rPr lang="en-US"/>
                  <a:t>Days</a:t>
                </a:r>
                <a:r>
                  <a:rPr lang="en-US" baseline="0"/>
                  <a:t> over the NAAQS</a:t>
                </a:r>
                <a:endParaRPr lang="en-US"/>
              </a:p>
            </c:rich>
          </c:tx>
          <c:overlay val="0"/>
        </c:title>
        <c:numFmt formatCode="General" sourceLinked="1"/>
        <c:majorTickMark val="out"/>
        <c:minorTickMark val="none"/>
        <c:tickLblPos val="nextTo"/>
        <c:crossAx val="169759872"/>
        <c:crosses val="autoZero"/>
        <c:crossBetween val="between"/>
      </c:valAx>
    </c:plotArea>
    <c:plotVisOnly val="1"/>
    <c:dispBlanksAs val="gap"/>
    <c:showDLblsOverMax val="0"/>
  </c:chart>
  <c:spPr>
    <a:ln>
      <a:solidFill>
        <a:schemeClr val="bg1"/>
      </a:solidFill>
    </a:ln>
  </c:spPr>
  <c:txPr>
    <a:bodyPr/>
    <a:lstStyle/>
    <a:p>
      <a:pPr>
        <a:defRPr sz="1000">
          <a:latin typeface="+mn-lt"/>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'Figure 3.4'!$C$3</c:f>
              <c:strCache>
                <c:ptCount val="1"/>
                <c:pt idx="0">
                  <c:v>Percentage</c:v>
                </c:pt>
              </c:strCache>
            </c:strRef>
          </c:tx>
          <c:spPr>
            <a:ln>
              <a:solidFill>
                <a:srgbClr val="203864"/>
              </a:solidFill>
            </a:ln>
          </c:spPr>
          <c:marker>
            <c:symbol val="circle"/>
            <c:size val="7"/>
            <c:spPr>
              <a:solidFill>
                <a:schemeClr val="bg1"/>
              </a:solidFill>
              <a:ln>
                <a:solidFill>
                  <a:srgbClr val="203864"/>
                </a:solidFill>
              </a:ln>
            </c:spPr>
          </c:marker>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293-4C6F-B895-F1803FCDFF5D}"/>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293-4C6F-B895-F1803FCDFF5D}"/>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293-4C6F-B895-F1803FCDFF5D}"/>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293-4C6F-B895-F1803FCDFF5D}"/>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293-4C6F-B895-F1803FCDFF5D}"/>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293-4C6F-B895-F1803FCDFF5D}"/>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293-4C6F-B895-F1803FCDFF5D}"/>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293-4C6F-B895-F1803FCDFF5D}"/>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293-4C6F-B895-F1803FCDFF5D}"/>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293-4C6F-B895-F1803FCDFF5D}"/>
                </c:ext>
              </c:extLst>
            </c:dLbl>
            <c:dLbl>
              <c:idx val="1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293-4C6F-B895-F1803FCDFF5D}"/>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293-4C6F-B895-F1803FCDFF5D}"/>
                </c:ext>
              </c:extLst>
            </c:dLbl>
            <c:spPr>
              <a:noFill/>
              <a:ln>
                <a:noFill/>
              </a:ln>
              <a:effectLst/>
            </c:spPr>
            <c:txPr>
              <a:bodyPr wrap="square" lIns="38100" tIns="19050" rIns="38100" bIns="19050" anchor="ctr">
                <a:spAutoFit/>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xVal>
            <c:numRef>
              <c:f>'Figure 3.4'!$A$4:$A$17</c:f>
              <c:numCache>
                <c:formatCode>General</c:formatCode>
                <c:ptCount val="14"/>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numCache>
            </c:numRef>
          </c:xVal>
          <c:yVal>
            <c:numRef>
              <c:f>'Figure 3.4'!$C$4:$C$17</c:f>
              <c:numCache>
                <c:formatCode>General</c:formatCode>
                <c:ptCount val="14"/>
                <c:pt idx="0">
                  <c:v>74</c:v>
                </c:pt>
                <c:pt idx="1">
                  <c:v>75</c:v>
                </c:pt>
                <c:pt idx="2">
                  <c:v>75</c:v>
                </c:pt>
                <c:pt idx="3">
                  <c:v>75</c:v>
                </c:pt>
                <c:pt idx="4">
                  <c:v>76</c:v>
                </c:pt>
                <c:pt idx="5">
                  <c:v>77</c:v>
                </c:pt>
                <c:pt idx="6">
                  <c:v>77</c:v>
                </c:pt>
                <c:pt idx="7">
                  <c:v>78</c:v>
                </c:pt>
                <c:pt idx="8">
                  <c:v>75</c:v>
                </c:pt>
                <c:pt idx="9">
                  <c:v>75</c:v>
                </c:pt>
                <c:pt idx="10">
                  <c:v>77</c:v>
                </c:pt>
                <c:pt idx="11">
                  <c:v>77</c:v>
                </c:pt>
                <c:pt idx="12">
                  <c:v>76</c:v>
                </c:pt>
                <c:pt idx="13">
                  <c:v>77</c:v>
                </c:pt>
              </c:numCache>
            </c:numRef>
          </c:yVal>
          <c:smooth val="0"/>
          <c:extLst xmlns:c16r2="http://schemas.microsoft.com/office/drawing/2015/06/chart">
            <c:ext xmlns:c16="http://schemas.microsoft.com/office/drawing/2014/chart" uri="{C3380CC4-5D6E-409C-BE32-E72D297353CC}">
              <c16:uniqueId val="{00000003-1293-4C6F-B895-F1803FCDFF5D}"/>
            </c:ext>
          </c:extLst>
        </c:ser>
        <c:dLbls>
          <c:showLegendKey val="0"/>
          <c:showVal val="0"/>
          <c:showCatName val="0"/>
          <c:showSerName val="0"/>
          <c:showPercent val="0"/>
          <c:showBubbleSize val="0"/>
        </c:dLbls>
        <c:axId val="170369792"/>
        <c:axId val="170647552"/>
        <c:extLst xmlns:c16r2="http://schemas.microsoft.com/office/drawing/2015/06/chart">
          <c:ext xmlns:c15="http://schemas.microsoft.com/office/drawing/2012/chart" uri="{02D57815-91ED-43cb-92C2-25804820EDAC}">
            <c15:filteredScatterSeries>
              <c15:ser>
                <c:idx val="1"/>
                <c:order val="0"/>
                <c:tx>
                  <c:strRef>
                    <c:extLst>
                      <c:ext uri="{02D57815-91ED-43cb-92C2-25804820EDAC}">
                        <c15:formulaRef>
                          <c15:sqref>'Figure 3.4'!$B$3</c15:sqref>
                        </c15:formulaRef>
                      </c:ext>
                    </c:extLst>
                    <c:strCache>
                      <c:ptCount val="1"/>
                      <c:pt idx="0">
                        <c:v>Percentage</c:v>
                      </c:pt>
                    </c:strCache>
                  </c:strRef>
                </c:tx>
                <c:spPr>
                  <a:ln>
                    <a:solidFill>
                      <a:schemeClr val="tx2"/>
                    </a:solidFill>
                  </a:ln>
                </c:spPr>
                <c:marker>
                  <c:symbol val="circle"/>
                  <c:size val="5"/>
                  <c:spPr>
                    <a:solidFill>
                      <a:schemeClr val="tx2"/>
                    </a:solidFill>
                    <a:ln>
                      <a:solidFill>
                        <a:schemeClr val="accent1"/>
                      </a:solidFill>
                    </a:ln>
                  </c:spPr>
                </c:marker>
                <c:xVal>
                  <c:numRef>
                    <c:extLst>
                      <c:ext uri="{02D57815-91ED-43cb-92C2-25804820EDAC}">
                        <c15:formulaRef>
                          <c15:sqref>'Figure 3.4'!$A$4:$A$17</c15:sqref>
                        </c15:formulaRef>
                      </c:ext>
                    </c:extLst>
                    <c:numCache>
                      <c:formatCode>General</c:formatCode>
                      <c:ptCount val="14"/>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numCache>
                  </c:numRef>
                </c:xVal>
                <c:yVal>
                  <c:numRef>
                    <c:extLst>
                      <c:ext uri="{02D57815-91ED-43cb-92C2-25804820EDAC}">
                        <c15:formulaRef>
                          <c15:sqref>'Figure 3.4'!$B$4:$B$17</c15:sqref>
                        </c15:formulaRef>
                      </c:ext>
                    </c:extLst>
                    <c:numCache>
                      <c:formatCode>0%</c:formatCode>
                      <c:ptCount val="14"/>
                      <c:pt idx="0">
                        <c:v>0.74400000000000011</c:v>
                      </c:pt>
                      <c:pt idx="1">
                        <c:v>0.753</c:v>
                      </c:pt>
                      <c:pt idx="2">
                        <c:v>0.752</c:v>
                      </c:pt>
                      <c:pt idx="3">
                        <c:v>0.75099999999999989</c:v>
                      </c:pt>
                      <c:pt idx="4">
                        <c:v>0.7609999999999999</c:v>
                      </c:pt>
                      <c:pt idx="5">
                        <c:v>0.77</c:v>
                      </c:pt>
                      <c:pt idx="6">
                        <c:v>0.76900000000000002</c:v>
                      </c:pt>
                      <c:pt idx="7">
                        <c:v>0.77500000000000002</c:v>
                      </c:pt>
                      <c:pt idx="8">
                        <c:v>0.74900000000000011</c:v>
                      </c:pt>
                      <c:pt idx="9">
                        <c:v>0.748</c:v>
                      </c:pt>
                      <c:pt idx="10">
                        <c:v>0.76800000000000002</c:v>
                      </c:pt>
                      <c:pt idx="11">
                        <c:v>0.76700000000000002</c:v>
                      </c:pt>
                      <c:pt idx="12">
                        <c:v>0.75900000000000001</c:v>
                      </c:pt>
                      <c:pt idx="13">
                        <c:v>0.76900000000000002</c:v>
                      </c:pt>
                    </c:numCache>
                  </c:numRef>
                </c:yVal>
                <c:smooth val="0"/>
                <c:extLst>
                  <c:ext xmlns:c16="http://schemas.microsoft.com/office/drawing/2014/chart" uri="{C3380CC4-5D6E-409C-BE32-E72D297353CC}">
                    <c16:uniqueId val="{00000000-1293-4C6F-B895-F1803FCDFF5D}"/>
                  </c:ext>
                </c:extLst>
              </c15:ser>
            </c15:filteredScatterSeries>
          </c:ext>
        </c:extLst>
      </c:scatterChart>
      <c:valAx>
        <c:axId val="170369792"/>
        <c:scaling>
          <c:orientation val="minMax"/>
          <c:max val="2017"/>
          <c:min val="2003"/>
        </c:scaling>
        <c:delete val="0"/>
        <c:axPos val="b"/>
        <c:numFmt formatCode="General" sourceLinked="1"/>
        <c:majorTickMark val="out"/>
        <c:minorTickMark val="none"/>
        <c:tickLblPos val="nextTo"/>
        <c:txPr>
          <a:bodyPr rot="0" vert="horz"/>
          <a:lstStyle/>
          <a:p>
            <a:pPr>
              <a:defRPr/>
            </a:pPr>
            <a:endParaRPr lang="en-US"/>
          </a:p>
        </c:txPr>
        <c:crossAx val="170647552"/>
        <c:crosses val="autoZero"/>
        <c:crossBetween val="midCat"/>
        <c:majorUnit val="2"/>
      </c:valAx>
      <c:valAx>
        <c:axId val="170647552"/>
        <c:scaling>
          <c:orientation val="minMax"/>
          <c:max val="80"/>
          <c:min val="72"/>
        </c:scaling>
        <c:delete val="0"/>
        <c:axPos val="l"/>
        <c:title>
          <c:tx>
            <c:rich>
              <a:bodyPr rot="-5400000" vert="horz"/>
              <a:lstStyle/>
              <a:p>
                <a:pPr>
                  <a:defRPr/>
                </a:pPr>
                <a:r>
                  <a:rPr lang="en-US"/>
                  <a:t>Percent Screened</a:t>
                </a:r>
              </a:p>
            </c:rich>
          </c:tx>
          <c:layout>
            <c:manualLayout>
              <c:xMode val="edge"/>
              <c:yMode val="edge"/>
              <c:x val="1.8958561657308897E-2"/>
              <c:y val="0.32087079540589342"/>
            </c:manualLayout>
          </c:layout>
          <c:overlay val="0"/>
        </c:title>
        <c:numFmt formatCode="#,##0" sourceLinked="0"/>
        <c:majorTickMark val="out"/>
        <c:minorTickMark val="none"/>
        <c:tickLblPos val="nextTo"/>
        <c:crossAx val="170369792"/>
        <c:crosses val="autoZero"/>
        <c:crossBetween val="midCat"/>
      </c:valAx>
      <c:spPr>
        <a:noFill/>
        <a:ln w="25400">
          <a:noFill/>
        </a:ln>
      </c:spPr>
    </c:plotArea>
    <c:plotVisOnly val="1"/>
    <c:dispBlanksAs val="gap"/>
    <c:showDLblsOverMax val="0"/>
  </c:chart>
  <c:spPr>
    <a:solidFill>
      <a:schemeClr val="bg1"/>
    </a:solidFill>
    <a:ln>
      <a:solidFill>
        <a:schemeClr val="bg1"/>
      </a:solidFill>
    </a:ln>
  </c:spPr>
  <c:txPr>
    <a:bodyPr/>
    <a:lstStyle/>
    <a:p>
      <a:pPr>
        <a:defRPr sz="1000">
          <a:latin typeface="+mn-lt"/>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74932095453203"/>
          <c:y val="2.8141663292780124E-2"/>
          <c:w val="0.85100717504487311"/>
          <c:h val="0.74830201216777803"/>
        </c:manualLayout>
      </c:layout>
      <c:barChart>
        <c:barDir val="col"/>
        <c:grouping val="clustered"/>
        <c:varyColors val="0"/>
        <c:ser>
          <c:idx val="0"/>
          <c:order val="0"/>
          <c:spPr>
            <a:solidFill>
              <a:srgbClr val="203864"/>
            </a:solidFill>
          </c:spPr>
          <c:invertIfNegative val="0"/>
          <c:dLbls>
            <c:spPr>
              <a:noFill/>
              <a:ln>
                <a:noFill/>
              </a:ln>
              <a:effectLst/>
            </c:spPr>
            <c:txPr>
              <a:bodyPr wrap="square" lIns="38100" tIns="19050" rIns="38100" bIns="19050" anchor="ctr">
                <a:spAutoFit/>
              </a:bodyPr>
              <a:lstStyle/>
              <a:p>
                <a:pPr>
                  <a:defRPr sz="1050">
                    <a:solidFill>
                      <a:schemeClr val="bg1"/>
                    </a:solidFill>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3.6'!$B$14:$B$19</c:f>
              <c:strCache>
                <c:ptCount val="6"/>
                <c:pt idx="0">
                  <c:v>&lt;5%</c:v>
                </c:pt>
                <c:pt idx="1">
                  <c:v>5-10%</c:v>
                </c:pt>
                <c:pt idx="2">
                  <c:v>10-15%</c:v>
                </c:pt>
                <c:pt idx="3">
                  <c:v>15-25%</c:v>
                </c:pt>
                <c:pt idx="4">
                  <c:v>25-35%</c:v>
                </c:pt>
                <c:pt idx="5">
                  <c:v>35% +</c:v>
                </c:pt>
              </c:strCache>
            </c:strRef>
          </c:cat>
          <c:val>
            <c:numRef>
              <c:f>'Figure 3.6'!$E$14:$E$19</c:f>
              <c:numCache>
                <c:formatCode>0.0</c:formatCode>
                <c:ptCount val="6"/>
                <c:pt idx="0">
                  <c:v>0.79348931841302128</c:v>
                </c:pt>
                <c:pt idx="1">
                  <c:v>0.99398596725693289</c:v>
                </c:pt>
                <c:pt idx="2">
                  <c:v>1.3855401229327264</c:v>
                </c:pt>
                <c:pt idx="3">
                  <c:v>1.8602895581138281</c:v>
                </c:pt>
                <c:pt idx="4">
                  <c:v>2.33451536643026</c:v>
                </c:pt>
                <c:pt idx="5">
                  <c:v>3.4506648192064802</c:v>
                </c:pt>
              </c:numCache>
            </c:numRef>
          </c:val>
          <c:extLst xmlns:c16r2="http://schemas.microsoft.com/office/drawing/2015/06/chart">
            <c:ext xmlns:c16="http://schemas.microsoft.com/office/drawing/2014/chart" uri="{C3380CC4-5D6E-409C-BE32-E72D297353CC}">
              <c16:uniqueId val="{00000000-0393-4A34-9D91-FE531E367B48}"/>
            </c:ext>
          </c:extLst>
        </c:ser>
        <c:dLbls>
          <c:showLegendKey val="0"/>
          <c:showVal val="0"/>
          <c:showCatName val="0"/>
          <c:showSerName val="0"/>
          <c:showPercent val="0"/>
          <c:showBubbleSize val="0"/>
        </c:dLbls>
        <c:gapWidth val="108"/>
        <c:overlap val="-16"/>
        <c:axId val="171780736"/>
        <c:axId val="172212992"/>
      </c:barChart>
      <c:catAx>
        <c:axId val="171780736"/>
        <c:scaling>
          <c:orientation val="minMax"/>
        </c:scaling>
        <c:delete val="0"/>
        <c:axPos val="b"/>
        <c:title>
          <c:tx>
            <c:rich>
              <a:bodyPr/>
              <a:lstStyle/>
              <a:p>
                <a:pPr>
                  <a:defRPr/>
                </a:pPr>
                <a:r>
                  <a:rPr lang="en-US"/>
                  <a:t>Percentage of Families with Low to Moderate Income</a:t>
                </a:r>
              </a:p>
            </c:rich>
          </c:tx>
          <c:layout>
            <c:manualLayout>
              <c:xMode val="edge"/>
              <c:yMode val="edge"/>
              <c:x val="0.29709550776037574"/>
              <c:y val="0.86367381150036926"/>
            </c:manualLayout>
          </c:layout>
          <c:overlay val="0"/>
        </c:title>
        <c:numFmt formatCode="General" sourceLinked="0"/>
        <c:majorTickMark val="out"/>
        <c:minorTickMark val="none"/>
        <c:tickLblPos val="nextTo"/>
        <c:crossAx val="172212992"/>
        <c:crosses val="autoZero"/>
        <c:auto val="1"/>
        <c:lblAlgn val="ctr"/>
        <c:lblOffset val="100"/>
        <c:noMultiLvlLbl val="0"/>
      </c:catAx>
      <c:valAx>
        <c:axId val="172212992"/>
        <c:scaling>
          <c:orientation val="minMax"/>
        </c:scaling>
        <c:delete val="0"/>
        <c:axPos val="l"/>
        <c:title>
          <c:tx>
            <c:rich>
              <a:bodyPr rot="-5400000" vert="horz"/>
              <a:lstStyle/>
              <a:p>
                <a:pPr>
                  <a:defRPr/>
                </a:pPr>
                <a:r>
                  <a:rPr lang="en-US"/>
                  <a:t>Percentage of Children with BLLs ≥ 5 µg/dL  </a:t>
                </a:r>
              </a:p>
            </c:rich>
          </c:tx>
          <c:layout>
            <c:manualLayout>
              <c:xMode val="edge"/>
              <c:yMode val="edge"/>
              <c:x val="1.8108818962723178E-2"/>
              <c:y val="0.12995155187078405"/>
            </c:manualLayout>
          </c:layout>
          <c:overlay val="0"/>
        </c:title>
        <c:numFmt formatCode="#,##0.0" sourceLinked="0"/>
        <c:majorTickMark val="out"/>
        <c:minorTickMark val="none"/>
        <c:tickLblPos val="nextTo"/>
        <c:crossAx val="171780736"/>
        <c:crosses val="autoZero"/>
        <c:crossBetween val="between"/>
      </c:valAx>
    </c:plotArea>
    <c:plotVisOnly val="1"/>
    <c:dispBlanksAs val="gap"/>
    <c:showDLblsOverMax val="0"/>
  </c:chart>
  <c:spPr>
    <a:ln>
      <a:noFill/>
    </a:ln>
  </c:spPr>
  <c:txPr>
    <a:bodyPr/>
    <a:lstStyle/>
    <a:p>
      <a:pPr>
        <a:defRPr sz="100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'Figure 3.7'!$B$1</c:f>
              <c:strCache>
                <c:ptCount val="1"/>
                <c:pt idx="0">
                  <c:v>2020</c:v>
                </c:pt>
              </c:strCache>
            </c:strRef>
          </c:tx>
          <c:spPr>
            <a:solidFill>
              <a:srgbClr val="203864"/>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3.7'!$A$2:$A$14</c:f>
              <c:strCache>
                <c:ptCount val="13"/>
                <c:pt idx="0">
                  <c:v>Barnstable</c:v>
                </c:pt>
                <c:pt idx="1">
                  <c:v>Berkshire</c:v>
                </c:pt>
                <c:pt idx="2">
                  <c:v>Bristol</c:v>
                </c:pt>
                <c:pt idx="3">
                  <c:v>Dukes</c:v>
                </c:pt>
                <c:pt idx="4">
                  <c:v>Essex</c:v>
                </c:pt>
                <c:pt idx="5">
                  <c:v>Franklin</c:v>
                </c:pt>
                <c:pt idx="6">
                  <c:v>Hampden</c:v>
                </c:pt>
                <c:pt idx="7">
                  <c:v>Hampshire</c:v>
                </c:pt>
                <c:pt idx="8">
                  <c:v>Middlesex</c:v>
                </c:pt>
                <c:pt idx="9">
                  <c:v>Norfolk</c:v>
                </c:pt>
                <c:pt idx="10">
                  <c:v>Plymouth</c:v>
                </c:pt>
                <c:pt idx="11">
                  <c:v>Suffolk</c:v>
                </c:pt>
                <c:pt idx="12">
                  <c:v>Worcester</c:v>
                </c:pt>
              </c:strCache>
            </c:strRef>
          </c:cat>
          <c:val>
            <c:numRef>
              <c:f>'Figure 3.7'!$B$2:$B$14</c:f>
              <c:numCache>
                <c:formatCode>General</c:formatCode>
                <c:ptCount val="13"/>
                <c:pt idx="0">
                  <c:v>3</c:v>
                </c:pt>
                <c:pt idx="1">
                  <c:v>2</c:v>
                </c:pt>
                <c:pt idx="2">
                  <c:v>11</c:v>
                </c:pt>
                <c:pt idx="3">
                  <c:v>2</c:v>
                </c:pt>
                <c:pt idx="4">
                  <c:v>16</c:v>
                </c:pt>
                <c:pt idx="5">
                  <c:v>12</c:v>
                </c:pt>
                <c:pt idx="6">
                  <c:v>17</c:v>
                </c:pt>
                <c:pt idx="7">
                  <c:v>13</c:v>
                </c:pt>
                <c:pt idx="8">
                  <c:v>16</c:v>
                </c:pt>
                <c:pt idx="9">
                  <c:v>15</c:v>
                </c:pt>
                <c:pt idx="10">
                  <c:v>13</c:v>
                </c:pt>
                <c:pt idx="11">
                  <c:v>17</c:v>
                </c:pt>
                <c:pt idx="12">
                  <c:v>9</c:v>
                </c:pt>
              </c:numCache>
            </c:numRef>
          </c:val>
          <c:extLst xmlns:c16r2="http://schemas.microsoft.com/office/drawing/2015/06/chart">
            <c:ext xmlns:c16="http://schemas.microsoft.com/office/drawing/2014/chart" uri="{C3380CC4-5D6E-409C-BE32-E72D297353CC}">
              <c16:uniqueId val="{00000000-3354-4E0E-B2EC-D7AD9B4B5DD1}"/>
            </c:ext>
          </c:extLst>
        </c:ser>
        <c:ser>
          <c:idx val="3"/>
          <c:order val="1"/>
          <c:tx>
            <c:strRef>
              <c:f>'Figure 3.7'!$E$1</c:f>
              <c:strCache>
                <c:ptCount val="1"/>
                <c:pt idx="0">
                  <c:v>2050</c:v>
                </c:pt>
              </c:strCache>
            </c:strRef>
          </c:tx>
          <c:spPr>
            <a:pattFill prst="dkUpDiag">
              <a:fgClr>
                <a:srgbClr val="6BAED6"/>
              </a:fgClr>
              <a:bgClr>
                <a:sysClr val="window" lastClr="FFFFFF"/>
              </a:bgClr>
            </a:patt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3.7'!$A$2:$A$14</c:f>
              <c:strCache>
                <c:ptCount val="13"/>
                <c:pt idx="0">
                  <c:v>Barnstable</c:v>
                </c:pt>
                <c:pt idx="1">
                  <c:v>Berkshire</c:v>
                </c:pt>
                <c:pt idx="2">
                  <c:v>Bristol</c:v>
                </c:pt>
                <c:pt idx="3">
                  <c:v>Dukes</c:v>
                </c:pt>
                <c:pt idx="4">
                  <c:v>Essex</c:v>
                </c:pt>
                <c:pt idx="5">
                  <c:v>Franklin</c:v>
                </c:pt>
                <c:pt idx="6">
                  <c:v>Hampden</c:v>
                </c:pt>
                <c:pt idx="7">
                  <c:v>Hampshire</c:v>
                </c:pt>
                <c:pt idx="8">
                  <c:v>Middlesex</c:v>
                </c:pt>
                <c:pt idx="9">
                  <c:v>Norfolk</c:v>
                </c:pt>
                <c:pt idx="10">
                  <c:v>Plymouth</c:v>
                </c:pt>
                <c:pt idx="11">
                  <c:v>Suffolk</c:v>
                </c:pt>
                <c:pt idx="12">
                  <c:v>Worcester</c:v>
                </c:pt>
              </c:strCache>
            </c:strRef>
          </c:cat>
          <c:val>
            <c:numRef>
              <c:f>'Figure 3.7'!$E$2:$E$14</c:f>
              <c:numCache>
                <c:formatCode>General</c:formatCode>
                <c:ptCount val="13"/>
                <c:pt idx="0">
                  <c:v>9</c:v>
                </c:pt>
                <c:pt idx="1">
                  <c:v>7</c:v>
                </c:pt>
                <c:pt idx="2">
                  <c:v>23</c:v>
                </c:pt>
                <c:pt idx="3">
                  <c:v>9</c:v>
                </c:pt>
                <c:pt idx="4">
                  <c:v>28</c:v>
                </c:pt>
                <c:pt idx="5">
                  <c:v>23</c:v>
                </c:pt>
                <c:pt idx="6">
                  <c:v>31</c:v>
                </c:pt>
                <c:pt idx="7">
                  <c:v>24</c:v>
                </c:pt>
                <c:pt idx="8">
                  <c:v>29</c:v>
                </c:pt>
                <c:pt idx="9">
                  <c:v>28</c:v>
                </c:pt>
                <c:pt idx="10">
                  <c:v>25</c:v>
                </c:pt>
                <c:pt idx="11">
                  <c:v>30</c:v>
                </c:pt>
                <c:pt idx="12">
                  <c:v>18</c:v>
                </c:pt>
              </c:numCache>
            </c:numRef>
          </c:val>
          <c:extLst xmlns:c16r2="http://schemas.microsoft.com/office/drawing/2015/06/chart">
            <c:ext xmlns:c16="http://schemas.microsoft.com/office/drawing/2014/chart" uri="{C3380CC4-5D6E-409C-BE32-E72D297353CC}">
              <c16:uniqueId val="{00000003-3354-4E0E-B2EC-D7AD9B4B5DD1}"/>
            </c:ext>
          </c:extLst>
        </c:ser>
        <c:dLbls>
          <c:showLegendKey val="0"/>
          <c:showVal val="0"/>
          <c:showCatName val="0"/>
          <c:showSerName val="0"/>
          <c:showPercent val="0"/>
          <c:showBubbleSize val="0"/>
        </c:dLbls>
        <c:gapWidth val="108"/>
        <c:overlap val="-16"/>
        <c:axId val="172750720"/>
        <c:axId val="172752256"/>
        <c:extLst xmlns:c16r2="http://schemas.microsoft.com/office/drawing/2015/06/chart">
          <c:ext xmlns:c15="http://schemas.microsoft.com/office/drawing/2012/chart" uri="{02D57815-91ED-43cb-92C2-25804820EDAC}">
            <c15:filteredBarSeries>
              <c15:ser>
                <c:idx val="1"/>
                <c:order val="1"/>
                <c:tx>
                  <c:strRef>
                    <c:extLst>
                      <c:ext uri="{02D57815-91ED-43cb-92C2-25804820EDAC}">
                        <c15:formulaRef>
                          <c15:sqref>'Figure 3.7'!$C$1</c15:sqref>
                        </c15:formulaRef>
                      </c:ext>
                    </c:extLst>
                    <c:strCache>
                      <c:ptCount val="1"/>
                      <c:pt idx="0">
                        <c:v>2030</c:v>
                      </c:pt>
                    </c:strCache>
                  </c:strRef>
                </c:tx>
                <c:invertIfNegative val="0"/>
                <c:cat>
                  <c:strRef>
                    <c:extLst>
                      <c:ext uri="{02D57815-91ED-43cb-92C2-25804820EDAC}">
                        <c15:formulaRef>
                          <c15:sqref>'Figure 3.7'!$A$2:$A$14</c15:sqref>
                        </c15:formulaRef>
                      </c:ext>
                    </c:extLst>
                    <c:strCache>
                      <c:ptCount val="13"/>
                      <c:pt idx="0">
                        <c:v>Barnstable</c:v>
                      </c:pt>
                      <c:pt idx="1">
                        <c:v>Berkshire</c:v>
                      </c:pt>
                      <c:pt idx="2">
                        <c:v>Bristol</c:v>
                      </c:pt>
                      <c:pt idx="3">
                        <c:v>Dukes</c:v>
                      </c:pt>
                      <c:pt idx="4">
                        <c:v>Essex</c:v>
                      </c:pt>
                      <c:pt idx="5">
                        <c:v>Franklin</c:v>
                      </c:pt>
                      <c:pt idx="6">
                        <c:v>Hampden</c:v>
                      </c:pt>
                      <c:pt idx="7">
                        <c:v>Hampshire</c:v>
                      </c:pt>
                      <c:pt idx="8">
                        <c:v>Middlesex</c:v>
                      </c:pt>
                      <c:pt idx="9">
                        <c:v>Norfolk</c:v>
                      </c:pt>
                      <c:pt idx="10">
                        <c:v>Plymouth</c:v>
                      </c:pt>
                      <c:pt idx="11">
                        <c:v>Suffolk</c:v>
                      </c:pt>
                      <c:pt idx="12">
                        <c:v>Worcester</c:v>
                      </c:pt>
                    </c:strCache>
                  </c:strRef>
                </c:cat>
                <c:val>
                  <c:numRef>
                    <c:extLst>
                      <c:ext uri="{02D57815-91ED-43cb-92C2-25804820EDAC}">
                        <c15:formulaRef>
                          <c15:sqref>'Figure 3.7'!$C$2:$C$14</c15:sqref>
                        </c15:formulaRef>
                      </c:ext>
                    </c:extLst>
                    <c:numCache>
                      <c:formatCode>General</c:formatCode>
                      <c:ptCount val="13"/>
                      <c:pt idx="0">
                        <c:v>4</c:v>
                      </c:pt>
                      <c:pt idx="1">
                        <c:v>3</c:v>
                      </c:pt>
                      <c:pt idx="2">
                        <c:v>15</c:v>
                      </c:pt>
                      <c:pt idx="3">
                        <c:v>4</c:v>
                      </c:pt>
                      <c:pt idx="4">
                        <c:v>19</c:v>
                      </c:pt>
                      <c:pt idx="5">
                        <c:v>15</c:v>
                      </c:pt>
                      <c:pt idx="6">
                        <c:v>21</c:v>
                      </c:pt>
                      <c:pt idx="7">
                        <c:v>16</c:v>
                      </c:pt>
                      <c:pt idx="8">
                        <c:v>20</c:v>
                      </c:pt>
                      <c:pt idx="9">
                        <c:v>19</c:v>
                      </c:pt>
                      <c:pt idx="10">
                        <c:v>16</c:v>
                      </c:pt>
                      <c:pt idx="11">
                        <c:v>21</c:v>
                      </c:pt>
                      <c:pt idx="12">
                        <c:v>12</c:v>
                      </c:pt>
                    </c:numCache>
                  </c:numRef>
                </c:val>
                <c:extLst>
                  <c:ext xmlns:c16="http://schemas.microsoft.com/office/drawing/2014/chart" uri="{C3380CC4-5D6E-409C-BE32-E72D297353CC}">
                    <c16:uniqueId val="{00000001-3354-4E0E-B2EC-D7AD9B4B5DD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'Figure 3.7'!$D$1</c15:sqref>
                        </c15:formulaRef>
                      </c:ext>
                    </c:extLst>
                    <c:strCache>
                      <c:ptCount val="1"/>
                      <c:pt idx="0">
                        <c:v>2040</c:v>
                      </c:pt>
                    </c:strCache>
                  </c:strRef>
                </c:tx>
                <c:invertIfNegative val="0"/>
                <c:cat>
                  <c:strRef>
                    <c:extLst xmlns:c15="http://schemas.microsoft.com/office/drawing/2012/chart">
                      <c:ext xmlns:c15="http://schemas.microsoft.com/office/drawing/2012/chart" uri="{02D57815-91ED-43cb-92C2-25804820EDAC}">
                        <c15:formulaRef>
                          <c15:sqref>'Figure 3.7'!$A$2:$A$14</c15:sqref>
                        </c15:formulaRef>
                      </c:ext>
                    </c:extLst>
                    <c:strCache>
                      <c:ptCount val="13"/>
                      <c:pt idx="0">
                        <c:v>Barnstable</c:v>
                      </c:pt>
                      <c:pt idx="1">
                        <c:v>Berkshire</c:v>
                      </c:pt>
                      <c:pt idx="2">
                        <c:v>Bristol</c:v>
                      </c:pt>
                      <c:pt idx="3">
                        <c:v>Dukes</c:v>
                      </c:pt>
                      <c:pt idx="4">
                        <c:v>Essex</c:v>
                      </c:pt>
                      <c:pt idx="5">
                        <c:v>Franklin</c:v>
                      </c:pt>
                      <c:pt idx="6">
                        <c:v>Hampden</c:v>
                      </c:pt>
                      <c:pt idx="7">
                        <c:v>Hampshire</c:v>
                      </c:pt>
                      <c:pt idx="8">
                        <c:v>Middlesex</c:v>
                      </c:pt>
                      <c:pt idx="9">
                        <c:v>Norfolk</c:v>
                      </c:pt>
                      <c:pt idx="10">
                        <c:v>Plymouth</c:v>
                      </c:pt>
                      <c:pt idx="11">
                        <c:v>Suffolk</c:v>
                      </c:pt>
                      <c:pt idx="12">
                        <c:v>Worcester</c:v>
                      </c:pt>
                    </c:strCache>
                  </c:strRef>
                </c:cat>
                <c:val>
                  <c:numRef>
                    <c:extLst xmlns:c15="http://schemas.microsoft.com/office/drawing/2012/chart">
                      <c:ext xmlns:c15="http://schemas.microsoft.com/office/drawing/2012/chart" uri="{02D57815-91ED-43cb-92C2-25804820EDAC}">
                        <c15:formulaRef>
                          <c15:sqref>'Figure 3.7'!$D$2:$D$14</c15:sqref>
                        </c15:formulaRef>
                      </c:ext>
                    </c:extLst>
                    <c:numCache>
                      <c:formatCode>General</c:formatCode>
                      <c:ptCount val="13"/>
                      <c:pt idx="0">
                        <c:v>6</c:v>
                      </c:pt>
                      <c:pt idx="1">
                        <c:v>5</c:v>
                      </c:pt>
                      <c:pt idx="2">
                        <c:v>18</c:v>
                      </c:pt>
                      <c:pt idx="3">
                        <c:v>6</c:v>
                      </c:pt>
                      <c:pt idx="4">
                        <c:v>22</c:v>
                      </c:pt>
                      <c:pt idx="5">
                        <c:v>18</c:v>
                      </c:pt>
                      <c:pt idx="6">
                        <c:v>25</c:v>
                      </c:pt>
                      <c:pt idx="7">
                        <c:v>20</c:v>
                      </c:pt>
                      <c:pt idx="8">
                        <c:v>24</c:v>
                      </c:pt>
                      <c:pt idx="9">
                        <c:v>22</c:v>
                      </c:pt>
                      <c:pt idx="10">
                        <c:v>20</c:v>
                      </c:pt>
                      <c:pt idx="11">
                        <c:v>25</c:v>
                      </c:pt>
                      <c:pt idx="12">
                        <c:v>14</c:v>
                      </c:pt>
                    </c:numCache>
                  </c:numRef>
                </c:val>
                <c:extLst xmlns:c15="http://schemas.microsoft.com/office/drawing/2012/chart">
                  <c:ext xmlns:c16="http://schemas.microsoft.com/office/drawing/2014/chart" uri="{C3380CC4-5D6E-409C-BE32-E72D297353CC}">
                    <c16:uniqueId val="{00000002-3354-4E0E-B2EC-D7AD9B4B5DD1}"/>
                  </c:ext>
                </c:extLst>
              </c15:ser>
            </c15:filteredBarSeries>
          </c:ext>
        </c:extLst>
      </c:barChart>
      <c:catAx>
        <c:axId val="172750720"/>
        <c:scaling>
          <c:orientation val="minMax"/>
        </c:scaling>
        <c:delete val="0"/>
        <c:axPos val="b"/>
        <c:numFmt formatCode="General" sourceLinked="0"/>
        <c:majorTickMark val="out"/>
        <c:minorTickMark val="none"/>
        <c:tickLblPos val="nextTo"/>
        <c:crossAx val="172752256"/>
        <c:crosses val="autoZero"/>
        <c:auto val="1"/>
        <c:lblAlgn val="ctr"/>
        <c:lblOffset val="100"/>
        <c:noMultiLvlLbl val="0"/>
      </c:catAx>
      <c:valAx>
        <c:axId val="172752256"/>
        <c:scaling>
          <c:orientation val="minMax"/>
        </c:scaling>
        <c:delete val="0"/>
        <c:axPos val="l"/>
        <c:title>
          <c:tx>
            <c:rich>
              <a:bodyPr/>
              <a:lstStyle/>
              <a:p>
                <a:pPr>
                  <a:defRPr b="1"/>
                </a:pPr>
                <a:r>
                  <a:rPr lang="en-US" b="1"/>
                  <a:t>Days</a:t>
                </a:r>
              </a:p>
            </c:rich>
          </c:tx>
          <c:overlay val="0"/>
        </c:title>
        <c:numFmt formatCode="General" sourceLinked="1"/>
        <c:majorTickMark val="out"/>
        <c:minorTickMark val="none"/>
        <c:tickLblPos val="nextTo"/>
        <c:crossAx val="172750720"/>
        <c:crosses val="autoZero"/>
        <c:crossBetween val="between"/>
      </c:valAx>
    </c:plotArea>
    <c:legend>
      <c:legendPos val="r"/>
      <c:layout>
        <c:manualLayout>
          <c:xMode val="edge"/>
          <c:yMode val="edge"/>
          <c:x val="0.90755451241671714"/>
          <c:y val="0.44679137044017797"/>
          <c:w val="7.9624974762770043E-2"/>
          <c:h val="0.16820899447301318"/>
        </c:manualLayout>
      </c:layout>
      <c:overlay val="0"/>
      <c:spPr>
        <a:ln w="0">
          <a:solidFill>
            <a:sysClr val="window" lastClr="FFFFFF"/>
          </a:solidFill>
        </a:ln>
      </c:spPr>
    </c:legend>
    <c:plotVisOnly val="1"/>
    <c:dispBlanksAs val="gap"/>
    <c:showDLblsOverMax val="0"/>
  </c:chart>
  <c:spPr>
    <a:ln>
      <a:noFill/>
    </a:ln>
  </c:spPr>
  <c:txPr>
    <a:bodyPr/>
    <a:lstStyle/>
    <a:p>
      <a:pPr>
        <a:defRPr sz="1000">
          <a:latin typeface="+mn-lt"/>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89129483814524"/>
          <c:y val="4.4057617797775277E-2"/>
          <c:w val="0.86151708936935367"/>
          <c:h val="0.66406110845642963"/>
        </c:manualLayout>
      </c:layout>
      <c:barChart>
        <c:barDir val="col"/>
        <c:grouping val="clustered"/>
        <c:varyColors val="0"/>
        <c:ser>
          <c:idx val="0"/>
          <c:order val="0"/>
          <c:tx>
            <c:strRef>
              <c:f>'Figure 3.8'!$B$1</c:f>
              <c:strCache>
                <c:ptCount val="1"/>
                <c:pt idx="0">
                  <c:v>Environmental Justice</c:v>
                </c:pt>
              </c:strCache>
            </c:strRef>
          </c:tx>
          <c:spPr>
            <a:solidFill>
              <a:srgbClr val="203864"/>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3.8'!$A$2:$A$5</c:f>
              <c:strCache>
                <c:ptCount val="4"/>
                <c:pt idx="0">
                  <c:v>Childhood Asthma ED Visits</c:v>
                </c:pt>
                <c:pt idx="1">
                  <c:v>Low Birth Weight</c:v>
                </c:pt>
                <c:pt idx="2">
                  <c:v>Elevated Childhood Blood Lead</c:v>
                </c:pt>
                <c:pt idx="3">
                  <c:v>Heart Attack Admissions</c:v>
                </c:pt>
              </c:strCache>
            </c:strRef>
          </c:cat>
          <c:val>
            <c:numRef>
              <c:f>'Figure 3.8'!$B$2:$B$5</c:f>
              <c:numCache>
                <c:formatCode>General</c:formatCode>
                <c:ptCount val="4"/>
                <c:pt idx="0">
                  <c:v>27</c:v>
                </c:pt>
                <c:pt idx="1">
                  <c:v>49</c:v>
                </c:pt>
                <c:pt idx="2">
                  <c:v>42</c:v>
                </c:pt>
                <c:pt idx="3">
                  <c:v>40</c:v>
                </c:pt>
              </c:numCache>
            </c:numRef>
          </c:val>
          <c:extLst xmlns:c16r2="http://schemas.microsoft.com/office/drawing/2015/06/chart">
            <c:ext xmlns:c16="http://schemas.microsoft.com/office/drawing/2014/chart" uri="{C3380CC4-5D6E-409C-BE32-E72D297353CC}">
              <c16:uniqueId val="{00000000-9327-4383-A89A-1FF81BA58BC5}"/>
            </c:ext>
          </c:extLst>
        </c:ser>
        <c:ser>
          <c:idx val="1"/>
          <c:order val="1"/>
          <c:tx>
            <c:strRef>
              <c:f>'Figure 3.8'!$C$1</c:f>
              <c:strCache>
                <c:ptCount val="1"/>
                <c:pt idx="0">
                  <c:v>Non-Environmental Justice</c:v>
                </c:pt>
              </c:strCache>
            </c:strRef>
          </c:tx>
          <c:spPr>
            <a:pattFill prst="dkUpDiag">
              <a:fgClr>
                <a:srgbClr val="6BAED6"/>
              </a:fgClr>
              <a:bgClr>
                <a:sysClr val="window" lastClr="FFFFFF"/>
              </a:bgClr>
            </a:patt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3.8'!$A$2:$A$5</c:f>
              <c:strCache>
                <c:ptCount val="4"/>
                <c:pt idx="0">
                  <c:v>Childhood Asthma ED Visits</c:v>
                </c:pt>
                <c:pt idx="1">
                  <c:v>Low Birth Weight</c:v>
                </c:pt>
                <c:pt idx="2">
                  <c:v>Elevated Childhood Blood Lead</c:v>
                </c:pt>
                <c:pt idx="3">
                  <c:v>Heart Attack Admissions</c:v>
                </c:pt>
              </c:strCache>
            </c:strRef>
          </c:cat>
          <c:val>
            <c:numRef>
              <c:f>'Figure 3.8'!$C$2:$C$5</c:f>
              <c:numCache>
                <c:formatCode>General</c:formatCode>
                <c:ptCount val="4"/>
                <c:pt idx="0">
                  <c:v>4</c:v>
                </c:pt>
                <c:pt idx="1">
                  <c:v>31</c:v>
                </c:pt>
                <c:pt idx="2">
                  <c:v>19</c:v>
                </c:pt>
                <c:pt idx="3">
                  <c:v>22</c:v>
                </c:pt>
              </c:numCache>
            </c:numRef>
          </c:val>
          <c:extLst xmlns:c16r2="http://schemas.microsoft.com/office/drawing/2015/06/chart">
            <c:ext xmlns:c16="http://schemas.microsoft.com/office/drawing/2014/chart" uri="{C3380CC4-5D6E-409C-BE32-E72D297353CC}">
              <c16:uniqueId val="{00000001-9327-4383-A89A-1FF81BA58BC5}"/>
            </c:ext>
          </c:extLst>
        </c:ser>
        <c:dLbls>
          <c:dLblPos val="outEnd"/>
          <c:showLegendKey val="0"/>
          <c:showVal val="1"/>
          <c:showCatName val="0"/>
          <c:showSerName val="0"/>
          <c:showPercent val="0"/>
          <c:showBubbleSize val="0"/>
        </c:dLbls>
        <c:gapWidth val="108"/>
        <c:overlap val="-16"/>
        <c:axId val="178205824"/>
        <c:axId val="178230016"/>
      </c:barChart>
      <c:catAx>
        <c:axId val="178205824"/>
        <c:scaling>
          <c:orientation val="minMax"/>
        </c:scaling>
        <c:delete val="0"/>
        <c:axPos val="b"/>
        <c:numFmt formatCode="General" sourceLinked="0"/>
        <c:majorTickMark val="out"/>
        <c:minorTickMark val="none"/>
        <c:tickLblPos val="nextTo"/>
        <c:crossAx val="178230016"/>
        <c:crosses val="autoZero"/>
        <c:auto val="1"/>
        <c:lblAlgn val="ctr"/>
        <c:lblOffset val="100"/>
        <c:noMultiLvlLbl val="0"/>
      </c:catAx>
      <c:valAx>
        <c:axId val="178230016"/>
        <c:scaling>
          <c:orientation val="minMax"/>
        </c:scaling>
        <c:delete val="0"/>
        <c:axPos val="l"/>
        <c:title>
          <c:tx>
            <c:rich>
              <a:bodyPr rot="-5400000" vert="horz"/>
              <a:lstStyle/>
              <a:p>
                <a:pPr>
                  <a:defRPr/>
                </a:pPr>
                <a:r>
                  <a:rPr lang="en-US"/>
                  <a:t>Percent of Populations</a:t>
                </a:r>
              </a:p>
            </c:rich>
          </c:tx>
          <c:overlay val="0"/>
        </c:title>
        <c:numFmt formatCode="General" sourceLinked="1"/>
        <c:majorTickMark val="out"/>
        <c:minorTickMark val="none"/>
        <c:tickLblPos val="nextTo"/>
        <c:crossAx val="178205824"/>
        <c:crosses val="autoZero"/>
        <c:crossBetween val="between"/>
      </c:valAx>
    </c:plotArea>
    <c:legend>
      <c:legendPos val="r"/>
      <c:layout>
        <c:manualLayout>
          <c:xMode val="edge"/>
          <c:yMode val="edge"/>
          <c:x val="0.11532112353359145"/>
          <c:y val="0.89174883482572598"/>
          <c:w val="0.87843273734429617"/>
          <c:h val="9.6554180727409081E-2"/>
        </c:manualLayout>
      </c:layout>
      <c:overlay val="0"/>
    </c:legend>
    <c:plotVisOnly val="1"/>
    <c:dispBlanksAs val="gap"/>
    <c:showDLblsOverMax val="0"/>
  </c:chart>
  <c:spPr>
    <a:ln>
      <a:noFill/>
    </a:ln>
  </c:spPr>
  <c:txPr>
    <a:bodyPr/>
    <a:lstStyle/>
    <a:p>
      <a:pPr>
        <a:defRPr sz="1000">
          <a:latin typeface="+mn-lt"/>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176374275987096E-2"/>
          <c:y val="0.140255236690455"/>
          <c:w val="0.88977977678496079"/>
          <c:h val="0.59368835093960359"/>
        </c:manualLayout>
      </c:layout>
      <c:lineChart>
        <c:grouping val="standard"/>
        <c:varyColors val="0"/>
        <c:ser>
          <c:idx val="0"/>
          <c:order val="0"/>
          <c:tx>
            <c:strRef>
              <c:f>'Figure 3.9'!$A$3</c:f>
              <c:strCache>
                <c:ptCount val="1"/>
                <c:pt idx="0">
                  <c:v>Prevalence Rate - Massachusetts</c:v>
                </c:pt>
              </c:strCache>
            </c:strRef>
          </c:tx>
          <c:spPr>
            <a:ln w="25400">
              <a:solidFill>
                <a:srgbClr val="08519C"/>
              </a:solidFill>
              <a:prstDash val="solid"/>
            </a:ln>
          </c:spPr>
          <c:marker>
            <c:symbol val="diamond"/>
            <c:size val="6"/>
            <c:spPr>
              <a:solidFill>
                <a:schemeClr val="bg1"/>
              </a:solidFill>
              <a:ln>
                <a:solidFill>
                  <a:srgbClr val="08519C"/>
                </a:solidFill>
                <a:prstDash val="solid"/>
              </a:ln>
            </c:spPr>
          </c:marker>
          <c:dLbls>
            <c:dLbl>
              <c:idx val="2"/>
              <c:layout>
                <c:manualLayout>
                  <c:x val="-3.314814814814819E-2"/>
                  <c:y val="9.4624881291547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ECB-4166-A4DA-11ED2A870B4D}"/>
                </c:ext>
              </c:extLst>
            </c:dLbl>
            <c:spPr>
              <a:noFill/>
              <a:ln w="25400">
                <a:noFill/>
              </a:ln>
            </c:spPr>
            <c:txPr>
              <a:bodyPr/>
              <a:lstStyle/>
              <a:p>
                <a:pPr>
                  <a:defRPr sz="1050"/>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'Figure 3.9'!$B$2:$K$2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'Figure 3.9'!$B$3:$K$3</c:f>
              <c:numCache>
                <c:formatCode>General</c:formatCode>
                <c:ptCount val="10"/>
                <c:pt idx="0">
                  <c:v>5.8</c:v>
                </c:pt>
                <c:pt idx="1">
                  <c:v>6.1</c:v>
                </c:pt>
                <c:pt idx="2">
                  <c:v>5</c:v>
                </c:pt>
                <c:pt idx="3">
                  <c:v>4.9000000000000004</c:v>
                </c:pt>
                <c:pt idx="4">
                  <c:v>4.7</c:v>
                </c:pt>
                <c:pt idx="5">
                  <c:v>4.5</c:v>
                </c:pt>
                <c:pt idx="6">
                  <c:v>5.5</c:v>
                </c:pt>
                <c:pt idx="7">
                  <c:v>3.6</c:v>
                </c:pt>
                <c:pt idx="8">
                  <c:v>3.2</c:v>
                </c:pt>
                <c:pt idx="9">
                  <c:v>4.2</c:v>
                </c:pt>
              </c:numCache>
            </c:numRef>
          </c:val>
          <c:smooth val="0"/>
          <c:extLst xmlns:c16r2="http://schemas.microsoft.com/office/drawing/2015/06/chart">
            <c:ext xmlns:c16="http://schemas.microsoft.com/office/drawing/2014/chart" uri="{C3380CC4-5D6E-409C-BE32-E72D297353CC}">
              <c16:uniqueId val="{00000000-07EB-4FB5-BD16-00863E559FD9}"/>
            </c:ext>
          </c:extLst>
        </c:ser>
        <c:ser>
          <c:idx val="1"/>
          <c:order val="1"/>
          <c:tx>
            <c:strRef>
              <c:f>'Figure 3.9'!$A$4</c:f>
              <c:strCache>
                <c:ptCount val="1"/>
                <c:pt idx="0">
                  <c:v>Prevalence Rate - US</c:v>
                </c:pt>
              </c:strCache>
            </c:strRef>
          </c:tx>
          <c:spPr>
            <a:ln w="25400">
              <a:solidFill>
                <a:srgbClr val="6BAED6"/>
              </a:solidFill>
              <a:prstDash val="solid"/>
            </a:ln>
          </c:spPr>
          <c:marker>
            <c:symbol val="circle"/>
            <c:size val="6"/>
            <c:spPr>
              <a:solidFill>
                <a:schemeClr val="bg1"/>
              </a:solidFill>
              <a:ln>
                <a:solidFill>
                  <a:srgbClr val="6BAED6"/>
                </a:solidFill>
                <a:prstDash val="solid"/>
              </a:ln>
            </c:spPr>
          </c:marker>
          <c:dLbls>
            <c:spPr>
              <a:noFill/>
              <a:ln w="25400">
                <a:noFill/>
              </a:ln>
            </c:spPr>
            <c:txPr>
              <a:bodyPr/>
              <a:lstStyle/>
              <a:p>
                <a:pPr>
                  <a:defRPr sz="105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'Figure 3.9'!$B$2:$K$2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'Figure 3.9'!$B$4:$K$4</c:f>
              <c:numCache>
                <c:formatCode>General</c:formatCode>
                <c:ptCount val="10"/>
                <c:pt idx="0">
                  <c:v>7.3</c:v>
                </c:pt>
                <c:pt idx="1">
                  <c:v>7.5</c:v>
                </c:pt>
                <c:pt idx="2">
                  <c:v>7.6</c:v>
                </c:pt>
                <c:pt idx="3">
                  <c:v>7.1</c:v>
                </c:pt>
                <c:pt idx="4">
                  <c:v>6.1</c:v>
                </c:pt>
                <c:pt idx="5">
                  <c:v>6.7</c:v>
                </c:pt>
                <c:pt idx="6">
                  <c:v>6.4</c:v>
                </c:pt>
                <c:pt idx="7">
                  <c:v>5.6</c:v>
                </c:pt>
                <c:pt idx="8">
                  <c:v>4.9000000000000004</c:v>
                </c:pt>
                <c:pt idx="9">
                  <c:v>4.3</c:v>
                </c:pt>
              </c:numCache>
            </c:numRef>
          </c:val>
          <c:smooth val="0"/>
          <c:extLst xmlns:c16r2="http://schemas.microsoft.com/office/drawing/2015/06/chart">
            <c:ext xmlns:c16="http://schemas.microsoft.com/office/drawing/2014/chart" uri="{C3380CC4-5D6E-409C-BE32-E72D297353CC}">
              <c16:uniqueId val="{00000001-07EB-4FB5-BD16-00863E559FD9}"/>
            </c:ext>
          </c:extLst>
        </c:ser>
        <c:dLbls>
          <c:showLegendKey val="0"/>
          <c:showVal val="0"/>
          <c:showCatName val="0"/>
          <c:showSerName val="0"/>
          <c:showPercent val="0"/>
          <c:showBubbleSize val="0"/>
        </c:dLbls>
        <c:marker val="1"/>
        <c:smooth val="0"/>
        <c:axId val="191148416"/>
        <c:axId val="191151104"/>
      </c:lineChart>
      <c:catAx>
        <c:axId val="191148416"/>
        <c:scaling>
          <c:orientation val="minMax"/>
        </c:scaling>
        <c:delete val="0"/>
        <c:axPos val="b"/>
        <c:numFmt formatCode="General" sourceLinked="1"/>
        <c:majorTickMark val="out"/>
        <c:minorTickMark val="none"/>
        <c:tickLblPos val="nextTo"/>
        <c:spPr>
          <a:ln w="3175">
            <a:solidFill>
              <a:srgbClr val="808080"/>
            </a:solidFill>
            <a:prstDash val="solid"/>
          </a:ln>
        </c:spPr>
        <c:txPr>
          <a:bodyPr rot="0" vert="horz"/>
          <a:lstStyle/>
          <a:p>
            <a:pPr>
              <a:defRPr/>
            </a:pPr>
            <a:endParaRPr lang="en-US"/>
          </a:p>
        </c:txPr>
        <c:crossAx val="191151104"/>
        <c:crosses val="autoZero"/>
        <c:auto val="1"/>
        <c:lblAlgn val="ctr"/>
        <c:lblOffset val="100"/>
        <c:noMultiLvlLbl val="0"/>
      </c:catAx>
      <c:valAx>
        <c:axId val="191151104"/>
        <c:scaling>
          <c:orientation val="minMax"/>
        </c:scaling>
        <c:delete val="0"/>
        <c:axPos val="l"/>
        <c:title>
          <c:tx>
            <c:rich>
              <a:bodyPr/>
              <a:lstStyle/>
              <a:p>
                <a:pPr>
                  <a:defRPr b="1"/>
                </a:pPr>
                <a:r>
                  <a:rPr lang="en-US" b="1"/>
                  <a:t>Cases per 100,000 workers</a:t>
                </a:r>
              </a:p>
            </c:rich>
          </c:tx>
          <c:overlay val="0"/>
          <c:spPr>
            <a:noFill/>
            <a:ln w="25400">
              <a:noFill/>
            </a:ln>
          </c:spPr>
        </c:title>
        <c:numFmt formatCode="General" sourceLinked="1"/>
        <c:majorTickMark val="out"/>
        <c:minorTickMark val="none"/>
        <c:tickLblPos val="nextTo"/>
        <c:spPr>
          <a:ln w="3175">
            <a:solidFill>
              <a:srgbClr val="808080"/>
            </a:solidFill>
            <a:prstDash val="solid"/>
          </a:ln>
        </c:spPr>
        <c:txPr>
          <a:bodyPr rot="0" vert="horz"/>
          <a:lstStyle/>
          <a:p>
            <a:pPr>
              <a:defRPr/>
            </a:pPr>
            <a:endParaRPr lang="en-US"/>
          </a:p>
        </c:txPr>
        <c:crossAx val="191148416"/>
        <c:crosses val="autoZero"/>
        <c:crossBetween val="between"/>
      </c:valAx>
      <c:spPr>
        <a:solidFill>
          <a:srgbClr val="FFFFFF"/>
        </a:solidFill>
        <a:ln w="25400">
          <a:noFill/>
        </a:ln>
      </c:spPr>
    </c:plotArea>
    <c:legend>
      <c:legendPos val="r"/>
      <c:layout>
        <c:manualLayout>
          <c:xMode val="edge"/>
          <c:yMode val="edge"/>
          <c:x val="0.14236129337999417"/>
          <c:y val="0.84326147265779816"/>
          <c:w val="0.73611235913146822"/>
          <c:h val="7.7670148381081813E-2"/>
        </c:manualLayout>
      </c:layout>
      <c:overlay val="0"/>
      <c:spPr>
        <a:noFill/>
        <a:ln w="25400">
          <a:noFill/>
        </a:ln>
      </c:spPr>
    </c:legend>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mn-lt"/>
          <a:ea typeface="Calibri"/>
          <a:cs typeface="Calibri"/>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75E-2"/>
          <c:y val="3.9540662193805129E-2"/>
          <c:w val="0.81292402533140884"/>
          <c:h val="0.80150006672894714"/>
        </c:manualLayout>
      </c:layout>
      <c:lineChart>
        <c:grouping val="standard"/>
        <c:varyColors val="0"/>
        <c:ser>
          <c:idx val="2"/>
          <c:order val="0"/>
          <c:tx>
            <c:strRef>
              <c:f>'\\hria-fs\Berkeley\Common\Research&amp;Eval Dept\R&amp;E ACTIVE PROJECTS\MA SHA\SHA Report\Chapter 3\[SHA Chapter 3 Data for Asbestos Related Disease 063017.xls]asbestos related Disease'!$A$8</c:f>
              <c:strCache>
                <c:ptCount val="1"/>
                <c:pt idx="0">
                  <c:v>Age-standarized Rate - Massachusetts</c:v>
                </c:pt>
              </c:strCache>
            </c:strRef>
          </c:tx>
          <c:spPr>
            <a:ln w="25400">
              <a:solidFill>
                <a:srgbClr val="08519C"/>
              </a:solidFill>
              <a:prstDash val="solid"/>
            </a:ln>
          </c:spPr>
          <c:marker>
            <c:symbol val="diamond"/>
            <c:size val="6"/>
            <c:spPr>
              <a:solidFill>
                <a:schemeClr val="bg1"/>
              </a:solidFill>
              <a:ln>
                <a:solidFill>
                  <a:srgbClr val="08519C"/>
                </a:solidFill>
                <a:prstDash val="solid"/>
              </a:ln>
            </c:spPr>
          </c:marker>
          <c:dLbls>
            <c:numFmt formatCode="#,##0" sourceLinked="0"/>
            <c:spPr>
              <a:noFill/>
              <a:ln w="25400">
                <a:noFill/>
              </a:ln>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'[1]asbestos related Disease'!$B$3:$K$3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'[1]asbestos related Disease'!$B$8:$K$8</c:f>
              <c:numCache>
                <c:formatCode>General</c:formatCode>
                <c:ptCount val="10"/>
                <c:pt idx="0">
                  <c:v>144.85</c:v>
                </c:pt>
                <c:pt idx="1">
                  <c:v>172.82</c:v>
                </c:pt>
                <c:pt idx="2">
                  <c:v>174.66</c:v>
                </c:pt>
                <c:pt idx="3">
                  <c:v>168.71</c:v>
                </c:pt>
                <c:pt idx="4">
                  <c:v>153.54348329975934</c:v>
                </c:pt>
                <c:pt idx="5">
                  <c:v>143.15095588687547</c:v>
                </c:pt>
                <c:pt idx="6">
                  <c:v>114.8</c:v>
                </c:pt>
                <c:pt idx="7">
                  <c:v>103.4</c:v>
                </c:pt>
                <c:pt idx="8">
                  <c:v>99.96</c:v>
                </c:pt>
                <c:pt idx="9">
                  <c:v>82.9</c:v>
                </c:pt>
              </c:numCache>
            </c:numRef>
          </c:val>
          <c:smooth val="0"/>
          <c:extLst xmlns:c16r2="http://schemas.microsoft.com/office/drawing/2015/06/chart">
            <c:ext xmlns:c16="http://schemas.microsoft.com/office/drawing/2014/chart" uri="{C3380CC4-5D6E-409C-BE32-E72D297353CC}">
              <c16:uniqueId val="{00000000-93B4-4E78-8B54-74CC3971EAA7}"/>
            </c:ext>
          </c:extLst>
        </c:ser>
        <c:ser>
          <c:idx val="0"/>
          <c:order val="1"/>
          <c:tx>
            <c:strRef>
              <c:f>'\\hria-fs\Berkeley\Common\Research&amp;Eval Dept\R&amp;E ACTIVE PROJECTS\MA SHA\SHA Report\Chapter 3\[SHA Chapter 3 Data for Asbestos Related Disease 063017.xls]asbestos related Disease'!$A$9</c:f>
              <c:strCache>
                <c:ptCount val="1"/>
                <c:pt idx="0">
                  <c:v>Age-standardized Rate - US</c:v>
                </c:pt>
              </c:strCache>
            </c:strRef>
          </c:tx>
          <c:spPr>
            <a:ln w="25400">
              <a:solidFill>
                <a:srgbClr val="6BAED6"/>
              </a:solidFill>
              <a:prstDash val="solid"/>
            </a:ln>
          </c:spPr>
          <c:marker>
            <c:symbol val="circle"/>
            <c:size val="6"/>
            <c:spPr>
              <a:solidFill>
                <a:schemeClr val="bg1"/>
              </a:solidFill>
              <a:ln>
                <a:solidFill>
                  <a:srgbClr val="6BAED6"/>
                </a:solidFill>
                <a:prstDash val="solid"/>
              </a:ln>
            </c:spPr>
          </c:marker>
          <c:dLbls>
            <c:numFmt formatCode="#,##0" sourceLinked="0"/>
            <c:spPr>
              <a:noFill/>
              <a:ln w="25400">
                <a:noFill/>
              </a:ln>
            </c:spPr>
            <c:txPr>
              <a:bodyPr/>
              <a:lstStyle/>
              <a:p>
                <a:pPr>
                  <a:defRPr sz="1050"/>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'[1]asbestos related Disease'!$B$9:$G$9</c:f>
              <c:numCache>
                <c:formatCode>General</c:formatCode>
                <c:ptCount val="6"/>
                <c:pt idx="0">
                  <c:v>60.2</c:v>
                </c:pt>
                <c:pt idx="1">
                  <c:v>60.9</c:v>
                </c:pt>
                <c:pt idx="2">
                  <c:v>61.66</c:v>
                </c:pt>
                <c:pt idx="3">
                  <c:v>70.13</c:v>
                </c:pt>
                <c:pt idx="4">
                  <c:v>48.33</c:v>
                </c:pt>
                <c:pt idx="5">
                  <c:v>33.17</c:v>
                </c:pt>
              </c:numCache>
            </c:numRef>
          </c:val>
          <c:smooth val="0"/>
          <c:extLst xmlns:c16r2="http://schemas.microsoft.com/office/drawing/2015/06/chart">
            <c:ext xmlns:c16="http://schemas.microsoft.com/office/drawing/2014/chart" uri="{C3380CC4-5D6E-409C-BE32-E72D297353CC}">
              <c16:uniqueId val="{00000001-93B4-4E78-8B54-74CC3971EAA7}"/>
            </c:ext>
          </c:extLst>
        </c:ser>
        <c:dLbls>
          <c:showLegendKey val="0"/>
          <c:showVal val="0"/>
          <c:showCatName val="0"/>
          <c:showSerName val="0"/>
          <c:showPercent val="0"/>
          <c:showBubbleSize val="0"/>
        </c:dLbls>
        <c:marker val="1"/>
        <c:smooth val="0"/>
        <c:axId val="195809664"/>
        <c:axId val="195811584"/>
      </c:lineChart>
      <c:catAx>
        <c:axId val="195809664"/>
        <c:scaling>
          <c:orientation val="minMax"/>
        </c:scaling>
        <c:delete val="0"/>
        <c:axPos val="b"/>
        <c:numFmt formatCode="General" sourceLinked="1"/>
        <c:majorTickMark val="none"/>
        <c:minorTickMark val="none"/>
        <c:tickLblPos val="nextTo"/>
        <c:spPr>
          <a:ln w="3175">
            <a:solidFill>
              <a:srgbClr val="808080"/>
            </a:solidFill>
            <a:prstDash val="solid"/>
          </a:ln>
        </c:spPr>
        <c:txPr>
          <a:bodyPr rot="0" vert="horz"/>
          <a:lstStyle/>
          <a:p>
            <a:pPr>
              <a:defRPr/>
            </a:pPr>
            <a:endParaRPr lang="en-US"/>
          </a:p>
        </c:txPr>
        <c:crossAx val="195811584"/>
        <c:crosses val="autoZero"/>
        <c:auto val="1"/>
        <c:lblAlgn val="ctr"/>
        <c:lblOffset val="100"/>
        <c:noMultiLvlLbl val="0"/>
      </c:catAx>
      <c:valAx>
        <c:axId val="195811584"/>
        <c:scaling>
          <c:orientation val="minMax"/>
        </c:scaling>
        <c:delete val="0"/>
        <c:axPos val="l"/>
        <c:title>
          <c:tx>
            <c:rich>
              <a:bodyPr/>
              <a:lstStyle/>
              <a:p>
                <a:pPr>
                  <a:defRPr b="1"/>
                </a:pPr>
                <a:r>
                  <a:rPr lang="en-US" b="1"/>
                  <a:t>Cases  per 1,000,000 residents</a:t>
                </a:r>
              </a:p>
            </c:rich>
          </c:tx>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a:pPr>
            <a:endParaRPr lang="en-US"/>
          </a:p>
        </c:txPr>
        <c:crossAx val="195809664"/>
        <c:crosses val="autoZero"/>
        <c:crossBetween val="between"/>
      </c:valAx>
      <c:spPr>
        <a:solidFill>
          <a:srgbClr val="FFFFFF"/>
        </a:solidFill>
        <a:ln w="25400">
          <a:noFill/>
        </a:ln>
      </c:spPr>
    </c:plotArea>
    <c:legend>
      <c:legendPos val="r"/>
      <c:layout>
        <c:manualLayout>
          <c:xMode val="edge"/>
          <c:yMode val="edge"/>
          <c:x val="7.4702948176653503E-2"/>
          <c:y val="0.93249137265001292"/>
          <c:w val="0.84889713837106251"/>
          <c:h val="5.063301570950296E-2"/>
        </c:manualLayout>
      </c:layout>
      <c:overlay val="0"/>
      <c:spPr>
        <a:noFill/>
        <a:ln w="25400">
          <a:noFill/>
        </a:ln>
      </c:spPr>
    </c:legend>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mn-lt"/>
          <a:ea typeface="Calibri"/>
          <a:cs typeface="Calibri"/>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0.1165</cdr:x>
      <cdr:y>0.814</cdr:y>
    </cdr:from>
    <cdr:to>
      <cdr:x>0.361</cdr:x>
      <cdr:y>0.87925</cdr:y>
    </cdr:to>
    <cdr:sp macro="" textlink="">
      <cdr:nvSpPr>
        <cdr:cNvPr id="1026" name="Text Box 2"/>
        <cdr:cNvSpPr txBox="1">
          <a:spLocks xmlns:a="http://schemas.openxmlformats.org/drawingml/2006/main" noChangeArrowheads="1"/>
        </cdr:cNvSpPr>
      </cdr:nvSpPr>
      <cdr:spPr bwMode="auto">
        <a:xfrm xmlns:a="http://schemas.openxmlformats.org/drawingml/2006/main">
          <a:off x="999806" y="4752804"/>
          <a:ext cx="2098305" cy="380983"/>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4095D-2906-406A-B9DB-248A5F6F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5533</Words>
  <Characters>31541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5</cp:revision>
  <cp:lastPrinted>2017-11-02T16:19:00Z</cp:lastPrinted>
  <dcterms:created xsi:type="dcterms:W3CDTF">2017-11-03T02:04:00Z</dcterms:created>
  <dcterms:modified xsi:type="dcterms:W3CDTF">2017-11-03T15:45:00Z</dcterms:modified>
</cp:coreProperties>
</file>