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drawings/drawing1.xml" ContentType="application/vnd.openxmlformats-officedocument.drawingml.chartshapes+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charts/chart15.xml" ContentType="application/vnd.openxmlformats-officedocument.drawingml.chart+xml"/>
  <Override PartName="/word/theme/themeOverride15.xml" ContentType="application/vnd.openxmlformats-officedocument.themeOverride+xml"/>
  <Override PartName="/word/charts/chart16.xml" ContentType="application/vnd.openxmlformats-officedocument.drawingml.chart+xml"/>
  <Override PartName="/word/theme/themeOverride16.xml" ContentType="application/vnd.openxmlformats-officedocument.themeOverride+xml"/>
  <Override PartName="/word/charts/chart17.xml" ContentType="application/vnd.openxmlformats-officedocument.drawingml.chart+xml"/>
  <Override PartName="/word/theme/themeOverride17.xml" ContentType="application/vnd.openxmlformats-officedocument.themeOverride+xml"/>
  <Override PartName="/word/charts/chart18.xml" ContentType="application/vnd.openxmlformats-officedocument.drawingml.chart+xml"/>
  <Override PartName="/word/theme/themeOverride18.xml" ContentType="application/vnd.openxmlformats-officedocument.themeOverride+xml"/>
  <Override PartName="/word/charts/chart19.xml" ContentType="application/vnd.openxmlformats-officedocument.drawingml.chart+xml"/>
  <Override PartName="/word/theme/themeOverride19.xml" ContentType="application/vnd.openxmlformats-officedocument.themeOverride+xml"/>
  <Override PartName="/word/charts/chart20.xml" ContentType="application/vnd.openxmlformats-officedocument.drawingml.chart+xml"/>
  <Override PartName="/word/theme/themeOverride20.xml" ContentType="application/vnd.openxmlformats-officedocument.themeOverride+xml"/>
  <Override PartName="/word/drawings/drawing2.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B1E9B2" w14:textId="035CB241" w:rsidR="00197870" w:rsidRDefault="00F13540" w:rsidP="00E552D2">
      <w:pPr>
        <w:pStyle w:val="Title"/>
        <w:spacing w:line="360" w:lineRule="auto"/>
      </w:pPr>
      <w:r>
        <w:rPr>
          <w:rFonts w:ascii="Aileron Light" w:hAnsi="Aileron Light"/>
          <w:sz w:val="100"/>
          <w:szCs w:val="100"/>
        </w:rPr>
        <w:drawing>
          <wp:anchor distT="0" distB="0" distL="114300" distR="114300" simplePos="0" relativeHeight="252065792" behindDoc="1" locked="0" layoutInCell="1" allowOverlap="1" wp14:anchorId="266A3C77" wp14:editId="003379D1">
            <wp:simplePos x="0" y="0"/>
            <wp:positionH relativeFrom="column">
              <wp:posOffset>-907452</wp:posOffset>
            </wp:positionH>
            <wp:positionV relativeFrom="paragraph">
              <wp:posOffset>-1359535</wp:posOffset>
            </wp:positionV>
            <wp:extent cx="7992533" cy="11976324"/>
            <wp:effectExtent l="0" t="0" r="8890" b="6350"/>
            <wp:wrapNone/>
            <wp:docPr id="244" name="Picture 244" descr="Middle school-aged girl with arms crossed and sad expression while other girls in the distance behind her point and laug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iStock-607754556.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992533" cy="11976324"/>
                    </a:xfrm>
                    <a:prstGeom prst="rect">
                      <a:avLst/>
                    </a:prstGeom>
                  </pic:spPr>
                </pic:pic>
              </a:graphicData>
            </a:graphic>
            <wp14:sizeRelH relativeFrom="margin">
              <wp14:pctWidth>0</wp14:pctWidth>
            </wp14:sizeRelH>
            <wp14:sizeRelV relativeFrom="margin">
              <wp14:pctHeight>0</wp14:pctHeight>
            </wp14:sizeRelV>
          </wp:anchor>
        </w:drawing>
      </w:r>
    </w:p>
    <w:p w14:paraId="465F4D5F" w14:textId="040E5505" w:rsidR="00197870" w:rsidRDefault="00197870" w:rsidP="00E552D2">
      <w:pPr>
        <w:pStyle w:val="Title"/>
        <w:spacing w:line="360" w:lineRule="auto"/>
      </w:pPr>
    </w:p>
    <w:p w14:paraId="51280B14" w14:textId="77777777" w:rsidR="00197870" w:rsidRDefault="00197870" w:rsidP="00E552D2">
      <w:pPr>
        <w:pStyle w:val="Title"/>
        <w:spacing w:line="360" w:lineRule="auto"/>
      </w:pPr>
    </w:p>
    <w:p w14:paraId="083DE8BE" w14:textId="77777777" w:rsidR="00197870" w:rsidRDefault="00197870" w:rsidP="00E552D2">
      <w:pPr>
        <w:pStyle w:val="Title"/>
        <w:spacing w:line="360" w:lineRule="auto"/>
      </w:pPr>
    </w:p>
    <w:p w14:paraId="4A1678C5" w14:textId="0AFE4B36" w:rsidR="00197870" w:rsidRDefault="00197870" w:rsidP="00E552D2">
      <w:pPr>
        <w:spacing w:line="360" w:lineRule="auto"/>
        <w:rPr>
          <w:rFonts w:ascii="Aileron Light" w:eastAsiaTheme="majorEastAsia" w:hAnsi="Aileron Light" w:cstheme="majorBidi"/>
          <w:spacing w:val="-10"/>
          <w:kern w:val="28"/>
          <w:sz w:val="100"/>
          <w:szCs w:val="100"/>
        </w:rPr>
      </w:pPr>
      <w:r>
        <mc:AlternateContent>
          <mc:Choice Requires="wps">
            <w:drawing>
              <wp:anchor distT="0" distB="0" distL="114300" distR="114300" simplePos="0" relativeHeight="251728896" behindDoc="0" locked="0" layoutInCell="1" allowOverlap="1" wp14:anchorId="576D4E1A" wp14:editId="51D4F3A8">
                <wp:simplePos x="0" y="0"/>
                <wp:positionH relativeFrom="column">
                  <wp:posOffset>-687742</wp:posOffset>
                </wp:positionH>
                <wp:positionV relativeFrom="paragraph">
                  <wp:posOffset>220345</wp:posOffset>
                </wp:positionV>
                <wp:extent cx="7772400" cy="1518661"/>
                <wp:effectExtent l="0" t="0" r="0" b="5715"/>
                <wp:wrapNone/>
                <wp:docPr id="250" name="Rectangle 250"/>
                <wp:cNvGraphicFramePr/>
                <a:graphic xmlns:a="http://schemas.openxmlformats.org/drawingml/2006/main">
                  <a:graphicData uri="http://schemas.microsoft.com/office/word/2010/wordprocessingShape">
                    <wps:wsp>
                      <wps:cNvSpPr/>
                      <wps:spPr>
                        <a:xfrm>
                          <a:off x="0" y="0"/>
                          <a:ext cx="7772400" cy="1518661"/>
                        </a:xfrm>
                        <a:prstGeom prst="rect">
                          <a:avLst/>
                        </a:prstGeom>
                        <a:solidFill>
                          <a:schemeClr val="accent1">
                            <a:lumMod val="50000"/>
                          </a:schemeClr>
                        </a:solidFill>
                        <a:ln w="571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664380F" w14:textId="77777777" w:rsidR="0079760B" w:rsidRPr="00405E2B" w:rsidRDefault="0079760B" w:rsidP="00583FB8">
                            <w:pPr>
                              <w:pStyle w:val="Chapter"/>
                              <w:ind w:left="720"/>
                            </w:pPr>
                            <w:r>
                              <w:t xml:space="preserve">CHAPTER 5 </w:t>
                            </w:r>
                          </w:p>
                          <w:p w14:paraId="1DC76574" w14:textId="77777777" w:rsidR="0079760B" w:rsidRPr="00405E2B" w:rsidRDefault="0079760B" w:rsidP="00197870">
                            <w:pPr>
                              <w:pStyle w:val="ChapterName"/>
                            </w:pPr>
                            <w:r>
                              <w:t>Injury and Violence Prevention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50" o:spid="_x0000_s1026" style="position:absolute;left:0;text-align:left;margin-left:-54.15pt;margin-top:17.35pt;width:612pt;height:119.6pt;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" fillcolor="#1f3763 [1604]" stroked="f" strokeweight="4.5pt">
                <v:textbox>
                  <w:txbxContent>
                    <w:p w14:paraId="1664380F" w14:textId="77777777" w:rsidR="0079760B" w:rsidRPr="00405E2B" w:rsidRDefault="0079760B" w:rsidP="00583FB8">
                      <w:pPr>
                        <w:pStyle w:val="Chapter"/>
                        <w:ind w:left="720"/>
                      </w:pPr>
                      <w:r>
                        <w:t xml:space="preserve">CHAPTER 5 </w:t>
                      </w:r>
                    </w:p>
                    <w:p w14:paraId="1DC76574" w14:textId="77777777" w:rsidR="0079760B" w:rsidRPr="00405E2B" w:rsidRDefault="0079760B" w:rsidP="00197870">
                      <w:pPr>
                        <w:pStyle w:val="ChapterName"/>
                      </w:pPr>
                      <w:r>
                        <w:t>Injury and Violence Prevention</w:t>
                      </w:r>
                    </w:p>
                  </w:txbxContent>
                </v:textbox>
              </v:rect>
            </w:pict>
          </mc:Fallback>
        </mc:AlternateContent>
      </w:r>
      <w:r>
        <w:br w:type="page"/>
      </w:r>
    </w:p>
    <w:p w14:paraId="5A807896" w14:textId="34E04ADA" w:rsidR="007356E6" w:rsidRDefault="00B64805" w:rsidP="00E552D2">
      <w:pPr>
        <w:pStyle w:val="Title"/>
        <w:spacing w:line="360" w:lineRule="auto"/>
      </w:pPr>
      <w:r>
        <w:lastRenderedPageBreak/>
        <w:drawing>
          <wp:anchor distT="0" distB="0" distL="114300" distR="114300" simplePos="0" relativeHeight="252066816" behindDoc="1" locked="0" layoutInCell="1" allowOverlap="1" wp14:anchorId="5F76EBB2" wp14:editId="1AE1D988">
            <wp:simplePos x="0" y="0"/>
            <wp:positionH relativeFrom="column">
              <wp:posOffset>-828513</wp:posOffset>
            </wp:positionH>
            <wp:positionV relativeFrom="paragraph">
              <wp:posOffset>-1219200</wp:posOffset>
            </wp:positionV>
            <wp:extent cx="7905750" cy="3987800"/>
            <wp:effectExtent l="0" t="0" r="0" b="0"/>
            <wp:wrapNone/>
            <wp:docPr id="46" name="Picture 46" descr="Woman holding left wrist with right hand as if it hu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Stock-492150571.jpg"/>
                    <pic:cNvPicPr/>
                  </pic:nvPicPr>
                  <pic:blipFill rotWithShape="1">
                    <a:blip r:embed="rId10" cstate="print">
                      <a:extLst>
                        <a:ext uri="{28A0092B-C50C-407E-A947-70E740481C1C}">
                          <a14:useLocalDpi xmlns:a14="http://schemas.microsoft.com/office/drawing/2010/main" val="0"/>
                        </a:ext>
                      </a:extLst>
                    </a:blip>
                    <a:srcRect b="27086"/>
                    <a:stretch/>
                  </pic:blipFill>
                  <pic:spPr bwMode="auto">
                    <a:xfrm>
                      <a:off x="0" y="0"/>
                      <a:ext cx="7905750" cy="3987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BBB2FC6" w14:textId="493D57D0" w:rsidR="007356E6" w:rsidRDefault="007356E6" w:rsidP="00E552D2">
      <w:pPr>
        <w:pStyle w:val="Title"/>
        <w:spacing w:line="360" w:lineRule="auto"/>
      </w:pPr>
    </w:p>
    <w:p w14:paraId="34A22B8E" w14:textId="4FFA06A1" w:rsidR="007356E6" w:rsidRDefault="007356E6" w:rsidP="00E552D2">
      <w:pPr>
        <w:pStyle w:val="Title"/>
        <w:spacing w:line="360" w:lineRule="auto"/>
      </w:pPr>
    </w:p>
    <w:p w14:paraId="5B23FCCD" w14:textId="1E95FFC0" w:rsidR="00197870" w:rsidRPr="00601B0A" w:rsidRDefault="00197870" w:rsidP="00E552D2">
      <w:pPr>
        <w:pStyle w:val="Title"/>
        <w:spacing w:before="480" w:line="360" w:lineRule="auto"/>
      </w:pPr>
      <w:r>
        <w:t>Injury and Violence Prevention</w:t>
      </w:r>
    </w:p>
    <w:p w14:paraId="0EA61925" w14:textId="7FDB326B" w:rsidR="00197870" w:rsidRPr="00471E8F" w:rsidRDefault="00197870" w:rsidP="00E552D2">
      <w:pPr>
        <w:spacing w:line="360" w:lineRule="auto"/>
        <w:ind w:right="-360"/>
        <w:rPr>
          <w:sz w:val="24"/>
          <w:szCs w:val="24"/>
        </w:rPr>
      </w:pPr>
      <w:r w:rsidRPr="00471E8F">
        <w:rPr>
          <w:sz w:val="24"/>
          <w:szCs w:val="24"/>
        </w:rPr>
        <w:t>This chapter provides information about injury and violence issues and prevention in the Commonwealth of Massachusetts and related trends, disparities and resources.</w:t>
      </w:r>
    </w:p>
    <w:p w14:paraId="151F5DA9" w14:textId="308DB77A" w:rsidR="00197870" w:rsidRPr="00471E8F" w:rsidRDefault="00197870" w:rsidP="00E552D2">
      <w:pPr>
        <w:spacing w:line="360" w:lineRule="auto"/>
        <w:ind w:right="-360"/>
        <w:rPr>
          <w:sz w:val="24"/>
          <w:szCs w:val="24"/>
        </w:rPr>
      </w:pPr>
      <w:r w:rsidRPr="00471E8F">
        <w:rPr>
          <w:sz w:val="24"/>
          <w:szCs w:val="24"/>
        </w:rPr>
        <w:t>This chapter addresses the following topics:</w:t>
      </w:r>
    </w:p>
    <w:p w14:paraId="76B38799" w14:textId="77777777" w:rsidR="00471E8F" w:rsidRPr="00471E8F" w:rsidRDefault="00471E8F" w:rsidP="00E552D2">
      <w:pPr>
        <w:pStyle w:val="ListParagraph"/>
        <w:numPr>
          <w:ilvl w:val="0"/>
          <w:numId w:val="80"/>
        </w:numPr>
        <w:spacing w:line="360" w:lineRule="auto"/>
        <w:ind w:right="-360"/>
        <w:rPr>
          <w:sz w:val="24"/>
          <w:szCs w:val="24"/>
        </w:rPr>
        <w:sectPr w:rsidR="00471E8F" w:rsidRPr="00471E8F" w:rsidSect="00AC0A62">
          <w:footerReference w:type="default" r:id="rId11"/>
          <w:endnotePr>
            <w:numFmt w:val="decimal"/>
          </w:endnotePr>
          <w:type w:val="continuous"/>
          <w:pgSz w:w="12240" w:h="15840"/>
          <w:pgMar w:top="1440" w:right="1080" w:bottom="1440" w:left="1080" w:header="720" w:footer="720" w:gutter="0"/>
          <w:cols w:space="720"/>
          <w:docGrid w:linePitch="360"/>
        </w:sectPr>
      </w:pPr>
    </w:p>
    <w:p w14:paraId="6F58DF3A" w14:textId="521D9266" w:rsidR="00197870" w:rsidRPr="00471E8F" w:rsidRDefault="00197870" w:rsidP="00E552D2">
      <w:pPr>
        <w:pStyle w:val="ListParagraph"/>
        <w:numPr>
          <w:ilvl w:val="0"/>
          <w:numId w:val="80"/>
        </w:numPr>
        <w:spacing w:line="360" w:lineRule="auto"/>
        <w:ind w:right="-360"/>
        <w:rPr>
          <w:sz w:val="24"/>
          <w:szCs w:val="24"/>
        </w:rPr>
      </w:pPr>
      <w:r w:rsidRPr="00471E8F">
        <w:rPr>
          <w:sz w:val="24"/>
          <w:szCs w:val="24"/>
        </w:rPr>
        <w:lastRenderedPageBreak/>
        <w:t>Unintentional Injury</w:t>
      </w:r>
    </w:p>
    <w:p w14:paraId="566BE0C0" w14:textId="4A0F1912" w:rsidR="00867951" w:rsidRPr="00471E8F" w:rsidRDefault="00471E8F" w:rsidP="00E552D2">
      <w:pPr>
        <w:pStyle w:val="ListParagraph"/>
        <w:numPr>
          <w:ilvl w:val="0"/>
          <w:numId w:val="80"/>
        </w:numPr>
        <w:spacing w:line="360" w:lineRule="auto"/>
        <w:ind w:right="-360"/>
        <w:rPr>
          <w:sz w:val="24"/>
          <w:szCs w:val="24"/>
        </w:rPr>
      </w:pPr>
      <w:r w:rsidRPr="00471E8F">
        <w:rPr>
          <w:rFonts w:ascii="Calibri" w:eastAsia="Calibri" w:hAnsi="Calibri" w:cs="Times New Roman"/>
          <w:sz w:val="24"/>
          <w:szCs w:val="24"/>
        </w:rPr>
        <mc:AlternateContent>
          <mc:Choice Requires="wps">
            <w:drawing>
              <wp:anchor distT="0" distB="0" distL="114300" distR="114300" simplePos="0" relativeHeight="252070912" behindDoc="0" locked="0" layoutInCell="1" allowOverlap="1" wp14:anchorId="4B60D7AD" wp14:editId="151CB7F8">
                <wp:simplePos x="0" y="0"/>
                <wp:positionH relativeFrom="margin">
                  <wp:posOffset>-374015</wp:posOffset>
                </wp:positionH>
                <wp:positionV relativeFrom="margin">
                  <wp:posOffset>5396865</wp:posOffset>
                </wp:positionV>
                <wp:extent cx="7185660" cy="3108325"/>
                <wp:effectExtent l="0" t="0" r="0" b="0"/>
                <wp:wrapSquare wrapText="bothSides"/>
                <wp:docPr id="1" name="Rectangle 1"/>
                <wp:cNvGraphicFramePr/>
                <a:graphic xmlns:a="http://schemas.openxmlformats.org/drawingml/2006/main">
                  <a:graphicData uri="http://schemas.microsoft.com/office/word/2010/wordprocessingShape">
                    <wps:wsp>
                      <wps:cNvSpPr/>
                      <wps:spPr>
                        <a:xfrm>
                          <a:off x="0" y="0"/>
                          <a:ext cx="7185660" cy="3108325"/>
                        </a:xfrm>
                        <a:prstGeom prst="rect">
                          <a:avLst/>
                        </a:prstGeom>
                        <a:solidFill>
                          <a:srgbClr val="4472C4">
                            <a:lumMod val="20000"/>
                            <a:lumOff val="80000"/>
                          </a:srgbClr>
                        </a:solidFill>
                        <a:ln w="12700" cap="flat" cmpd="sng" algn="ctr">
                          <a:noFill/>
                          <a:prstDash val="solid"/>
                          <a:miter lim="800000"/>
                        </a:ln>
                        <a:effectLst/>
                      </wps:spPr>
                      <wps:txbx>
                        <w:txbxContent>
                          <w:p w14:paraId="597D1EC0" w14:textId="77777777" w:rsidR="00471E8F" w:rsidRPr="0098472B" w:rsidRDefault="00471E8F" w:rsidP="00471E8F">
                            <w:pPr>
                              <w:ind w:left="0" w:right="255"/>
                              <w:jc w:val="left"/>
                              <w:rPr>
                                <w:b/>
                                <w:color w:val="203864"/>
                              </w:rPr>
                            </w:pPr>
                            <w:r w:rsidRPr="0098472B">
                              <w:rPr>
                                <w:b/>
                                <w:color w:val="203864"/>
                              </w:rPr>
                              <w:t>Chapter Data Highlights</w:t>
                            </w:r>
                          </w:p>
                          <w:p w14:paraId="30119420" w14:textId="77777777" w:rsidR="00471E8F" w:rsidRPr="00471E8F" w:rsidRDefault="00471E8F" w:rsidP="00471E8F">
                            <w:pPr>
                              <w:pStyle w:val="ListParagraph"/>
                              <w:numPr>
                                <w:ilvl w:val="0"/>
                                <w:numId w:val="79"/>
                              </w:numPr>
                              <w:spacing w:before="0" w:after="0" w:line="276" w:lineRule="auto"/>
                              <w:ind w:left="630" w:right="255"/>
                              <w:contextualSpacing w:val="0"/>
                              <w:jc w:val="left"/>
                              <w:rPr>
                                <w:color w:val="000000" w:themeColor="text1"/>
                                <w:sz w:val="24"/>
                                <w:szCs w:val="24"/>
                              </w:rPr>
                            </w:pPr>
                            <w:r w:rsidRPr="00471E8F">
                              <w:rPr>
                                <w:color w:val="000000" w:themeColor="text1"/>
                                <w:sz w:val="24"/>
                                <w:szCs w:val="24"/>
                              </w:rPr>
                              <w:t>Massachusetts has the lowest rate of unintentional child injury deaths in the US</w:t>
                            </w:r>
                          </w:p>
                          <w:p w14:paraId="2D6C6A71" w14:textId="77777777" w:rsidR="00471E8F" w:rsidRPr="00471E8F" w:rsidRDefault="00471E8F" w:rsidP="00471E8F">
                            <w:pPr>
                              <w:pStyle w:val="ListParagraph"/>
                              <w:numPr>
                                <w:ilvl w:val="0"/>
                                <w:numId w:val="79"/>
                              </w:numPr>
                              <w:spacing w:before="0" w:after="0" w:line="276" w:lineRule="auto"/>
                              <w:ind w:left="630" w:right="255"/>
                              <w:contextualSpacing w:val="0"/>
                              <w:jc w:val="left"/>
                              <w:rPr>
                                <w:color w:val="000000" w:themeColor="text1"/>
                                <w:sz w:val="24"/>
                                <w:szCs w:val="24"/>
                              </w:rPr>
                            </w:pPr>
                            <w:r w:rsidRPr="00471E8F">
                              <w:rPr>
                                <w:color w:val="000000" w:themeColor="text1"/>
                                <w:sz w:val="24"/>
                                <w:szCs w:val="24"/>
                              </w:rPr>
                              <w:t xml:space="preserve">In 2015, half of teens continued to play in a sporting event after reporting concussion symptoms </w:t>
                            </w:r>
                          </w:p>
                          <w:p w14:paraId="333C2A39" w14:textId="77777777" w:rsidR="00471E8F" w:rsidRPr="00471E8F" w:rsidRDefault="00471E8F" w:rsidP="00471E8F">
                            <w:pPr>
                              <w:pStyle w:val="ListParagraph"/>
                              <w:numPr>
                                <w:ilvl w:val="0"/>
                                <w:numId w:val="79"/>
                              </w:numPr>
                              <w:spacing w:before="0" w:after="0" w:line="276" w:lineRule="auto"/>
                              <w:ind w:left="630" w:right="255"/>
                              <w:contextualSpacing w:val="0"/>
                              <w:jc w:val="left"/>
                              <w:rPr>
                                <w:color w:val="000000" w:themeColor="text1"/>
                                <w:sz w:val="24"/>
                                <w:szCs w:val="24"/>
                              </w:rPr>
                            </w:pPr>
                            <w:r w:rsidRPr="00471E8F">
                              <w:rPr>
                                <w:color w:val="000000" w:themeColor="text1"/>
                                <w:sz w:val="24"/>
                                <w:szCs w:val="24"/>
                              </w:rPr>
                              <w:t>From 2006 to 2014, death by falls for older adults increased 41%</w:t>
                            </w:r>
                          </w:p>
                          <w:p w14:paraId="262C96E3" w14:textId="77777777" w:rsidR="00471E8F" w:rsidRPr="00471E8F" w:rsidRDefault="00471E8F" w:rsidP="00471E8F">
                            <w:pPr>
                              <w:pStyle w:val="ListParagraph"/>
                              <w:numPr>
                                <w:ilvl w:val="0"/>
                                <w:numId w:val="79"/>
                              </w:numPr>
                              <w:spacing w:before="0" w:after="0" w:line="276" w:lineRule="auto"/>
                              <w:ind w:left="630" w:right="255"/>
                              <w:contextualSpacing w:val="0"/>
                              <w:jc w:val="left"/>
                              <w:rPr>
                                <w:color w:val="000000" w:themeColor="text1"/>
                                <w:sz w:val="24"/>
                                <w:szCs w:val="24"/>
                              </w:rPr>
                            </w:pPr>
                            <w:r w:rsidRPr="00471E8F">
                              <w:rPr>
                                <w:color w:val="000000" w:themeColor="text1"/>
                                <w:sz w:val="24"/>
                                <w:szCs w:val="24"/>
                              </w:rPr>
                              <w:t>Motor vehicle traffic injuries are the leading cause of death for people 15 to 24</w:t>
                            </w:r>
                          </w:p>
                          <w:p w14:paraId="17A55590" w14:textId="77777777" w:rsidR="00471E8F" w:rsidRPr="00471E8F" w:rsidRDefault="00471E8F" w:rsidP="00471E8F">
                            <w:pPr>
                              <w:pStyle w:val="ListParagraph"/>
                              <w:numPr>
                                <w:ilvl w:val="0"/>
                                <w:numId w:val="79"/>
                              </w:numPr>
                              <w:spacing w:before="0" w:after="0" w:line="276" w:lineRule="auto"/>
                              <w:ind w:left="630" w:right="255"/>
                              <w:rPr>
                                <w:color w:val="000000" w:themeColor="text1"/>
                                <w:sz w:val="24"/>
                                <w:szCs w:val="24"/>
                              </w:rPr>
                            </w:pPr>
                            <w:r w:rsidRPr="00471E8F">
                              <w:rPr>
                                <w:color w:val="000000" w:themeColor="text1"/>
                                <w:sz w:val="24"/>
                                <w:szCs w:val="24"/>
                              </w:rPr>
                              <w:t>From 2009-2013, Hispanic workers were 1.7 times as likely to be hospitalized for work-related injuries as White non-Hispanic workers</w:t>
                            </w:r>
                          </w:p>
                          <w:p w14:paraId="3CD039A6" w14:textId="77777777" w:rsidR="00471E8F" w:rsidRPr="00471E8F" w:rsidRDefault="00471E8F" w:rsidP="00471E8F">
                            <w:pPr>
                              <w:pStyle w:val="ListParagraph"/>
                              <w:numPr>
                                <w:ilvl w:val="0"/>
                                <w:numId w:val="79"/>
                              </w:numPr>
                              <w:spacing w:before="0" w:after="0" w:line="276" w:lineRule="auto"/>
                              <w:ind w:left="630" w:right="255"/>
                              <w:contextualSpacing w:val="0"/>
                              <w:jc w:val="left"/>
                              <w:rPr>
                                <w:color w:val="000000" w:themeColor="text1"/>
                                <w:sz w:val="24"/>
                                <w:szCs w:val="24"/>
                              </w:rPr>
                            </w:pPr>
                            <w:r w:rsidRPr="00471E8F">
                              <w:rPr>
                                <w:color w:val="000000" w:themeColor="text1"/>
                                <w:sz w:val="24"/>
                                <w:szCs w:val="24"/>
                              </w:rPr>
                              <w:t>Nearly 25% of drivers still don’t wear seat belts</w:t>
                            </w:r>
                          </w:p>
                          <w:p w14:paraId="1B4061F5" w14:textId="77777777" w:rsidR="00471E8F" w:rsidRPr="00471E8F" w:rsidRDefault="00471E8F" w:rsidP="00471E8F">
                            <w:pPr>
                              <w:pStyle w:val="ListParagraph"/>
                              <w:numPr>
                                <w:ilvl w:val="0"/>
                                <w:numId w:val="79"/>
                              </w:numPr>
                              <w:spacing w:before="0" w:after="0" w:line="276" w:lineRule="auto"/>
                              <w:ind w:left="630" w:right="255"/>
                              <w:contextualSpacing w:val="0"/>
                              <w:jc w:val="left"/>
                              <w:rPr>
                                <w:color w:val="000000" w:themeColor="text1"/>
                                <w:sz w:val="24"/>
                                <w:szCs w:val="24"/>
                              </w:rPr>
                            </w:pPr>
                            <w:r w:rsidRPr="00471E8F">
                              <w:rPr>
                                <w:color w:val="000000" w:themeColor="text1"/>
                                <w:sz w:val="24"/>
                                <w:szCs w:val="24"/>
                              </w:rPr>
                              <w:t xml:space="preserve">In 2014, suicide was the second leading cause of death among teens and young adults </w:t>
                            </w:r>
                          </w:p>
                          <w:p w14:paraId="0FFAC6E1" w14:textId="77777777" w:rsidR="00471E8F" w:rsidRPr="00471E8F" w:rsidRDefault="00471E8F" w:rsidP="00471E8F">
                            <w:pPr>
                              <w:pStyle w:val="ListParagraph"/>
                              <w:numPr>
                                <w:ilvl w:val="0"/>
                                <w:numId w:val="79"/>
                              </w:numPr>
                              <w:spacing w:before="0" w:after="0" w:line="276" w:lineRule="auto"/>
                              <w:ind w:left="630" w:right="255"/>
                              <w:contextualSpacing w:val="0"/>
                              <w:jc w:val="left"/>
                              <w:rPr>
                                <w:color w:val="000000" w:themeColor="text1"/>
                                <w:sz w:val="24"/>
                                <w:szCs w:val="24"/>
                              </w:rPr>
                            </w:pPr>
                            <w:r w:rsidRPr="00471E8F">
                              <w:rPr>
                                <w:color w:val="000000" w:themeColor="text1"/>
                                <w:sz w:val="24"/>
                                <w:szCs w:val="24"/>
                              </w:rPr>
                              <w:t>In 2014, men died by suicide 3.6 times more often than women</w:t>
                            </w:r>
                          </w:p>
                          <w:p w14:paraId="22AC552C" w14:textId="77777777" w:rsidR="00471E8F" w:rsidRPr="00471E8F" w:rsidRDefault="00471E8F" w:rsidP="00471E8F">
                            <w:pPr>
                              <w:pStyle w:val="ListParagraph"/>
                              <w:numPr>
                                <w:ilvl w:val="0"/>
                                <w:numId w:val="79"/>
                              </w:numPr>
                              <w:spacing w:before="0" w:after="0" w:line="276" w:lineRule="auto"/>
                              <w:ind w:left="630" w:right="255"/>
                              <w:contextualSpacing w:val="0"/>
                              <w:jc w:val="left"/>
                              <w:rPr>
                                <w:color w:val="000000" w:themeColor="text1"/>
                                <w:sz w:val="24"/>
                                <w:szCs w:val="24"/>
                              </w:rPr>
                            </w:pPr>
                            <w:r w:rsidRPr="00471E8F">
                              <w:rPr>
                                <w:color w:val="000000" w:themeColor="text1"/>
                                <w:sz w:val="24"/>
                                <w:szCs w:val="24"/>
                              </w:rPr>
                              <w:t>The homicide rate among Black non-Hispanic males is 30 times higher than that for White non-Hispanic males</w:t>
                            </w:r>
                          </w:p>
                          <w:p w14:paraId="484C2BA3" w14:textId="77777777" w:rsidR="00471E8F" w:rsidRPr="00471E8F" w:rsidRDefault="00471E8F" w:rsidP="00471E8F">
                            <w:pPr>
                              <w:pStyle w:val="ListParagraph"/>
                              <w:numPr>
                                <w:ilvl w:val="0"/>
                                <w:numId w:val="79"/>
                              </w:numPr>
                              <w:spacing w:before="0" w:after="0" w:line="276" w:lineRule="auto"/>
                              <w:ind w:left="630" w:right="255"/>
                              <w:contextualSpacing w:val="0"/>
                              <w:jc w:val="left"/>
                              <w:rPr>
                                <w:color w:val="000000" w:themeColor="text1"/>
                                <w:sz w:val="24"/>
                                <w:szCs w:val="24"/>
                              </w:rPr>
                            </w:pPr>
                            <w:r w:rsidRPr="00471E8F">
                              <w:rPr>
                                <w:color w:val="000000" w:themeColor="text1"/>
                                <w:sz w:val="24"/>
                                <w:szCs w:val="24"/>
                              </w:rPr>
                              <w:t>Nearly one in three women and one in five men in Massachusetts reported experiencing rape, physical violence and/or stalking by an intimate partner during their lifetimes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7" style="position:absolute;left:0;text-align:left;margin-left:-29.45pt;margin-top:424.95pt;width:565.8pt;height:244.75pt;z-index:2520709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" fillcolor="#dae3f3" stroked="f" strokeweight="1pt">
                <v:textbox>
                  <w:txbxContent>
                    <w:p w14:paraId="597D1EC0" w14:textId="77777777" w:rsidR="00471E8F" w:rsidRPr="0098472B" w:rsidRDefault="00471E8F" w:rsidP="00471E8F">
                      <w:pPr>
                        <w:ind w:left="0" w:right="255"/>
                        <w:jc w:val="left"/>
                        <w:rPr>
                          <w:b/>
                          <w:color w:val="203864"/>
                        </w:rPr>
                      </w:pPr>
                      <w:r w:rsidRPr="0098472B">
                        <w:rPr>
                          <w:b/>
                          <w:color w:val="203864"/>
                        </w:rPr>
                        <w:t>Chapter Data Highlights</w:t>
                      </w:r>
                    </w:p>
                    <w:p w14:paraId="30119420" w14:textId="77777777" w:rsidR="00471E8F" w:rsidRPr="00471E8F" w:rsidRDefault="00471E8F" w:rsidP="00471E8F">
                      <w:pPr>
                        <w:pStyle w:val="ListParagraph"/>
                        <w:numPr>
                          <w:ilvl w:val="0"/>
                          <w:numId w:val="79"/>
                        </w:numPr>
                        <w:spacing w:before="0" w:after="0" w:line="276" w:lineRule="auto"/>
                        <w:ind w:left="630" w:right="255"/>
                        <w:contextualSpacing w:val="0"/>
                        <w:jc w:val="left"/>
                        <w:rPr>
                          <w:color w:val="000000" w:themeColor="text1"/>
                          <w:sz w:val="24"/>
                          <w:szCs w:val="24"/>
                        </w:rPr>
                      </w:pPr>
                      <w:r w:rsidRPr="00471E8F">
                        <w:rPr>
                          <w:color w:val="000000" w:themeColor="text1"/>
                          <w:sz w:val="24"/>
                          <w:szCs w:val="24"/>
                        </w:rPr>
                        <w:t>Massachusetts has the lowest rate of unintentional child injury deaths in the US</w:t>
                      </w:r>
                    </w:p>
                    <w:p w14:paraId="2D6C6A71" w14:textId="77777777" w:rsidR="00471E8F" w:rsidRPr="00471E8F" w:rsidRDefault="00471E8F" w:rsidP="00471E8F">
                      <w:pPr>
                        <w:pStyle w:val="ListParagraph"/>
                        <w:numPr>
                          <w:ilvl w:val="0"/>
                          <w:numId w:val="79"/>
                        </w:numPr>
                        <w:spacing w:before="0" w:after="0" w:line="276" w:lineRule="auto"/>
                        <w:ind w:left="630" w:right="255"/>
                        <w:contextualSpacing w:val="0"/>
                        <w:jc w:val="left"/>
                        <w:rPr>
                          <w:color w:val="000000" w:themeColor="text1"/>
                          <w:sz w:val="24"/>
                          <w:szCs w:val="24"/>
                        </w:rPr>
                      </w:pPr>
                      <w:r w:rsidRPr="00471E8F">
                        <w:rPr>
                          <w:color w:val="000000" w:themeColor="text1"/>
                          <w:sz w:val="24"/>
                          <w:szCs w:val="24"/>
                        </w:rPr>
                        <w:t xml:space="preserve">In 2015, half of teens continued to play in a sporting event after reporting concussion symptoms </w:t>
                      </w:r>
                    </w:p>
                    <w:p w14:paraId="333C2A39" w14:textId="77777777" w:rsidR="00471E8F" w:rsidRPr="00471E8F" w:rsidRDefault="00471E8F" w:rsidP="00471E8F">
                      <w:pPr>
                        <w:pStyle w:val="ListParagraph"/>
                        <w:numPr>
                          <w:ilvl w:val="0"/>
                          <w:numId w:val="79"/>
                        </w:numPr>
                        <w:spacing w:before="0" w:after="0" w:line="276" w:lineRule="auto"/>
                        <w:ind w:left="630" w:right="255"/>
                        <w:contextualSpacing w:val="0"/>
                        <w:jc w:val="left"/>
                        <w:rPr>
                          <w:color w:val="000000" w:themeColor="text1"/>
                          <w:sz w:val="24"/>
                          <w:szCs w:val="24"/>
                        </w:rPr>
                      </w:pPr>
                      <w:r w:rsidRPr="00471E8F">
                        <w:rPr>
                          <w:color w:val="000000" w:themeColor="text1"/>
                          <w:sz w:val="24"/>
                          <w:szCs w:val="24"/>
                        </w:rPr>
                        <w:t>From 2006 to 2014, death by falls for older adults increased 41%</w:t>
                      </w:r>
                    </w:p>
                    <w:p w14:paraId="262C96E3" w14:textId="77777777" w:rsidR="00471E8F" w:rsidRPr="00471E8F" w:rsidRDefault="00471E8F" w:rsidP="00471E8F">
                      <w:pPr>
                        <w:pStyle w:val="ListParagraph"/>
                        <w:numPr>
                          <w:ilvl w:val="0"/>
                          <w:numId w:val="79"/>
                        </w:numPr>
                        <w:spacing w:before="0" w:after="0" w:line="276" w:lineRule="auto"/>
                        <w:ind w:left="630" w:right="255"/>
                        <w:contextualSpacing w:val="0"/>
                        <w:jc w:val="left"/>
                        <w:rPr>
                          <w:color w:val="000000" w:themeColor="text1"/>
                          <w:sz w:val="24"/>
                          <w:szCs w:val="24"/>
                        </w:rPr>
                      </w:pPr>
                      <w:r w:rsidRPr="00471E8F">
                        <w:rPr>
                          <w:color w:val="000000" w:themeColor="text1"/>
                          <w:sz w:val="24"/>
                          <w:szCs w:val="24"/>
                        </w:rPr>
                        <w:t>Motor vehicle traffic injuries are the leading cause of death for people 15 to 24</w:t>
                      </w:r>
                    </w:p>
                    <w:p w14:paraId="17A55590" w14:textId="77777777" w:rsidR="00471E8F" w:rsidRPr="00471E8F" w:rsidRDefault="00471E8F" w:rsidP="00471E8F">
                      <w:pPr>
                        <w:pStyle w:val="ListParagraph"/>
                        <w:numPr>
                          <w:ilvl w:val="0"/>
                          <w:numId w:val="79"/>
                        </w:numPr>
                        <w:spacing w:before="0" w:after="0" w:line="276" w:lineRule="auto"/>
                        <w:ind w:left="630" w:right="255"/>
                        <w:rPr>
                          <w:color w:val="000000" w:themeColor="text1"/>
                          <w:sz w:val="24"/>
                          <w:szCs w:val="24"/>
                        </w:rPr>
                      </w:pPr>
                      <w:r w:rsidRPr="00471E8F">
                        <w:rPr>
                          <w:color w:val="000000" w:themeColor="text1"/>
                          <w:sz w:val="24"/>
                          <w:szCs w:val="24"/>
                        </w:rPr>
                        <w:t>From 2009-2013, Hispanic workers were 1.7 times as likely to be hospitalized for work-related injuries as White non-Hispanic workers</w:t>
                      </w:r>
                    </w:p>
                    <w:p w14:paraId="3CD039A6" w14:textId="77777777" w:rsidR="00471E8F" w:rsidRPr="00471E8F" w:rsidRDefault="00471E8F" w:rsidP="00471E8F">
                      <w:pPr>
                        <w:pStyle w:val="ListParagraph"/>
                        <w:numPr>
                          <w:ilvl w:val="0"/>
                          <w:numId w:val="79"/>
                        </w:numPr>
                        <w:spacing w:before="0" w:after="0" w:line="276" w:lineRule="auto"/>
                        <w:ind w:left="630" w:right="255"/>
                        <w:contextualSpacing w:val="0"/>
                        <w:jc w:val="left"/>
                        <w:rPr>
                          <w:color w:val="000000" w:themeColor="text1"/>
                          <w:sz w:val="24"/>
                          <w:szCs w:val="24"/>
                        </w:rPr>
                      </w:pPr>
                      <w:r w:rsidRPr="00471E8F">
                        <w:rPr>
                          <w:color w:val="000000" w:themeColor="text1"/>
                          <w:sz w:val="24"/>
                          <w:szCs w:val="24"/>
                        </w:rPr>
                        <w:t>Nearly 25% of drivers still don’t wear seat belts</w:t>
                      </w:r>
                    </w:p>
                    <w:p w14:paraId="1B4061F5" w14:textId="77777777" w:rsidR="00471E8F" w:rsidRPr="00471E8F" w:rsidRDefault="00471E8F" w:rsidP="00471E8F">
                      <w:pPr>
                        <w:pStyle w:val="ListParagraph"/>
                        <w:numPr>
                          <w:ilvl w:val="0"/>
                          <w:numId w:val="79"/>
                        </w:numPr>
                        <w:spacing w:before="0" w:after="0" w:line="276" w:lineRule="auto"/>
                        <w:ind w:left="630" w:right="255"/>
                        <w:contextualSpacing w:val="0"/>
                        <w:jc w:val="left"/>
                        <w:rPr>
                          <w:color w:val="000000" w:themeColor="text1"/>
                          <w:sz w:val="24"/>
                          <w:szCs w:val="24"/>
                        </w:rPr>
                      </w:pPr>
                      <w:r w:rsidRPr="00471E8F">
                        <w:rPr>
                          <w:color w:val="000000" w:themeColor="text1"/>
                          <w:sz w:val="24"/>
                          <w:szCs w:val="24"/>
                        </w:rPr>
                        <w:t xml:space="preserve">In 2014, suicide was the second leading cause of death among teens and young adults </w:t>
                      </w:r>
                    </w:p>
                    <w:p w14:paraId="0FFAC6E1" w14:textId="77777777" w:rsidR="00471E8F" w:rsidRPr="00471E8F" w:rsidRDefault="00471E8F" w:rsidP="00471E8F">
                      <w:pPr>
                        <w:pStyle w:val="ListParagraph"/>
                        <w:numPr>
                          <w:ilvl w:val="0"/>
                          <w:numId w:val="79"/>
                        </w:numPr>
                        <w:spacing w:before="0" w:after="0" w:line="276" w:lineRule="auto"/>
                        <w:ind w:left="630" w:right="255"/>
                        <w:contextualSpacing w:val="0"/>
                        <w:jc w:val="left"/>
                        <w:rPr>
                          <w:color w:val="000000" w:themeColor="text1"/>
                          <w:sz w:val="24"/>
                          <w:szCs w:val="24"/>
                        </w:rPr>
                      </w:pPr>
                      <w:r w:rsidRPr="00471E8F">
                        <w:rPr>
                          <w:color w:val="000000" w:themeColor="text1"/>
                          <w:sz w:val="24"/>
                          <w:szCs w:val="24"/>
                        </w:rPr>
                        <w:t>In 2014, men died by suicide 3.6 times more often than women</w:t>
                      </w:r>
                    </w:p>
                    <w:p w14:paraId="22AC552C" w14:textId="77777777" w:rsidR="00471E8F" w:rsidRPr="00471E8F" w:rsidRDefault="00471E8F" w:rsidP="00471E8F">
                      <w:pPr>
                        <w:pStyle w:val="ListParagraph"/>
                        <w:numPr>
                          <w:ilvl w:val="0"/>
                          <w:numId w:val="79"/>
                        </w:numPr>
                        <w:spacing w:before="0" w:after="0" w:line="276" w:lineRule="auto"/>
                        <w:ind w:left="630" w:right="255"/>
                        <w:contextualSpacing w:val="0"/>
                        <w:jc w:val="left"/>
                        <w:rPr>
                          <w:color w:val="000000" w:themeColor="text1"/>
                          <w:sz w:val="24"/>
                          <w:szCs w:val="24"/>
                        </w:rPr>
                      </w:pPr>
                      <w:r w:rsidRPr="00471E8F">
                        <w:rPr>
                          <w:color w:val="000000" w:themeColor="text1"/>
                          <w:sz w:val="24"/>
                          <w:szCs w:val="24"/>
                        </w:rPr>
                        <w:t>The homicide rate among Black non-Hispanic males is 30 times higher than that for White non-Hispanic males</w:t>
                      </w:r>
                    </w:p>
                    <w:p w14:paraId="484C2BA3" w14:textId="77777777" w:rsidR="00471E8F" w:rsidRPr="00471E8F" w:rsidRDefault="00471E8F" w:rsidP="00471E8F">
                      <w:pPr>
                        <w:pStyle w:val="ListParagraph"/>
                        <w:numPr>
                          <w:ilvl w:val="0"/>
                          <w:numId w:val="79"/>
                        </w:numPr>
                        <w:spacing w:before="0" w:after="0" w:line="276" w:lineRule="auto"/>
                        <w:ind w:left="630" w:right="255"/>
                        <w:contextualSpacing w:val="0"/>
                        <w:jc w:val="left"/>
                        <w:rPr>
                          <w:color w:val="000000" w:themeColor="text1"/>
                          <w:sz w:val="24"/>
                          <w:szCs w:val="24"/>
                        </w:rPr>
                      </w:pPr>
                      <w:r w:rsidRPr="00471E8F">
                        <w:rPr>
                          <w:color w:val="000000" w:themeColor="text1"/>
                          <w:sz w:val="24"/>
                          <w:szCs w:val="24"/>
                        </w:rPr>
                        <w:t>Nearly one in three women and one in five men in Massachusetts reported experiencing rape, physical violence and/or stalking by an intimate partner during their lifetimes</w:t>
                      </w:r>
                    </w:p>
                  </w:txbxContent>
                </v:textbox>
                <w10:wrap type="square" anchorx="margin" anchory="margin"/>
              </v:rect>
            </w:pict>
          </mc:Fallback>
        </mc:AlternateContent>
      </w:r>
      <w:r w:rsidR="00867951" w:rsidRPr="00471E8F">
        <w:rPr>
          <w:sz w:val="24"/>
          <w:szCs w:val="24"/>
        </w:rPr>
        <w:t>Occupational Injury</w:t>
      </w:r>
    </w:p>
    <w:p w14:paraId="3F78B52C" w14:textId="3945E92C" w:rsidR="00197870" w:rsidRPr="00471E8F" w:rsidRDefault="00197870" w:rsidP="00E552D2">
      <w:pPr>
        <w:pStyle w:val="ListParagraph"/>
        <w:numPr>
          <w:ilvl w:val="0"/>
          <w:numId w:val="80"/>
        </w:numPr>
        <w:spacing w:line="360" w:lineRule="auto"/>
        <w:ind w:right="-360"/>
        <w:rPr>
          <w:sz w:val="24"/>
          <w:szCs w:val="24"/>
        </w:rPr>
      </w:pPr>
      <w:r w:rsidRPr="00471E8F">
        <w:rPr>
          <w:sz w:val="24"/>
          <w:szCs w:val="24"/>
        </w:rPr>
        <w:lastRenderedPageBreak/>
        <w:t>Suicide</w:t>
      </w:r>
    </w:p>
    <w:p w14:paraId="14CB31A1" w14:textId="0781B669" w:rsidR="00197870" w:rsidRPr="00471E8F" w:rsidRDefault="00197870" w:rsidP="00E552D2">
      <w:pPr>
        <w:pStyle w:val="ListParagraph"/>
        <w:numPr>
          <w:ilvl w:val="0"/>
          <w:numId w:val="80"/>
        </w:numPr>
        <w:spacing w:line="360" w:lineRule="auto"/>
        <w:ind w:right="-360"/>
        <w:rPr>
          <w:sz w:val="24"/>
          <w:szCs w:val="24"/>
        </w:rPr>
      </w:pPr>
      <w:r w:rsidRPr="00471E8F">
        <w:rPr>
          <w:sz w:val="24"/>
          <w:szCs w:val="24"/>
        </w:rPr>
        <w:t>Violence</w:t>
      </w:r>
    </w:p>
    <w:p w14:paraId="441FBC18" w14:textId="6DB2CAD4" w:rsidR="00471E8F" w:rsidRDefault="00471E8F" w:rsidP="00E552D2">
      <w:pPr>
        <w:pStyle w:val="Heading1"/>
        <w:spacing w:line="360" w:lineRule="auto"/>
        <w:sectPr w:rsidR="00471E8F" w:rsidSect="00471E8F">
          <w:endnotePr>
            <w:numFmt w:val="decimal"/>
          </w:endnotePr>
          <w:type w:val="continuous"/>
          <w:pgSz w:w="12240" w:h="15840"/>
          <w:pgMar w:top="1440" w:right="1080" w:bottom="1440" w:left="1080" w:header="720" w:footer="720" w:gutter="0"/>
          <w:cols w:num="2" w:space="720"/>
          <w:docGrid w:linePitch="360"/>
        </w:sectPr>
      </w:pPr>
    </w:p>
    <w:p w14:paraId="53EB9D4A" w14:textId="0E0DCD4D" w:rsidR="00197870" w:rsidRPr="005E3719" w:rsidRDefault="00197870" w:rsidP="00E552D2">
      <w:pPr>
        <w:pStyle w:val="Heading1"/>
        <w:spacing w:line="360" w:lineRule="auto"/>
      </w:pPr>
      <w:r w:rsidRPr="005E3719">
        <w:lastRenderedPageBreak/>
        <w:t>Overview</w:t>
      </w:r>
    </w:p>
    <w:p w14:paraId="10FE0E7B" w14:textId="2A27676C" w:rsidR="00197870" w:rsidRPr="00471E8F" w:rsidRDefault="00197870" w:rsidP="00E552D2">
      <w:pPr>
        <w:spacing w:line="360" w:lineRule="auto"/>
        <w:ind w:right="-360"/>
        <w:rPr>
          <w:rFonts w:cs="Adobe Caslon Pro"/>
          <w:color w:val="000000"/>
          <w:sz w:val="24"/>
          <w:szCs w:val="24"/>
        </w:rPr>
      </w:pPr>
      <w:r w:rsidRPr="00471E8F">
        <w:rPr>
          <w:sz w:val="24"/>
          <w:szCs w:val="24"/>
        </w:rPr>
        <w:t>Injuries are the leadin</w:t>
      </w:r>
      <w:r w:rsidR="003D1BF3" w:rsidRPr="00471E8F">
        <w:rPr>
          <w:sz w:val="24"/>
          <w:szCs w:val="24"/>
        </w:rPr>
        <w:t>g cause of death for people aged</w:t>
      </w:r>
      <w:r w:rsidRPr="00471E8F">
        <w:rPr>
          <w:sz w:val="24"/>
          <w:szCs w:val="24"/>
        </w:rPr>
        <w:t xml:space="preserve"> one to 44 and are the third leading cause of death for all ages combined. Injuries, both unintentional and intentional (self-inflicted or violent) result in more deaths of children and youth than all other causes combined. </w:t>
      </w:r>
      <w:r w:rsidRPr="00471E8F">
        <w:rPr>
          <w:rFonts w:cs="Adobe Caslon Pro"/>
          <w:color w:val="000000"/>
          <w:sz w:val="24"/>
          <w:szCs w:val="24"/>
        </w:rPr>
        <w:t xml:space="preserve">Unintentional injuries can be fatal or non-fatal and result from a variety of causes including motor vehicle crashes, drowning, fires, poisonings, suffocation and falls. </w:t>
      </w:r>
      <w:r w:rsidR="00D12B72" w:rsidRPr="00471E8F">
        <w:rPr>
          <w:rFonts w:cs="Adobe Caslon Pro"/>
          <w:color w:val="000000"/>
          <w:sz w:val="24"/>
          <w:szCs w:val="24"/>
        </w:rPr>
        <w:t xml:space="preserve">Occupational injuries occur during the course of paid employment and can results from unintentional or intentional actions. </w:t>
      </w:r>
      <w:r w:rsidRPr="00471E8F">
        <w:rPr>
          <w:rFonts w:cs="Adobe Caslon Pro"/>
          <w:color w:val="000000"/>
          <w:sz w:val="24"/>
          <w:szCs w:val="24"/>
        </w:rPr>
        <w:t xml:space="preserve">Self-inflicted injury can include completed suicides as well as non-fatal attempts or other non-suicidal self-inflicted injury.  Violence, too, can be fatal or nonfatal: it can also be interpersonal or collective.  Interpersonal violence is often categorized by the intended victim (youth violence, child maltreatment, domestic/intimate partner violence), the form of the violence (sexual violence, gun violence) or the context in which it occurs (community violence, gang violence). Collective violence can occur on a large scale due to conflicts between groups or countries (such as war) but can also include other less explicit forms of violence (such as repression and neglect). Unequal access to power and resources (such as wealth), along with social inequality, can lead to collective violence.   </w:t>
      </w:r>
    </w:p>
    <w:p w14:paraId="7D7E3C0D" w14:textId="4536FEE0" w:rsidR="00197870" w:rsidRPr="00471E8F" w:rsidRDefault="00197870" w:rsidP="00E552D2">
      <w:pPr>
        <w:spacing w:line="360" w:lineRule="auto"/>
        <w:ind w:right="-360"/>
        <w:rPr>
          <w:rFonts w:cs="Adobe Caslon Pro"/>
          <w:color w:val="000000"/>
          <w:sz w:val="24"/>
          <w:szCs w:val="24"/>
        </w:rPr>
      </w:pPr>
      <w:r w:rsidRPr="00471E8F">
        <w:rPr>
          <w:rFonts w:cs="Adobe Caslon Pro"/>
          <w:color w:val="000000"/>
          <w:sz w:val="24"/>
          <w:szCs w:val="24"/>
        </w:rPr>
        <w:t xml:space="preserve">The patterns of unintentional injury, suicide and self-inflicted injury, and violence vary from one another and are all influenced by social determinants of health as well as demographics such as race, gender identity, sexual orientation, age, and disability status. </w:t>
      </w:r>
    </w:p>
    <w:p w14:paraId="27496C88" w14:textId="77777777" w:rsidR="00197870" w:rsidRPr="00237EDF" w:rsidRDefault="00197870" w:rsidP="00E552D2">
      <w:pPr>
        <w:pStyle w:val="Heading2"/>
        <w:spacing w:line="360" w:lineRule="auto"/>
        <w:ind w:right="-360"/>
      </w:pPr>
      <w:r>
        <w:t>Unintentional Injury</w:t>
      </w:r>
    </w:p>
    <w:p w14:paraId="46D566C3" w14:textId="57940547" w:rsidR="00197870" w:rsidRPr="00471E8F" w:rsidRDefault="00197870" w:rsidP="00E552D2">
      <w:pPr>
        <w:spacing w:before="0" w:after="0" w:line="360" w:lineRule="auto"/>
        <w:ind w:right="-360"/>
        <w:rPr>
          <w:sz w:val="24"/>
          <w:szCs w:val="24"/>
        </w:rPr>
      </w:pPr>
      <w:r w:rsidRPr="00471E8F">
        <w:rPr>
          <w:sz w:val="24"/>
          <w:szCs w:val="24"/>
        </w:rPr>
        <w:t>Unintentional injuries are the leading cause of death among Massachusetts</w:t>
      </w:r>
      <w:bookmarkStart w:id="0" w:name="_Ref487708697"/>
      <w:r w:rsidRPr="00471E8F">
        <w:rPr>
          <w:sz w:val="24"/>
          <w:szCs w:val="24"/>
        </w:rPr>
        <w:t xml:space="preserve"> residents </w:t>
      </w:r>
      <w:bookmarkEnd w:id="0"/>
      <w:r w:rsidRPr="00471E8F">
        <w:rPr>
          <w:sz w:val="24"/>
          <w:szCs w:val="24"/>
        </w:rPr>
        <w:t>age</w:t>
      </w:r>
      <w:r w:rsidR="003D1BF3" w:rsidRPr="00471E8F">
        <w:rPr>
          <w:sz w:val="24"/>
          <w:szCs w:val="24"/>
        </w:rPr>
        <w:t>s</w:t>
      </w:r>
      <w:r w:rsidRPr="00471E8F">
        <w:rPr>
          <w:sz w:val="24"/>
          <w:szCs w:val="24"/>
        </w:rPr>
        <w:t xml:space="preserve"> one to 44 and the third leading cause of death among all ages.  In 2014, more than 670,000 non-fatal unintentional injuries were treated at an acute care hospital.</w:t>
      </w:r>
      <w:r w:rsidRPr="00471E8F">
        <w:rPr>
          <w:sz w:val="24"/>
          <w:szCs w:val="24"/>
          <w:vertAlign w:val="superscript"/>
        </w:rPr>
        <w:t xml:space="preserve"> </w:t>
      </w:r>
      <w:r w:rsidRPr="00471E8F">
        <w:rPr>
          <w:rFonts w:cs="Adobe Caslon Pro"/>
          <w:color w:val="000000"/>
          <w:sz w:val="24"/>
          <w:szCs w:val="24"/>
        </w:rPr>
        <w:t>Each year, unintentional injury deaths in Massachusetts generate lifetime costs of $3 billion, and non-fatal injuries generate a cost of $9.5 billion including $3.5 billion in medical care alone.</w:t>
      </w:r>
    </w:p>
    <w:p w14:paraId="03D41A04" w14:textId="331A9FC9" w:rsidR="00197870" w:rsidRPr="00471E8F" w:rsidRDefault="00197870" w:rsidP="00E552D2">
      <w:pPr>
        <w:spacing w:line="360" w:lineRule="auto"/>
        <w:ind w:right="-360"/>
        <w:rPr>
          <w:sz w:val="24"/>
          <w:szCs w:val="24"/>
        </w:rPr>
      </w:pPr>
      <w:r w:rsidRPr="00471E8F">
        <w:rPr>
          <w:sz w:val="24"/>
          <w:szCs w:val="24"/>
        </w:rPr>
        <w:t>Unintentional injuries occur across the entire lifespan and affect every race and ethnicity, geographic area, and gender. But certain populations are at greater risk for different injury causes. For example, between 2010 and 2014, the leading cause of unintentional injury death among young children (a</w:t>
      </w:r>
      <w:r w:rsidR="003D1BF3" w:rsidRPr="00471E8F">
        <w:rPr>
          <w:sz w:val="24"/>
          <w:szCs w:val="24"/>
        </w:rPr>
        <w:t>ged</w:t>
      </w:r>
      <w:r w:rsidRPr="00471E8F">
        <w:rPr>
          <w:sz w:val="24"/>
          <w:szCs w:val="24"/>
        </w:rPr>
        <w:t xml:space="preserve"> 1-4 and 10-14) was </w:t>
      </w:r>
      <w:r w:rsidRPr="00471E8F">
        <w:rPr>
          <w:sz w:val="24"/>
          <w:szCs w:val="24"/>
        </w:rPr>
        <w:lastRenderedPageBreak/>
        <w:t>drowning; for adults over the age of 65, the leading cause was falls. With few exceptions, males have higher rates of unintentional injury deaths and non-fatal injuries than females. Racial and ethnic disparities exist, for example, in motor vehicle injuries among young drivers, unintentional injuries to children under age six, and for concussive symptoms related to sports activity in middle and high schools.</w:t>
      </w:r>
    </w:p>
    <w:p w14:paraId="64D9DB38" w14:textId="77777777" w:rsidR="00197870" w:rsidRPr="00471E8F" w:rsidRDefault="00197870" w:rsidP="00E552D2">
      <w:pPr>
        <w:pStyle w:val="Heading3"/>
        <w:spacing w:line="360" w:lineRule="auto"/>
        <w:rPr>
          <w:sz w:val="24"/>
          <w:szCs w:val="24"/>
        </w:rPr>
      </w:pPr>
      <w:r w:rsidRPr="00471E8F">
        <w:rPr>
          <w:sz w:val="24"/>
          <w:szCs w:val="24"/>
        </w:rPr>
        <w:t>Childhood Injuries</w:t>
      </w:r>
    </w:p>
    <w:p w14:paraId="60A2E5FC" w14:textId="77777777" w:rsidR="00AC0A62" w:rsidRPr="00471E8F" w:rsidRDefault="00197870" w:rsidP="00E552D2">
      <w:pPr>
        <w:spacing w:line="360" w:lineRule="auto"/>
        <w:ind w:right="-360"/>
        <w:rPr>
          <w:sz w:val="24"/>
          <w:szCs w:val="24"/>
        </w:rPr>
      </w:pPr>
      <w:r w:rsidRPr="00471E8F">
        <w:rPr>
          <w:sz w:val="24"/>
          <w:szCs w:val="24"/>
        </w:rPr>
        <w:t>Children are at increased risk for certain injury causes such as falls, sports-related injuries, and drownings as their motor skills, brain, and executive functioning capabilities are still developing. While death is the most tragic injury outcome, deaths account for a very small percentage of the overall burden of injury among children. In 2014, there were more than 140,000 non-fatal unintentional injuries to children under</w:t>
      </w:r>
      <w:r w:rsidR="00795A65" w:rsidRPr="00471E8F">
        <w:rPr>
          <w:sz w:val="24"/>
          <w:szCs w:val="24"/>
        </w:rPr>
        <w:t xml:space="preserve"> </w:t>
      </w:r>
      <w:r w:rsidRPr="00471E8F">
        <w:rPr>
          <w:sz w:val="24"/>
          <w:szCs w:val="24"/>
        </w:rPr>
        <w:t xml:space="preserve">18 years of age treated in a Massachusetts acute care hospital or emergency department. </w:t>
      </w:r>
    </w:p>
    <w:p w14:paraId="0DA70E8E" w14:textId="77777777" w:rsidR="00E552D2" w:rsidRPr="00471E8F" w:rsidRDefault="00E552D2" w:rsidP="00E552D2">
      <w:pPr>
        <w:spacing w:line="360" w:lineRule="auto"/>
        <w:ind w:right="-360"/>
        <w:rPr>
          <w:b/>
          <w:sz w:val="24"/>
          <w:szCs w:val="24"/>
        </w:rPr>
      </w:pPr>
    </w:p>
    <w:p w14:paraId="62FAD274" w14:textId="77777777" w:rsidR="00AC0A62" w:rsidRPr="00471E8F" w:rsidRDefault="00197870" w:rsidP="00E552D2">
      <w:pPr>
        <w:spacing w:line="360" w:lineRule="auto"/>
        <w:ind w:right="-360"/>
        <w:rPr>
          <w:b/>
          <w:sz w:val="24"/>
          <w:szCs w:val="24"/>
        </w:rPr>
      </w:pPr>
      <w:r w:rsidRPr="00471E8F">
        <w:rPr>
          <w:b/>
          <w:sz w:val="24"/>
          <w:szCs w:val="24"/>
        </w:rPr>
        <w:t xml:space="preserve">Trends/Disparities </w:t>
      </w:r>
    </w:p>
    <w:p w14:paraId="6974BB6A" w14:textId="4B68AA2C" w:rsidR="00197870" w:rsidRPr="00471E8F" w:rsidRDefault="00197870" w:rsidP="00E552D2">
      <w:pPr>
        <w:spacing w:line="360" w:lineRule="auto"/>
        <w:ind w:right="-360"/>
        <w:rPr>
          <w:b/>
          <w:sz w:val="24"/>
          <w:szCs w:val="24"/>
          <w:vertAlign w:val="superscript"/>
        </w:rPr>
      </w:pPr>
      <w:r w:rsidRPr="00471E8F">
        <w:rPr>
          <w:sz w:val="24"/>
          <w:szCs w:val="24"/>
        </w:rPr>
        <w:t>Massachusetts has had the lowest rate of unintentional child injury deaths in the US for nearly a decade</w:t>
      </w:r>
      <w:r w:rsidRPr="00471E8F">
        <w:rPr>
          <w:rStyle w:val="EndnoteReference"/>
          <w:sz w:val="24"/>
          <w:szCs w:val="24"/>
        </w:rPr>
        <w:endnoteReference w:id="2"/>
      </w:r>
      <w:r w:rsidRPr="00471E8F">
        <w:rPr>
          <w:sz w:val="24"/>
          <w:szCs w:val="24"/>
        </w:rPr>
        <w:t>, and the rate of unintentional injury deaths of Massachusetts children under 18 also has been declining. Despite this achievement, unintentional injuries continue to be a leading cause of death among Massachusetts children ages one to 14.</w:t>
      </w:r>
      <w:r w:rsidRPr="00471E8F" w:rsidDel="00CC0F27">
        <w:rPr>
          <w:sz w:val="24"/>
          <w:szCs w:val="24"/>
          <w:vertAlign w:val="superscript"/>
        </w:rPr>
        <w:t xml:space="preserve"> </w:t>
      </w:r>
    </w:p>
    <w:p w14:paraId="543DAD0D" w14:textId="77777777" w:rsidR="00AC0A62" w:rsidRPr="00471E8F" w:rsidRDefault="00AC0A62" w:rsidP="00E552D2">
      <w:pPr>
        <w:spacing w:line="360" w:lineRule="auto"/>
        <w:rPr>
          <w:sz w:val="24"/>
          <w:szCs w:val="24"/>
        </w:rPr>
      </w:pPr>
    </w:p>
    <w:p w14:paraId="3E46CB7E" w14:textId="73D09C39" w:rsidR="00197870" w:rsidRPr="00471E8F" w:rsidRDefault="00197870" w:rsidP="00E552D2">
      <w:pPr>
        <w:spacing w:line="360" w:lineRule="auto"/>
        <w:ind w:right="-360"/>
        <w:rPr>
          <w:sz w:val="24"/>
          <w:szCs w:val="24"/>
        </w:rPr>
      </w:pPr>
      <w:r w:rsidRPr="00471E8F">
        <w:rPr>
          <w:sz w:val="24"/>
          <w:szCs w:val="24"/>
        </w:rPr>
        <w:t xml:space="preserve">The unintentional injury death rate among Massachusetts children </w:t>
      </w:r>
      <w:r w:rsidR="00641719" w:rsidRPr="00471E8F">
        <w:rPr>
          <w:sz w:val="24"/>
          <w:szCs w:val="24"/>
        </w:rPr>
        <w:t>under 18</w:t>
      </w:r>
      <w:r w:rsidRPr="00471E8F">
        <w:rPr>
          <w:sz w:val="24"/>
          <w:szCs w:val="24"/>
        </w:rPr>
        <w:t xml:space="preserve"> years of age declined significantly between 2000 and 2015 (2000: 6.1 per 100,000</w:t>
      </w:r>
      <w:r w:rsidR="001A3139" w:rsidRPr="00471E8F">
        <w:rPr>
          <w:sz w:val="24"/>
          <w:szCs w:val="24"/>
        </w:rPr>
        <w:t xml:space="preserve"> </w:t>
      </w:r>
      <w:r w:rsidRPr="00471E8F">
        <w:rPr>
          <w:sz w:val="24"/>
          <w:szCs w:val="24"/>
        </w:rPr>
        <w:t>population; 2015: 2.0 per 100,000 population).</w:t>
      </w:r>
      <w:r w:rsidRPr="00471E8F">
        <w:rPr>
          <w:rStyle w:val="EndnoteReference"/>
          <w:sz w:val="24"/>
          <w:szCs w:val="24"/>
        </w:rPr>
        <w:endnoteReference w:id="3"/>
      </w:r>
      <w:r w:rsidRPr="00471E8F">
        <w:rPr>
          <w:sz w:val="24"/>
          <w:szCs w:val="24"/>
          <w:vertAlign w:val="superscript"/>
        </w:rPr>
        <w:t xml:space="preserve"> </w:t>
      </w:r>
      <w:r w:rsidRPr="00471E8F">
        <w:rPr>
          <w:sz w:val="24"/>
          <w:szCs w:val="24"/>
        </w:rPr>
        <w:t>The largest decline occurred between 2005 and 2012 with an average decrease of 11.9% per year.</w:t>
      </w:r>
      <w:r w:rsidRPr="00471E8F">
        <w:rPr>
          <w:rStyle w:val="EndnoteReference"/>
          <w:sz w:val="24"/>
          <w:szCs w:val="24"/>
        </w:rPr>
        <w:endnoteReference w:id="4"/>
      </w:r>
      <w:r w:rsidRPr="00471E8F" w:rsidDel="008F74D7">
        <w:rPr>
          <w:sz w:val="24"/>
          <w:szCs w:val="24"/>
          <w:vertAlign w:val="superscript"/>
        </w:rPr>
        <w:t xml:space="preserve"> </w:t>
      </w:r>
      <w:r w:rsidRPr="00471E8F">
        <w:rPr>
          <w:rFonts w:cs="Calibri"/>
          <w:sz w:val="24"/>
          <w:szCs w:val="24"/>
        </w:rPr>
        <w:t xml:space="preserve"> </w:t>
      </w:r>
    </w:p>
    <w:p w14:paraId="5CE62358" w14:textId="6FD6481D" w:rsidR="00E552D2" w:rsidRPr="00471E8F" w:rsidRDefault="00197870" w:rsidP="00471E8F">
      <w:pPr>
        <w:spacing w:line="360" w:lineRule="auto"/>
        <w:ind w:right="-360"/>
        <w:rPr>
          <w:sz w:val="24"/>
          <w:szCs w:val="24"/>
        </w:rPr>
      </w:pPr>
      <w:r w:rsidRPr="00471E8F">
        <w:rPr>
          <w:sz w:val="24"/>
          <w:szCs w:val="24"/>
        </w:rPr>
        <w:t>The leading causes of death among children vary by age group and race/ethnicity. Among Massachusetts children under</w:t>
      </w:r>
      <w:r w:rsidR="00795A65" w:rsidRPr="00471E8F">
        <w:rPr>
          <w:sz w:val="24"/>
          <w:szCs w:val="24"/>
        </w:rPr>
        <w:t xml:space="preserve"> </w:t>
      </w:r>
      <w:r w:rsidRPr="00471E8F">
        <w:rPr>
          <w:sz w:val="24"/>
          <w:szCs w:val="24"/>
        </w:rPr>
        <w:t xml:space="preserve">18 years of age, children ages one to four had the highest rate of unintentional injury deaths. Drowning was the leading cause of death (37%) for this age group. Infants under one year of age commonly drown in wading pools and bathtubs, while children ages one to four years most often drown in backyard swimming pools. </w:t>
      </w:r>
      <w:r w:rsidR="003D14D9" w:rsidRPr="00471E8F">
        <w:rPr>
          <w:sz w:val="24"/>
          <w:szCs w:val="24"/>
        </w:rPr>
        <w:t xml:space="preserve">As shown in </w:t>
      </w:r>
      <w:r w:rsidR="003D14D9" w:rsidRPr="00471E8F">
        <w:rPr>
          <w:b/>
          <w:sz w:val="24"/>
          <w:szCs w:val="24"/>
        </w:rPr>
        <w:t>Figure 5.1</w:t>
      </w:r>
      <w:r w:rsidRPr="00471E8F">
        <w:rPr>
          <w:sz w:val="24"/>
          <w:szCs w:val="24"/>
        </w:rPr>
        <w:t xml:space="preserve">, </w:t>
      </w:r>
      <w:r w:rsidRPr="00471E8F" w:rsidDel="00431CC8">
        <w:rPr>
          <w:sz w:val="24"/>
          <w:szCs w:val="24"/>
        </w:rPr>
        <w:t>Black non-Hispanic and Hispanic children</w:t>
      </w:r>
      <w:r w:rsidR="001A3139" w:rsidRPr="00471E8F">
        <w:rPr>
          <w:sz w:val="24"/>
          <w:szCs w:val="24"/>
        </w:rPr>
        <w:t xml:space="preserve"> under</w:t>
      </w:r>
      <w:r w:rsidRPr="00471E8F" w:rsidDel="00431CC8">
        <w:rPr>
          <w:sz w:val="24"/>
          <w:szCs w:val="24"/>
        </w:rPr>
        <w:t xml:space="preserve"> </w:t>
      </w:r>
      <w:r w:rsidR="001A3139" w:rsidRPr="00471E8F">
        <w:rPr>
          <w:sz w:val="24"/>
          <w:szCs w:val="24"/>
        </w:rPr>
        <w:t xml:space="preserve">six </w:t>
      </w:r>
      <w:r w:rsidR="00FD5C75" w:rsidRPr="00471E8F">
        <w:rPr>
          <w:sz w:val="24"/>
          <w:szCs w:val="24"/>
        </w:rPr>
        <w:t xml:space="preserve">years of age </w:t>
      </w:r>
      <w:r w:rsidRPr="00471E8F">
        <w:rPr>
          <w:sz w:val="24"/>
          <w:szCs w:val="24"/>
        </w:rPr>
        <w:t xml:space="preserve">had higher rates of injury deaths </w:t>
      </w:r>
      <w:r w:rsidRPr="00471E8F" w:rsidDel="00431CC8">
        <w:rPr>
          <w:sz w:val="24"/>
          <w:szCs w:val="24"/>
        </w:rPr>
        <w:t>than White non-Hispanic children</w:t>
      </w:r>
      <w:r w:rsidRPr="00471E8F">
        <w:rPr>
          <w:sz w:val="24"/>
          <w:szCs w:val="24"/>
        </w:rPr>
        <w:t>.</w:t>
      </w:r>
      <w:r w:rsidRPr="00471E8F" w:rsidDel="00431CC8">
        <w:rPr>
          <w:sz w:val="24"/>
          <w:szCs w:val="24"/>
        </w:rPr>
        <w:t xml:space="preserve"> </w:t>
      </w:r>
      <w:r w:rsidR="00E552D2" w:rsidRPr="00471E8F">
        <w:rPr>
          <w:sz w:val="24"/>
          <w:szCs w:val="24"/>
        </w:rPr>
        <w:br w:type="page"/>
      </w:r>
    </w:p>
    <w:p w14:paraId="48383DD9" w14:textId="77777777" w:rsidR="00197870" w:rsidRPr="00471E8F" w:rsidRDefault="00197870" w:rsidP="00E552D2">
      <w:pPr>
        <w:pStyle w:val="SHAFigureNumber"/>
        <w:spacing w:line="360" w:lineRule="auto"/>
        <w:rPr>
          <w:sz w:val="24"/>
          <w:szCs w:val="24"/>
        </w:rPr>
      </w:pPr>
      <w:r w:rsidRPr="00471E8F">
        <w:rPr>
          <w:sz w:val="24"/>
          <w:szCs w:val="24"/>
        </w:rPr>
        <w:lastRenderedPageBreak/>
        <w:t>Figure 5.1</w:t>
      </w:r>
    </w:p>
    <w:p w14:paraId="30A98354" w14:textId="4D3FF45F" w:rsidR="00197870" w:rsidRPr="00471E8F" w:rsidRDefault="00331EE9" w:rsidP="00E552D2">
      <w:pPr>
        <w:pStyle w:val="SHAFigureNumber"/>
        <w:spacing w:line="360" w:lineRule="auto"/>
        <w:rPr>
          <w:sz w:val="24"/>
          <w:szCs w:val="24"/>
        </w:rPr>
      </w:pPr>
      <w:r w:rsidRPr="00471E8F">
        <w:rPr>
          <w:sz w:val="24"/>
          <w:szCs w:val="24"/>
        </w:rPr>
        <w:t>Five</w:t>
      </w:r>
      <w:r w:rsidRPr="00471E8F" w:rsidDel="00431CC8">
        <w:rPr>
          <w:sz w:val="24"/>
          <w:szCs w:val="24"/>
        </w:rPr>
        <w:t xml:space="preserve">-Year Average Annual Unintentional Injury Death </w:t>
      </w:r>
      <w:r w:rsidRPr="00471E8F">
        <w:rPr>
          <w:sz w:val="24"/>
          <w:szCs w:val="24"/>
        </w:rPr>
        <w:t xml:space="preserve">Rate </w:t>
      </w:r>
      <w:r w:rsidR="00925A89" w:rsidRPr="00471E8F">
        <w:rPr>
          <w:sz w:val="24"/>
          <w:szCs w:val="24"/>
        </w:rPr>
        <w:t>a</w:t>
      </w:r>
      <w:r w:rsidRPr="00471E8F">
        <w:rPr>
          <w:sz w:val="24"/>
          <w:szCs w:val="24"/>
        </w:rPr>
        <w:t xml:space="preserve">mong Children </w:t>
      </w:r>
      <w:proofErr w:type="gramStart"/>
      <w:r w:rsidRPr="00471E8F">
        <w:rPr>
          <w:sz w:val="24"/>
          <w:szCs w:val="24"/>
        </w:rPr>
        <w:t>Under</w:t>
      </w:r>
      <w:proofErr w:type="gramEnd"/>
      <w:r w:rsidRPr="00471E8F">
        <w:rPr>
          <w:sz w:val="24"/>
          <w:szCs w:val="24"/>
        </w:rPr>
        <w:t xml:space="preserve"> 6, By Race/Ethnicity</w:t>
      </w:r>
      <w:r w:rsidRPr="00471E8F" w:rsidDel="00431CC8">
        <w:rPr>
          <w:sz w:val="24"/>
          <w:szCs w:val="24"/>
        </w:rPr>
        <w:t xml:space="preserve">, </w:t>
      </w:r>
      <w:r w:rsidRPr="00471E8F">
        <w:rPr>
          <w:sz w:val="24"/>
          <w:szCs w:val="24"/>
        </w:rPr>
        <w:t xml:space="preserve">Massachusetts, </w:t>
      </w:r>
      <w:r w:rsidRPr="00471E8F" w:rsidDel="00431CC8">
        <w:rPr>
          <w:sz w:val="24"/>
          <w:szCs w:val="24"/>
        </w:rPr>
        <w:t>2011-2015</w:t>
      </w:r>
    </w:p>
    <w:p w14:paraId="721FEAA8" w14:textId="4AE9D479" w:rsidR="00197870" w:rsidRPr="00471E8F" w:rsidRDefault="002B79C0" w:rsidP="00E552D2">
      <w:pPr>
        <w:pStyle w:val="Figtitle1"/>
        <w:keepNext/>
        <w:spacing w:line="360" w:lineRule="auto"/>
        <w:ind w:left="-360" w:right="-360"/>
        <w:jc w:val="center"/>
        <w:rPr>
          <w:sz w:val="24"/>
          <w:szCs w:val="24"/>
        </w:rPr>
      </w:pPr>
      <w:r w:rsidRPr="00471E8F">
        <w:rPr>
          <w:noProof/>
          <w:sz w:val="24"/>
          <w:szCs w:val="24"/>
        </w:rPr>
        <w:drawing>
          <wp:inline distT="0" distB="0" distL="0" distR="0" wp14:anchorId="07890951" wp14:editId="6C513983">
            <wp:extent cx="4572000" cy="2743200"/>
            <wp:effectExtent l="0" t="0" r="0" b="0"/>
            <wp:docPr id="608" name="Chart 608" descr="This horizontal bar graph shows that the average annual death rate per 100,000 among children under age six due to unintentional injuries was 1.5 for White non-Hispanics, 5.1 for Black non-Hispanics, and 3.9 for Hispanics during 2011-2015">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DAFC1DDF-BE50-4EA8-A990-75751C6B0B1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D7A1143" w14:textId="106D7A3E" w:rsidR="00197870" w:rsidRPr="00471E8F" w:rsidRDefault="00331EE9" w:rsidP="00E552D2">
      <w:pPr>
        <w:pStyle w:val="SHAFigureNote"/>
        <w:spacing w:line="360" w:lineRule="auto"/>
        <w:rPr>
          <w:sz w:val="24"/>
          <w:szCs w:val="24"/>
        </w:rPr>
      </w:pPr>
      <w:r w:rsidRPr="00471E8F">
        <w:rPr>
          <w:sz w:val="24"/>
          <w:szCs w:val="24"/>
        </w:rPr>
        <w:t>SOURCE: WISQARS (W</w:t>
      </w:r>
      <w:r w:rsidRPr="00471E8F">
        <w:rPr>
          <w:rFonts w:cs="Helvetica"/>
          <w:color w:val="000000"/>
          <w:sz w:val="24"/>
          <w:szCs w:val="24"/>
          <w:shd w:val="clear" w:color="auto" w:fill="FFFFFF"/>
        </w:rPr>
        <w:t>EB-BASED INJURY STATISTICS QUERY AND REPORTING SYSTEM),</w:t>
      </w:r>
      <w:r w:rsidRPr="00471E8F">
        <w:rPr>
          <w:sz w:val="24"/>
          <w:szCs w:val="24"/>
        </w:rPr>
        <w:t xml:space="preserve"> VITAL STATISTICS SYSTEM, NATIONAL CENTER FOR INJURY PREVENTION AND CONTROL, CENTERS FOR DISEASE CONTROL AND PREVENTION</w:t>
      </w:r>
    </w:p>
    <w:p w14:paraId="5EF51646" w14:textId="77777777" w:rsidR="00197870" w:rsidRPr="00471E8F" w:rsidRDefault="00197870" w:rsidP="00E552D2">
      <w:pPr>
        <w:spacing w:line="360" w:lineRule="auto"/>
        <w:ind w:right="-360"/>
        <w:rPr>
          <w:sz w:val="24"/>
          <w:szCs w:val="24"/>
          <w:vertAlign w:val="superscript"/>
        </w:rPr>
      </w:pPr>
      <w:r w:rsidRPr="00471E8F">
        <w:rPr>
          <w:sz w:val="24"/>
          <w:szCs w:val="24"/>
        </w:rPr>
        <w:t>The leading causes of non-fatal injury among children also vary by age group, sex and, race/ethnicity. Among non-fatal unintentional injuries in 2014, f</w:t>
      </w:r>
      <w:r w:rsidRPr="00471E8F" w:rsidDel="00FD34C8">
        <w:rPr>
          <w:sz w:val="24"/>
          <w:szCs w:val="24"/>
        </w:rPr>
        <w:t>all</w:t>
      </w:r>
      <w:r w:rsidRPr="00471E8F">
        <w:rPr>
          <w:sz w:val="24"/>
          <w:szCs w:val="24"/>
        </w:rPr>
        <w:t>ing</w:t>
      </w:r>
      <w:r w:rsidRPr="00471E8F" w:rsidDel="00FD34C8">
        <w:rPr>
          <w:sz w:val="24"/>
          <w:szCs w:val="24"/>
        </w:rPr>
        <w:t xml:space="preserve"> was the leading cause</w:t>
      </w:r>
      <w:r w:rsidRPr="00471E8F">
        <w:rPr>
          <w:sz w:val="24"/>
          <w:szCs w:val="24"/>
        </w:rPr>
        <w:t xml:space="preserve"> of injury</w:t>
      </w:r>
      <w:r w:rsidRPr="00471E8F" w:rsidDel="00FD34C8">
        <w:rPr>
          <w:sz w:val="24"/>
          <w:szCs w:val="24"/>
        </w:rPr>
        <w:t xml:space="preserve"> </w:t>
      </w:r>
      <w:r w:rsidRPr="00471E8F">
        <w:rPr>
          <w:sz w:val="24"/>
          <w:szCs w:val="24"/>
        </w:rPr>
        <w:t>a</w:t>
      </w:r>
      <w:r w:rsidRPr="00471E8F" w:rsidDel="00FD34C8">
        <w:rPr>
          <w:sz w:val="24"/>
          <w:szCs w:val="24"/>
        </w:rPr>
        <w:t>mong children five or younger.</w:t>
      </w:r>
      <w:r w:rsidRPr="00471E8F">
        <w:rPr>
          <w:rStyle w:val="EndnoteReference"/>
          <w:sz w:val="24"/>
          <w:szCs w:val="24"/>
        </w:rPr>
        <w:endnoteReference w:id="5"/>
      </w:r>
      <w:r w:rsidRPr="00471E8F">
        <w:rPr>
          <w:sz w:val="24"/>
          <w:szCs w:val="24"/>
          <w:vertAlign w:val="superscript"/>
        </w:rPr>
        <w:t xml:space="preserve"> </w:t>
      </w:r>
      <w:r w:rsidRPr="00471E8F" w:rsidDel="00FD34C8">
        <w:rPr>
          <w:sz w:val="24"/>
          <w:szCs w:val="24"/>
          <w:vertAlign w:val="superscript"/>
        </w:rPr>
        <w:t xml:space="preserve"> </w:t>
      </w:r>
      <w:r w:rsidRPr="00471E8F">
        <w:rPr>
          <w:sz w:val="24"/>
          <w:szCs w:val="24"/>
        </w:rPr>
        <w:t>Males in this age group account for a slightly higher percentage of unintentional injuries than females (males, 57% of injury-related emergency department visits, 55% of injury-related hospitalizations, and 57% of injury deaths)</w:t>
      </w:r>
      <w:r w:rsidRPr="00471E8F">
        <w:rPr>
          <w:color w:val="595959" w:themeColor="text1" w:themeTint="A6"/>
          <w:sz w:val="24"/>
          <w:szCs w:val="24"/>
        </w:rPr>
        <w:t>.</w:t>
      </w:r>
      <w:r w:rsidRPr="00471E8F">
        <w:rPr>
          <w:rStyle w:val="EndnoteReference"/>
          <w:color w:val="595959" w:themeColor="text1" w:themeTint="A6"/>
          <w:sz w:val="24"/>
          <w:szCs w:val="24"/>
        </w:rPr>
        <w:endnoteReference w:id="6"/>
      </w:r>
      <w:r w:rsidRPr="00471E8F">
        <w:rPr>
          <w:color w:val="595959" w:themeColor="text1" w:themeTint="A6"/>
          <w:sz w:val="24"/>
          <w:szCs w:val="24"/>
          <w:vertAlign w:val="superscript"/>
        </w:rPr>
        <w:t>,</w:t>
      </w:r>
      <w:r w:rsidRPr="00471E8F">
        <w:rPr>
          <w:rStyle w:val="EndnoteReference"/>
          <w:color w:val="595959" w:themeColor="text1" w:themeTint="A6"/>
          <w:sz w:val="24"/>
          <w:szCs w:val="24"/>
        </w:rPr>
        <w:endnoteReference w:id="7"/>
      </w:r>
      <w:r w:rsidRPr="00471E8F">
        <w:rPr>
          <w:color w:val="595959" w:themeColor="text1" w:themeTint="A6"/>
          <w:sz w:val="24"/>
          <w:szCs w:val="24"/>
          <w:vertAlign w:val="superscript"/>
        </w:rPr>
        <w:t>,</w:t>
      </w:r>
      <w:r w:rsidRPr="00471E8F">
        <w:rPr>
          <w:rStyle w:val="EndnoteReference"/>
          <w:color w:val="595959" w:themeColor="text1" w:themeTint="A6"/>
          <w:sz w:val="24"/>
          <w:szCs w:val="24"/>
        </w:rPr>
        <w:endnoteReference w:id="8"/>
      </w:r>
      <w:r w:rsidRPr="00471E8F" w:rsidDel="00E95DFF">
        <w:rPr>
          <w:sz w:val="24"/>
          <w:szCs w:val="24"/>
          <w:vertAlign w:val="superscript"/>
        </w:rPr>
        <w:t xml:space="preserve">  </w:t>
      </w:r>
    </w:p>
    <w:p w14:paraId="7B645A96" w14:textId="77777777" w:rsidR="00197870" w:rsidRPr="00471E8F" w:rsidRDefault="00197870" w:rsidP="00E552D2">
      <w:pPr>
        <w:spacing w:line="360" w:lineRule="auto"/>
        <w:ind w:right="-360"/>
        <w:rPr>
          <w:rFonts w:eastAsia="Times New Roman" w:cs="Times New Roman"/>
          <w:sz w:val="24"/>
          <w:szCs w:val="24"/>
        </w:rPr>
      </w:pPr>
      <w:r w:rsidRPr="00471E8F">
        <w:rPr>
          <w:sz w:val="24"/>
          <w:szCs w:val="24"/>
        </w:rPr>
        <w:t xml:space="preserve">For children ten to 17 years of age, the leading cause of non-fatal unintentional injury was being </w:t>
      </w:r>
      <w:r w:rsidRPr="00471E8F">
        <w:rPr>
          <w:bCs/>
          <w:sz w:val="24"/>
          <w:szCs w:val="24"/>
        </w:rPr>
        <w:t>struck-by or against an object</w:t>
      </w:r>
      <w:r w:rsidRPr="00471E8F">
        <w:rPr>
          <w:b/>
          <w:bCs/>
          <w:sz w:val="24"/>
          <w:szCs w:val="24"/>
        </w:rPr>
        <w:t>.</w:t>
      </w:r>
      <w:r w:rsidRPr="00471E8F">
        <w:rPr>
          <w:rStyle w:val="EndnoteReference"/>
          <w:bCs/>
          <w:sz w:val="24"/>
          <w:szCs w:val="24"/>
        </w:rPr>
        <w:endnoteReference w:id="9"/>
      </w:r>
      <w:r w:rsidRPr="00471E8F">
        <w:rPr>
          <w:bCs/>
          <w:sz w:val="24"/>
          <w:szCs w:val="24"/>
          <w:vertAlign w:val="superscript"/>
        </w:rPr>
        <w:t>,</w:t>
      </w:r>
      <w:r w:rsidRPr="00471E8F">
        <w:rPr>
          <w:rStyle w:val="EndnoteReference"/>
          <w:bCs/>
          <w:sz w:val="24"/>
          <w:szCs w:val="24"/>
        </w:rPr>
        <w:endnoteReference w:id="10"/>
      </w:r>
      <w:r w:rsidRPr="00471E8F">
        <w:rPr>
          <w:bCs/>
          <w:sz w:val="24"/>
          <w:szCs w:val="24"/>
          <w:vertAlign w:val="superscript"/>
        </w:rPr>
        <w:t>,</w:t>
      </w:r>
      <w:r w:rsidRPr="00471E8F">
        <w:rPr>
          <w:rStyle w:val="EndnoteReference"/>
          <w:bCs/>
          <w:sz w:val="24"/>
          <w:szCs w:val="24"/>
        </w:rPr>
        <w:endnoteReference w:id="11"/>
      </w:r>
      <w:r w:rsidRPr="00471E8F">
        <w:rPr>
          <w:sz w:val="24"/>
          <w:szCs w:val="24"/>
          <w:vertAlign w:val="superscript"/>
        </w:rPr>
        <w:t xml:space="preserve"> </w:t>
      </w:r>
      <w:r w:rsidRPr="00471E8F">
        <w:rPr>
          <w:sz w:val="24"/>
          <w:szCs w:val="24"/>
        </w:rPr>
        <w:t>Of these injuries,</w:t>
      </w:r>
      <w:r w:rsidRPr="00471E8F">
        <w:rPr>
          <w:sz w:val="24"/>
          <w:szCs w:val="24"/>
          <w:vertAlign w:val="superscript"/>
        </w:rPr>
        <w:t xml:space="preserve"> </w:t>
      </w:r>
      <w:r w:rsidRPr="00471E8F">
        <w:rPr>
          <w:rFonts w:cs="Calibri"/>
          <w:sz w:val="24"/>
          <w:szCs w:val="24"/>
        </w:rPr>
        <w:t>56% were sports-related, of which 22% were associated with a concussion/traumatic brain injury (TBI).</w:t>
      </w:r>
      <w:r w:rsidRPr="00471E8F">
        <w:rPr>
          <w:rStyle w:val="EndnoteReference"/>
          <w:rFonts w:cs="Calibri"/>
          <w:sz w:val="24"/>
          <w:szCs w:val="24"/>
        </w:rPr>
        <w:endnoteReference w:id="12"/>
      </w:r>
      <w:r w:rsidRPr="00471E8F">
        <w:rPr>
          <w:rFonts w:cs="Calibri"/>
          <w:sz w:val="24"/>
          <w:szCs w:val="24"/>
          <w:vertAlign w:val="superscript"/>
        </w:rPr>
        <w:t>,</w:t>
      </w:r>
      <w:r w:rsidRPr="00471E8F">
        <w:rPr>
          <w:rStyle w:val="EndnoteReference"/>
          <w:rFonts w:cs="Calibri"/>
          <w:sz w:val="24"/>
          <w:szCs w:val="24"/>
        </w:rPr>
        <w:endnoteReference w:id="13"/>
      </w:r>
      <w:r w:rsidRPr="00471E8F">
        <w:rPr>
          <w:rFonts w:cs="Calibri"/>
          <w:sz w:val="24"/>
          <w:szCs w:val="24"/>
          <w:vertAlign w:val="superscript"/>
        </w:rPr>
        <w:t>,</w:t>
      </w:r>
      <w:r w:rsidRPr="00471E8F">
        <w:rPr>
          <w:rStyle w:val="EndnoteReference"/>
          <w:rFonts w:cs="Calibri"/>
          <w:sz w:val="24"/>
          <w:szCs w:val="24"/>
        </w:rPr>
        <w:endnoteReference w:id="14"/>
      </w:r>
      <w:r w:rsidRPr="00471E8F" w:rsidDel="00E777AF">
        <w:rPr>
          <w:rFonts w:cs="Calibri"/>
          <w:sz w:val="24"/>
          <w:szCs w:val="24"/>
          <w:vertAlign w:val="superscript"/>
        </w:rPr>
        <w:t xml:space="preserve">  </w:t>
      </w:r>
    </w:p>
    <w:p w14:paraId="53F4208E" w14:textId="7D3945FC" w:rsidR="00E552D2" w:rsidRPr="00471E8F" w:rsidRDefault="00197870" w:rsidP="00E552D2">
      <w:pPr>
        <w:spacing w:line="360" w:lineRule="auto"/>
        <w:ind w:right="-360"/>
        <w:rPr>
          <w:sz w:val="24"/>
          <w:szCs w:val="24"/>
        </w:rPr>
      </w:pPr>
      <w:r w:rsidRPr="00471E8F">
        <w:rPr>
          <w:rFonts w:eastAsia="Times New Roman" w:cs="Times New Roman"/>
          <w:sz w:val="24"/>
          <w:szCs w:val="24"/>
        </w:rPr>
        <w:t>The percentage of middl</w:t>
      </w:r>
      <w:r w:rsidRPr="00471E8F">
        <w:rPr>
          <w:sz w:val="24"/>
          <w:szCs w:val="24"/>
        </w:rPr>
        <w:t>e</w:t>
      </w:r>
      <w:r w:rsidRPr="00471E8F">
        <w:rPr>
          <w:rFonts w:eastAsia="Times New Roman" w:cs="Times New Roman"/>
          <w:sz w:val="24"/>
          <w:szCs w:val="24"/>
        </w:rPr>
        <w:t xml:space="preserve"> and high school students who continued to play after reporting symptoms of a concussion while engaged in sports was 50%</w:t>
      </w:r>
      <w:r w:rsidRPr="00471E8F">
        <w:rPr>
          <w:rFonts w:eastAsia="Times New Roman" w:cs="Times New Roman"/>
          <w:b/>
          <w:sz w:val="24"/>
          <w:szCs w:val="24"/>
        </w:rPr>
        <w:t xml:space="preserve"> </w:t>
      </w:r>
      <w:r w:rsidRPr="00471E8F">
        <w:rPr>
          <w:rFonts w:eastAsia="Times New Roman" w:cs="Times New Roman"/>
          <w:sz w:val="24"/>
          <w:szCs w:val="24"/>
        </w:rPr>
        <w:t>in 2015.</w:t>
      </w:r>
      <w:r w:rsidRPr="00471E8F">
        <w:rPr>
          <w:rStyle w:val="EndnoteReference"/>
          <w:rFonts w:eastAsia="Times New Roman" w:cs="Times New Roman"/>
          <w:sz w:val="24"/>
          <w:szCs w:val="24"/>
        </w:rPr>
        <w:endnoteReference w:id="15"/>
      </w:r>
      <w:r w:rsidRPr="00471E8F">
        <w:rPr>
          <w:rFonts w:eastAsia="Times New Roman" w:cs="Times New Roman"/>
          <w:sz w:val="24"/>
          <w:szCs w:val="24"/>
          <w:vertAlign w:val="superscript"/>
        </w:rPr>
        <w:t xml:space="preserve"> </w:t>
      </w:r>
      <w:r w:rsidRPr="00471E8F">
        <w:rPr>
          <w:sz w:val="24"/>
          <w:szCs w:val="24"/>
        </w:rPr>
        <w:t xml:space="preserve">As shown in </w:t>
      </w:r>
      <w:r w:rsidR="003D14D9" w:rsidRPr="00471E8F">
        <w:rPr>
          <w:b/>
          <w:sz w:val="24"/>
          <w:szCs w:val="24"/>
        </w:rPr>
        <w:t>Figure 5.2</w:t>
      </w:r>
      <w:r w:rsidRPr="00471E8F">
        <w:rPr>
          <w:sz w:val="24"/>
          <w:szCs w:val="24"/>
        </w:rPr>
        <w:t xml:space="preserve">, disparities by sex and </w:t>
      </w:r>
      <w:r w:rsidRPr="00471E8F">
        <w:rPr>
          <w:sz w:val="24"/>
          <w:szCs w:val="24"/>
        </w:rPr>
        <w:lastRenderedPageBreak/>
        <w:t>race/ethnicity exist among students who reported having symptoms of a sports-related concussion during the last 12 months.</w:t>
      </w:r>
      <w:r w:rsidRPr="00471E8F">
        <w:rPr>
          <w:rStyle w:val="EndnoteReference"/>
          <w:sz w:val="24"/>
          <w:szCs w:val="24"/>
        </w:rPr>
        <w:endnoteReference w:id="16"/>
      </w:r>
      <w:r w:rsidRPr="00471E8F">
        <w:rPr>
          <w:sz w:val="24"/>
          <w:szCs w:val="24"/>
        </w:rPr>
        <w:t xml:space="preserve"> In particular, reporting of such symptoms was higher among males.</w:t>
      </w:r>
    </w:p>
    <w:p w14:paraId="5791CF5C" w14:textId="6BABE73B" w:rsidR="00197870" w:rsidRPr="00471E8F" w:rsidRDefault="00197870" w:rsidP="00471E8F">
      <w:pPr>
        <w:spacing w:before="0"/>
        <w:ind w:left="0" w:right="0"/>
        <w:jc w:val="center"/>
        <w:rPr>
          <w:b/>
          <w:sz w:val="24"/>
          <w:szCs w:val="24"/>
        </w:rPr>
      </w:pPr>
      <w:r w:rsidRPr="00471E8F">
        <w:rPr>
          <w:b/>
          <w:sz w:val="24"/>
          <w:szCs w:val="24"/>
        </w:rPr>
        <w:t>Figure 5.2</w:t>
      </w:r>
    </w:p>
    <w:p w14:paraId="0FCCEC38" w14:textId="0E754653" w:rsidR="00197870" w:rsidRPr="00471E8F" w:rsidRDefault="002B3609" w:rsidP="00E552D2">
      <w:pPr>
        <w:pStyle w:val="SHAFigureNumber"/>
        <w:spacing w:line="360" w:lineRule="auto"/>
        <w:rPr>
          <w:rFonts w:eastAsia="Times New Roman" w:cs="Times New Roman"/>
          <w:color w:val="000000"/>
          <w:sz w:val="24"/>
          <w:szCs w:val="24"/>
        </w:rPr>
      </w:pPr>
      <w:r w:rsidRPr="00471E8F">
        <w:rPr>
          <w:sz w:val="24"/>
          <w:szCs w:val="24"/>
        </w:rPr>
        <w:t>P</w:t>
      </w:r>
      <w:r w:rsidRPr="00471E8F">
        <w:rPr>
          <w:rFonts w:eastAsia="Times New Roman" w:cs="Times New Roman"/>
          <w:color w:val="000000"/>
          <w:sz w:val="24"/>
          <w:szCs w:val="24"/>
        </w:rPr>
        <w:t>ercentage o</w:t>
      </w:r>
      <w:r w:rsidR="00641719" w:rsidRPr="00471E8F">
        <w:rPr>
          <w:rFonts w:eastAsia="Times New Roman" w:cs="Times New Roman"/>
          <w:color w:val="000000"/>
          <w:sz w:val="24"/>
          <w:szCs w:val="24"/>
        </w:rPr>
        <w:t>f Middle School a</w:t>
      </w:r>
      <w:r w:rsidRPr="00471E8F">
        <w:rPr>
          <w:rFonts w:eastAsia="Times New Roman" w:cs="Times New Roman"/>
          <w:color w:val="000000"/>
          <w:sz w:val="24"/>
          <w:szCs w:val="24"/>
        </w:rPr>
        <w:t xml:space="preserve">nd High School </w:t>
      </w:r>
      <w:r w:rsidR="008656E4" w:rsidRPr="00471E8F">
        <w:rPr>
          <w:rFonts w:eastAsia="Times New Roman" w:cs="Times New Roman"/>
          <w:color w:val="000000"/>
          <w:sz w:val="24"/>
          <w:szCs w:val="24"/>
        </w:rPr>
        <w:t>Sports Players w</w:t>
      </w:r>
      <w:r w:rsidRPr="00471E8F">
        <w:rPr>
          <w:rFonts w:eastAsia="Times New Roman" w:cs="Times New Roman"/>
          <w:color w:val="000000"/>
          <w:sz w:val="24"/>
          <w:szCs w:val="24"/>
        </w:rPr>
        <w:t>ho Reported Having Symptoms* of a Sports-Related Concussion,</w:t>
      </w:r>
      <w:r w:rsidR="00187D0C" w:rsidRPr="00471E8F">
        <w:rPr>
          <w:rFonts w:eastAsia="Times New Roman" w:cs="Times New Roman"/>
          <w:color w:val="000000"/>
          <w:sz w:val="24"/>
          <w:szCs w:val="24"/>
        </w:rPr>
        <w:t xml:space="preserve"> by Sex a</w:t>
      </w:r>
      <w:r w:rsidRPr="00471E8F">
        <w:rPr>
          <w:rFonts w:eastAsia="Times New Roman" w:cs="Times New Roman"/>
          <w:color w:val="000000"/>
          <w:sz w:val="24"/>
          <w:szCs w:val="24"/>
        </w:rPr>
        <w:t>nd Race/Ethnicity, Massachusetts, 2015</w:t>
      </w:r>
    </w:p>
    <w:p w14:paraId="438ED41F" w14:textId="6450BBAF" w:rsidR="00197870" w:rsidRPr="00471E8F" w:rsidRDefault="002B79C0" w:rsidP="00E552D2">
      <w:pPr>
        <w:pStyle w:val="source0"/>
        <w:keepNext/>
        <w:keepLines/>
        <w:spacing w:line="360" w:lineRule="auto"/>
        <w:ind w:left="-360" w:right="-360"/>
        <w:jc w:val="center"/>
        <w:rPr>
          <w:sz w:val="24"/>
          <w:szCs w:val="24"/>
        </w:rPr>
      </w:pPr>
      <w:r w:rsidRPr="00471E8F">
        <w:rPr>
          <w:noProof/>
          <w:sz w:val="24"/>
          <w:szCs w:val="24"/>
        </w:rPr>
        <w:drawing>
          <wp:inline distT="0" distB="0" distL="0" distR="0" wp14:anchorId="083D032B" wp14:editId="6A3593AA">
            <wp:extent cx="4276725" cy="3933825"/>
            <wp:effectExtent l="0" t="0" r="0" b="0"/>
            <wp:docPr id="609" name="Chart 609" descr="This vertical bar graph shows that among middle school sports players, 23% of males and 15% of females reported having symptoms of a sports-related concussion in 2015. Among high school sports players, this was 18% of males and 10% of females. The graph also displays results by race/ethnicity. For middle school, 19% of White non-Hispanic, 20% of Black non-Hispanic, and 21% of Hispanic sports players reported having symptoms of a sports-related concussion. Among high school sports players, this was 15% for White non-Hispanic, 13% for Black non-Hispanic, and 10% for Hispanic.">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C784F275-26B1-413D-A84F-F9AB6D0902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96C7071" w14:textId="7C91BB3A" w:rsidR="00197870" w:rsidRPr="00471E8F" w:rsidRDefault="002B3609" w:rsidP="00E552D2">
      <w:pPr>
        <w:pStyle w:val="SHAFigureNote"/>
        <w:spacing w:line="360" w:lineRule="auto"/>
        <w:rPr>
          <w:sz w:val="24"/>
          <w:szCs w:val="24"/>
        </w:rPr>
      </w:pPr>
      <w:r w:rsidRPr="00471E8F">
        <w:rPr>
          <w:sz w:val="24"/>
          <w:szCs w:val="24"/>
        </w:rPr>
        <w:t xml:space="preserve">NOTE: *SYMPTOMS INCLUDE BEING “KNOCKED OUT,” MEMORY PROBLEMS, DOUBLE OR BLURRY VISION, HEADACHES, “PRESSURE” IN THE HEAD, NAUSEA OR VOMITING. </w:t>
      </w:r>
      <w:r w:rsidRPr="00471E8F">
        <w:rPr>
          <w:sz w:val="24"/>
          <w:szCs w:val="24"/>
          <w:vertAlign w:val="superscript"/>
        </w:rPr>
        <w:t xml:space="preserve">B. </w:t>
      </w:r>
      <w:r w:rsidRPr="00471E8F">
        <w:rPr>
          <w:sz w:val="24"/>
          <w:szCs w:val="24"/>
        </w:rPr>
        <w:t>STATISTICAL SIGNIFICANCE IS SET AT THE 95% CONFIDENCE LEVEL.</w:t>
      </w:r>
    </w:p>
    <w:p w14:paraId="30228E52" w14:textId="77777777" w:rsidR="00197870" w:rsidRPr="00471E8F" w:rsidRDefault="00197870" w:rsidP="00E552D2">
      <w:pPr>
        <w:pStyle w:val="Heading3"/>
        <w:spacing w:line="360" w:lineRule="auto"/>
        <w:rPr>
          <w:sz w:val="24"/>
          <w:szCs w:val="24"/>
        </w:rPr>
      </w:pPr>
      <w:r w:rsidRPr="00471E8F">
        <w:rPr>
          <w:sz w:val="24"/>
          <w:szCs w:val="24"/>
        </w:rPr>
        <w:t>Older Adult Falls</w:t>
      </w:r>
    </w:p>
    <w:p w14:paraId="38BAAF83" w14:textId="77777777" w:rsidR="00197870" w:rsidRPr="00471E8F" w:rsidRDefault="00197870" w:rsidP="00E552D2">
      <w:pPr>
        <w:spacing w:line="360" w:lineRule="auto"/>
        <w:ind w:right="-360"/>
        <w:rPr>
          <w:sz w:val="24"/>
          <w:szCs w:val="24"/>
        </w:rPr>
      </w:pPr>
      <w:r w:rsidRPr="00471E8F">
        <w:rPr>
          <w:rFonts w:cs="Adobe Caslon Pro"/>
          <w:color w:val="000000"/>
          <w:sz w:val="24"/>
          <w:szCs w:val="24"/>
        </w:rPr>
        <w:t xml:space="preserve">Fall injuries are a serious and increasing health problem among Massachusetts adults aged 65 and older. </w:t>
      </w:r>
      <w:r w:rsidRPr="00471E8F">
        <w:rPr>
          <w:rFonts w:eastAsia="Times New Roman" w:cs="Arial"/>
          <w:color w:val="222222"/>
          <w:sz w:val="24"/>
          <w:szCs w:val="24"/>
        </w:rPr>
        <w:t xml:space="preserve">Falls are the leading cause of unintentional injury death for men and women 65 and older in Massachusetts. </w:t>
      </w:r>
      <w:r w:rsidRPr="00471E8F">
        <w:rPr>
          <w:sz w:val="24"/>
          <w:szCs w:val="24"/>
        </w:rPr>
        <w:t xml:space="preserve">In 2014, there were 528 deaths and 71,078 non-fatal injuries treated within Massachusetts acute care hospitals among adults 65 and older due to falls.  </w:t>
      </w:r>
    </w:p>
    <w:p w14:paraId="6CEC189E" w14:textId="77777777" w:rsidR="00197870" w:rsidRPr="00471E8F" w:rsidRDefault="00197870" w:rsidP="00E552D2">
      <w:pPr>
        <w:spacing w:line="360" w:lineRule="auto"/>
        <w:ind w:right="-360"/>
        <w:rPr>
          <w:sz w:val="24"/>
          <w:szCs w:val="24"/>
        </w:rPr>
      </w:pPr>
      <w:r w:rsidRPr="00471E8F">
        <w:rPr>
          <w:sz w:val="24"/>
          <w:szCs w:val="24"/>
        </w:rPr>
        <w:lastRenderedPageBreak/>
        <w:t xml:space="preserve">Older adults are at increased risk for a fall-related injury due to common characteristics of aging, such as decreased strength, poor balance, impaired vision, osteoporosis, dementia, multiple medications, and illnesses. </w:t>
      </w:r>
      <w:r w:rsidRPr="00471E8F">
        <w:rPr>
          <w:sz w:val="24"/>
          <w:szCs w:val="24"/>
          <w:vertAlign w:val="superscript"/>
        </w:rPr>
        <w:endnoteReference w:id="17"/>
      </w:r>
      <w:r w:rsidRPr="00471E8F">
        <w:rPr>
          <w:sz w:val="24"/>
          <w:szCs w:val="24"/>
          <w:vertAlign w:val="superscript"/>
        </w:rPr>
        <w:t>,</w:t>
      </w:r>
      <w:r w:rsidRPr="00471E8F">
        <w:rPr>
          <w:sz w:val="24"/>
          <w:szCs w:val="24"/>
          <w:vertAlign w:val="superscript"/>
        </w:rPr>
        <w:endnoteReference w:id="18"/>
      </w:r>
      <w:r w:rsidRPr="00471E8F">
        <w:rPr>
          <w:sz w:val="24"/>
          <w:szCs w:val="24"/>
        </w:rPr>
        <w:t xml:space="preserve"> Falls among older adults can further impact physical function and mental well-being by producing feelings of social isolation, depression, and helplessness. In addition, prior falls and safety concerns may reduce the willingness of older adults to stay active in their community. Lifetime estimated costs of unintentional fall injuries (fatal and non-fatal) to Massachusetts residents 65 years or older in 2014 is estimated at $1.9 billion.</w:t>
      </w:r>
      <w:r w:rsidRPr="00471E8F">
        <w:rPr>
          <w:rStyle w:val="EndnoteReference"/>
          <w:sz w:val="24"/>
          <w:szCs w:val="24"/>
        </w:rPr>
        <w:endnoteReference w:id="19"/>
      </w:r>
    </w:p>
    <w:p w14:paraId="3879520C" w14:textId="77777777" w:rsidR="00197870" w:rsidRPr="00471E8F" w:rsidRDefault="00197870" w:rsidP="00E552D2">
      <w:pPr>
        <w:pStyle w:val="Heading4"/>
        <w:spacing w:line="360" w:lineRule="auto"/>
      </w:pPr>
      <w:r w:rsidRPr="00471E8F">
        <w:t xml:space="preserve">Trends/Disparities </w:t>
      </w:r>
    </w:p>
    <w:p w14:paraId="214D5886" w14:textId="77777777" w:rsidR="00197870" w:rsidRPr="00471E8F" w:rsidRDefault="00197870" w:rsidP="00E552D2">
      <w:pPr>
        <w:spacing w:line="360" w:lineRule="auto"/>
        <w:ind w:right="-360"/>
        <w:rPr>
          <w:sz w:val="24"/>
          <w:szCs w:val="24"/>
        </w:rPr>
      </w:pPr>
      <w:r w:rsidRPr="00471E8F">
        <w:rPr>
          <w:sz w:val="24"/>
          <w:szCs w:val="24"/>
        </w:rPr>
        <w:t>From 2006 to 2014, the age-</w:t>
      </w:r>
      <w:r w:rsidRPr="00471E8F">
        <w:rPr>
          <w:rFonts w:cs="Arial"/>
          <w:sz w:val="24"/>
          <w:szCs w:val="24"/>
        </w:rPr>
        <w:t xml:space="preserve">specific </w:t>
      </w:r>
      <w:r w:rsidRPr="00471E8F">
        <w:rPr>
          <w:sz w:val="24"/>
          <w:szCs w:val="24"/>
        </w:rPr>
        <w:t>rate of fall-related deaths for Massachusetts adults 65 and older increased 41% (</w:t>
      </w:r>
      <w:r w:rsidRPr="00471E8F">
        <w:rPr>
          <w:rFonts w:cs="Arial"/>
          <w:sz w:val="24"/>
          <w:szCs w:val="24"/>
        </w:rPr>
        <w:t xml:space="preserve">2006: </w:t>
      </w:r>
      <w:r w:rsidRPr="00471E8F">
        <w:rPr>
          <w:sz w:val="24"/>
          <w:szCs w:val="24"/>
        </w:rPr>
        <w:t xml:space="preserve">35.3 per 100,000 population; 2014: 49.7 per 100,000 population). </w:t>
      </w:r>
    </w:p>
    <w:p w14:paraId="2F49CF11" w14:textId="181E0A28" w:rsidR="00471E8F" w:rsidRDefault="003D14D9" w:rsidP="00E552D2">
      <w:pPr>
        <w:spacing w:line="360" w:lineRule="auto"/>
        <w:ind w:right="-360"/>
        <w:rPr>
          <w:sz w:val="24"/>
          <w:szCs w:val="24"/>
        </w:rPr>
      </w:pPr>
      <w:r w:rsidRPr="00471E8F">
        <w:rPr>
          <w:sz w:val="24"/>
          <w:szCs w:val="24"/>
        </w:rPr>
        <w:t xml:space="preserve">As shown in the </w:t>
      </w:r>
      <w:r w:rsidRPr="00471E8F">
        <w:rPr>
          <w:b/>
          <w:sz w:val="24"/>
          <w:szCs w:val="24"/>
        </w:rPr>
        <w:t>Fi</w:t>
      </w:r>
      <w:r w:rsidR="00197870" w:rsidRPr="00471E8F">
        <w:rPr>
          <w:b/>
          <w:sz w:val="24"/>
          <w:szCs w:val="24"/>
        </w:rPr>
        <w:t>gure 5.3</w:t>
      </w:r>
      <w:r w:rsidR="00197870" w:rsidRPr="00471E8F">
        <w:rPr>
          <w:sz w:val="24"/>
          <w:szCs w:val="24"/>
        </w:rPr>
        <w:t xml:space="preserve">, fall-related death rates during this time period increased 60.2% among those 75-84 and 53.8% among adults 85 years or older. </w:t>
      </w:r>
      <w:r w:rsidR="00197870" w:rsidRPr="00471E8F">
        <w:rPr>
          <w:color w:val="000000" w:themeColor="dark1"/>
          <w:sz w:val="24"/>
          <w:szCs w:val="24"/>
        </w:rPr>
        <w:t xml:space="preserve">Persons ages 85 and older had the highest rates of fatal and non-fatal fall injuries. The fall death rate for this age group in 2014 was 18.6 times the rate for those aged 65-74. </w:t>
      </w:r>
      <w:r w:rsidR="00795A65" w:rsidRPr="00471E8F">
        <w:rPr>
          <w:sz w:val="24"/>
          <w:szCs w:val="24"/>
        </w:rPr>
        <w:t>Of</w:t>
      </w:r>
      <w:r w:rsidR="00197870" w:rsidRPr="00471E8F">
        <w:rPr>
          <w:sz w:val="24"/>
          <w:szCs w:val="24"/>
        </w:rPr>
        <w:t xml:space="preserve"> fall-related deaths among older adults in 2014, 56% included a TBI. </w:t>
      </w:r>
    </w:p>
    <w:p w14:paraId="537855F4" w14:textId="77777777" w:rsidR="00471E8F" w:rsidRDefault="00471E8F">
      <w:pPr>
        <w:spacing w:before="0"/>
        <w:ind w:left="0" w:right="0"/>
        <w:jc w:val="left"/>
        <w:rPr>
          <w:sz w:val="24"/>
          <w:szCs w:val="24"/>
        </w:rPr>
      </w:pPr>
      <w:r>
        <w:rPr>
          <w:sz w:val="24"/>
          <w:szCs w:val="24"/>
        </w:rPr>
        <w:br w:type="page"/>
      </w:r>
    </w:p>
    <w:p w14:paraId="3D999678" w14:textId="77777777" w:rsidR="00197870" w:rsidRPr="00471E8F" w:rsidRDefault="00197870" w:rsidP="00E552D2">
      <w:pPr>
        <w:pStyle w:val="SHAFigureNumber"/>
        <w:spacing w:line="360" w:lineRule="auto"/>
        <w:rPr>
          <w:sz w:val="24"/>
          <w:szCs w:val="24"/>
        </w:rPr>
      </w:pPr>
      <w:r w:rsidRPr="00471E8F">
        <w:rPr>
          <w:sz w:val="24"/>
          <w:szCs w:val="24"/>
        </w:rPr>
        <w:lastRenderedPageBreak/>
        <w:t>Figure 5.3</w:t>
      </w:r>
    </w:p>
    <w:p w14:paraId="482E4486" w14:textId="2570413C" w:rsidR="00197870" w:rsidRPr="00471E8F" w:rsidRDefault="00331EE9" w:rsidP="00E552D2">
      <w:pPr>
        <w:pStyle w:val="SHAFigureNumber"/>
        <w:spacing w:line="360" w:lineRule="auto"/>
        <w:rPr>
          <w:sz w:val="24"/>
          <w:szCs w:val="24"/>
          <w:highlight w:val="lightGray"/>
        </w:rPr>
      </w:pPr>
      <w:r w:rsidRPr="00471E8F">
        <w:rPr>
          <w:rFonts w:cs="Arial"/>
          <w:sz w:val="24"/>
          <w:szCs w:val="24"/>
        </w:rPr>
        <w:t xml:space="preserve">Age-Specific Rate of Fall-Related Deaths </w:t>
      </w:r>
      <w:r w:rsidR="00925A89" w:rsidRPr="00471E8F">
        <w:rPr>
          <w:rFonts w:cs="Arial"/>
          <w:sz w:val="24"/>
          <w:szCs w:val="24"/>
        </w:rPr>
        <w:t>b</w:t>
      </w:r>
      <w:r w:rsidRPr="00471E8F">
        <w:rPr>
          <w:rFonts w:cs="Arial"/>
          <w:sz w:val="24"/>
          <w:szCs w:val="24"/>
        </w:rPr>
        <w:t>y Age Group, Ages 65 and Older, Massachusetts, 2006-2014</w:t>
      </w:r>
    </w:p>
    <w:p w14:paraId="320794BC" w14:textId="39474BB8" w:rsidR="00197870" w:rsidRPr="00471E8F" w:rsidRDefault="002B79C0" w:rsidP="00E552D2">
      <w:pPr>
        <w:pStyle w:val="source0"/>
        <w:spacing w:line="360" w:lineRule="auto"/>
        <w:ind w:left="-360" w:right="-360"/>
        <w:jc w:val="center"/>
        <w:rPr>
          <w:sz w:val="24"/>
          <w:szCs w:val="24"/>
        </w:rPr>
      </w:pPr>
      <w:r w:rsidRPr="00471E8F">
        <w:rPr>
          <w:noProof/>
          <w:sz w:val="24"/>
          <w:szCs w:val="24"/>
        </w:rPr>
        <w:drawing>
          <wp:inline distT="0" distB="0" distL="0" distR="0" wp14:anchorId="7F30A9F5" wp14:editId="48078519">
            <wp:extent cx="5310188" cy="3119438"/>
            <wp:effectExtent l="0" t="0" r="5080" b="5080"/>
            <wp:docPr id="610" name="Chart 610" descr="This line graph shows the trend in fall-related death rates for three age groups: 65-74, 75-84 and 85+. From 2006 to 2014, the fall-related death rate among those 65-74 decreased slightly from 13.6 per 100,000 to 10.3 per 100,000. During the same time period, this rate increased from 37.2 per 100,000 to 59.6 per 100,000 among those 75-84, and from 124.8 per 100,000 to 191.9 per 100,000 among those 85 and older.">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2C65E286-8E71-4856-8FC3-5445E2E6DB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7E1B1C8" w14:textId="77777777" w:rsidR="00197870" w:rsidRPr="00471E8F" w:rsidRDefault="00197870" w:rsidP="00E552D2">
      <w:pPr>
        <w:spacing w:line="360" w:lineRule="auto"/>
        <w:ind w:right="-360"/>
        <w:rPr>
          <w:i/>
          <w:sz w:val="24"/>
          <w:szCs w:val="24"/>
        </w:rPr>
      </w:pPr>
      <w:r w:rsidRPr="00471E8F">
        <w:rPr>
          <w:sz w:val="24"/>
          <w:szCs w:val="24"/>
        </w:rPr>
        <w:t>In 2014, more than 70,000 adults 65 years or older were treated at an acute care hospital for fall-related injuries.</w:t>
      </w:r>
      <w:r w:rsidRPr="00471E8F">
        <w:rPr>
          <w:rStyle w:val="EndnoteReference"/>
          <w:sz w:val="24"/>
          <w:szCs w:val="24"/>
        </w:rPr>
        <w:endnoteReference w:id="20"/>
      </w:r>
      <w:r w:rsidRPr="00471E8F">
        <w:rPr>
          <w:sz w:val="24"/>
          <w:szCs w:val="24"/>
          <w:vertAlign w:val="superscript"/>
        </w:rPr>
        <w:t>,</w:t>
      </w:r>
      <w:r w:rsidRPr="00471E8F">
        <w:rPr>
          <w:rStyle w:val="EndnoteReference"/>
          <w:sz w:val="24"/>
          <w:szCs w:val="24"/>
        </w:rPr>
        <w:endnoteReference w:id="21"/>
      </w:r>
      <w:r w:rsidRPr="00471E8F">
        <w:rPr>
          <w:sz w:val="24"/>
          <w:szCs w:val="24"/>
          <w:vertAlign w:val="superscript"/>
        </w:rPr>
        <w:t>,</w:t>
      </w:r>
      <w:r w:rsidRPr="00471E8F">
        <w:rPr>
          <w:rStyle w:val="EndnoteReference"/>
          <w:sz w:val="24"/>
          <w:szCs w:val="24"/>
        </w:rPr>
        <w:endnoteReference w:id="22"/>
      </w:r>
      <w:r w:rsidRPr="00471E8F">
        <w:rPr>
          <w:sz w:val="24"/>
          <w:szCs w:val="24"/>
          <w:vertAlign w:val="superscript"/>
        </w:rPr>
        <w:t xml:space="preserve"> </w:t>
      </w:r>
      <w:r w:rsidRPr="00471E8F">
        <w:rPr>
          <w:sz w:val="24"/>
          <w:szCs w:val="24"/>
        </w:rPr>
        <w:t>Approximately, seven out of ten (71%) fall-related hospitalizations among adults 65 years of age or older required additional care upon discharge through a skilled nursing facility or rehabilitation facility.</w:t>
      </w:r>
      <w:r w:rsidRPr="00471E8F">
        <w:rPr>
          <w:rStyle w:val="EndnoteReference"/>
          <w:sz w:val="24"/>
          <w:szCs w:val="24"/>
        </w:rPr>
        <w:endnoteReference w:id="23"/>
      </w:r>
      <w:r w:rsidRPr="00471E8F">
        <w:rPr>
          <w:sz w:val="24"/>
          <w:szCs w:val="24"/>
        </w:rPr>
        <w:t xml:space="preserve"> </w:t>
      </w:r>
    </w:p>
    <w:p w14:paraId="586E3C6B" w14:textId="77777777" w:rsidR="00197870" w:rsidRPr="00471E8F" w:rsidRDefault="00197870" w:rsidP="00E552D2">
      <w:pPr>
        <w:spacing w:line="360" w:lineRule="auto"/>
        <w:ind w:right="-360"/>
        <w:rPr>
          <w:color w:val="000000" w:themeColor="dark1"/>
          <w:sz w:val="24"/>
          <w:szCs w:val="24"/>
        </w:rPr>
      </w:pPr>
      <w:r w:rsidRPr="00471E8F">
        <w:rPr>
          <w:color w:val="000000" w:themeColor="dark1"/>
          <w:sz w:val="24"/>
          <w:szCs w:val="24"/>
        </w:rPr>
        <w:t>Men have higher rates of fall-related deaths than women (2014: 62.7 per 100,000 population versus 41.5 per 100,000 population), but</w:t>
      </w:r>
      <w:r w:rsidRPr="00471E8F">
        <w:rPr>
          <w:b/>
          <w:i/>
          <w:color w:val="000000" w:themeColor="dark1"/>
          <w:sz w:val="24"/>
          <w:szCs w:val="24"/>
        </w:rPr>
        <w:t xml:space="preserve"> </w:t>
      </w:r>
      <w:r w:rsidRPr="00471E8F">
        <w:rPr>
          <w:color w:val="000000" w:themeColor="dark1"/>
          <w:sz w:val="24"/>
          <w:szCs w:val="24"/>
        </w:rPr>
        <w:t>women have higher rates for non-fatal hospital stays and emergency department visits.</w:t>
      </w:r>
      <w:r w:rsidRPr="00471E8F">
        <w:rPr>
          <w:rStyle w:val="EndnoteReference"/>
          <w:color w:val="000000" w:themeColor="dark1"/>
          <w:sz w:val="24"/>
          <w:szCs w:val="24"/>
        </w:rPr>
        <w:endnoteReference w:id="24"/>
      </w:r>
      <w:r w:rsidRPr="00471E8F">
        <w:rPr>
          <w:color w:val="000000" w:themeColor="dark1"/>
          <w:sz w:val="24"/>
          <w:szCs w:val="24"/>
          <w:vertAlign w:val="superscript"/>
        </w:rPr>
        <w:t>,</w:t>
      </w:r>
      <w:r w:rsidRPr="00471E8F">
        <w:rPr>
          <w:rStyle w:val="EndnoteReference"/>
          <w:color w:val="000000" w:themeColor="dark1"/>
          <w:sz w:val="24"/>
          <w:szCs w:val="24"/>
        </w:rPr>
        <w:endnoteReference w:id="25"/>
      </w:r>
      <w:r w:rsidRPr="00471E8F">
        <w:rPr>
          <w:color w:val="000000" w:themeColor="dark1"/>
          <w:sz w:val="24"/>
          <w:szCs w:val="24"/>
          <w:vertAlign w:val="superscript"/>
        </w:rPr>
        <w:t>,</w:t>
      </w:r>
      <w:r w:rsidRPr="00471E8F">
        <w:rPr>
          <w:rStyle w:val="EndnoteReference"/>
          <w:color w:val="000000" w:themeColor="dark1"/>
          <w:sz w:val="24"/>
          <w:szCs w:val="24"/>
        </w:rPr>
        <w:endnoteReference w:id="26"/>
      </w:r>
      <w:r w:rsidRPr="00471E8F">
        <w:rPr>
          <w:color w:val="000000" w:themeColor="dark1"/>
          <w:sz w:val="24"/>
          <w:szCs w:val="24"/>
        </w:rPr>
        <w:t xml:space="preserve"> White non-Hispanic residents had the highest rates of fall deaths (51 per 100,000 population), fall-related hospital stays, and emergency department visits.</w:t>
      </w:r>
      <w:r w:rsidRPr="00471E8F">
        <w:rPr>
          <w:rStyle w:val="EndnoteReference"/>
          <w:color w:val="000000" w:themeColor="dark1"/>
          <w:sz w:val="24"/>
          <w:szCs w:val="24"/>
        </w:rPr>
        <w:endnoteReference w:id="27"/>
      </w:r>
      <w:r w:rsidRPr="00471E8F">
        <w:rPr>
          <w:color w:val="000000" w:themeColor="dark1"/>
          <w:sz w:val="24"/>
          <w:szCs w:val="24"/>
          <w:vertAlign w:val="superscript"/>
        </w:rPr>
        <w:t>,</w:t>
      </w:r>
      <w:r w:rsidRPr="00471E8F">
        <w:rPr>
          <w:rStyle w:val="EndnoteReference"/>
          <w:color w:val="000000" w:themeColor="dark1"/>
          <w:sz w:val="24"/>
          <w:szCs w:val="24"/>
        </w:rPr>
        <w:endnoteReference w:id="28"/>
      </w:r>
      <w:r w:rsidRPr="00471E8F">
        <w:rPr>
          <w:color w:val="000000" w:themeColor="dark1"/>
          <w:sz w:val="24"/>
          <w:szCs w:val="24"/>
          <w:vertAlign w:val="superscript"/>
        </w:rPr>
        <w:t>,</w:t>
      </w:r>
      <w:r w:rsidRPr="00471E8F">
        <w:rPr>
          <w:rStyle w:val="EndnoteReference"/>
          <w:color w:val="000000" w:themeColor="dark1"/>
          <w:sz w:val="24"/>
          <w:szCs w:val="24"/>
        </w:rPr>
        <w:endnoteReference w:id="29"/>
      </w:r>
      <w:r w:rsidRPr="00471E8F">
        <w:rPr>
          <w:color w:val="000000" w:themeColor="dark1"/>
          <w:sz w:val="24"/>
          <w:szCs w:val="24"/>
        </w:rPr>
        <w:t xml:space="preserve"> Asian and Pacific Islander residents had the second highest rate of fall deaths (44.4 per 100,000 population) but the lowest rates of fall-related hospital stays and emergency department visits.</w:t>
      </w:r>
      <w:r w:rsidRPr="00471E8F">
        <w:rPr>
          <w:rStyle w:val="EndnoteReference"/>
          <w:color w:val="000000" w:themeColor="dark1"/>
          <w:sz w:val="24"/>
          <w:szCs w:val="24"/>
        </w:rPr>
        <w:endnoteReference w:id="30"/>
      </w:r>
      <w:r w:rsidRPr="00471E8F">
        <w:rPr>
          <w:color w:val="000000" w:themeColor="dark1"/>
          <w:sz w:val="24"/>
          <w:szCs w:val="24"/>
          <w:vertAlign w:val="superscript"/>
        </w:rPr>
        <w:t>,</w:t>
      </w:r>
      <w:r w:rsidRPr="00471E8F">
        <w:rPr>
          <w:rStyle w:val="EndnoteReference"/>
          <w:color w:val="000000" w:themeColor="dark1"/>
          <w:sz w:val="24"/>
          <w:szCs w:val="24"/>
        </w:rPr>
        <w:endnoteReference w:id="31"/>
      </w:r>
      <w:r w:rsidRPr="00471E8F">
        <w:rPr>
          <w:color w:val="000000" w:themeColor="dark1"/>
          <w:sz w:val="24"/>
          <w:szCs w:val="24"/>
          <w:vertAlign w:val="superscript"/>
        </w:rPr>
        <w:t>,</w:t>
      </w:r>
      <w:r w:rsidRPr="00471E8F">
        <w:rPr>
          <w:rStyle w:val="EndnoteReference"/>
          <w:color w:val="000000" w:themeColor="dark1"/>
          <w:sz w:val="24"/>
          <w:szCs w:val="24"/>
        </w:rPr>
        <w:endnoteReference w:id="32"/>
      </w:r>
      <w:r w:rsidRPr="00471E8F">
        <w:rPr>
          <w:color w:val="000000" w:themeColor="dark1"/>
          <w:sz w:val="24"/>
          <w:szCs w:val="24"/>
        </w:rPr>
        <w:t xml:space="preserve"> </w:t>
      </w:r>
    </w:p>
    <w:p w14:paraId="1810AAE4" w14:textId="77777777" w:rsidR="00197870" w:rsidRPr="00471E8F" w:rsidRDefault="00197870" w:rsidP="00E552D2">
      <w:pPr>
        <w:spacing w:line="360" w:lineRule="auto"/>
        <w:ind w:right="-360"/>
        <w:rPr>
          <w:sz w:val="24"/>
          <w:szCs w:val="24"/>
        </w:rPr>
      </w:pPr>
      <w:r w:rsidRPr="00471E8F">
        <w:rPr>
          <w:sz w:val="24"/>
          <w:szCs w:val="24"/>
        </w:rPr>
        <w:t>Older adults were more likely to report falls and fall-related injuries in the past 12 months if they also reported poor mental health and depression, diabetes, disability, coronary artery disease, chronic obstructive pulmonary disease (COPD), heart attack, or stroke.</w:t>
      </w:r>
    </w:p>
    <w:p w14:paraId="7BACFF58" w14:textId="77777777" w:rsidR="00197870" w:rsidRPr="00471E8F" w:rsidRDefault="00197870" w:rsidP="00E552D2">
      <w:pPr>
        <w:pStyle w:val="Heading3"/>
        <w:spacing w:line="360" w:lineRule="auto"/>
        <w:rPr>
          <w:sz w:val="24"/>
          <w:szCs w:val="24"/>
        </w:rPr>
      </w:pPr>
      <w:r w:rsidRPr="00471E8F">
        <w:rPr>
          <w:sz w:val="24"/>
          <w:szCs w:val="24"/>
        </w:rPr>
        <w:lastRenderedPageBreak/>
        <w:t>Motor-Vehicle Injuries</w:t>
      </w:r>
    </w:p>
    <w:p w14:paraId="36CCDAD1" w14:textId="77777777" w:rsidR="00197870" w:rsidRPr="00471E8F" w:rsidRDefault="00197870" w:rsidP="00E552D2">
      <w:pPr>
        <w:spacing w:line="360" w:lineRule="auto"/>
        <w:ind w:right="-360"/>
        <w:rPr>
          <w:sz w:val="24"/>
          <w:szCs w:val="24"/>
        </w:rPr>
      </w:pPr>
      <w:r w:rsidRPr="00471E8F">
        <w:rPr>
          <w:sz w:val="24"/>
          <w:szCs w:val="24"/>
        </w:rPr>
        <w:t>Motor vehicle traffic-related injuries include injuries to vehicle occupants, motorcyclists, pedestrians, and bicyclists struck by a motor vehicle. Some populations are at higher risk of motor vehicle injuries.</w:t>
      </w:r>
      <w:r w:rsidRPr="00471E8F">
        <w:rPr>
          <w:rStyle w:val="EndnoteReference"/>
          <w:sz w:val="24"/>
          <w:szCs w:val="24"/>
        </w:rPr>
        <w:endnoteReference w:id="33"/>
      </w:r>
      <w:r w:rsidRPr="00471E8F">
        <w:rPr>
          <w:sz w:val="24"/>
          <w:szCs w:val="24"/>
        </w:rPr>
        <w:t xml:space="preserve"> For example, between 2010 and 2014, motor vehicle traffic injuries were the leading cause of death for Massachusetts residents 15 to 24 years of age. Pedestrians have a lower rate of death and non-fatal injury than motor vehicle occupants, but are vulnerable to more severe injuries. Motor vehicle traffic-related non-fatal injury rates are higher among Black non-Hispanic and Hispanic residents than White non-Hispanic residents and among males relative to females.</w:t>
      </w:r>
    </w:p>
    <w:p w14:paraId="6BF3438A" w14:textId="77777777" w:rsidR="00197870" w:rsidRPr="00471E8F" w:rsidRDefault="00197870" w:rsidP="00E552D2">
      <w:pPr>
        <w:pStyle w:val="Heading4"/>
        <w:spacing w:line="360" w:lineRule="auto"/>
      </w:pPr>
      <w:r w:rsidRPr="00471E8F">
        <w:t xml:space="preserve">Trends/Disparities </w:t>
      </w:r>
    </w:p>
    <w:p w14:paraId="4AEFA01A" w14:textId="7731FE6C" w:rsidR="00471E8F" w:rsidRDefault="00197870" w:rsidP="00471E8F">
      <w:pPr>
        <w:tabs>
          <w:tab w:val="left" w:pos="8010"/>
        </w:tabs>
        <w:spacing w:before="0" w:after="0" w:line="360" w:lineRule="auto"/>
        <w:ind w:right="-360"/>
        <w:rPr>
          <w:rFonts w:eastAsiaTheme="minorEastAsia" w:cs="Arial"/>
          <w:color w:val="000000" w:themeColor="dark1"/>
          <w:kern w:val="24"/>
          <w:sz w:val="24"/>
          <w:szCs w:val="24"/>
          <w:vertAlign w:val="superscript"/>
        </w:rPr>
      </w:pPr>
      <w:r w:rsidRPr="00471E8F">
        <w:rPr>
          <w:sz w:val="24"/>
          <w:szCs w:val="24"/>
        </w:rPr>
        <w:t xml:space="preserve">Between 2004 and 2013, the age-adjusted rate of motor vehicle traffic-related occupant deaths declined by 38%. During that period, motor vehicle traffic-related occupant death rates decreased by 49% among persons 15-24 years of age and by 42% among adults 25-64 years of age </w:t>
      </w:r>
      <w:r w:rsidRPr="00471E8F">
        <w:rPr>
          <w:b/>
          <w:sz w:val="24"/>
          <w:szCs w:val="24"/>
        </w:rPr>
        <w:t>(Figure 5.4)</w:t>
      </w:r>
      <w:r w:rsidRPr="00471E8F">
        <w:rPr>
          <w:sz w:val="24"/>
          <w:szCs w:val="24"/>
        </w:rPr>
        <w:t>. From 2004 to 2009, motor vehicle traffic-related occupant death rates were highest among young people 15-24 years of age.</w:t>
      </w:r>
      <w:r w:rsidRPr="00471E8F">
        <w:rPr>
          <w:rFonts w:eastAsiaTheme="minorEastAsia" w:cs="Arial"/>
          <w:color w:val="000000" w:themeColor="dark1"/>
          <w:kern w:val="24"/>
          <w:sz w:val="24"/>
          <w:szCs w:val="24"/>
        </w:rPr>
        <w:t xml:space="preserve"> Over the same time period (2004 to 2013), hospitalizations for non-fatal unintentional motor vehicle traffic occupant injuries declined 42% for the total population and 65% among persons 15-24 years of age.</w:t>
      </w:r>
      <w:r w:rsidRPr="00471E8F">
        <w:rPr>
          <w:rStyle w:val="EndnoteReference"/>
          <w:rFonts w:eastAsiaTheme="minorEastAsia" w:cs="Arial"/>
          <w:color w:val="000000" w:themeColor="dark1"/>
          <w:kern w:val="24"/>
          <w:sz w:val="24"/>
          <w:szCs w:val="24"/>
        </w:rPr>
        <w:endnoteReference w:id="34"/>
      </w:r>
      <w:r w:rsidRPr="00471E8F">
        <w:rPr>
          <w:rFonts w:eastAsiaTheme="minorEastAsia" w:cs="Arial"/>
          <w:color w:val="000000" w:themeColor="dark1"/>
          <w:kern w:val="24"/>
          <w:sz w:val="24"/>
          <w:szCs w:val="24"/>
          <w:vertAlign w:val="superscript"/>
        </w:rPr>
        <w:t>,</w:t>
      </w:r>
      <w:r w:rsidRPr="00471E8F">
        <w:rPr>
          <w:rStyle w:val="EndnoteReference"/>
          <w:rFonts w:eastAsiaTheme="minorEastAsia" w:cs="Arial"/>
          <w:color w:val="000000" w:themeColor="dark1"/>
          <w:kern w:val="24"/>
          <w:sz w:val="24"/>
          <w:szCs w:val="24"/>
        </w:rPr>
        <w:endnoteReference w:id="35"/>
      </w:r>
      <w:r w:rsidRPr="00471E8F">
        <w:rPr>
          <w:rFonts w:eastAsiaTheme="minorEastAsia" w:cs="Arial"/>
          <w:color w:val="000000" w:themeColor="dark1"/>
          <w:kern w:val="24"/>
          <w:sz w:val="24"/>
          <w:szCs w:val="24"/>
          <w:vertAlign w:val="superscript"/>
        </w:rPr>
        <w:t>,</w:t>
      </w:r>
    </w:p>
    <w:p w14:paraId="53FA6075" w14:textId="77777777" w:rsidR="00471E8F" w:rsidRDefault="00471E8F">
      <w:pPr>
        <w:spacing w:before="0"/>
        <w:ind w:left="0" w:right="0"/>
        <w:jc w:val="left"/>
        <w:rPr>
          <w:rFonts w:eastAsiaTheme="minorEastAsia" w:cs="Arial"/>
          <w:color w:val="000000" w:themeColor="dark1"/>
          <w:kern w:val="24"/>
          <w:sz w:val="24"/>
          <w:szCs w:val="24"/>
          <w:vertAlign w:val="superscript"/>
        </w:rPr>
      </w:pPr>
      <w:r>
        <w:rPr>
          <w:rFonts w:eastAsiaTheme="minorEastAsia" w:cs="Arial"/>
          <w:color w:val="000000" w:themeColor="dark1"/>
          <w:kern w:val="24"/>
          <w:sz w:val="24"/>
          <w:szCs w:val="24"/>
          <w:vertAlign w:val="superscript"/>
        </w:rPr>
        <w:br w:type="page"/>
      </w:r>
    </w:p>
    <w:p w14:paraId="491A1A08" w14:textId="77777777" w:rsidR="00197870" w:rsidRPr="00471E8F" w:rsidRDefault="00197870" w:rsidP="00E552D2">
      <w:pPr>
        <w:pStyle w:val="SHAFigureNumber"/>
        <w:spacing w:line="360" w:lineRule="auto"/>
        <w:rPr>
          <w:sz w:val="24"/>
          <w:szCs w:val="24"/>
        </w:rPr>
      </w:pPr>
      <w:r w:rsidRPr="00471E8F">
        <w:rPr>
          <w:sz w:val="24"/>
          <w:szCs w:val="24"/>
        </w:rPr>
        <w:lastRenderedPageBreak/>
        <w:t>Figure 5.4</w:t>
      </w:r>
    </w:p>
    <w:p w14:paraId="0965898A" w14:textId="34065D32" w:rsidR="00197870" w:rsidRPr="00471E8F" w:rsidRDefault="00197870" w:rsidP="00E552D2">
      <w:pPr>
        <w:pStyle w:val="SHAFigureNumber"/>
        <w:spacing w:line="360" w:lineRule="auto"/>
        <w:rPr>
          <w:sz w:val="24"/>
          <w:szCs w:val="24"/>
        </w:rPr>
      </w:pPr>
      <w:r w:rsidRPr="00471E8F">
        <w:rPr>
          <w:sz w:val="24"/>
          <w:szCs w:val="24"/>
        </w:rPr>
        <w:t>Traffic-</w:t>
      </w:r>
      <w:r w:rsidR="00331EE9" w:rsidRPr="00471E8F">
        <w:rPr>
          <w:sz w:val="24"/>
          <w:szCs w:val="24"/>
        </w:rPr>
        <w:t>R</w:t>
      </w:r>
      <w:r w:rsidRPr="00471E8F">
        <w:rPr>
          <w:sz w:val="24"/>
          <w:szCs w:val="24"/>
        </w:rPr>
        <w:t>elated Motor Vehicle Occupant Death Rates by Age Group, Massachusetts, 2004-2013</w:t>
      </w:r>
    </w:p>
    <w:p w14:paraId="175A2470" w14:textId="4D5FD065" w:rsidR="00197870" w:rsidRPr="00471E8F" w:rsidRDefault="002B79C0" w:rsidP="00E552D2">
      <w:pPr>
        <w:pStyle w:val="source0"/>
        <w:spacing w:line="360" w:lineRule="auto"/>
        <w:ind w:left="-360" w:right="-360"/>
        <w:jc w:val="center"/>
        <w:rPr>
          <w:sz w:val="24"/>
          <w:szCs w:val="24"/>
        </w:rPr>
      </w:pPr>
      <w:r w:rsidRPr="00471E8F">
        <w:rPr>
          <w:noProof/>
          <w:sz w:val="24"/>
          <w:szCs w:val="24"/>
        </w:rPr>
        <w:drawing>
          <wp:inline distT="0" distB="0" distL="0" distR="0" wp14:anchorId="6FCA7F57" wp14:editId="2B71A1DB">
            <wp:extent cx="5491164" cy="2967038"/>
            <wp:effectExtent l="0" t="0" r="0" b="5080"/>
            <wp:docPr id="611" name="Chart 611" descr="This line graph shows the trend in traffic-related motor vehicle occupant death rates for three age groups: 15-24, 25-64, and 65+. Despite year-to-year fluctuations, the rate among those 15-24 decreased from 12.1 per 100,000 in 2004 to 6.1 per 100,000 in 2013. Among those 25-64, the rate decreased from 4.8 per 100,000 in 2004 to 2.8 per 100,000 in 2013. The line depicting the rate in those 65 and older also shows fluctuations in the rate from year to year, but overall the rate is relatively stable – 7.1 per 100,000 in 2004 and 6.5 per 100,000 in 201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C997DDE8-0288-4710-8752-47633E1E72B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834A417" w14:textId="6B796FA0" w:rsidR="00197870" w:rsidRPr="00471E8F" w:rsidRDefault="00197870" w:rsidP="00E552D2">
      <w:pPr>
        <w:spacing w:line="360" w:lineRule="auto"/>
        <w:ind w:right="-360"/>
        <w:rPr>
          <w:bCs/>
          <w:iCs/>
          <w:sz w:val="24"/>
          <w:szCs w:val="24"/>
        </w:rPr>
      </w:pPr>
      <w:r w:rsidRPr="00471E8F">
        <w:rPr>
          <w:sz w:val="24"/>
          <w:szCs w:val="24"/>
        </w:rPr>
        <w:t>Young people (15-24 years of age) who live in urban areas are at increased risk of non-fatal motor vehicle traffic-related injuries. In 2015, nearly two thirds</w:t>
      </w:r>
      <w:r w:rsidRPr="00471E8F">
        <w:rPr>
          <w:b/>
          <w:sz w:val="24"/>
          <w:szCs w:val="24"/>
        </w:rPr>
        <w:t xml:space="preserve"> </w:t>
      </w:r>
      <w:r w:rsidRPr="00471E8F">
        <w:rPr>
          <w:sz w:val="24"/>
          <w:szCs w:val="24"/>
        </w:rPr>
        <w:t>(64%) of non-fatal motor vehicle crash injuries to this age group occurred in urban areas and 35% occurred in suburban areas.</w:t>
      </w:r>
      <w:r w:rsidRPr="00471E8F">
        <w:rPr>
          <w:rStyle w:val="EndnoteReference"/>
          <w:iCs/>
          <w:sz w:val="24"/>
          <w:szCs w:val="24"/>
        </w:rPr>
        <w:endnoteReference w:id="36"/>
      </w:r>
      <w:r w:rsidRPr="00471E8F">
        <w:rPr>
          <w:sz w:val="24"/>
          <w:szCs w:val="24"/>
          <w:vertAlign w:val="superscript"/>
        </w:rPr>
        <w:t>,</w:t>
      </w:r>
      <w:r w:rsidRPr="00471E8F">
        <w:rPr>
          <w:rStyle w:val="EndnoteReference"/>
          <w:iCs/>
          <w:sz w:val="24"/>
          <w:szCs w:val="24"/>
        </w:rPr>
        <w:endnoteReference w:id="37"/>
      </w:r>
      <w:r w:rsidRPr="00471E8F">
        <w:rPr>
          <w:sz w:val="24"/>
          <w:szCs w:val="24"/>
          <w:vertAlign w:val="superscript"/>
        </w:rPr>
        <w:t>,</w:t>
      </w:r>
      <w:r w:rsidRPr="00471E8F">
        <w:rPr>
          <w:rStyle w:val="EndnoteReference"/>
          <w:iCs/>
          <w:sz w:val="24"/>
          <w:szCs w:val="24"/>
        </w:rPr>
        <w:endnoteReference w:id="38"/>
      </w:r>
      <w:r w:rsidRPr="00471E8F">
        <w:rPr>
          <w:b/>
          <w:sz w:val="24"/>
          <w:szCs w:val="24"/>
        </w:rPr>
        <w:t xml:space="preserve"> </w:t>
      </w:r>
      <w:r w:rsidRPr="00471E8F">
        <w:rPr>
          <w:sz w:val="24"/>
          <w:szCs w:val="24"/>
        </w:rPr>
        <w:t xml:space="preserve">As shown in </w:t>
      </w:r>
      <w:r w:rsidRPr="00471E8F">
        <w:rPr>
          <w:b/>
          <w:sz w:val="24"/>
          <w:szCs w:val="24"/>
        </w:rPr>
        <w:t>Figure 5.5</w:t>
      </w:r>
      <w:r w:rsidRPr="00471E8F">
        <w:rPr>
          <w:sz w:val="24"/>
          <w:szCs w:val="24"/>
        </w:rPr>
        <w:t xml:space="preserve">, </w:t>
      </w:r>
      <w:r w:rsidRPr="00471E8F">
        <w:rPr>
          <w:bCs/>
          <w:iCs/>
          <w:sz w:val="24"/>
          <w:szCs w:val="24"/>
        </w:rPr>
        <w:t>in 2015 youth and young adults (ages 15-24) who were Black non-Hispanic had non-fatal motor vehicle crash injury rates that were 2.4 times greater that of White non-Hispanics (3,509.7 per 100,000 population versus 1,442.8 per 100,000 population, respectively) and 1.6 times greater than that for Hispanics in this age group (2,254.1 per 100,000 population). This rate for Hispanic young people was 1.6 times that for White non-Hispanics (2,254.1 per 100,000 population versus 1,442.8 per 100,000 population).</w:t>
      </w:r>
      <w:r w:rsidRPr="00471E8F">
        <w:rPr>
          <w:rStyle w:val="EndnoteReference"/>
          <w:sz w:val="24"/>
          <w:szCs w:val="24"/>
        </w:rPr>
        <w:endnoteReference w:id="39"/>
      </w:r>
    </w:p>
    <w:p w14:paraId="65DDD372" w14:textId="0A0599A1" w:rsidR="00E552D2" w:rsidRPr="00471E8F" w:rsidRDefault="00E552D2">
      <w:pPr>
        <w:spacing w:before="0"/>
        <w:ind w:left="0" w:right="0"/>
        <w:jc w:val="left"/>
        <w:rPr>
          <w:bCs/>
          <w:iCs/>
          <w:sz w:val="24"/>
          <w:szCs w:val="24"/>
        </w:rPr>
      </w:pPr>
      <w:r w:rsidRPr="00471E8F">
        <w:rPr>
          <w:bCs/>
          <w:iCs/>
          <w:sz w:val="24"/>
          <w:szCs w:val="24"/>
        </w:rPr>
        <w:br w:type="page"/>
      </w:r>
    </w:p>
    <w:p w14:paraId="16880A88" w14:textId="77777777" w:rsidR="00197870" w:rsidRPr="00471E8F" w:rsidRDefault="00197870" w:rsidP="00E552D2">
      <w:pPr>
        <w:pStyle w:val="SHAFigureNumber"/>
        <w:spacing w:line="360" w:lineRule="auto"/>
        <w:rPr>
          <w:sz w:val="24"/>
          <w:szCs w:val="24"/>
        </w:rPr>
      </w:pPr>
      <w:r w:rsidRPr="00471E8F">
        <w:rPr>
          <w:sz w:val="24"/>
          <w:szCs w:val="24"/>
        </w:rPr>
        <w:lastRenderedPageBreak/>
        <w:t xml:space="preserve">Figure 5.5 </w:t>
      </w:r>
    </w:p>
    <w:p w14:paraId="7C08C6C3" w14:textId="026D1F8E" w:rsidR="00197870" w:rsidRPr="00471E8F" w:rsidRDefault="00331EE9" w:rsidP="00E552D2">
      <w:pPr>
        <w:pStyle w:val="SHAFigureNumber"/>
        <w:spacing w:line="360" w:lineRule="auto"/>
        <w:rPr>
          <w:sz w:val="24"/>
          <w:szCs w:val="24"/>
        </w:rPr>
      </w:pPr>
      <w:r w:rsidRPr="00471E8F">
        <w:rPr>
          <w:bCs/>
          <w:iCs/>
          <w:sz w:val="24"/>
          <w:szCs w:val="24"/>
        </w:rPr>
        <w:t>Rate of Non-Fatal Motor Vehicle Inju</w:t>
      </w:r>
      <w:r w:rsidR="00925A89" w:rsidRPr="00471E8F">
        <w:rPr>
          <w:bCs/>
          <w:iCs/>
          <w:sz w:val="24"/>
          <w:szCs w:val="24"/>
        </w:rPr>
        <w:t>ries a</w:t>
      </w:r>
      <w:r w:rsidR="005F55D7" w:rsidRPr="00471E8F">
        <w:rPr>
          <w:bCs/>
          <w:iCs/>
          <w:sz w:val="24"/>
          <w:szCs w:val="24"/>
        </w:rPr>
        <w:t>mong Persons 15-24 Years o</w:t>
      </w:r>
      <w:r w:rsidR="00187D0C" w:rsidRPr="00471E8F">
        <w:rPr>
          <w:bCs/>
          <w:iCs/>
          <w:sz w:val="24"/>
          <w:szCs w:val="24"/>
        </w:rPr>
        <w:t>f Age, b</w:t>
      </w:r>
      <w:r w:rsidRPr="00471E8F">
        <w:rPr>
          <w:bCs/>
          <w:iCs/>
          <w:sz w:val="24"/>
          <w:szCs w:val="24"/>
        </w:rPr>
        <w:t>y Race/Ethnicity, Massachusetts</w:t>
      </w:r>
      <w:r w:rsidR="00187D0C" w:rsidRPr="00471E8F">
        <w:rPr>
          <w:bCs/>
          <w:iCs/>
          <w:sz w:val="24"/>
          <w:szCs w:val="24"/>
        </w:rPr>
        <w:t xml:space="preserve">, </w:t>
      </w:r>
      <w:r w:rsidR="00FD5C75" w:rsidRPr="00471E8F">
        <w:rPr>
          <w:bCs/>
          <w:iCs/>
          <w:sz w:val="24"/>
          <w:szCs w:val="24"/>
        </w:rPr>
        <w:t xml:space="preserve">Federal </w:t>
      </w:r>
      <w:r w:rsidR="00187D0C" w:rsidRPr="00471E8F">
        <w:rPr>
          <w:bCs/>
          <w:iCs/>
          <w:sz w:val="24"/>
          <w:szCs w:val="24"/>
        </w:rPr>
        <w:t xml:space="preserve">Fiscal Year </w:t>
      </w:r>
      <w:r w:rsidRPr="00471E8F">
        <w:rPr>
          <w:bCs/>
          <w:iCs/>
          <w:sz w:val="24"/>
          <w:szCs w:val="24"/>
        </w:rPr>
        <w:t>2015</w:t>
      </w:r>
    </w:p>
    <w:p w14:paraId="5D30B48D" w14:textId="364C1099" w:rsidR="00331EE9" w:rsidRPr="00471E8F" w:rsidRDefault="002B79C0" w:rsidP="00E552D2">
      <w:pPr>
        <w:pStyle w:val="SHAFigureNote"/>
        <w:spacing w:line="360" w:lineRule="auto"/>
        <w:rPr>
          <w:sz w:val="24"/>
          <w:szCs w:val="24"/>
        </w:rPr>
      </w:pPr>
      <w:r w:rsidRPr="00471E8F">
        <w:rPr>
          <w:noProof/>
          <w:sz w:val="24"/>
          <w:szCs w:val="24"/>
        </w:rPr>
        <w:drawing>
          <wp:inline distT="0" distB="0" distL="0" distR="0" wp14:anchorId="1F258EF5" wp14:editId="6ED2818F">
            <wp:extent cx="5943600" cy="2639695"/>
            <wp:effectExtent l="0" t="0" r="0" b="8255"/>
            <wp:docPr id="612" name="Chart 612" descr="This vertical bar graph shows the difference in the rate of non-fatal motor vehicle injuries among 15-24 year olds by race/ethnicity. In federal fiscal year 2015, the rate of non-fatal motor vehicle injuries among Black non-Hispanic 15-24 year olds was 3509.7 per 100,000. Among Hispanic 15-24 year olds, the rate was 2254.1 per 100,000; among White non-Hispanic youth in this age group, the rate was 1442.8 per 100,000; and for Asian and Pacific Islander non-Hispanic youth 15-24 years of age, the rate was 643.2 per 100,000.">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DD89CF6D-FF4C-4325-B82A-C9239B830B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7BE325A" w14:textId="1CCAAFC1" w:rsidR="00197870" w:rsidRPr="00471E8F" w:rsidRDefault="00331EE9" w:rsidP="00E552D2">
      <w:pPr>
        <w:pStyle w:val="SHAFigureNote"/>
        <w:spacing w:line="360" w:lineRule="auto"/>
        <w:rPr>
          <w:sz w:val="24"/>
          <w:szCs w:val="24"/>
        </w:rPr>
      </w:pPr>
      <w:r w:rsidRPr="00471E8F">
        <w:rPr>
          <w:sz w:val="24"/>
          <w:szCs w:val="24"/>
        </w:rPr>
        <w:t xml:space="preserve">SOURCE: </w:t>
      </w:r>
      <w:r w:rsidR="00187D0C" w:rsidRPr="00471E8F">
        <w:rPr>
          <w:sz w:val="24"/>
          <w:szCs w:val="24"/>
        </w:rPr>
        <w:t xml:space="preserve">CHIA, </w:t>
      </w:r>
      <w:r w:rsidRPr="00471E8F">
        <w:rPr>
          <w:sz w:val="24"/>
          <w:szCs w:val="24"/>
        </w:rPr>
        <w:t>MA INPATIENT HOSPITAL DISCHARGE DATABASE, AND MA OUTPATIENT EMERGENC</w:t>
      </w:r>
      <w:r w:rsidR="00187D0C" w:rsidRPr="00471E8F">
        <w:rPr>
          <w:sz w:val="24"/>
          <w:szCs w:val="24"/>
        </w:rPr>
        <w:t>Y DEPARTMENT DISCHARGE DATABASE</w:t>
      </w:r>
    </w:p>
    <w:p w14:paraId="569EAF4A" w14:textId="729CE69D" w:rsidR="00197870" w:rsidRPr="00471E8F" w:rsidRDefault="00331EE9" w:rsidP="00E552D2">
      <w:pPr>
        <w:pStyle w:val="SHAFigureNote"/>
        <w:spacing w:line="360" w:lineRule="auto"/>
        <w:rPr>
          <w:sz w:val="24"/>
          <w:szCs w:val="24"/>
        </w:rPr>
      </w:pPr>
      <w:r w:rsidRPr="00471E8F">
        <w:rPr>
          <w:sz w:val="24"/>
          <w:szCs w:val="24"/>
        </w:rPr>
        <w:t>NOTE</w:t>
      </w:r>
      <w:r w:rsidR="00187D0C" w:rsidRPr="00471E8F">
        <w:rPr>
          <w:sz w:val="24"/>
          <w:szCs w:val="24"/>
        </w:rPr>
        <w:t xml:space="preserve">: *DATA ARE FOR </w:t>
      </w:r>
      <w:r w:rsidR="00FD5C75" w:rsidRPr="00471E8F">
        <w:rPr>
          <w:sz w:val="24"/>
          <w:szCs w:val="24"/>
        </w:rPr>
        <w:t xml:space="preserve">FEDERAL </w:t>
      </w:r>
      <w:r w:rsidR="00187D0C" w:rsidRPr="00471E8F">
        <w:rPr>
          <w:sz w:val="24"/>
          <w:szCs w:val="24"/>
        </w:rPr>
        <w:t>FISCAL YEAR 2015</w:t>
      </w:r>
      <w:r w:rsidRPr="00471E8F">
        <w:rPr>
          <w:sz w:val="24"/>
          <w:szCs w:val="24"/>
        </w:rPr>
        <w:t xml:space="preserve"> (OCTOBER 1, 2014 - SEPTEMBER 30, 2015).</w:t>
      </w:r>
    </w:p>
    <w:p w14:paraId="20B788D2" w14:textId="77777777" w:rsidR="00197870" w:rsidRPr="00471E8F" w:rsidRDefault="00197870" w:rsidP="00E552D2">
      <w:pPr>
        <w:spacing w:line="360" w:lineRule="auto"/>
        <w:ind w:right="-360"/>
        <w:rPr>
          <w:sz w:val="24"/>
          <w:szCs w:val="24"/>
        </w:rPr>
      </w:pPr>
      <w:r w:rsidRPr="00471E8F">
        <w:rPr>
          <w:sz w:val="24"/>
          <w:szCs w:val="24"/>
        </w:rPr>
        <w:t>Several factors shape risk of motor vehicle traffic-related injury, including night-time driving, driving inexperience, distractions such as texting or talking on the phone, and substance use.  Several important examples are listed below:</w:t>
      </w:r>
    </w:p>
    <w:p w14:paraId="3C089916" w14:textId="4C5BC9BE" w:rsidR="00197870" w:rsidRPr="00471E8F" w:rsidRDefault="00197870" w:rsidP="00E552D2">
      <w:pPr>
        <w:pStyle w:val="ListParagraph"/>
        <w:numPr>
          <w:ilvl w:val="0"/>
          <w:numId w:val="81"/>
        </w:numPr>
        <w:spacing w:line="360" w:lineRule="auto"/>
        <w:ind w:right="-360"/>
        <w:rPr>
          <w:sz w:val="24"/>
          <w:szCs w:val="24"/>
        </w:rPr>
      </w:pPr>
      <w:r w:rsidRPr="00471E8F">
        <w:rPr>
          <w:sz w:val="24"/>
          <w:szCs w:val="24"/>
        </w:rPr>
        <w:t xml:space="preserve">Observational surveys indicate that among </w:t>
      </w:r>
      <w:r w:rsidRPr="00471E8F">
        <w:rPr>
          <w:rFonts w:cs="Arial"/>
          <w:sz w:val="24"/>
          <w:szCs w:val="24"/>
        </w:rPr>
        <w:t xml:space="preserve">Massachusetts drivers, </w:t>
      </w:r>
      <w:r w:rsidRPr="00471E8F">
        <w:rPr>
          <w:sz w:val="24"/>
          <w:szCs w:val="24"/>
        </w:rPr>
        <w:t>cell phone use averaged 7% in 2016, but disparities exist by age.</w:t>
      </w:r>
      <w:r w:rsidRPr="00471E8F">
        <w:rPr>
          <w:rStyle w:val="EndnoteReference"/>
          <w:sz w:val="24"/>
          <w:szCs w:val="24"/>
        </w:rPr>
        <w:endnoteReference w:id="40"/>
      </w:r>
      <w:r w:rsidRPr="00471E8F">
        <w:rPr>
          <w:sz w:val="24"/>
          <w:szCs w:val="24"/>
        </w:rPr>
        <w:t xml:space="preserve"> Compared to all other age groups, drivers 16-19 years of age had the highest prevalence of combine</w:t>
      </w:r>
      <w:r w:rsidR="007812CC" w:rsidRPr="00471E8F">
        <w:rPr>
          <w:sz w:val="24"/>
          <w:szCs w:val="24"/>
        </w:rPr>
        <w:t>d cell phone use (9.3%), with 6</w:t>
      </w:r>
      <w:r w:rsidRPr="00471E8F">
        <w:rPr>
          <w:sz w:val="24"/>
          <w:szCs w:val="24"/>
        </w:rPr>
        <w:t>% using handheld cell phones and 3.3% using their cell phone to text when driving.</w:t>
      </w:r>
    </w:p>
    <w:p w14:paraId="766BA400" w14:textId="77777777" w:rsidR="00197870" w:rsidRPr="00471E8F" w:rsidRDefault="00197870" w:rsidP="00E552D2">
      <w:pPr>
        <w:pStyle w:val="ListParagraph"/>
        <w:numPr>
          <w:ilvl w:val="0"/>
          <w:numId w:val="81"/>
        </w:numPr>
        <w:spacing w:line="360" w:lineRule="auto"/>
        <w:ind w:right="-360"/>
        <w:rPr>
          <w:sz w:val="24"/>
          <w:szCs w:val="24"/>
        </w:rPr>
      </w:pPr>
      <w:r w:rsidRPr="00471E8F">
        <w:rPr>
          <w:sz w:val="24"/>
          <w:szCs w:val="24"/>
        </w:rPr>
        <w:t xml:space="preserve">Seat belt use reduces the number </w:t>
      </w:r>
      <w:r w:rsidRPr="00471E8F">
        <w:rPr>
          <w:i/>
          <w:sz w:val="24"/>
          <w:szCs w:val="24"/>
        </w:rPr>
        <w:t xml:space="preserve">and </w:t>
      </w:r>
      <w:r w:rsidRPr="00471E8F">
        <w:rPr>
          <w:sz w:val="24"/>
          <w:szCs w:val="24"/>
        </w:rPr>
        <w:t>severity of motor vehicle injuries.</w:t>
      </w:r>
      <w:r w:rsidRPr="00471E8F">
        <w:rPr>
          <w:rStyle w:val="EndnoteReference"/>
          <w:sz w:val="24"/>
          <w:szCs w:val="24"/>
        </w:rPr>
        <w:endnoteReference w:id="41"/>
      </w:r>
      <w:r w:rsidRPr="00471E8F">
        <w:rPr>
          <w:sz w:val="24"/>
          <w:szCs w:val="24"/>
        </w:rPr>
        <w:t xml:space="preserve"> In 2016, observed seatbelt use in Massachusetts was 78%, among the lowest seatbelt use rates in the US.</w:t>
      </w:r>
      <w:r w:rsidRPr="00471E8F">
        <w:rPr>
          <w:b/>
          <w:sz w:val="24"/>
          <w:szCs w:val="24"/>
        </w:rPr>
        <w:t xml:space="preserve"> </w:t>
      </w:r>
      <w:r w:rsidRPr="00471E8F">
        <w:rPr>
          <w:sz w:val="24"/>
          <w:szCs w:val="24"/>
        </w:rPr>
        <w:t xml:space="preserve"> </w:t>
      </w:r>
    </w:p>
    <w:p w14:paraId="2416BE4F" w14:textId="11A8FD48" w:rsidR="00AC0A62" w:rsidRPr="00471E8F" w:rsidRDefault="00197870" w:rsidP="00471E8F">
      <w:pPr>
        <w:pStyle w:val="ListParagraph"/>
        <w:numPr>
          <w:ilvl w:val="0"/>
          <w:numId w:val="81"/>
        </w:numPr>
        <w:spacing w:line="360" w:lineRule="auto"/>
        <w:ind w:right="-360"/>
        <w:rPr>
          <w:b/>
          <w:sz w:val="24"/>
          <w:szCs w:val="24"/>
        </w:rPr>
      </w:pPr>
      <w:r w:rsidRPr="00471E8F">
        <w:rPr>
          <w:rFonts w:eastAsia="Times New Roman" w:cs="Arial"/>
          <w:sz w:val="24"/>
          <w:szCs w:val="24"/>
        </w:rPr>
        <w:t xml:space="preserve">Approximately one-third of motor vehicle crash deaths in Massachusetts involve a driver who had been drinking. Although the total number of motor vehicle-occupant deaths in the state has decreased by </w:t>
      </w:r>
      <w:r w:rsidRPr="00471E8F">
        <w:rPr>
          <w:rFonts w:eastAsia="Times New Roman" w:cs="Arial"/>
          <w:sz w:val="24"/>
          <w:szCs w:val="24"/>
        </w:rPr>
        <w:lastRenderedPageBreak/>
        <w:t xml:space="preserve">43% in the past decade, the percentage of motor vehicle deaths from an alcohol-impaired driver has remained fairly consistent over this time period (2001: 38%; 2010: 36%). </w:t>
      </w:r>
    </w:p>
    <w:p w14:paraId="05681FB1" w14:textId="7A776C12" w:rsidR="00197870" w:rsidRDefault="00A53CCE" w:rsidP="00E552D2">
      <w:pPr>
        <w:pStyle w:val="Heading1"/>
        <w:spacing w:line="360" w:lineRule="auto"/>
      </w:pPr>
      <w:r>
        <w:t>Occupational Injury</w:t>
      </w:r>
    </w:p>
    <w:p w14:paraId="06946B3F" w14:textId="77777777" w:rsidR="00197870" w:rsidRPr="00471E8F" w:rsidRDefault="00197870" w:rsidP="00E552D2">
      <w:pPr>
        <w:spacing w:line="360" w:lineRule="auto"/>
        <w:ind w:right="-360"/>
        <w:rPr>
          <w:sz w:val="24"/>
          <w:szCs w:val="24"/>
        </w:rPr>
      </w:pPr>
      <w:r w:rsidRPr="00471E8F">
        <w:rPr>
          <w:sz w:val="24"/>
          <w:szCs w:val="24"/>
        </w:rPr>
        <w:t xml:space="preserve">Occupational injuries are injuries that occur during the course of paid employment. They include acute traumatic injuries such as fractures, burns and amputations as well as musculoskeletal disorders due to overexertion and chronic wear and tear. Suicides and homicides that occur in the workplace are also included. Occupational injuries are common and costly, exacting a toll not only on the affected workers and their families but on employers and society at large as well. Nationally, occupational injuries have been estimated to cost $186 billion annually. </w:t>
      </w:r>
    </w:p>
    <w:p w14:paraId="06E30E3B" w14:textId="77777777" w:rsidR="00197870" w:rsidRPr="00471E8F" w:rsidRDefault="00197870" w:rsidP="00E552D2">
      <w:pPr>
        <w:spacing w:before="0" w:after="0" w:line="360" w:lineRule="auto"/>
        <w:ind w:right="-360"/>
        <w:rPr>
          <w:sz w:val="24"/>
          <w:szCs w:val="24"/>
        </w:rPr>
      </w:pPr>
      <w:r w:rsidRPr="00471E8F">
        <w:rPr>
          <w:sz w:val="24"/>
          <w:szCs w:val="24"/>
        </w:rPr>
        <w:t>The risk of fatal occupational injury increases with age, while younger workers are at higher risk of non-fatal injury. Low wage immigrant and minority workers are at higher risk of both fatal and non-fatal injury, largely because they are more likely to be employed in high risk jobs.</w:t>
      </w:r>
      <w:r w:rsidRPr="00471E8F">
        <w:rPr>
          <w:rStyle w:val="EndnoteReference"/>
          <w:sz w:val="24"/>
          <w:szCs w:val="24"/>
        </w:rPr>
        <w:endnoteReference w:id="42"/>
      </w:r>
      <w:r w:rsidRPr="00471E8F">
        <w:rPr>
          <w:sz w:val="24"/>
          <w:szCs w:val="24"/>
        </w:rPr>
        <w:t xml:space="preserve">  Other factors also contribute to this disparity in risk including language and cultural barriers, discrimination or fear of discrimination and economic insecurity that can make workers hesitant to speak up about hazards, less health and safety training, and limited access to occupational health and safety resources.</w:t>
      </w:r>
    </w:p>
    <w:p w14:paraId="4FA5A5B4" w14:textId="77777777" w:rsidR="00197870" w:rsidRPr="00471E8F" w:rsidRDefault="00197870" w:rsidP="00E552D2">
      <w:pPr>
        <w:spacing w:before="0" w:after="0" w:line="360" w:lineRule="auto"/>
        <w:ind w:right="-360"/>
        <w:rPr>
          <w:sz w:val="24"/>
          <w:szCs w:val="24"/>
        </w:rPr>
      </w:pPr>
    </w:p>
    <w:p w14:paraId="20D2D40B" w14:textId="77777777" w:rsidR="00197870" w:rsidRPr="00471E8F" w:rsidRDefault="00197870" w:rsidP="00E552D2">
      <w:pPr>
        <w:spacing w:before="0" w:after="0" w:line="360" w:lineRule="auto"/>
        <w:ind w:right="-360"/>
        <w:rPr>
          <w:sz w:val="24"/>
          <w:szCs w:val="24"/>
          <w:vertAlign w:val="superscript"/>
          <w:lang w:eastAsia="ko-KR"/>
        </w:rPr>
      </w:pPr>
      <w:r w:rsidRPr="00471E8F">
        <w:rPr>
          <w:sz w:val="24"/>
          <w:szCs w:val="24"/>
        </w:rPr>
        <w:t xml:space="preserve">Occupational injuries are preventable. </w:t>
      </w:r>
      <w:r w:rsidRPr="00471E8F">
        <w:rPr>
          <w:sz w:val="24"/>
          <w:szCs w:val="24"/>
          <w:lang w:eastAsia="ko-KR"/>
        </w:rPr>
        <w:t xml:space="preserve">Under state and federal laws, employers have a responsibility to provide all </w:t>
      </w:r>
      <w:r w:rsidRPr="00471E8F">
        <w:rPr>
          <w:rFonts w:cs="Helvetica"/>
          <w:color w:val="000000"/>
          <w:sz w:val="24"/>
          <w:szCs w:val="24"/>
          <w:shd w:val="clear" w:color="auto" w:fill="FFFFFF"/>
          <w:lang w:eastAsia="ko-KR"/>
        </w:rPr>
        <w:t xml:space="preserve">employees a place of employment that is free from recognized hazards that may cause death or serious physical harm </w:t>
      </w:r>
      <w:r w:rsidRPr="00471E8F">
        <w:rPr>
          <w:sz w:val="24"/>
          <w:szCs w:val="24"/>
          <w:lang w:eastAsia="ko-KR"/>
        </w:rPr>
        <w:t>and to comply with all relevant safety and health standards.</w:t>
      </w:r>
      <w:r w:rsidRPr="00471E8F">
        <w:rPr>
          <w:sz w:val="24"/>
          <w:szCs w:val="24"/>
          <w:vertAlign w:val="superscript"/>
          <w:lang w:eastAsia="ko-KR"/>
        </w:rPr>
        <w:t xml:space="preserve"> </w:t>
      </w:r>
      <w:r w:rsidRPr="00471E8F">
        <w:rPr>
          <w:sz w:val="24"/>
          <w:szCs w:val="24"/>
          <w:vertAlign w:val="superscript"/>
          <w:lang w:eastAsia="ko-KR"/>
        </w:rPr>
        <w:endnoteReference w:id="43"/>
      </w:r>
      <w:r w:rsidRPr="00471E8F">
        <w:rPr>
          <w:sz w:val="24"/>
          <w:szCs w:val="24"/>
          <w:vertAlign w:val="superscript"/>
          <w:lang w:eastAsia="ko-KR"/>
        </w:rPr>
        <w:t>,</w:t>
      </w:r>
      <w:r w:rsidRPr="00471E8F">
        <w:rPr>
          <w:sz w:val="24"/>
          <w:szCs w:val="24"/>
          <w:vertAlign w:val="superscript"/>
          <w:lang w:eastAsia="ko-KR"/>
        </w:rPr>
        <w:endnoteReference w:id="44"/>
      </w:r>
      <w:r w:rsidRPr="00471E8F">
        <w:rPr>
          <w:sz w:val="24"/>
          <w:szCs w:val="24"/>
          <w:vertAlign w:val="superscript"/>
          <w:lang w:eastAsia="ko-KR"/>
        </w:rPr>
        <w:t xml:space="preserve">  </w:t>
      </w:r>
    </w:p>
    <w:p w14:paraId="531D61D1" w14:textId="77777777" w:rsidR="00197870" w:rsidRPr="00471E8F" w:rsidRDefault="00197870" w:rsidP="00E552D2">
      <w:pPr>
        <w:pStyle w:val="Heading4"/>
        <w:spacing w:line="360" w:lineRule="auto"/>
      </w:pPr>
      <w:r w:rsidRPr="00471E8F">
        <w:t xml:space="preserve">Trends/Disparities </w:t>
      </w:r>
    </w:p>
    <w:p w14:paraId="293E7521" w14:textId="77777777" w:rsidR="00197870" w:rsidRPr="00471E8F" w:rsidRDefault="00197870" w:rsidP="00E552D2">
      <w:pPr>
        <w:spacing w:before="0" w:after="0" w:line="360" w:lineRule="auto"/>
        <w:ind w:right="-360"/>
        <w:rPr>
          <w:sz w:val="24"/>
          <w:szCs w:val="24"/>
        </w:rPr>
      </w:pPr>
      <w:r w:rsidRPr="00471E8F">
        <w:rPr>
          <w:sz w:val="24"/>
          <w:szCs w:val="24"/>
        </w:rPr>
        <w:t>According to employer reports, in 2015 one out of every 37 full-time workers in the private sector in Massachusetts, or approximately 65,300 workers, sustained a non-fatal injury at work that required more than first aid. Approximately 45% of these injuries were serious enough that the workers missed at least one day of work. While the rate of these more serious injuries in Massachusetts declined from 2006 to 2015, it remained consistently higher than the rate for the nation as a whole.</w:t>
      </w:r>
      <w:r w:rsidRPr="00471E8F">
        <w:rPr>
          <w:rStyle w:val="EndnoteReference"/>
          <w:sz w:val="24"/>
          <w:szCs w:val="24"/>
        </w:rPr>
        <w:endnoteReference w:id="45"/>
      </w:r>
      <w:r w:rsidRPr="00471E8F">
        <w:rPr>
          <w:sz w:val="24"/>
          <w:szCs w:val="24"/>
        </w:rPr>
        <w:t xml:space="preserve"> </w:t>
      </w:r>
    </w:p>
    <w:p w14:paraId="3C12A932" w14:textId="5DA90BFE" w:rsidR="0098472B" w:rsidRPr="00471E8F" w:rsidRDefault="00197870" w:rsidP="00E552D2">
      <w:pPr>
        <w:spacing w:line="360" w:lineRule="auto"/>
        <w:ind w:right="-360"/>
        <w:rPr>
          <w:b/>
          <w:noProof w:val="0"/>
          <w:sz w:val="24"/>
          <w:szCs w:val="24"/>
        </w:rPr>
      </w:pPr>
      <w:r w:rsidRPr="00471E8F">
        <w:rPr>
          <w:sz w:val="24"/>
          <w:szCs w:val="24"/>
        </w:rPr>
        <w:lastRenderedPageBreak/>
        <w:t>In 2015, workers employed in transportation and warehousing were at highest risk for non-fatal occupational injury, with almost three out of every 100 full-time workers experiencing an injury resulting in one or more days of lost work. The health care and social assistance sector generated the highest number of workplace injuries in 2015, with approximately 8,500 employees experiencing injuries resulting in lost time. The injury rate for the health care and social assistance sector in Massachusetts (1.9 per 100 workers) was also high compared to injury rates for other industries in Massachusetts and exceeded the national rate for the sector (1.4 per 100 workers).</w:t>
      </w:r>
      <w:r w:rsidRPr="00471E8F">
        <w:rPr>
          <w:rStyle w:val="EndnoteReference"/>
          <w:sz w:val="24"/>
          <w:szCs w:val="24"/>
        </w:rPr>
        <w:endnoteReference w:id="46"/>
      </w:r>
      <w:r w:rsidRPr="00471E8F">
        <w:rPr>
          <w:sz w:val="24"/>
          <w:szCs w:val="24"/>
        </w:rPr>
        <w:t xml:space="preserve"> Musculoskeletal injuries are one of the most common injuries experienced by health care workers, many of which occur in the course of lifting or moving patients. In 2010, an estimated 1,000 Massachusetts hospital workers suffered musculoskeletal injuries associated with patient handling.</w:t>
      </w:r>
    </w:p>
    <w:p w14:paraId="54E96D0C" w14:textId="77777777" w:rsidR="00471E8F" w:rsidRDefault="00471E8F">
      <w:pPr>
        <w:spacing w:before="0"/>
        <w:ind w:left="0" w:right="0"/>
        <w:jc w:val="left"/>
        <w:rPr>
          <w:b/>
          <w:noProof w:val="0"/>
          <w:sz w:val="24"/>
          <w:szCs w:val="24"/>
        </w:rPr>
      </w:pPr>
      <w:r>
        <w:rPr>
          <w:sz w:val="24"/>
          <w:szCs w:val="24"/>
        </w:rPr>
        <w:br w:type="page"/>
      </w:r>
    </w:p>
    <w:p w14:paraId="5CCBC2B9" w14:textId="1B097565" w:rsidR="00197870" w:rsidRPr="00471E8F" w:rsidRDefault="00197870" w:rsidP="00E552D2">
      <w:pPr>
        <w:pStyle w:val="SHAFigureNumber"/>
        <w:spacing w:line="360" w:lineRule="auto"/>
        <w:rPr>
          <w:sz w:val="24"/>
          <w:szCs w:val="24"/>
        </w:rPr>
      </w:pPr>
      <w:r w:rsidRPr="00471E8F">
        <w:rPr>
          <w:sz w:val="24"/>
          <w:szCs w:val="24"/>
        </w:rPr>
        <w:lastRenderedPageBreak/>
        <w:t>Figure 5.6</w:t>
      </w:r>
    </w:p>
    <w:p w14:paraId="6C5C145E" w14:textId="77777777" w:rsidR="00FD5C75" w:rsidRPr="00471E8F" w:rsidRDefault="00197870" w:rsidP="00E552D2">
      <w:pPr>
        <w:pStyle w:val="SHAFigureNumber"/>
        <w:spacing w:line="360" w:lineRule="auto"/>
        <w:contextualSpacing/>
        <w:rPr>
          <w:sz w:val="24"/>
          <w:szCs w:val="24"/>
        </w:rPr>
      </w:pPr>
      <w:r w:rsidRPr="00471E8F">
        <w:rPr>
          <w:sz w:val="24"/>
          <w:szCs w:val="24"/>
        </w:rPr>
        <w:t xml:space="preserve">Number and Rate of </w:t>
      </w:r>
      <w:r w:rsidR="00F04692" w:rsidRPr="00471E8F">
        <w:rPr>
          <w:sz w:val="24"/>
          <w:szCs w:val="24"/>
        </w:rPr>
        <w:t>Non-F</w:t>
      </w:r>
      <w:r w:rsidRPr="00471E8F">
        <w:rPr>
          <w:sz w:val="24"/>
          <w:szCs w:val="24"/>
        </w:rPr>
        <w:t>atal Occupational Injuries and Illnesses Resulting in Lost Workdays,</w:t>
      </w:r>
    </w:p>
    <w:p w14:paraId="0FFA18E3" w14:textId="67636D11" w:rsidR="00197870" w:rsidRPr="00471E8F" w:rsidRDefault="00197870" w:rsidP="00E552D2">
      <w:pPr>
        <w:pStyle w:val="SHAFigureNumber"/>
        <w:spacing w:line="360" w:lineRule="auto"/>
        <w:contextualSpacing/>
        <w:rPr>
          <w:sz w:val="24"/>
          <w:szCs w:val="24"/>
        </w:rPr>
      </w:pPr>
      <w:r w:rsidRPr="00471E8F">
        <w:rPr>
          <w:sz w:val="24"/>
          <w:szCs w:val="24"/>
        </w:rPr>
        <w:t xml:space="preserve"> </w:t>
      </w:r>
      <w:proofErr w:type="gramStart"/>
      <w:r w:rsidRPr="00471E8F">
        <w:rPr>
          <w:sz w:val="24"/>
          <w:szCs w:val="24"/>
        </w:rPr>
        <w:t>by</w:t>
      </w:r>
      <w:proofErr w:type="gramEnd"/>
      <w:r w:rsidRPr="00471E8F">
        <w:rPr>
          <w:sz w:val="24"/>
          <w:szCs w:val="24"/>
        </w:rPr>
        <w:t xml:space="preserve"> Industry Sector, Massachusetts, 2015 </w:t>
      </w:r>
    </w:p>
    <w:p w14:paraId="0899829A" w14:textId="3DAA693F" w:rsidR="00197870" w:rsidRPr="00471E8F" w:rsidRDefault="00A53CCE" w:rsidP="00E552D2">
      <w:pPr>
        <w:spacing w:before="0" w:after="0" w:line="360" w:lineRule="auto"/>
        <w:ind w:right="-360"/>
        <w:jc w:val="center"/>
        <w:rPr>
          <w:sz w:val="24"/>
          <w:szCs w:val="24"/>
        </w:rPr>
      </w:pPr>
      <w:r w:rsidRPr="00471E8F">
        <w:rPr>
          <w:sz w:val="24"/>
          <w:szCs w:val="24"/>
        </w:rPr>
        <w:drawing>
          <wp:inline distT="0" distB="0" distL="0" distR="0" wp14:anchorId="4D946649" wp14:editId="2929009C">
            <wp:extent cx="5943600" cy="4646295"/>
            <wp:effectExtent l="0" t="0" r="0" b="1905"/>
            <wp:docPr id="71" name="Chart 71" descr="This graph shows both the number and rate of non-fatal work-related injuries and illnesses resulting in lost workdays for 15 industry sectors. Data is displayed from the highest rate to the lowest rate.&#10;&#10;For Transportation and Warehousing there were 1800 cases, giving a rate of 2.7 work-related injuries or illnesses per 100 full time workers.&#10;&#10;For Health Care and Social Assistance there were 8500 cases, giving a rate of 1.9 per 100 full time workers.&#10;&#10;For Real Estate and Rental/Leasing, there were 700 cases, giving a rate of 1.8 per 100 full time workers.&#10;For Construction, there were 2100 cases, with a rate of 1.7 per 100 full time workers.&#10;&#10;For wholesale trade, there were 1700 cases, giving a rate of 1.5 per 100 full time workers.&#10;&#10;For retail trade, there were 3600 cases, giving a rate of 1.5 per 100 full time workers.&#10;&#10;For manufacturing, there were 3500 cases, giving a rate of 1.4 per 100 full time workers.&#10;&#10;For Agriculture, Forestry, Fishing and Hunting, there were 100 cases, giving a rate of 1.3 per 100 full time workers.&#10;&#10;For Leisure and Hospitality, there were 2600 cases, giving a rate of 1.2 per 100 full time workers.&#10;&#10;For Utilities, there were 100 cases, giving a rate of 1.2 per 100 full time workers.&#10;&#10;For Educational Services, there were 1000 cases, giving a rate of 1.0 per 100 full time workers.&#10;&#10;For Other Services, there were 800 cases, giving a rate of 0.9 per 100 full time workers.&#10;&#10;For Professional &amp; Business Services, there were 2200 cases, giving a rate of 0.5 per 100 full time workers.&#10;&#10;For Information, there were 300 cases, giving a rate of 0.4 per 100 full time workers.&#10;&#10;For Finance &amp; Insurance, there were 100 cases, giving a rate of 0.1 per 100 full time workers.&#10;">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00000000-0008-0000-05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4340206" w14:textId="77777777" w:rsidR="00197870" w:rsidRPr="00471E8F" w:rsidRDefault="00197870" w:rsidP="00E552D2">
      <w:pPr>
        <w:pStyle w:val="source0"/>
        <w:spacing w:line="360" w:lineRule="auto"/>
        <w:ind w:left="-360" w:right="-360"/>
        <w:jc w:val="center"/>
        <w:rPr>
          <w:sz w:val="24"/>
          <w:szCs w:val="24"/>
        </w:rPr>
      </w:pPr>
      <w:r w:rsidRPr="00471E8F">
        <w:rPr>
          <w:sz w:val="24"/>
          <w:szCs w:val="24"/>
        </w:rPr>
        <w:t>source: US Department of Labor, Bureau of Labor Statistics, Survey of Occupational Injuries and Illnesses (SOII)</w:t>
      </w:r>
    </w:p>
    <w:p w14:paraId="444E5321" w14:textId="03A8BC5C" w:rsidR="00656F81" w:rsidRPr="00471E8F" w:rsidRDefault="00197870" w:rsidP="00E552D2">
      <w:pPr>
        <w:pStyle w:val="source0"/>
        <w:spacing w:line="360" w:lineRule="auto"/>
        <w:ind w:left="-360" w:right="-360"/>
        <w:jc w:val="center"/>
        <w:rPr>
          <w:sz w:val="24"/>
          <w:szCs w:val="24"/>
        </w:rPr>
      </w:pPr>
      <w:r w:rsidRPr="00471E8F">
        <w:rPr>
          <w:sz w:val="24"/>
          <w:szCs w:val="24"/>
        </w:rPr>
        <w:t>notes: The Mining Ind</w:t>
      </w:r>
      <w:r w:rsidR="00656F81" w:rsidRPr="00471E8F">
        <w:rPr>
          <w:sz w:val="24"/>
          <w:szCs w:val="24"/>
        </w:rPr>
        <w:t>ustry reported 20 cases in 2015.these cases were excluded from the figure because of low number</w:t>
      </w:r>
    </w:p>
    <w:p w14:paraId="257DB5CC" w14:textId="393F6484" w:rsidR="00197870" w:rsidRPr="00471E8F" w:rsidRDefault="00656F81" w:rsidP="00E552D2">
      <w:pPr>
        <w:pStyle w:val="source0"/>
        <w:spacing w:line="360" w:lineRule="auto"/>
        <w:ind w:left="-360" w:right="-360"/>
        <w:rPr>
          <w:sz w:val="24"/>
          <w:szCs w:val="24"/>
          <w:lang w:eastAsia="ko-KR"/>
        </w:rPr>
      </w:pPr>
      <w:r w:rsidRPr="00471E8F">
        <w:rPr>
          <w:sz w:val="24"/>
          <w:szCs w:val="24"/>
        </w:rPr>
        <w:t>T</w:t>
      </w:r>
      <w:r w:rsidRPr="00471E8F">
        <w:rPr>
          <w:smallCaps w:val="0"/>
          <w:sz w:val="24"/>
          <w:szCs w:val="24"/>
        </w:rPr>
        <w:t xml:space="preserve">he statewide rate is 1.6 non-fatal occupational injuries and illnesses resulting in lost workdays per 100 full time workers. </w:t>
      </w:r>
      <w:r w:rsidR="00197870" w:rsidRPr="00471E8F">
        <w:rPr>
          <w:smallCaps w:val="0"/>
          <w:sz w:val="24"/>
          <w:szCs w:val="24"/>
        </w:rPr>
        <w:t>From 2009 to 2013, Hispanic workers had significantly higher rates of hospitalization for work-related conditions, including many serious injuries such as amputations, burns, and fractures compared to their White, non-Hispanic counterparts.</w:t>
      </w:r>
      <w:r w:rsidR="00197870" w:rsidRPr="00471E8F">
        <w:rPr>
          <w:sz w:val="24"/>
          <w:szCs w:val="24"/>
        </w:rPr>
        <w:t xml:space="preserve"> </w:t>
      </w:r>
    </w:p>
    <w:p w14:paraId="33E2A6D3" w14:textId="393DFC5F" w:rsidR="00197870" w:rsidRPr="00471E8F" w:rsidRDefault="0098472B" w:rsidP="00E552D2">
      <w:pPr>
        <w:spacing w:before="0" w:line="360" w:lineRule="auto"/>
        <w:ind w:left="0" w:right="0"/>
        <w:jc w:val="center"/>
        <w:rPr>
          <w:b/>
          <w:sz w:val="24"/>
          <w:szCs w:val="24"/>
        </w:rPr>
      </w:pPr>
      <w:r w:rsidRPr="00471E8F">
        <w:rPr>
          <w:sz w:val="24"/>
          <w:szCs w:val="24"/>
        </w:rPr>
        <w:br w:type="page"/>
      </w:r>
      <w:r w:rsidR="00197870" w:rsidRPr="00471E8F">
        <w:rPr>
          <w:b/>
          <w:sz w:val="24"/>
          <w:szCs w:val="24"/>
        </w:rPr>
        <w:lastRenderedPageBreak/>
        <w:t>Figure 5.7</w:t>
      </w:r>
    </w:p>
    <w:p w14:paraId="02D46199" w14:textId="77777777" w:rsidR="00FD5C75" w:rsidRPr="00471E8F" w:rsidRDefault="005F55D7" w:rsidP="00E552D2">
      <w:pPr>
        <w:pStyle w:val="SHAFigureNumber"/>
        <w:spacing w:line="360" w:lineRule="auto"/>
        <w:contextualSpacing/>
        <w:rPr>
          <w:sz w:val="24"/>
          <w:szCs w:val="24"/>
        </w:rPr>
      </w:pPr>
      <w:r w:rsidRPr="00471E8F">
        <w:rPr>
          <w:sz w:val="24"/>
          <w:szCs w:val="24"/>
        </w:rPr>
        <w:t>Rate of Hospitalization f</w:t>
      </w:r>
      <w:r w:rsidR="002B3609" w:rsidRPr="00471E8F">
        <w:rPr>
          <w:sz w:val="24"/>
          <w:szCs w:val="24"/>
        </w:rPr>
        <w:t>or Select Work-Related Injuries, Hispanics and Whi</w:t>
      </w:r>
      <w:r w:rsidR="00FD5C75" w:rsidRPr="00471E8F">
        <w:rPr>
          <w:sz w:val="24"/>
          <w:szCs w:val="24"/>
        </w:rPr>
        <w:t xml:space="preserve">te, Non-Hispanics, </w:t>
      </w:r>
    </w:p>
    <w:p w14:paraId="1926AD3E" w14:textId="60A05B1D" w:rsidR="00197870" w:rsidRPr="00471E8F" w:rsidRDefault="002B3609" w:rsidP="00E552D2">
      <w:pPr>
        <w:pStyle w:val="SHAFigureNumber"/>
        <w:spacing w:line="360" w:lineRule="auto"/>
        <w:contextualSpacing/>
        <w:rPr>
          <w:sz w:val="24"/>
          <w:szCs w:val="24"/>
          <w:highlight w:val="lightGray"/>
        </w:rPr>
      </w:pPr>
      <w:r w:rsidRPr="00471E8F">
        <w:rPr>
          <w:sz w:val="24"/>
          <w:szCs w:val="24"/>
        </w:rPr>
        <w:t xml:space="preserve">Residents </w:t>
      </w:r>
      <w:r w:rsidR="00187D0C" w:rsidRPr="00471E8F">
        <w:rPr>
          <w:sz w:val="24"/>
          <w:szCs w:val="24"/>
        </w:rPr>
        <w:t xml:space="preserve">Ages </w:t>
      </w:r>
      <w:r w:rsidRPr="00471E8F">
        <w:rPr>
          <w:sz w:val="24"/>
          <w:szCs w:val="24"/>
        </w:rPr>
        <w:t>16-64, Massachusetts, 2009-2013</w:t>
      </w:r>
    </w:p>
    <w:p w14:paraId="7BD0ED06" w14:textId="76B20871" w:rsidR="00197870" w:rsidRPr="00471E8F" w:rsidRDefault="002B79C0" w:rsidP="00E552D2">
      <w:pPr>
        <w:keepNext/>
        <w:keepLines/>
        <w:spacing w:before="0" w:after="0" w:line="360" w:lineRule="auto"/>
        <w:ind w:right="-360"/>
        <w:jc w:val="center"/>
        <w:rPr>
          <w:sz w:val="24"/>
          <w:szCs w:val="24"/>
        </w:rPr>
      </w:pPr>
      <w:r w:rsidRPr="00471E8F">
        <w:rPr>
          <w:sz w:val="24"/>
          <w:szCs w:val="24"/>
        </w:rPr>
        <w:drawing>
          <wp:inline distT="0" distB="0" distL="0" distR="0" wp14:anchorId="26FAC8F2" wp14:editId="720DB424">
            <wp:extent cx="5653088" cy="3014664"/>
            <wp:effectExtent l="0" t="0" r="5080" b="0"/>
            <wp:docPr id="614" name="Chart 614" descr="This vertical  bar graph compares rates of hospitalization for work-related conditions overall (all cause), for the subset of all work-related injuries, and for injury groups, specifically fractures, burns, and amputations between Hispanic workers and White non-Hispanic workers. The hospitalization rate due to all causes for Hispanic workers was 134.1 inpatient hospitalizations per 100,000 full time equivalent (FTE) workers compared to 81.1 per 100,000 FTE workers for White non-Hispanic workers. From all work-related injuries, the rate was 69.0 inpatient hospitalizations per 100,000 FTE workers for Hispanics compared to 31.1 per 100,000 FTE workers for White non-Hispanics. Hispanic workers had a hospitalization rate due to work-related fractures of 33.2 per 100,000 FTE workers compared to 14.4 per 100,000 FTE workers among White non-Hispanic workers. ">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2A3C15C4-E5EA-4508-BDBF-F258722D1ED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92206A7" w14:textId="09235CDD" w:rsidR="00197870" w:rsidRPr="00471E8F" w:rsidRDefault="002B3609" w:rsidP="00E552D2">
      <w:pPr>
        <w:pStyle w:val="SHAFigureNote"/>
        <w:spacing w:line="360" w:lineRule="auto"/>
        <w:rPr>
          <w:sz w:val="24"/>
          <w:szCs w:val="24"/>
        </w:rPr>
      </w:pPr>
      <w:r w:rsidRPr="00471E8F">
        <w:rPr>
          <w:sz w:val="24"/>
          <w:szCs w:val="24"/>
        </w:rPr>
        <w:t>NUMERATOR</w:t>
      </w:r>
      <w:r w:rsidR="00187D0C" w:rsidRPr="00471E8F">
        <w:rPr>
          <w:sz w:val="24"/>
          <w:szCs w:val="24"/>
        </w:rPr>
        <w:t xml:space="preserve"> SOURCE</w:t>
      </w:r>
      <w:r w:rsidRPr="00471E8F">
        <w:rPr>
          <w:sz w:val="24"/>
          <w:szCs w:val="24"/>
        </w:rPr>
        <w:t>: CH</w:t>
      </w:r>
      <w:r w:rsidR="00187D0C" w:rsidRPr="00471E8F">
        <w:rPr>
          <w:sz w:val="24"/>
          <w:szCs w:val="24"/>
        </w:rPr>
        <w:t xml:space="preserve">IA HOSPITAL DISCHARGE DATASET CALENDAR YEAR </w:t>
      </w:r>
      <w:r w:rsidRPr="00471E8F">
        <w:rPr>
          <w:sz w:val="24"/>
          <w:szCs w:val="24"/>
        </w:rPr>
        <w:t>2009-2013; DENOMINATOR</w:t>
      </w:r>
      <w:r w:rsidR="00187D0C" w:rsidRPr="00471E8F">
        <w:rPr>
          <w:sz w:val="24"/>
          <w:szCs w:val="24"/>
        </w:rPr>
        <w:t xml:space="preserve"> SOURCE</w:t>
      </w:r>
      <w:r w:rsidRPr="00471E8F">
        <w:rPr>
          <w:sz w:val="24"/>
          <w:szCs w:val="24"/>
        </w:rPr>
        <w:t>: ESTIMATED FROM THE AMERICAN COMMUNITY SURVEY 5-YEAR FILE 2009-2013.</w:t>
      </w:r>
    </w:p>
    <w:p w14:paraId="4965F7BB" w14:textId="6C052DB6" w:rsidR="00197870" w:rsidRPr="00471E8F" w:rsidRDefault="002B3609" w:rsidP="00E552D2">
      <w:pPr>
        <w:pStyle w:val="SHAFigureNote"/>
        <w:spacing w:line="360" w:lineRule="auto"/>
        <w:rPr>
          <w:sz w:val="24"/>
          <w:szCs w:val="24"/>
        </w:rPr>
      </w:pPr>
      <w:r w:rsidRPr="00471E8F">
        <w:rPr>
          <w:sz w:val="24"/>
          <w:szCs w:val="24"/>
        </w:rPr>
        <w:t>NOTE: 5-YEAR AVERAGE ANNUAL RATE IS EXPRESSED PER 100,000 FULL TIME EQUIVALENT WORKERS.</w:t>
      </w:r>
    </w:p>
    <w:p w14:paraId="67DD8A36" w14:textId="77777777" w:rsidR="00197870" w:rsidRPr="00471E8F" w:rsidRDefault="00197870" w:rsidP="00E552D2">
      <w:pPr>
        <w:spacing w:line="360" w:lineRule="auto"/>
        <w:ind w:right="-360"/>
        <w:rPr>
          <w:sz w:val="24"/>
          <w:szCs w:val="24"/>
        </w:rPr>
      </w:pPr>
      <w:r w:rsidRPr="00471E8F">
        <w:rPr>
          <w:sz w:val="24"/>
          <w:szCs w:val="24"/>
        </w:rPr>
        <w:t xml:space="preserve">Young workers are also at elevated risk of occupational injury. From 2010 to 2014, teen workers aged 15-17 (1.8 per 100 full-time workers) and young adults 18 to 24 (2.6 per 100 full-time workers) experienced higher rates of emergency department visits for work-related injuries than workers 25 to 64 years of age (1.3 per 100 full-time workers). The rate for young adults was more than twice that for older workers. </w:t>
      </w:r>
    </w:p>
    <w:p w14:paraId="390C2C2F" w14:textId="77777777" w:rsidR="00197870" w:rsidRPr="00471E8F" w:rsidRDefault="00197870" w:rsidP="00E552D2">
      <w:pPr>
        <w:spacing w:line="360" w:lineRule="auto"/>
        <w:ind w:right="-360"/>
        <w:rPr>
          <w:sz w:val="24"/>
          <w:szCs w:val="24"/>
          <w:vertAlign w:val="superscript"/>
        </w:rPr>
      </w:pPr>
      <w:r w:rsidRPr="00471E8F">
        <w:rPr>
          <w:sz w:val="24"/>
          <w:szCs w:val="24"/>
        </w:rPr>
        <w:t>From 2008 to 2015, 481 workers were fatally injured at work, amounting to an average of 60 deaths per year or approximately one death each week.</w:t>
      </w:r>
      <w:r w:rsidRPr="00471E8F">
        <w:rPr>
          <w:rStyle w:val="EndnoteReference"/>
          <w:sz w:val="24"/>
          <w:szCs w:val="24"/>
        </w:rPr>
        <w:t xml:space="preserve"> </w:t>
      </w:r>
      <w:bookmarkStart w:id="1" w:name="_Ref487717683"/>
      <w:r w:rsidRPr="00471E8F">
        <w:rPr>
          <w:rStyle w:val="EndnoteReference"/>
          <w:sz w:val="24"/>
          <w:szCs w:val="24"/>
        </w:rPr>
        <w:endnoteReference w:id="47"/>
      </w:r>
      <w:bookmarkEnd w:id="1"/>
      <w:r w:rsidRPr="00471E8F">
        <w:rPr>
          <w:sz w:val="24"/>
          <w:szCs w:val="24"/>
        </w:rPr>
        <w:t xml:space="preserve"> Over this period, the average annual fatal occupational injury rate in Massachusetts was 2.0 deaths per 100,000 full-time workers. This rate remained relatively stable over this time period. Massachusetts’ fatal occupational injury rate was half the US rate, which is partially attributable to differences in industries concentrated in Massachusetts relative to the nation as a whole. A smaller percentage of Massachusetts workers are employed in higher risk industries.</w:t>
      </w:r>
      <w:r w:rsidRPr="00471E8F">
        <w:rPr>
          <w:rStyle w:val="EndnoteReference"/>
          <w:sz w:val="24"/>
          <w:szCs w:val="24"/>
        </w:rPr>
        <w:endnoteReference w:id="48"/>
      </w:r>
      <w:r w:rsidRPr="00471E8F">
        <w:rPr>
          <w:sz w:val="24"/>
          <w:szCs w:val="24"/>
          <w:vertAlign w:val="superscript"/>
        </w:rPr>
        <w:t>,</w:t>
      </w:r>
      <w:r w:rsidRPr="00471E8F">
        <w:rPr>
          <w:rStyle w:val="EndnoteReference"/>
          <w:sz w:val="24"/>
          <w:szCs w:val="24"/>
        </w:rPr>
        <w:endnoteReference w:id="49"/>
      </w:r>
    </w:p>
    <w:p w14:paraId="237F4C71" w14:textId="2EDE4B8C" w:rsidR="0098472B" w:rsidRPr="00471E8F" w:rsidRDefault="00197870" w:rsidP="00E552D2">
      <w:pPr>
        <w:spacing w:before="0" w:after="0" w:line="360" w:lineRule="auto"/>
        <w:ind w:right="-360"/>
        <w:rPr>
          <w:sz w:val="24"/>
          <w:szCs w:val="24"/>
        </w:rPr>
      </w:pPr>
      <w:r w:rsidRPr="00471E8F">
        <w:rPr>
          <w:sz w:val="24"/>
          <w:szCs w:val="24"/>
        </w:rPr>
        <w:lastRenderedPageBreak/>
        <w:t xml:space="preserve">In Massachusetts, the agriculture, forestry, fishing, and hunting sector stands out as an exceptionally high-risk industry sector with 38.6 deaths per 100,000 full-time workers </w:t>
      </w:r>
      <w:r w:rsidRPr="00471E8F">
        <w:rPr>
          <w:b/>
          <w:sz w:val="24"/>
          <w:szCs w:val="24"/>
        </w:rPr>
        <w:t>(Figure 5.6)</w:t>
      </w:r>
      <w:r w:rsidRPr="00471E8F">
        <w:rPr>
          <w:sz w:val="24"/>
          <w:szCs w:val="24"/>
        </w:rPr>
        <w:t xml:space="preserve">. The majority (71%) of the workers killed in this sector were employed in commercial fishing. The construction sector had the highest fatality count, with 117 deaths, and the second highest fatal occupational injury rate (8.1 deaths per 100,000 full-time workers). </w:t>
      </w:r>
    </w:p>
    <w:p w14:paraId="7EBCB4A7" w14:textId="5E6D55BE" w:rsidR="00197870" w:rsidRPr="00471E8F" w:rsidRDefault="00197870" w:rsidP="00E552D2">
      <w:pPr>
        <w:pStyle w:val="SHAFigureNumber"/>
        <w:spacing w:line="360" w:lineRule="auto"/>
        <w:rPr>
          <w:sz w:val="24"/>
          <w:szCs w:val="24"/>
        </w:rPr>
      </w:pPr>
      <w:r w:rsidRPr="00471E8F">
        <w:rPr>
          <w:sz w:val="24"/>
          <w:szCs w:val="24"/>
        </w:rPr>
        <w:t xml:space="preserve">Figure 5.8 </w:t>
      </w:r>
    </w:p>
    <w:p w14:paraId="286B67CD" w14:textId="77777777" w:rsidR="00197870" w:rsidRPr="00471E8F" w:rsidRDefault="00197870" w:rsidP="00E552D2">
      <w:pPr>
        <w:pStyle w:val="SHAFigureNumber"/>
        <w:spacing w:line="360" w:lineRule="auto"/>
        <w:rPr>
          <w:sz w:val="24"/>
          <w:szCs w:val="24"/>
          <w:highlight w:val="lightGray"/>
        </w:rPr>
      </w:pPr>
      <w:r w:rsidRPr="00471E8F">
        <w:rPr>
          <w:sz w:val="24"/>
          <w:szCs w:val="24"/>
        </w:rPr>
        <w:t>Number and Rate of Fatal Occupational Injuries by Industry Sector, Massachusetts, 2008-2015</w:t>
      </w:r>
    </w:p>
    <w:p w14:paraId="52828334" w14:textId="2C35E0B2" w:rsidR="00AB351D" w:rsidRPr="00471E8F" w:rsidRDefault="00AB351D" w:rsidP="00E552D2">
      <w:pPr>
        <w:pStyle w:val="source0"/>
        <w:spacing w:line="360" w:lineRule="auto"/>
        <w:ind w:left="-360" w:right="-360"/>
        <w:jc w:val="center"/>
        <w:rPr>
          <w:noProof/>
          <w:sz w:val="24"/>
          <w:szCs w:val="24"/>
        </w:rPr>
      </w:pPr>
      <w:r w:rsidRPr="00471E8F">
        <w:rPr>
          <w:noProof/>
          <w:sz w:val="24"/>
          <w:szCs w:val="24"/>
        </w:rPr>
        <w:drawing>
          <wp:inline distT="0" distB="0" distL="0" distR="0" wp14:anchorId="29F9DBB7" wp14:editId="50BC66CB">
            <wp:extent cx="5934076" cy="4324349"/>
            <wp:effectExtent l="0" t="0" r="0" b="635"/>
            <wp:docPr id="615" name="Chart 615" descr="This horizonal set of bar graphs show both the number and rate of fatal occupational injuries for 12 industry sectors. Data is displayed from the highest rate to the lowest rate.&#10;For Agriculture, forestry, fishing, and hunting, there were 38 cases, giving a rate of 38.6 per 100,000 FTE workers.&#10;&#10;For construction, there were 117 cases, giving a rate of 8.1 per 100,000 FTE workers.&#10;&#10;For Transportation and utilities, there were 51 cases, giving a rate of 7.7 per 100,000 FTE workers.&#10;&#10;For other services, there were 25 cases, giving a rate of 2.5 per 100,000 FTE workers.&#10;&#10;For government, there were 59 cases, giving a rate of 1.8 per 100,000 FTE workers.&#10;&#10;For wholesale and retail trade, there were 49 cases, giving a rate of 1.7 per 100,000 FTE workers.&#10;&#10;For leisure and hospitality, there were 24 cases, giving a rate of 1.3 per 100,000 FTE workers.&#10;&#10;For professional and business services, there were 44 cases, giving a rate of 1.2 per 100,000 FTE workers.&#10;&#10;For manufacturing, there were 27 cases, giving a rate of 1.1 per 100,000 FTE workers.&#10;&#10;For information, there were 6 cases, giving a rate of 1.1 per 100,000 FTE workers.&#10;&#10;For financial activities, there were 16 cases, giving a rate of 0.9 per 100,000 FTE workers.&#10;&#10;For educational and health services, there were 22 cases, giving a rate of 0.4 per 100,000 FTE workers.&#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E31E330" w14:textId="454121F5" w:rsidR="00197870" w:rsidRPr="00471E8F" w:rsidRDefault="00133C0A" w:rsidP="00E552D2">
      <w:pPr>
        <w:pStyle w:val="source0"/>
        <w:spacing w:line="360" w:lineRule="auto"/>
        <w:ind w:left="-360" w:right="-360"/>
        <w:jc w:val="center"/>
        <w:rPr>
          <w:smallCaps w:val="0"/>
          <w:sz w:val="24"/>
          <w:szCs w:val="24"/>
        </w:rPr>
      </w:pPr>
      <w:r w:rsidRPr="00471E8F">
        <w:rPr>
          <w:smallCaps w:val="0"/>
          <w:sz w:val="24"/>
          <w:szCs w:val="24"/>
        </w:rPr>
        <w:t xml:space="preserve">NOTES: </w:t>
      </w:r>
      <w:r w:rsidR="00B64805" w:rsidRPr="00471E8F">
        <w:rPr>
          <w:smallCaps w:val="0"/>
          <w:sz w:val="24"/>
          <w:szCs w:val="24"/>
        </w:rPr>
        <w:t>NUMERATOR SOURCE: OCCUPATIONAL HEALTH SURVEILLANCE PROG</w:t>
      </w:r>
      <w:r w:rsidRPr="00471E8F">
        <w:rPr>
          <w:smallCaps w:val="0"/>
          <w:sz w:val="24"/>
          <w:szCs w:val="24"/>
        </w:rPr>
        <w:t xml:space="preserve">RAM, MA FACE AND CFOI, </w:t>
      </w:r>
      <w:r w:rsidR="00B64805" w:rsidRPr="00471E8F">
        <w:rPr>
          <w:smallCaps w:val="0"/>
          <w:sz w:val="24"/>
          <w:szCs w:val="24"/>
        </w:rPr>
        <w:t>DENOMINATOR SOURCE: BLS CURRENT POPULATION SURVE</w:t>
      </w:r>
      <w:r w:rsidRPr="00471E8F">
        <w:rPr>
          <w:smallCaps w:val="0"/>
          <w:sz w:val="24"/>
          <w:szCs w:val="24"/>
        </w:rPr>
        <w:t>Y WORKFORCE ESTIMATES</w:t>
      </w:r>
    </w:p>
    <w:p w14:paraId="6AE5856C" w14:textId="77777777" w:rsidR="00197870" w:rsidRPr="00471E8F" w:rsidRDefault="00197870" w:rsidP="00E552D2">
      <w:pPr>
        <w:spacing w:line="360" w:lineRule="auto"/>
        <w:ind w:right="-360"/>
        <w:rPr>
          <w:sz w:val="24"/>
          <w:szCs w:val="24"/>
        </w:rPr>
      </w:pPr>
      <w:r w:rsidRPr="00471E8F">
        <w:rPr>
          <w:sz w:val="24"/>
          <w:szCs w:val="24"/>
        </w:rPr>
        <w:t xml:space="preserve">From 2008 to 2015, falls from heights such as from ladders and roofs were the most common fatal events with the majority occurring in the construction sector. Falls have consistently been the leading fatal event in Massachusetts, accounting for approximately one-quarter (24%) of all fatal occupational injuries. </w:t>
      </w:r>
    </w:p>
    <w:p w14:paraId="023C6A0A" w14:textId="77777777" w:rsidR="00197870" w:rsidRPr="00471E8F" w:rsidRDefault="00197870" w:rsidP="00E552D2">
      <w:pPr>
        <w:spacing w:line="360" w:lineRule="auto"/>
        <w:ind w:right="-360"/>
        <w:rPr>
          <w:sz w:val="24"/>
          <w:szCs w:val="24"/>
        </w:rPr>
      </w:pPr>
      <w:r w:rsidRPr="00471E8F">
        <w:rPr>
          <w:sz w:val="24"/>
          <w:szCs w:val="24"/>
        </w:rPr>
        <w:lastRenderedPageBreak/>
        <w:t>In recent years, the number of suicides at work has increased, consistent with the overall increase in suicides in Massachusetts. After falls, suicides (15%) have become the second leading fatal occupational injury, followed by motor vehicle crashes (12%).  Suicides are discussed in a later section in this chapter.</w:t>
      </w:r>
    </w:p>
    <w:p w14:paraId="5E6C96EF" w14:textId="77777777" w:rsidR="00133C0A" w:rsidRPr="00471E8F" w:rsidRDefault="00197870" w:rsidP="00E552D2">
      <w:pPr>
        <w:spacing w:line="360" w:lineRule="auto"/>
        <w:ind w:right="-360"/>
        <w:rPr>
          <w:sz w:val="24"/>
          <w:szCs w:val="24"/>
        </w:rPr>
      </w:pPr>
      <w:r w:rsidRPr="00471E8F">
        <w:rPr>
          <w:sz w:val="24"/>
          <w:szCs w:val="24"/>
        </w:rPr>
        <w:t>Hispanic workers had an overall higher risk of being killed on the job in Massachusetts. In the construction industry, a high-risk sector for all workers, the rate of fatal falls among Hispanic construction workers (7.4 per 100,000 full-time workers) was 1.8 times that for White non-Hispanic workers (4.2 per 100,000 full-time workers). Not only are Hispanic workers more likely to be employed in high risk industries, they are also more likely to be working in jobs within industries such as construction in which hazards are less likely to be controlled.</w:t>
      </w:r>
      <w:r w:rsidRPr="00471E8F">
        <w:rPr>
          <w:rStyle w:val="EndnoteReference"/>
          <w:sz w:val="24"/>
          <w:szCs w:val="24"/>
        </w:rPr>
        <w:endnoteReference w:id="50"/>
      </w:r>
      <w:r w:rsidRPr="00471E8F">
        <w:rPr>
          <w:sz w:val="24"/>
          <w:szCs w:val="24"/>
        </w:rPr>
        <w:t xml:space="preserve"> </w:t>
      </w:r>
    </w:p>
    <w:p w14:paraId="66F03C01" w14:textId="77777777" w:rsidR="00133C0A" w:rsidRPr="00471E8F" w:rsidRDefault="00133C0A" w:rsidP="00E552D2">
      <w:pPr>
        <w:spacing w:line="360" w:lineRule="auto"/>
        <w:ind w:right="-360"/>
        <w:rPr>
          <w:sz w:val="24"/>
          <w:szCs w:val="24"/>
        </w:rPr>
      </w:pPr>
    </w:p>
    <w:p w14:paraId="62BCA107" w14:textId="3B91E44D" w:rsidR="00197870" w:rsidRPr="00471E8F" w:rsidRDefault="00197870" w:rsidP="00E552D2">
      <w:pPr>
        <w:spacing w:line="360" w:lineRule="auto"/>
        <w:ind w:right="-360"/>
        <w:rPr>
          <w:sz w:val="24"/>
          <w:szCs w:val="24"/>
        </w:rPr>
      </w:pPr>
      <w:r w:rsidRPr="00471E8F">
        <w:rPr>
          <w:sz w:val="24"/>
          <w:szCs w:val="24"/>
        </w:rPr>
        <w:t>Approximately one in five workers fatally injured at work in Massachusetts was born outside of the US, and the fatality rate among foreign-born workers was higher than the rate for US-born workers.</w:t>
      </w:r>
      <w:r w:rsidRPr="00471E8F">
        <w:rPr>
          <w:rStyle w:val="EndnoteReference"/>
          <w:sz w:val="24"/>
          <w:szCs w:val="24"/>
        </w:rPr>
        <w:endnoteReference w:id="51"/>
      </w:r>
      <w:r w:rsidRPr="00471E8F">
        <w:rPr>
          <w:sz w:val="24"/>
          <w:szCs w:val="24"/>
          <w:vertAlign w:val="superscript"/>
        </w:rPr>
        <w:t>,</w:t>
      </w:r>
      <w:r w:rsidRPr="00471E8F">
        <w:rPr>
          <w:rStyle w:val="EndnoteReference"/>
          <w:sz w:val="24"/>
          <w:szCs w:val="24"/>
        </w:rPr>
        <w:endnoteReference w:id="52"/>
      </w:r>
      <w:r w:rsidRPr="00471E8F">
        <w:rPr>
          <w:sz w:val="24"/>
          <w:szCs w:val="24"/>
        </w:rPr>
        <w:t xml:space="preserve"> The fatality rate for workers 65 years of age or older was more than three times higher than the rate for workers under 35 years of age.  </w:t>
      </w:r>
    </w:p>
    <w:p w14:paraId="797A6781" w14:textId="77777777" w:rsidR="00197870" w:rsidRPr="00471E8F" w:rsidRDefault="00197870" w:rsidP="00E552D2">
      <w:pPr>
        <w:pStyle w:val="SHAFigureNumber"/>
        <w:spacing w:line="360" w:lineRule="auto"/>
        <w:rPr>
          <w:sz w:val="24"/>
          <w:szCs w:val="24"/>
        </w:rPr>
      </w:pPr>
      <w:r w:rsidRPr="00471E8F">
        <w:rPr>
          <w:sz w:val="24"/>
          <w:szCs w:val="24"/>
        </w:rPr>
        <w:t>Figure 5.9</w:t>
      </w:r>
    </w:p>
    <w:p w14:paraId="67E1A829" w14:textId="77777777" w:rsidR="00197870" w:rsidRPr="00471E8F" w:rsidRDefault="00197870" w:rsidP="00E552D2">
      <w:pPr>
        <w:pStyle w:val="SHAFigureNumber"/>
        <w:spacing w:line="360" w:lineRule="auto"/>
        <w:rPr>
          <w:sz w:val="24"/>
          <w:szCs w:val="24"/>
        </w:rPr>
      </w:pPr>
      <w:r w:rsidRPr="00471E8F">
        <w:rPr>
          <w:sz w:val="24"/>
          <w:szCs w:val="24"/>
        </w:rPr>
        <w:t>Rates of Fatal Occupational Injuries, Hispanic and White non-Hispanic Workers, Massachusetts, 2008-2015</w:t>
      </w:r>
    </w:p>
    <w:p w14:paraId="56FD271A" w14:textId="4E43B9E2" w:rsidR="00197870" w:rsidRDefault="00AB351D" w:rsidP="00E552D2">
      <w:pPr>
        <w:spacing w:before="0" w:after="0" w:line="360" w:lineRule="auto"/>
        <w:ind w:right="-360"/>
        <w:jc w:val="center"/>
      </w:pPr>
      <w:r>
        <w:drawing>
          <wp:inline distT="0" distB="0" distL="0" distR="0" wp14:anchorId="173F055F" wp14:editId="5D35AB39">
            <wp:extent cx="5843588" cy="2919413"/>
            <wp:effectExtent l="0" t="0" r="5080" b="0"/>
            <wp:docPr id="616" name="Chart 616" descr="This vertical  bar graph compares the number and rate of work-related fatalities from all causes (on left) and from falls in construction (on right) among Hispanic and White non-Hispanic workers. Hispanic workers had a total of 45 fatal occupational injuries, giving a rate of 2.7 per 100,000 FTE workers while among White non-Hispanic workers there were 377 fatalities giving a rate of 1.9 per 100,000 FTE workers. The rate per 100,000 FTE workers of occupational fatalities due to falls in construction was 7.4 among Hispanics compared to 4.2 among White non-Hispanics.   ">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EEFD39F6-55E5-47AF-89E0-7118C9067D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8D1F41A" w14:textId="2EA051F5" w:rsidR="00197870" w:rsidRPr="00462303" w:rsidRDefault="00AC0A62" w:rsidP="00E552D2">
      <w:pPr>
        <w:pStyle w:val="source0"/>
        <w:spacing w:line="360" w:lineRule="auto"/>
        <w:ind w:left="-360" w:right="-360"/>
        <w:contextualSpacing/>
        <w:jc w:val="center"/>
        <w:rPr>
          <w:smallCaps w:val="0"/>
          <w:sz w:val="22"/>
          <w:szCs w:val="22"/>
        </w:rPr>
      </w:pPr>
      <w:r>
        <w:rPr>
          <w:smallCaps w:val="0"/>
          <w:sz w:val="22"/>
          <w:szCs w:val="22"/>
        </w:rPr>
        <w:lastRenderedPageBreak/>
        <w:t xml:space="preserve">NOTE: </w:t>
      </w:r>
      <w:r w:rsidR="00B64805" w:rsidRPr="00462303">
        <w:rPr>
          <w:smallCaps w:val="0"/>
          <w:sz w:val="22"/>
          <w:szCs w:val="22"/>
        </w:rPr>
        <w:t>NUMERATOR SOURCE: OCCUPATIONAL HEALTH SURVEILLANCE PROGRAM, MA FACE AND CFOI, 2008-2015</w:t>
      </w:r>
    </w:p>
    <w:p w14:paraId="398E5340" w14:textId="4322C581" w:rsidR="00197870" w:rsidRPr="00462303" w:rsidRDefault="00B64805" w:rsidP="00E552D2">
      <w:pPr>
        <w:pStyle w:val="source0"/>
        <w:spacing w:line="360" w:lineRule="auto"/>
        <w:ind w:left="-360" w:right="-360"/>
        <w:contextualSpacing/>
        <w:jc w:val="center"/>
        <w:rPr>
          <w:smallCaps w:val="0"/>
          <w:sz w:val="22"/>
          <w:szCs w:val="22"/>
        </w:rPr>
      </w:pPr>
      <w:r w:rsidRPr="00462303">
        <w:rPr>
          <w:smallCaps w:val="0"/>
          <w:sz w:val="22"/>
          <w:szCs w:val="22"/>
        </w:rPr>
        <w:t>DENOMINATOR SOURCE: BLS CURRENT POPULATION SURVEY WORKFORCE ESTIMATES, 2008-2015.</w:t>
      </w:r>
    </w:p>
    <w:p w14:paraId="241C94DE" w14:textId="5252721D" w:rsidR="00197870" w:rsidRPr="00462303" w:rsidRDefault="00133C0A" w:rsidP="00E552D2">
      <w:pPr>
        <w:pStyle w:val="source0"/>
        <w:spacing w:line="360" w:lineRule="auto"/>
        <w:ind w:left="-360" w:right="-360"/>
        <w:contextualSpacing/>
        <w:jc w:val="center"/>
        <w:rPr>
          <w:smallCaps w:val="0"/>
          <w:sz w:val="22"/>
          <w:szCs w:val="22"/>
        </w:rPr>
      </w:pPr>
      <w:r>
        <w:rPr>
          <w:smallCaps w:val="0"/>
          <w:sz w:val="22"/>
          <w:szCs w:val="22"/>
        </w:rPr>
        <w:t xml:space="preserve">NOTE: </w:t>
      </w:r>
      <w:r w:rsidR="00B64805" w:rsidRPr="00462303">
        <w:rPr>
          <w:smallCaps w:val="0"/>
          <w:sz w:val="22"/>
          <w:szCs w:val="22"/>
        </w:rPr>
        <w:t>RATE SIGNIFICANTLY HIGHER THAN RATE FOR WH</w:t>
      </w:r>
      <w:r w:rsidR="005F55D7" w:rsidRPr="00462303">
        <w:rPr>
          <w:smallCaps w:val="0"/>
          <w:sz w:val="22"/>
          <w:szCs w:val="22"/>
        </w:rPr>
        <w:t>ITE</w:t>
      </w:r>
      <w:r w:rsidR="00B64805" w:rsidRPr="00462303">
        <w:rPr>
          <w:smallCaps w:val="0"/>
          <w:sz w:val="22"/>
          <w:szCs w:val="22"/>
        </w:rPr>
        <w:t xml:space="preserve"> NON-HISPANIC</w:t>
      </w:r>
    </w:p>
    <w:p w14:paraId="7787E196" w14:textId="77777777" w:rsidR="00197870" w:rsidRPr="008B469F" w:rsidRDefault="00197870" w:rsidP="00E552D2">
      <w:pPr>
        <w:pStyle w:val="Heading1"/>
        <w:spacing w:line="360" w:lineRule="auto"/>
      </w:pPr>
      <w:r w:rsidRPr="008B469F">
        <w:t>Suicide</w:t>
      </w:r>
    </w:p>
    <w:p w14:paraId="32E628A3" w14:textId="3F79FE76" w:rsidR="00197870" w:rsidRPr="00471E8F" w:rsidRDefault="0098472B" w:rsidP="00E552D2">
      <w:pPr>
        <w:spacing w:line="360" w:lineRule="auto"/>
        <w:ind w:right="-360"/>
        <w:rPr>
          <w:sz w:val="24"/>
          <w:szCs w:val="24"/>
        </w:rPr>
      </w:pPr>
      <w:r w:rsidRPr="00471E8F">
        <w:rPr>
          <w:rFonts w:ascii="Aileron" w:hAnsi="Aileron"/>
          <w:b/>
          <w:sz w:val="24"/>
          <w:szCs w:val="24"/>
        </w:rPr>
        <mc:AlternateContent>
          <mc:Choice Requires="wps">
            <w:drawing>
              <wp:anchor distT="0" distB="0" distL="114300" distR="114300" simplePos="0" relativeHeight="251767808" behindDoc="0" locked="0" layoutInCell="1" allowOverlap="1" wp14:anchorId="35651E84" wp14:editId="2379F355">
                <wp:simplePos x="0" y="0"/>
                <wp:positionH relativeFrom="margin">
                  <wp:posOffset>3886200</wp:posOffset>
                </wp:positionH>
                <wp:positionV relativeFrom="margin">
                  <wp:posOffset>5464810</wp:posOffset>
                </wp:positionV>
                <wp:extent cx="2806700" cy="1488440"/>
                <wp:effectExtent l="0" t="0" r="0" b="0"/>
                <wp:wrapSquare wrapText="bothSides"/>
                <wp:docPr id="252" name="Rectangle 252"/>
                <wp:cNvGraphicFramePr/>
                <a:graphic xmlns:a="http://schemas.openxmlformats.org/drawingml/2006/main">
                  <a:graphicData uri="http://schemas.microsoft.com/office/word/2010/wordprocessingShape">
                    <wps:wsp>
                      <wps:cNvSpPr/>
                      <wps:spPr>
                        <a:xfrm>
                          <a:off x="0" y="0"/>
                          <a:ext cx="2806700" cy="1488440"/>
                        </a:xfrm>
                        <a:prstGeom prst="rect">
                          <a:avLst/>
                        </a:prstGeom>
                        <a:solidFill>
                          <a:srgbClr val="EFF3FF"/>
                        </a:solidFill>
                        <a:ln w="12700" cap="flat" cmpd="sng" algn="ctr">
                          <a:noFill/>
                          <a:prstDash val="solid"/>
                          <a:miter lim="800000"/>
                        </a:ln>
                        <a:effectLst/>
                      </wps:spPr>
                      <wps:txbx>
                        <w:txbxContent>
                          <w:p w14:paraId="1C0E10B1" w14:textId="1B7153D7" w:rsidR="0079760B" w:rsidRDefault="0079760B" w:rsidP="0098472B">
                            <w:pPr>
                              <w:shd w:val="clear" w:color="auto" w:fill="EFF3FF"/>
                              <w:ind w:left="0" w:right="17"/>
                              <w:jc w:val="left"/>
                              <w:rPr>
                                <w:color w:val="203864"/>
                                <w:sz w:val="24"/>
                                <w:szCs w:val="24"/>
                              </w:rPr>
                            </w:pPr>
                            <w:r w:rsidRPr="0098472B">
                              <w:rPr>
                                <w:color w:val="203864"/>
                                <w:sz w:val="24"/>
                                <w:szCs w:val="24"/>
                              </w:rPr>
                              <w:t>“</w:t>
                            </w:r>
                            <w:r w:rsidRPr="0015731D">
                              <w:rPr>
                                <w:color w:val="203864"/>
                                <w:sz w:val="24"/>
                                <w:szCs w:val="24"/>
                              </w:rPr>
                              <w:t>In order to reduce the number of suicides we must increase the knowledge and understanding of suicide warning signs, risk and protective factors through a public health perspective</w:t>
                            </w:r>
                            <w:r w:rsidRPr="0098472B">
                              <w:rPr>
                                <w:color w:val="203864"/>
                                <w:sz w:val="24"/>
                                <w:szCs w:val="24"/>
                              </w:rPr>
                              <w:t>.”</w:t>
                            </w:r>
                          </w:p>
                          <w:p w14:paraId="535EB9F3" w14:textId="084A0E2A" w:rsidR="0079760B" w:rsidRPr="0098472B" w:rsidRDefault="0079760B" w:rsidP="0098472B">
                            <w:pPr>
                              <w:shd w:val="clear" w:color="auto" w:fill="EFF3FF"/>
                              <w:ind w:left="0" w:right="17"/>
                              <w:jc w:val="right"/>
                              <w:rPr>
                                <w:color w:val="203864"/>
                                <w:sz w:val="20"/>
                                <w:szCs w:val="20"/>
                              </w:rPr>
                            </w:pPr>
                            <w:r w:rsidRPr="0098472B">
                              <w:rPr>
                                <w:color w:val="203864"/>
                                <w:sz w:val="20"/>
                                <w:szCs w:val="20"/>
                              </w:rPr>
                              <w:t>Key Informant Interviewee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52" o:spid="_x0000_s1028" style="position:absolute;left:0;text-align:left;margin-left:306pt;margin-top:430.3pt;width:221pt;height:117.2pt;z-index:2517678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" fillcolor="#eff3ff" stroked="f" strokeweight="1pt">
                <v:textbox>
                  <w:txbxContent>
                    <w:p w14:paraId="1C0E10B1" w14:textId="1B7153D7" w:rsidR="0079760B" w:rsidRDefault="0079760B" w:rsidP="0098472B">
                      <w:pPr>
                        <w:shd w:val="clear" w:color="auto" w:fill="EFF3FF"/>
                        <w:ind w:left="0" w:right="17"/>
                        <w:jc w:val="left"/>
                        <w:rPr>
                          <w:color w:val="203864"/>
                          <w:sz w:val="24"/>
                          <w:szCs w:val="24"/>
                        </w:rPr>
                      </w:pPr>
                      <w:r w:rsidRPr="0098472B">
                        <w:rPr>
                          <w:color w:val="203864"/>
                          <w:sz w:val="24"/>
                          <w:szCs w:val="24"/>
                        </w:rPr>
                        <w:t>“</w:t>
                      </w:r>
                      <w:r w:rsidRPr="0015731D">
                        <w:rPr>
                          <w:color w:val="203864"/>
                          <w:sz w:val="24"/>
                          <w:szCs w:val="24"/>
                        </w:rPr>
                        <w:t>In order to reduce the number of suicides we must increase the knowledge and understanding of suicide warning signs, risk and protective factors through a public health perspective</w:t>
                      </w:r>
                      <w:r w:rsidRPr="0098472B">
                        <w:rPr>
                          <w:color w:val="203864"/>
                          <w:sz w:val="24"/>
                          <w:szCs w:val="24"/>
                        </w:rPr>
                        <w:t>.”</w:t>
                      </w:r>
                    </w:p>
                    <w:p w14:paraId="535EB9F3" w14:textId="084A0E2A" w:rsidR="0079760B" w:rsidRPr="0098472B" w:rsidRDefault="0079760B" w:rsidP="0098472B">
                      <w:pPr>
                        <w:shd w:val="clear" w:color="auto" w:fill="EFF3FF"/>
                        <w:ind w:left="0" w:right="17"/>
                        <w:jc w:val="right"/>
                        <w:rPr>
                          <w:color w:val="203864"/>
                          <w:sz w:val="20"/>
                          <w:szCs w:val="20"/>
                        </w:rPr>
                      </w:pPr>
                      <w:r w:rsidRPr="0098472B">
                        <w:rPr>
                          <w:color w:val="203864"/>
                          <w:sz w:val="20"/>
                          <w:szCs w:val="20"/>
                        </w:rPr>
                        <w:t>Key Informant Interviewee</w:t>
                      </w:r>
                    </w:p>
                  </w:txbxContent>
                </v:textbox>
                <w10:wrap type="square" anchorx="margin" anchory="margin"/>
              </v:rect>
            </w:pict>
          </mc:Fallback>
        </mc:AlternateContent>
      </w:r>
      <w:r w:rsidR="00197870" w:rsidRPr="00471E8F">
        <w:rPr>
          <w:sz w:val="24"/>
          <w:szCs w:val="24"/>
        </w:rPr>
        <w:t>Suicide is the 10th leading cause of death in the US</w:t>
      </w:r>
      <w:bookmarkStart w:id="2" w:name="_Ref487720984"/>
      <w:r w:rsidR="00197870" w:rsidRPr="00471E8F">
        <w:rPr>
          <w:sz w:val="24"/>
          <w:szCs w:val="24"/>
        </w:rPr>
        <w:t>.</w:t>
      </w:r>
      <w:r w:rsidR="00197870" w:rsidRPr="00471E8F">
        <w:rPr>
          <w:rStyle w:val="EndnoteReference"/>
          <w:sz w:val="24"/>
          <w:szCs w:val="24"/>
        </w:rPr>
        <w:endnoteReference w:id="53"/>
      </w:r>
      <w:bookmarkEnd w:id="2"/>
      <w:r w:rsidR="00197870" w:rsidRPr="00471E8F">
        <w:rPr>
          <w:sz w:val="24"/>
          <w:szCs w:val="24"/>
        </w:rPr>
        <w:t xml:space="preserve"> In 2014, suicide was the second leading cause of death in individuals 15-29 years of age nationally</w:t>
      </w:r>
      <w:r w:rsidR="00133C0A" w:rsidRPr="00471E8F">
        <w:rPr>
          <w:sz w:val="24"/>
          <w:szCs w:val="24"/>
        </w:rPr>
        <w:t>,</w:t>
      </w:r>
      <w:r w:rsidR="00197870" w:rsidRPr="00471E8F">
        <w:rPr>
          <w:rStyle w:val="EndnoteReference"/>
          <w:sz w:val="24"/>
          <w:szCs w:val="24"/>
        </w:rPr>
        <w:endnoteReference w:id="54"/>
      </w:r>
      <w:r w:rsidR="00133C0A" w:rsidRPr="00471E8F">
        <w:rPr>
          <w:sz w:val="24"/>
          <w:szCs w:val="24"/>
        </w:rPr>
        <w:t xml:space="preserve"> </w:t>
      </w:r>
      <w:r w:rsidR="00197870" w:rsidRPr="00471E8F">
        <w:rPr>
          <w:sz w:val="24"/>
          <w:szCs w:val="24"/>
        </w:rPr>
        <w:t>and the second leading cause of death in individuals 15-24 years of age in the Commonwealth</w:t>
      </w:r>
      <w:r w:rsidR="00197870" w:rsidRPr="00471E8F">
        <w:rPr>
          <w:rStyle w:val="EndnoteReference"/>
          <w:sz w:val="24"/>
          <w:szCs w:val="24"/>
        </w:rPr>
        <w:endnoteReference w:id="55"/>
      </w:r>
      <w:r w:rsidR="00197870" w:rsidRPr="00471E8F">
        <w:rPr>
          <w:sz w:val="24"/>
          <w:szCs w:val="24"/>
        </w:rPr>
        <w:t>. In the same year, the Commonwealth ranked the third lowest in suicide incidence among the 50 states and the District of Columbia. The age-adjusted suicide rate in Massachusetts was also below the average for the total US population in 2014 (MA: 9.0 per 100,000 population; US: 12.9 per 100,000 population).</w:t>
      </w:r>
      <w:r w:rsidR="00197870" w:rsidRPr="00471E8F">
        <w:rPr>
          <w:rStyle w:val="EndnoteReference"/>
          <w:sz w:val="24"/>
          <w:szCs w:val="24"/>
        </w:rPr>
        <w:endnoteReference w:id="56"/>
      </w:r>
      <w:r w:rsidR="00197870" w:rsidRPr="00471E8F">
        <w:rPr>
          <w:sz w:val="24"/>
          <w:szCs w:val="24"/>
        </w:rPr>
        <w:t xml:space="preserve"> </w:t>
      </w:r>
    </w:p>
    <w:p w14:paraId="42B1B37B" w14:textId="77777777" w:rsidR="00197870" w:rsidRPr="00471E8F" w:rsidRDefault="00197870" w:rsidP="00E552D2">
      <w:pPr>
        <w:spacing w:line="360" w:lineRule="auto"/>
        <w:ind w:right="-360"/>
        <w:rPr>
          <w:sz w:val="24"/>
          <w:szCs w:val="24"/>
        </w:rPr>
      </w:pPr>
      <w:r w:rsidRPr="00471E8F">
        <w:rPr>
          <w:sz w:val="24"/>
          <w:szCs w:val="24"/>
        </w:rPr>
        <w:t xml:space="preserve">There are multiple factors that contribute to an individual’s risk for suicidal ideation. These risk factors may include a history of mental illness, alcohol and/or drug abuse, and feeling alone. </w:t>
      </w:r>
    </w:p>
    <w:p w14:paraId="363F4D5A" w14:textId="7B94BD51" w:rsidR="00197870" w:rsidRPr="00471E8F" w:rsidRDefault="00197870" w:rsidP="00E552D2">
      <w:pPr>
        <w:spacing w:line="360" w:lineRule="auto"/>
        <w:ind w:right="-360"/>
        <w:rPr>
          <w:sz w:val="24"/>
          <w:szCs w:val="24"/>
        </w:rPr>
      </w:pPr>
      <w:r w:rsidRPr="00471E8F">
        <w:rPr>
          <w:sz w:val="24"/>
          <w:szCs w:val="24"/>
        </w:rPr>
        <w:t>There are several social determinants of health that contribute to suicidal ideation. Economic and housing instability can add tremendous stress, increasing the risk of depression, anxiety, substance abuse, and suicidal thoughts and behavior.</w:t>
      </w:r>
      <w:r w:rsidRPr="00471E8F">
        <w:rPr>
          <w:rStyle w:val="EndnoteReference"/>
          <w:sz w:val="24"/>
          <w:szCs w:val="24"/>
        </w:rPr>
        <w:endnoteReference w:id="57"/>
      </w:r>
      <w:r w:rsidRPr="00471E8F">
        <w:rPr>
          <w:sz w:val="24"/>
          <w:szCs w:val="24"/>
        </w:rPr>
        <w:t xml:space="preserve"> The built environment can also shape risk of suicidal thoughts and behavior. Access to safe, shared spaces and common areas for people to interact, such as parks, community gardens, and community centers, is linked with decreased feelings of isolation and improved mental health and wellbeing.</w:t>
      </w:r>
      <w:r w:rsidRPr="00471E8F">
        <w:rPr>
          <w:rStyle w:val="EndnoteReference"/>
          <w:sz w:val="24"/>
          <w:szCs w:val="24"/>
        </w:rPr>
        <w:endnoteReference w:id="58"/>
      </w:r>
      <w:r w:rsidRPr="00471E8F">
        <w:rPr>
          <w:sz w:val="24"/>
          <w:szCs w:val="24"/>
        </w:rPr>
        <w:t xml:space="preserve"> Exposure to violence in the home and community increases the risk of poor mental health, depression, and suicidality.</w:t>
      </w:r>
      <w:r w:rsidRPr="00471E8F">
        <w:rPr>
          <w:rStyle w:val="EndnoteReference"/>
          <w:sz w:val="24"/>
          <w:szCs w:val="24"/>
        </w:rPr>
        <w:endnoteReference w:id="59"/>
      </w:r>
    </w:p>
    <w:p w14:paraId="35873D1A" w14:textId="77777777" w:rsidR="00197870" w:rsidRPr="00471E8F" w:rsidRDefault="00197870" w:rsidP="00E552D2">
      <w:pPr>
        <w:pStyle w:val="Heading4"/>
        <w:spacing w:line="360" w:lineRule="auto"/>
      </w:pPr>
      <w:r w:rsidRPr="00471E8F">
        <w:t xml:space="preserve">Trends/Disparities </w:t>
      </w:r>
    </w:p>
    <w:p w14:paraId="203FEC42" w14:textId="475A14C8" w:rsidR="00197870" w:rsidRPr="00471E8F" w:rsidRDefault="00197870" w:rsidP="00E552D2">
      <w:pPr>
        <w:spacing w:line="360" w:lineRule="auto"/>
        <w:ind w:right="-360"/>
        <w:rPr>
          <w:sz w:val="24"/>
          <w:szCs w:val="24"/>
        </w:rPr>
      </w:pPr>
      <w:r w:rsidRPr="00471E8F">
        <w:rPr>
          <w:sz w:val="24"/>
          <w:szCs w:val="24"/>
        </w:rPr>
        <w:t>In 2014, Massachusetts recorded 608 suicides</w:t>
      </w:r>
      <w:r w:rsidR="00B01D2C" w:rsidRPr="00471E8F">
        <w:rPr>
          <w:sz w:val="24"/>
          <w:szCs w:val="24"/>
        </w:rPr>
        <w:t>, which is two</w:t>
      </w:r>
      <w:r w:rsidRPr="00471E8F">
        <w:rPr>
          <w:sz w:val="24"/>
          <w:szCs w:val="24"/>
        </w:rPr>
        <w:t xml:space="preserve"> times higher than the number of motor vehicle traffic-related deaths and 4 times higher than homicide deaths. Suicide rates in Massachusetts have increased an average of 3.1% per year between 2004 and 2014, nearly twice the average annual increase across the US since 2004 (1.8% increase per year).</w:t>
      </w:r>
      <w:r w:rsidRPr="00471E8F">
        <w:rPr>
          <w:rStyle w:val="EndnoteReference"/>
          <w:sz w:val="24"/>
          <w:szCs w:val="24"/>
        </w:rPr>
        <w:endnoteReference w:id="60"/>
      </w:r>
      <w:r w:rsidRPr="00471E8F">
        <w:rPr>
          <w:sz w:val="24"/>
          <w:szCs w:val="24"/>
          <w:vertAlign w:val="superscript"/>
        </w:rPr>
        <w:t xml:space="preserve"> </w:t>
      </w:r>
      <w:r w:rsidRPr="00471E8F">
        <w:rPr>
          <w:sz w:val="24"/>
          <w:szCs w:val="24"/>
        </w:rPr>
        <w:t xml:space="preserve">From 2004 to 2014, the total increase in the suicide rate was 32.4% (2004: 6.8 per 100,000 population; 2014:  9.0 per 100,000 population). </w:t>
      </w:r>
    </w:p>
    <w:p w14:paraId="4F576356" w14:textId="28F95C9C" w:rsidR="00197870" w:rsidRPr="00471E8F" w:rsidRDefault="00197870" w:rsidP="00E552D2">
      <w:pPr>
        <w:spacing w:line="360" w:lineRule="auto"/>
        <w:ind w:right="-360"/>
        <w:rPr>
          <w:sz w:val="24"/>
          <w:szCs w:val="24"/>
        </w:rPr>
      </w:pPr>
      <w:r w:rsidRPr="00471E8F">
        <w:rPr>
          <w:sz w:val="24"/>
          <w:szCs w:val="24"/>
        </w:rPr>
        <w:lastRenderedPageBreak/>
        <w:t>Groups at high risk of suicide in Massachusetts includ</w:t>
      </w:r>
      <w:r w:rsidR="00EA52E7" w:rsidRPr="00471E8F">
        <w:rPr>
          <w:sz w:val="24"/>
          <w:szCs w:val="24"/>
        </w:rPr>
        <w:t>e middle-age W</w:t>
      </w:r>
      <w:r w:rsidRPr="00471E8F">
        <w:rPr>
          <w:sz w:val="24"/>
          <w:szCs w:val="24"/>
        </w:rPr>
        <w:t>hite males, LGBTQ youth, and individuals with mental health issues. White non-Hispanic males accounted for more than 75% of suicides in 2015.</w:t>
      </w:r>
      <w:r w:rsidRPr="00471E8F">
        <w:rPr>
          <w:rStyle w:val="EndnoteReference"/>
          <w:sz w:val="24"/>
          <w:szCs w:val="24"/>
        </w:rPr>
        <w:endnoteReference w:id="61"/>
      </w:r>
      <w:r w:rsidRPr="00471E8F">
        <w:rPr>
          <w:sz w:val="24"/>
          <w:szCs w:val="24"/>
        </w:rPr>
        <w:t xml:space="preserve">  While more males die from suicide than females, females are more likely than males to have suicidal thoughts and to attempt suicide.</w:t>
      </w:r>
      <w:r w:rsidRPr="00471E8F">
        <w:rPr>
          <w:rStyle w:val="EndnoteReference"/>
          <w:sz w:val="24"/>
          <w:szCs w:val="24"/>
        </w:rPr>
        <w:endnoteReference w:id="62"/>
      </w:r>
      <w:r w:rsidRPr="00471E8F">
        <w:rPr>
          <w:sz w:val="24"/>
          <w:szCs w:val="24"/>
        </w:rPr>
        <w:t xml:space="preserve"> </w:t>
      </w:r>
    </w:p>
    <w:p w14:paraId="668ABF65" w14:textId="77777777" w:rsidR="00197870" w:rsidRPr="00471E8F" w:rsidRDefault="00197870" w:rsidP="00E552D2">
      <w:pPr>
        <w:spacing w:line="360" w:lineRule="auto"/>
        <w:ind w:right="-360"/>
        <w:rPr>
          <w:sz w:val="24"/>
          <w:szCs w:val="24"/>
        </w:rPr>
      </w:pPr>
      <w:r w:rsidRPr="00471E8F">
        <w:rPr>
          <w:sz w:val="24"/>
          <w:szCs w:val="24"/>
        </w:rPr>
        <w:t xml:space="preserve">In 2014, the majority of suicides were among individuals 45-64 years of age (44%), reflecting a 4.1% average annual increase in the suicide rate for this age group from 2004 to 2014. </w:t>
      </w:r>
    </w:p>
    <w:p w14:paraId="017D4EFA" w14:textId="207F1919" w:rsidR="0098472B" w:rsidRPr="00471E8F" w:rsidRDefault="00D12B72" w:rsidP="00E552D2">
      <w:pPr>
        <w:spacing w:line="360" w:lineRule="auto"/>
        <w:ind w:right="-360"/>
        <w:rPr>
          <w:sz w:val="24"/>
          <w:szCs w:val="24"/>
        </w:rPr>
      </w:pPr>
      <w:r w:rsidRPr="00471E8F">
        <w:rPr>
          <w:sz w:val="24"/>
          <w:szCs w:val="24"/>
        </w:rPr>
        <w:t>The majority of suicides in Massachusetts (77%) occur among men</w:t>
      </w:r>
      <w:r w:rsidR="00197870" w:rsidRPr="00471E8F">
        <w:rPr>
          <w:sz w:val="24"/>
          <w:szCs w:val="24"/>
        </w:rPr>
        <w:t xml:space="preserve">. </w:t>
      </w:r>
      <w:r w:rsidR="0098472B" w:rsidRPr="00471E8F">
        <w:rPr>
          <w:sz w:val="24"/>
          <w:szCs w:val="24"/>
        </w:rPr>
        <w:t xml:space="preserve"> </w:t>
      </w:r>
      <w:r w:rsidR="00197870" w:rsidRPr="00471E8F">
        <w:rPr>
          <w:sz w:val="24"/>
          <w:szCs w:val="24"/>
        </w:rPr>
        <w:t xml:space="preserve">In 2014, the suicide rate for men was 3.6 times </w:t>
      </w:r>
      <w:r w:rsidRPr="00471E8F">
        <w:rPr>
          <w:sz w:val="24"/>
          <w:szCs w:val="24"/>
        </w:rPr>
        <w:t xml:space="preserve">higher </w:t>
      </w:r>
      <w:r w:rsidR="00133C0A" w:rsidRPr="00471E8F">
        <w:rPr>
          <w:sz w:val="24"/>
          <w:szCs w:val="24"/>
        </w:rPr>
        <w:t xml:space="preserve">than </w:t>
      </w:r>
      <w:r w:rsidR="00197870" w:rsidRPr="00471E8F">
        <w:rPr>
          <w:sz w:val="24"/>
          <w:szCs w:val="24"/>
        </w:rPr>
        <w:t xml:space="preserve">that for women (Males: 14.3 per 100,000 population; Females: 4.0 per 100,000 population). However, while there was an increase in the suicide rate for both sexes from 2004 to 2014, there was a sharper increase for women (48% increase) relative to males (29% increase). The highest male suicide rate was among individuals 85 years of age or older (29.5 per 100,000 population). Among women, the highest suicide rate was among individuals 45-54 years of age (7.3 per 100,000 population).While the suicide rate remains higher for men than women, the suicide attempt rate was 1.7 times higher among women than men (women: 120 per 100,000 population; men: 70 per 100,000 population). </w:t>
      </w:r>
    </w:p>
    <w:p w14:paraId="0D47FF9B" w14:textId="0D9753FA" w:rsidR="0098472B" w:rsidRPr="00471E8F" w:rsidRDefault="0098472B" w:rsidP="00E552D2">
      <w:pPr>
        <w:pStyle w:val="source0"/>
        <w:spacing w:line="360" w:lineRule="auto"/>
        <w:ind w:left="-360" w:right="-360"/>
        <w:rPr>
          <w:smallCaps w:val="0"/>
          <w:sz w:val="24"/>
          <w:szCs w:val="24"/>
        </w:rPr>
      </w:pPr>
      <w:r w:rsidRPr="00471E8F">
        <w:rPr>
          <w:smallCaps w:val="0"/>
          <w:sz w:val="24"/>
          <w:szCs w:val="24"/>
        </w:rPr>
        <w:t xml:space="preserve">For 2010 to 2014, the average annual age-adjusted suicide rate was highest among White non-Hispanic males (15.3 per 100,000 </w:t>
      </w:r>
      <w:proofErr w:type="gramStart"/>
      <w:r w:rsidRPr="00471E8F">
        <w:rPr>
          <w:smallCaps w:val="0"/>
          <w:sz w:val="24"/>
          <w:szCs w:val="24"/>
        </w:rPr>
        <w:t>population</w:t>
      </w:r>
      <w:proofErr w:type="gramEnd"/>
      <w:r w:rsidRPr="00471E8F">
        <w:rPr>
          <w:smallCaps w:val="0"/>
          <w:sz w:val="24"/>
          <w:szCs w:val="24"/>
        </w:rPr>
        <w:t xml:space="preserve">) and White non-Hispanic females (4.6 per 100,000 population) compared to Black non-Hispanic, Hispanic, and Asian/Pacific Islander males and females </w:t>
      </w:r>
      <w:r w:rsidRPr="00471E8F">
        <w:rPr>
          <w:b/>
          <w:smallCaps w:val="0"/>
          <w:sz w:val="24"/>
          <w:szCs w:val="24"/>
        </w:rPr>
        <w:t>(Figure 5.11)</w:t>
      </w:r>
      <w:r w:rsidRPr="00471E8F">
        <w:rPr>
          <w:smallCaps w:val="0"/>
          <w:sz w:val="24"/>
          <w:szCs w:val="24"/>
        </w:rPr>
        <w:t>.</w:t>
      </w:r>
    </w:p>
    <w:p w14:paraId="1E2588EB" w14:textId="7486FFBD" w:rsidR="0098472B" w:rsidRPr="00471E8F" w:rsidRDefault="0098472B" w:rsidP="00E552D2">
      <w:pPr>
        <w:spacing w:line="360" w:lineRule="auto"/>
        <w:ind w:right="-360"/>
        <w:rPr>
          <w:sz w:val="24"/>
          <w:szCs w:val="24"/>
        </w:rPr>
      </w:pPr>
      <w:r w:rsidRPr="00471E8F">
        <w:rPr>
          <w:sz w:val="24"/>
          <w:szCs w:val="24"/>
        </w:rPr>
        <w:t>The circumstances associated with suicide deaths in 2014 varied by age group. A current mental health issue (60%), history of treatment for mental illness (49%), and current treatment for mental illness (44%) were most prevalent among those between 45 and 64 compared to the other age groups.</w:t>
      </w:r>
      <w:r w:rsidR="00D12B72" w:rsidRPr="00471E8F">
        <w:rPr>
          <w:sz w:val="24"/>
          <w:szCs w:val="24"/>
        </w:rPr>
        <w:t xml:space="preserve"> The prevalence of </w:t>
      </w:r>
      <w:r w:rsidRPr="00471E8F">
        <w:rPr>
          <w:sz w:val="24"/>
          <w:szCs w:val="24"/>
        </w:rPr>
        <w:t>alcohol and/or substance abuse problem</w:t>
      </w:r>
      <w:r w:rsidR="00D12B72" w:rsidRPr="00471E8F">
        <w:rPr>
          <w:sz w:val="24"/>
          <w:szCs w:val="24"/>
        </w:rPr>
        <w:t>s</w:t>
      </w:r>
      <w:r w:rsidRPr="00471E8F">
        <w:rPr>
          <w:sz w:val="24"/>
          <w:szCs w:val="24"/>
        </w:rPr>
        <w:t xml:space="preserve"> (33%), history of suicide attempts (22%), and intimate partner problem</w:t>
      </w:r>
      <w:r w:rsidR="00D12B72" w:rsidRPr="00471E8F">
        <w:rPr>
          <w:sz w:val="24"/>
          <w:szCs w:val="24"/>
        </w:rPr>
        <w:t>s</w:t>
      </w:r>
      <w:r w:rsidRPr="00471E8F">
        <w:rPr>
          <w:sz w:val="24"/>
          <w:szCs w:val="24"/>
        </w:rPr>
        <w:t xml:space="preserve"> (20%) </w:t>
      </w:r>
      <w:r w:rsidR="00D12B72" w:rsidRPr="00471E8F">
        <w:rPr>
          <w:sz w:val="24"/>
          <w:szCs w:val="24"/>
        </w:rPr>
        <w:t xml:space="preserve">was highest among persons aged 25-44 </w:t>
      </w:r>
      <w:r w:rsidRPr="00471E8F">
        <w:rPr>
          <w:sz w:val="24"/>
          <w:szCs w:val="24"/>
        </w:rPr>
        <w:t>compared to th</w:t>
      </w:r>
      <w:r w:rsidR="00D12B72" w:rsidRPr="00471E8F">
        <w:rPr>
          <w:sz w:val="24"/>
          <w:szCs w:val="24"/>
        </w:rPr>
        <w:t>se in</w:t>
      </w:r>
      <w:r w:rsidRPr="00471E8F">
        <w:rPr>
          <w:sz w:val="24"/>
          <w:szCs w:val="24"/>
        </w:rPr>
        <w:t xml:space="preserve"> other age groups. </w:t>
      </w:r>
    </w:p>
    <w:p w14:paraId="316BAD39" w14:textId="77777777" w:rsidR="0098472B" w:rsidRDefault="0098472B" w:rsidP="00E552D2">
      <w:pPr>
        <w:spacing w:before="0" w:line="360" w:lineRule="auto"/>
        <w:ind w:left="0" w:right="0"/>
        <w:jc w:val="left"/>
        <w:rPr>
          <w:b/>
          <w:noProof w:val="0"/>
        </w:rPr>
      </w:pPr>
      <w:r>
        <w:br w:type="page"/>
      </w:r>
    </w:p>
    <w:p w14:paraId="0EE576A2" w14:textId="1EDA2289" w:rsidR="00197870" w:rsidRPr="00471E8F" w:rsidRDefault="00197870" w:rsidP="00E552D2">
      <w:pPr>
        <w:pStyle w:val="SHAFigureNumber"/>
        <w:spacing w:line="360" w:lineRule="auto"/>
        <w:rPr>
          <w:sz w:val="24"/>
          <w:szCs w:val="24"/>
        </w:rPr>
      </w:pPr>
      <w:r w:rsidRPr="00471E8F">
        <w:rPr>
          <w:sz w:val="24"/>
          <w:szCs w:val="24"/>
        </w:rPr>
        <w:lastRenderedPageBreak/>
        <w:t>Figure 5.10</w:t>
      </w:r>
    </w:p>
    <w:p w14:paraId="0C8B62BB" w14:textId="5F3F1A68" w:rsidR="007356E6" w:rsidRPr="00471E8F" w:rsidRDefault="007356E6" w:rsidP="00E552D2">
      <w:pPr>
        <w:pStyle w:val="SHAFigureNumber"/>
        <w:spacing w:line="360" w:lineRule="auto"/>
        <w:rPr>
          <w:sz w:val="24"/>
          <w:szCs w:val="24"/>
        </w:rPr>
      </w:pPr>
      <w:r w:rsidRPr="00471E8F">
        <w:rPr>
          <w:bCs/>
          <w:sz w:val="24"/>
          <w:szCs w:val="24"/>
        </w:rPr>
        <w:t>Suicide Rates by Sex and Age Group, Massachusetts, 2014 (N=608)</w:t>
      </w:r>
    </w:p>
    <w:p w14:paraId="1404CF90" w14:textId="7BA7343D" w:rsidR="00197870" w:rsidRPr="00015C8A" w:rsidRDefault="00AB351D" w:rsidP="00E552D2">
      <w:pPr>
        <w:pStyle w:val="Figtitle1"/>
        <w:keepNext/>
        <w:keepLines/>
        <w:spacing w:line="360" w:lineRule="auto"/>
        <w:ind w:left="-360" w:right="-360"/>
        <w:jc w:val="center"/>
      </w:pPr>
      <w:r>
        <w:rPr>
          <w:noProof/>
        </w:rPr>
        <w:drawing>
          <wp:inline distT="0" distB="0" distL="0" distR="0" wp14:anchorId="588C025E" wp14:editId="68D6B70C">
            <wp:extent cx="5786120" cy="3208866"/>
            <wp:effectExtent l="0" t="0" r="5080" b="0"/>
            <wp:docPr id="617" name="Chart 617" descr="This vertical bar graph shows the rate of suicide for nine age groups by sex. For 0-14 year olds, there was insufficient sample size to calculate the rate for both males and females.&#10;&#10;Among 15-24 year olds, the rate per 100,000 population was 10.5 for males and 4.0 for females.&#10;&#10;Among 25-34 year olds, the rate per 100,000 population was 17.8 for males and 4.5 for females.&#10;&#10;Among 35-44 year olds, the rate per 100,000 population was 13.7 for males and 3.7 for females.&#10;&#10;Among 45-54 year olds, the rate per 100,000 population was 24.5 for males and 7.3 for females.&#10;&#10;Among 55-64 year olds, the rate per 100,000 population was 20.0 for males and 6.1 for females.&#10;&#10;Among 65-74 year olds, the rate per 100,000 population was 15.4 for males and 4.3 for females.&#10;&#10;Among 75-84 year olds, the rate per 100,000 population was 16.2 for males; there was insufficient data to calculate the rate for females.&#10;&#10;Among those 85 and older, the rate per 100,000 population was 29.5 for males; there was insufficient data to calculate the rate for females.&#10;">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EFB01D6B-BE1D-48DD-B65D-45AAE1F774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79B8F52" w14:textId="50B0A6E4" w:rsidR="00197870" w:rsidRPr="00462303" w:rsidRDefault="00AB351D" w:rsidP="00E552D2">
      <w:pPr>
        <w:pStyle w:val="SHAFigureNote"/>
        <w:spacing w:line="360" w:lineRule="auto"/>
        <w:rPr>
          <w:sz w:val="22"/>
          <w:szCs w:val="22"/>
        </w:rPr>
      </w:pPr>
      <w:r w:rsidRPr="00462303">
        <w:rPr>
          <w:sz w:val="22"/>
          <w:szCs w:val="22"/>
        </w:rPr>
        <w:t xml:space="preserve">NOTE: </w:t>
      </w:r>
      <w:r w:rsidR="00133C0A">
        <w:rPr>
          <w:sz w:val="22"/>
          <w:szCs w:val="22"/>
        </w:rPr>
        <w:t xml:space="preserve">* </w:t>
      </w:r>
      <w:r w:rsidRPr="00462303">
        <w:rPr>
          <w:sz w:val="22"/>
          <w:szCs w:val="22"/>
        </w:rPr>
        <w:t>DENOTES INSUFFICIENT SAMPLE SIZE TO CALCULATE RATE</w:t>
      </w:r>
    </w:p>
    <w:p w14:paraId="6ECA84B5" w14:textId="77777777" w:rsidR="00471E8F" w:rsidRDefault="00471E8F">
      <w:pPr>
        <w:spacing w:before="0"/>
        <w:ind w:left="0" w:right="0"/>
        <w:jc w:val="left"/>
        <w:rPr>
          <w:b/>
          <w:noProof w:val="0"/>
          <w:sz w:val="24"/>
          <w:szCs w:val="24"/>
        </w:rPr>
      </w:pPr>
      <w:r>
        <w:rPr>
          <w:sz w:val="24"/>
          <w:szCs w:val="24"/>
        </w:rPr>
        <w:br w:type="page"/>
      </w:r>
    </w:p>
    <w:p w14:paraId="45D6059F" w14:textId="1A093888" w:rsidR="00197870" w:rsidRPr="00471E8F" w:rsidRDefault="00197870" w:rsidP="00E552D2">
      <w:pPr>
        <w:pStyle w:val="SHAFigureNumber"/>
        <w:spacing w:line="360" w:lineRule="auto"/>
        <w:rPr>
          <w:sz w:val="24"/>
          <w:szCs w:val="24"/>
        </w:rPr>
      </w:pPr>
      <w:r w:rsidRPr="00471E8F">
        <w:rPr>
          <w:sz w:val="24"/>
          <w:szCs w:val="24"/>
        </w:rPr>
        <w:lastRenderedPageBreak/>
        <w:t>Figure 5.11</w:t>
      </w:r>
    </w:p>
    <w:p w14:paraId="65A6869C" w14:textId="3309CB55" w:rsidR="007356E6" w:rsidRPr="00471E8F" w:rsidRDefault="007356E6" w:rsidP="00E552D2">
      <w:pPr>
        <w:pStyle w:val="SHAFigureNumber"/>
        <w:spacing w:line="360" w:lineRule="auto"/>
        <w:rPr>
          <w:sz w:val="24"/>
          <w:szCs w:val="24"/>
        </w:rPr>
      </w:pPr>
      <w:r w:rsidRPr="00471E8F">
        <w:rPr>
          <w:sz w:val="24"/>
          <w:szCs w:val="24"/>
        </w:rPr>
        <w:t>Average Annual Suicide Rates</w:t>
      </w:r>
      <w:r w:rsidR="00187D0C" w:rsidRPr="00471E8F">
        <w:rPr>
          <w:sz w:val="24"/>
          <w:szCs w:val="24"/>
        </w:rPr>
        <w:t>, by Sex and Race/Ethnicity, Massachusetts,</w:t>
      </w:r>
      <w:r w:rsidRPr="00471E8F">
        <w:rPr>
          <w:sz w:val="24"/>
          <w:szCs w:val="24"/>
        </w:rPr>
        <w:t xml:space="preserve"> 2010-2014 (N=3,006)</w:t>
      </w:r>
    </w:p>
    <w:p w14:paraId="3EA26D84" w14:textId="6ECB836D" w:rsidR="00197870" w:rsidRDefault="00AB351D" w:rsidP="00E552D2">
      <w:pPr>
        <w:pStyle w:val="source0"/>
        <w:spacing w:line="360" w:lineRule="auto"/>
        <w:ind w:left="-360" w:right="-360"/>
        <w:jc w:val="center"/>
      </w:pPr>
      <w:r>
        <w:rPr>
          <w:noProof/>
        </w:rPr>
        <w:drawing>
          <wp:inline distT="0" distB="0" distL="0" distR="0" wp14:anchorId="107DDA39" wp14:editId="4C6EC2DD">
            <wp:extent cx="5681345" cy="3005667"/>
            <wp:effectExtent l="0" t="0" r="0" b="4445"/>
            <wp:docPr id="619" name="Chart 619" descr="This vertical bar graph shows the average annual suicide rate for each race/ethnicity overall and by sex. &#10;&#10;The rate per 100,000 population among White non-Hispanics was 9.8 overall, 15.3 among males, and 4.6 among females.&#10;&#10;The rate per 100,000 population among Black non-Hispanics was 3.9 overall, 6.5 among males, and 1.5 among females.&#10;&#10;The rate per 100,000 population among Hispanics was 4.3 overall, 7.4 among males, and 1.5 among females.&#10;&#10;The rate per 100,000 population among Asian non-Hispanics was 4.5 overall, 6.0 among males, and 3.1 among females.&#10;">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5F0DBB38-F18D-4677-AF39-C43CF3D31A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CF0B02A" w14:textId="77777777" w:rsidR="00197870" w:rsidRPr="008D72E9" w:rsidRDefault="00197870" w:rsidP="00E552D2">
      <w:pPr>
        <w:pStyle w:val="Heading1"/>
        <w:spacing w:line="360" w:lineRule="auto"/>
      </w:pPr>
      <w:r w:rsidRPr="008D72E9">
        <w:t>Violence</w:t>
      </w:r>
    </w:p>
    <w:p w14:paraId="48A314CC" w14:textId="1ABEAD30" w:rsidR="00197870" w:rsidRPr="00471E8F" w:rsidRDefault="00197870" w:rsidP="00E552D2">
      <w:pPr>
        <w:spacing w:line="360" w:lineRule="auto"/>
        <w:ind w:right="-360"/>
        <w:rPr>
          <w:sz w:val="24"/>
          <w:szCs w:val="24"/>
        </w:rPr>
      </w:pPr>
      <w:r w:rsidRPr="00471E8F">
        <w:rPr>
          <w:sz w:val="24"/>
          <w:szCs w:val="24"/>
        </w:rPr>
        <w:t xml:space="preserve">Violence is a serious public health issue in Massachusetts and in the US. On average, every week in 2014 in Massachusetts, three people died by homicide, more than 37 </w:t>
      </w:r>
      <w:r w:rsidR="00133C0A" w:rsidRPr="00471E8F">
        <w:rPr>
          <w:sz w:val="24"/>
          <w:szCs w:val="24"/>
        </w:rPr>
        <w:t xml:space="preserve">individuals </w:t>
      </w:r>
      <w:r w:rsidRPr="00471E8F">
        <w:rPr>
          <w:sz w:val="24"/>
          <w:szCs w:val="24"/>
        </w:rPr>
        <w:t xml:space="preserve">spent time in the hospital, and more than 440 </w:t>
      </w:r>
      <w:r w:rsidR="00133C0A" w:rsidRPr="00471E8F">
        <w:rPr>
          <w:sz w:val="24"/>
          <w:szCs w:val="24"/>
        </w:rPr>
        <w:t xml:space="preserve">individuals </w:t>
      </w:r>
      <w:r w:rsidRPr="00471E8F">
        <w:rPr>
          <w:sz w:val="24"/>
          <w:szCs w:val="24"/>
        </w:rPr>
        <w:t xml:space="preserve">visited an emergency department because of an injury from an assault.  </w:t>
      </w:r>
    </w:p>
    <w:p w14:paraId="3361B246" w14:textId="77777777" w:rsidR="00197870" w:rsidRPr="00471E8F" w:rsidRDefault="00197870" w:rsidP="00E552D2">
      <w:pPr>
        <w:spacing w:line="360" w:lineRule="auto"/>
        <w:ind w:right="-360"/>
        <w:rPr>
          <w:rFonts w:ascii="Calibri" w:eastAsia="Times New Roman" w:hAnsi="Calibri" w:cs="Calibri"/>
          <w:sz w:val="24"/>
          <w:szCs w:val="24"/>
        </w:rPr>
      </w:pPr>
      <w:r w:rsidRPr="00471E8F">
        <w:rPr>
          <w:sz w:val="24"/>
          <w:szCs w:val="24"/>
        </w:rPr>
        <w:t xml:space="preserve">Preventing violence is an essential aspect to achieving health equity. </w:t>
      </w:r>
      <w:r w:rsidRPr="00471E8F">
        <w:rPr>
          <w:rFonts w:ascii="Calibri" w:eastAsia="Times New Roman" w:hAnsi="Calibri" w:cs="Calibri"/>
          <w:sz w:val="24"/>
          <w:szCs w:val="24"/>
        </w:rPr>
        <w:t xml:space="preserve">Due to historical and present-day social and economic inequalities, communities with lower socioeconomic status, communities of color, LGBTQ communities, people with disabilities, and other vulnerable populations such as young women, children, and the elderly, are at increased risk for experiencing violence across the lifespan. </w:t>
      </w:r>
    </w:p>
    <w:p w14:paraId="4600EAF1" w14:textId="77777777" w:rsidR="00197870" w:rsidRPr="00471E8F" w:rsidRDefault="00197870" w:rsidP="00E552D2">
      <w:pPr>
        <w:spacing w:line="360" w:lineRule="auto"/>
        <w:ind w:right="-360"/>
        <w:rPr>
          <w:sz w:val="24"/>
          <w:szCs w:val="24"/>
        </w:rPr>
      </w:pPr>
      <w:r w:rsidRPr="00471E8F">
        <w:rPr>
          <w:sz w:val="24"/>
          <w:szCs w:val="24"/>
        </w:rPr>
        <w:t xml:space="preserve">Violence can be prevented through a public health approach even though this issue is often seen as a criminal justice matter.  For example, violence can be avoided after modifying factors that lower the risk for someone to commit a violent act. Also, both short and long term effects of violence can be prevented or reduced through the care of the survivors. </w:t>
      </w:r>
    </w:p>
    <w:p w14:paraId="2C41EC47" w14:textId="77777777" w:rsidR="00197870" w:rsidRPr="00471E8F" w:rsidRDefault="00197870" w:rsidP="00E552D2">
      <w:pPr>
        <w:pStyle w:val="Heading3"/>
        <w:spacing w:line="360" w:lineRule="auto"/>
        <w:rPr>
          <w:sz w:val="24"/>
          <w:szCs w:val="24"/>
        </w:rPr>
      </w:pPr>
      <w:r w:rsidRPr="00471E8F">
        <w:rPr>
          <w:sz w:val="24"/>
          <w:szCs w:val="24"/>
        </w:rPr>
        <w:lastRenderedPageBreak/>
        <w:t>Homicide and Assault</w:t>
      </w:r>
    </w:p>
    <w:p w14:paraId="781239A1" w14:textId="77777777" w:rsidR="00197870" w:rsidRPr="00471E8F" w:rsidRDefault="00197870" w:rsidP="00E552D2">
      <w:pPr>
        <w:spacing w:line="360" w:lineRule="auto"/>
        <w:ind w:right="-360"/>
        <w:rPr>
          <w:sz w:val="24"/>
          <w:szCs w:val="24"/>
        </w:rPr>
      </w:pPr>
      <w:r w:rsidRPr="00471E8F">
        <w:rPr>
          <w:sz w:val="24"/>
          <w:szCs w:val="24"/>
        </w:rPr>
        <w:t xml:space="preserve">Homicide is the third leading cause of death for Massachusetts residents 15-24 years of age and the sixth leading cause of death for those 25-44 years of age. In 2014, there were 147 homicides in Massachusetts. In 2013, there were 2,106 non-fatal assault-related hospital stays and 24,511 non-fatal assault-related emergency department visits. </w:t>
      </w:r>
    </w:p>
    <w:p w14:paraId="6E39CD85" w14:textId="77777777" w:rsidR="00197870" w:rsidRPr="00471E8F" w:rsidRDefault="00197870" w:rsidP="00E552D2">
      <w:pPr>
        <w:spacing w:line="360" w:lineRule="auto"/>
        <w:ind w:right="-360"/>
        <w:rPr>
          <w:sz w:val="24"/>
          <w:szCs w:val="24"/>
        </w:rPr>
      </w:pPr>
      <w:r w:rsidRPr="00471E8F">
        <w:rPr>
          <w:sz w:val="24"/>
          <w:szCs w:val="24"/>
        </w:rPr>
        <w:t xml:space="preserve">Homicides and assault-related injuries resulting in a non-fatal injury are an important public health problem for which evidence-based prevention strategies exist. </w:t>
      </w:r>
    </w:p>
    <w:p w14:paraId="3A8E6738" w14:textId="77777777" w:rsidR="00197870" w:rsidRPr="00471E8F" w:rsidRDefault="00197870" w:rsidP="00E552D2">
      <w:pPr>
        <w:pStyle w:val="Heading4"/>
        <w:spacing w:line="360" w:lineRule="auto"/>
      </w:pPr>
      <w:r w:rsidRPr="00471E8F">
        <w:t xml:space="preserve">Trends/Disparities </w:t>
      </w:r>
    </w:p>
    <w:p w14:paraId="041AAB96" w14:textId="77777777" w:rsidR="00197870" w:rsidRPr="00471E8F" w:rsidRDefault="00197870" w:rsidP="00E552D2">
      <w:pPr>
        <w:spacing w:line="360" w:lineRule="auto"/>
        <w:ind w:right="-360"/>
        <w:rPr>
          <w:sz w:val="24"/>
          <w:szCs w:val="24"/>
        </w:rPr>
      </w:pPr>
      <w:r w:rsidRPr="00471E8F">
        <w:rPr>
          <w:sz w:val="24"/>
          <w:szCs w:val="24"/>
        </w:rPr>
        <w:t xml:space="preserve">Homicides in Massachusetts decreased from 175 to 155 between 2004 and 2013 (from 2.8 to 2.3 per 100,000 population). Homicide victimization rates fell 48% among young people ages 15-24 during this time period. The total number of hospital stays for non-fatal assault-related injuries increased from 2,075 in 2004 to a high of 2,531 in 2010, then decreased to 2,106 in 2013. </w:t>
      </w:r>
    </w:p>
    <w:p w14:paraId="582C43C6" w14:textId="14438C7F" w:rsidR="00471E8F" w:rsidRDefault="00197870" w:rsidP="00E552D2">
      <w:pPr>
        <w:spacing w:line="360" w:lineRule="auto"/>
        <w:ind w:right="-360"/>
        <w:rPr>
          <w:sz w:val="24"/>
          <w:szCs w:val="24"/>
        </w:rPr>
      </w:pPr>
      <w:r w:rsidRPr="00471E8F">
        <w:rPr>
          <w:sz w:val="24"/>
          <w:szCs w:val="24"/>
        </w:rPr>
        <w:t xml:space="preserve">Rates of homicide and non-fatal assault-related injuries differ by gender, age group, race/ethnicity, and geographic area. Homicide and non-fatal assault-related injuries disproportionately affect Black non-Hispanic males 15-24 years of age and older. Similar to homicide victimization rates, youth and young adults from 15-24 </w:t>
      </w:r>
      <w:r w:rsidR="00AD7437" w:rsidRPr="00471E8F">
        <w:rPr>
          <w:sz w:val="24"/>
          <w:szCs w:val="24"/>
        </w:rPr>
        <w:t xml:space="preserve">years of age </w:t>
      </w:r>
      <w:r w:rsidRPr="00471E8F">
        <w:rPr>
          <w:sz w:val="24"/>
          <w:szCs w:val="24"/>
        </w:rPr>
        <w:t xml:space="preserve">had the highest hospital stay rates for assault-related injuries, but were also the only age group in which rates decreased significantly, a 32% decline over this period.  Adults </w:t>
      </w:r>
      <w:r w:rsidR="00AD7437" w:rsidRPr="00471E8F">
        <w:rPr>
          <w:sz w:val="24"/>
          <w:szCs w:val="24"/>
        </w:rPr>
        <w:t xml:space="preserve">ages </w:t>
      </w:r>
      <w:r w:rsidRPr="00471E8F">
        <w:rPr>
          <w:sz w:val="24"/>
          <w:szCs w:val="24"/>
        </w:rPr>
        <w:t>25-64 had the second highest hospital stay rates for assault-related injuries. Hospital stay rates were lowest in children ages 0-14 and adults ages 65+ and remained fairly stable over this time period.</w:t>
      </w:r>
      <w:r w:rsidRPr="00471E8F">
        <w:rPr>
          <w:rStyle w:val="EndnoteReference"/>
          <w:sz w:val="24"/>
          <w:szCs w:val="24"/>
        </w:rPr>
        <w:endnoteReference w:id="63"/>
      </w:r>
    </w:p>
    <w:p w14:paraId="7E71A88B" w14:textId="77777777" w:rsidR="00471E8F" w:rsidRDefault="00471E8F">
      <w:pPr>
        <w:spacing w:before="0"/>
        <w:ind w:left="0" w:right="0"/>
        <w:jc w:val="left"/>
        <w:rPr>
          <w:sz w:val="24"/>
          <w:szCs w:val="24"/>
        </w:rPr>
      </w:pPr>
      <w:r>
        <w:rPr>
          <w:sz w:val="24"/>
          <w:szCs w:val="24"/>
        </w:rPr>
        <w:br w:type="page"/>
      </w:r>
    </w:p>
    <w:p w14:paraId="2B895247" w14:textId="3530D906" w:rsidR="00197870" w:rsidRPr="00471E8F" w:rsidRDefault="00197870" w:rsidP="00E552D2">
      <w:pPr>
        <w:spacing w:line="360" w:lineRule="auto"/>
        <w:ind w:right="-360"/>
        <w:jc w:val="center"/>
        <w:rPr>
          <w:b/>
          <w:sz w:val="24"/>
          <w:szCs w:val="24"/>
        </w:rPr>
      </w:pPr>
      <w:r w:rsidRPr="00471E8F">
        <w:rPr>
          <w:b/>
          <w:sz w:val="24"/>
          <w:szCs w:val="24"/>
        </w:rPr>
        <w:lastRenderedPageBreak/>
        <w:t>Figure 5.12</w:t>
      </w:r>
    </w:p>
    <w:p w14:paraId="4E264802" w14:textId="5BF0F4B8" w:rsidR="00197870" w:rsidRPr="00471E8F" w:rsidRDefault="00197870" w:rsidP="00E552D2">
      <w:pPr>
        <w:pStyle w:val="SHAFigureNumber"/>
        <w:spacing w:line="360" w:lineRule="auto"/>
        <w:rPr>
          <w:sz w:val="24"/>
          <w:szCs w:val="24"/>
        </w:rPr>
      </w:pPr>
      <w:r w:rsidRPr="00471E8F">
        <w:rPr>
          <w:sz w:val="24"/>
          <w:szCs w:val="24"/>
        </w:rPr>
        <w:t>Homicide Victimization</w:t>
      </w:r>
      <w:r w:rsidR="00925A89" w:rsidRPr="00471E8F">
        <w:rPr>
          <w:sz w:val="24"/>
          <w:szCs w:val="24"/>
        </w:rPr>
        <w:t xml:space="preserve"> a</w:t>
      </w:r>
      <w:r w:rsidRPr="00471E8F">
        <w:rPr>
          <w:sz w:val="24"/>
          <w:szCs w:val="24"/>
        </w:rPr>
        <w:t xml:space="preserve">mong Massachusetts Residents by Age Group, </w:t>
      </w:r>
      <w:r w:rsidR="00B93A69" w:rsidRPr="00471E8F">
        <w:rPr>
          <w:sz w:val="24"/>
          <w:szCs w:val="24"/>
        </w:rPr>
        <w:t xml:space="preserve">Federal </w:t>
      </w:r>
      <w:r w:rsidR="00133C0A" w:rsidRPr="00471E8F">
        <w:rPr>
          <w:sz w:val="24"/>
          <w:szCs w:val="24"/>
        </w:rPr>
        <w:t xml:space="preserve">Fiscal Year, </w:t>
      </w:r>
      <w:r w:rsidRPr="00471E8F">
        <w:rPr>
          <w:sz w:val="24"/>
          <w:szCs w:val="24"/>
        </w:rPr>
        <w:t>2004-2013</w:t>
      </w:r>
      <w:r w:rsidR="006E2514" w:rsidRPr="00471E8F">
        <w:rPr>
          <w:sz w:val="24"/>
          <w:szCs w:val="24"/>
        </w:rPr>
        <w:t>*</w:t>
      </w:r>
    </w:p>
    <w:p w14:paraId="2DA542E1" w14:textId="784742EC" w:rsidR="00197870" w:rsidRPr="00471E8F" w:rsidRDefault="00AB351D" w:rsidP="00E552D2">
      <w:pPr>
        <w:pStyle w:val="SHAFigureNote"/>
        <w:spacing w:line="360" w:lineRule="auto"/>
        <w:rPr>
          <w:sz w:val="24"/>
          <w:szCs w:val="24"/>
        </w:rPr>
      </w:pPr>
      <w:r w:rsidRPr="00471E8F">
        <w:rPr>
          <w:noProof/>
          <w:sz w:val="24"/>
          <w:szCs w:val="24"/>
        </w:rPr>
        <w:drawing>
          <wp:inline distT="0" distB="0" distL="0" distR="0" wp14:anchorId="60DF4B46" wp14:editId="3D0611C9">
            <wp:extent cx="5434013" cy="3148013"/>
            <wp:effectExtent l="0" t="0" r="0" b="0"/>
            <wp:docPr id="620" name="Chart 620" descr="This line graph shows the trend in homicide rates for four age groups – 0-14, 15-24, 25-64, and 65+.&#10;&#10;Among 15-24 year olds, the rate was 9.1 per 100,000 in 2004 and decreased through 2009. There was an increase in 2010 and then the rate again decreased to 4.7 per 100,000 in 2013.&#10;&#10;The rate among 25-64 year olds was flat during this time period, with 2.3 homicides per 100,000 population in 2004 and 2.4 in 2013.&#10;&#10;The rate among those 65 and older fluctuated during this time period. In 2004, the rate was 0.6 per 100,000 and in 2013 it was 1.2 per 100,000.&#10;&#10;The homicide rate among those 0-14 was relatively stable during this time. There were 0.8 homicides per 100,000 population in 2004 and 0.9 per 100,000 in 2013.&#10;">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42466320-66FC-401B-90D3-246B6F7187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E0289B5" w14:textId="3269A605" w:rsidR="00E552D2" w:rsidRPr="00471E8F" w:rsidRDefault="00E552D2">
      <w:pPr>
        <w:spacing w:before="0"/>
        <w:ind w:left="0" w:right="0"/>
        <w:jc w:val="left"/>
        <w:rPr>
          <w:noProof w:val="0"/>
          <w:sz w:val="24"/>
          <w:szCs w:val="24"/>
        </w:rPr>
      </w:pPr>
      <w:r w:rsidRPr="00471E8F">
        <w:rPr>
          <w:sz w:val="24"/>
          <w:szCs w:val="24"/>
        </w:rPr>
        <w:br w:type="page"/>
      </w:r>
    </w:p>
    <w:p w14:paraId="05F3A2DE" w14:textId="667B3499" w:rsidR="007356E6" w:rsidRPr="00471E8F" w:rsidRDefault="007356E6" w:rsidP="00E552D2">
      <w:pPr>
        <w:pStyle w:val="SHAFigureNumber"/>
        <w:spacing w:line="360" w:lineRule="auto"/>
        <w:rPr>
          <w:sz w:val="24"/>
          <w:szCs w:val="24"/>
        </w:rPr>
      </w:pPr>
      <w:r w:rsidRPr="00471E8F">
        <w:rPr>
          <w:sz w:val="24"/>
          <w:szCs w:val="24"/>
        </w:rPr>
        <w:lastRenderedPageBreak/>
        <w:t>Figure 5.</w:t>
      </w:r>
      <w:r w:rsidR="002B3609" w:rsidRPr="00471E8F">
        <w:rPr>
          <w:sz w:val="24"/>
          <w:szCs w:val="24"/>
        </w:rPr>
        <w:t>13</w:t>
      </w:r>
    </w:p>
    <w:p w14:paraId="77E6C2C6" w14:textId="4D3A9849" w:rsidR="00197870" w:rsidRPr="00471E8F" w:rsidRDefault="00197870" w:rsidP="00E552D2">
      <w:pPr>
        <w:pStyle w:val="SHAFigureNumber"/>
        <w:spacing w:line="360" w:lineRule="auto"/>
        <w:rPr>
          <w:sz w:val="24"/>
          <w:szCs w:val="24"/>
        </w:rPr>
      </w:pPr>
      <w:r w:rsidRPr="00471E8F">
        <w:rPr>
          <w:sz w:val="24"/>
          <w:szCs w:val="24"/>
        </w:rPr>
        <w:t>Hospital Stay Rates for Assault-</w:t>
      </w:r>
      <w:r w:rsidR="005F55D7" w:rsidRPr="00471E8F">
        <w:rPr>
          <w:sz w:val="24"/>
          <w:szCs w:val="24"/>
        </w:rPr>
        <w:t>R</w:t>
      </w:r>
      <w:r w:rsidRPr="00471E8F">
        <w:rPr>
          <w:sz w:val="24"/>
          <w:szCs w:val="24"/>
        </w:rPr>
        <w:t>elated Injuries by Age Group, M</w:t>
      </w:r>
      <w:r w:rsidR="001A3139" w:rsidRPr="00471E8F">
        <w:rPr>
          <w:sz w:val="24"/>
          <w:szCs w:val="24"/>
        </w:rPr>
        <w:t>assachusetts</w:t>
      </w:r>
      <w:r w:rsidRPr="00471E8F">
        <w:rPr>
          <w:sz w:val="24"/>
          <w:szCs w:val="24"/>
        </w:rPr>
        <w:t xml:space="preserve">, </w:t>
      </w:r>
      <w:r w:rsidR="00B93A69" w:rsidRPr="00471E8F">
        <w:rPr>
          <w:sz w:val="24"/>
          <w:szCs w:val="24"/>
        </w:rPr>
        <w:t xml:space="preserve">Federal </w:t>
      </w:r>
      <w:r w:rsidR="00187D0C" w:rsidRPr="00471E8F">
        <w:rPr>
          <w:sz w:val="24"/>
          <w:szCs w:val="24"/>
        </w:rPr>
        <w:t>Fiscal Year</w:t>
      </w:r>
      <w:r w:rsidR="00B93A69" w:rsidRPr="00471E8F">
        <w:rPr>
          <w:sz w:val="24"/>
          <w:szCs w:val="24"/>
        </w:rPr>
        <w:t>,</w:t>
      </w:r>
      <w:r w:rsidR="00187D0C" w:rsidRPr="00471E8F">
        <w:rPr>
          <w:sz w:val="24"/>
          <w:szCs w:val="24"/>
        </w:rPr>
        <w:t xml:space="preserve"> </w:t>
      </w:r>
      <w:r w:rsidRPr="00471E8F">
        <w:rPr>
          <w:sz w:val="24"/>
          <w:szCs w:val="24"/>
        </w:rPr>
        <w:t>2004-2013</w:t>
      </w:r>
      <w:r w:rsidR="006E2514" w:rsidRPr="00471E8F">
        <w:rPr>
          <w:sz w:val="24"/>
          <w:szCs w:val="24"/>
        </w:rPr>
        <w:t>*</w:t>
      </w:r>
    </w:p>
    <w:p w14:paraId="6ACB2CCC" w14:textId="33BB0DC5" w:rsidR="00197870" w:rsidRPr="00471E8F" w:rsidRDefault="00AB351D" w:rsidP="00E552D2">
      <w:pPr>
        <w:spacing w:before="0" w:after="0" w:line="360" w:lineRule="auto"/>
        <w:ind w:right="-360"/>
        <w:jc w:val="center"/>
        <w:rPr>
          <w:sz w:val="24"/>
          <w:szCs w:val="24"/>
        </w:rPr>
      </w:pPr>
      <w:r w:rsidRPr="00471E8F">
        <w:rPr>
          <w:sz w:val="24"/>
          <w:szCs w:val="24"/>
        </w:rPr>
        <w:drawing>
          <wp:inline distT="0" distB="0" distL="0" distR="0" wp14:anchorId="2A0C07A0" wp14:editId="1973B8DA">
            <wp:extent cx="5291138" cy="2805113"/>
            <wp:effectExtent l="0" t="0" r="5080" b="0"/>
            <wp:docPr id="621" name="Chart 621" descr="This line graph shows the trend in hospitalizations due to assault-related injuries.  Among 15-24 year olds hospitalization rates for assault-related injuries decreased from 83.7 per 100,000 in 2004 to 57.2 per 100,000 in 2013.&#10;&#10;Among 25-64 year olds, the rate increased from 34.3 per 100,000 in 2004 to 38.7 per 100,000 in 2013.&#10;&#10;Among both 0-14 year olds and those 65 and older, the rate was stable. Among 0-14 year olds the rate was 7.7 in 2004 and 7.8 in 2013. Among those 65 and older, the rate was 6.8 in 2004 and 7.2 in 2013.&#10;">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2CDDAFB0-769C-4AA8-BCEB-2887FA7F1A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F929E25" w14:textId="45E92CA2" w:rsidR="00B93A69" w:rsidRPr="00471E8F" w:rsidRDefault="006E2514" w:rsidP="00E552D2">
      <w:pPr>
        <w:pStyle w:val="SHAFigureNote"/>
        <w:spacing w:line="360" w:lineRule="auto"/>
        <w:contextualSpacing/>
        <w:rPr>
          <w:sz w:val="24"/>
          <w:szCs w:val="24"/>
        </w:rPr>
      </w:pPr>
      <w:r w:rsidRPr="00471E8F">
        <w:rPr>
          <w:sz w:val="24"/>
          <w:szCs w:val="24"/>
        </w:rPr>
        <w:t>*</w:t>
      </w:r>
      <w:r w:rsidR="007356E6" w:rsidRPr="00471E8F">
        <w:rPr>
          <w:sz w:val="24"/>
          <w:szCs w:val="24"/>
        </w:rPr>
        <w:t>SOURCE</w:t>
      </w:r>
      <w:r w:rsidR="00B93A69" w:rsidRPr="00471E8F">
        <w:rPr>
          <w:sz w:val="24"/>
          <w:szCs w:val="24"/>
        </w:rPr>
        <w:t xml:space="preserve"> FOR BOTH</w:t>
      </w:r>
      <w:r w:rsidR="00D12B72" w:rsidRPr="00471E8F">
        <w:rPr>
          <w:sz w:val="24"/>
          <w:szCs w:val="24"/>
        </w:rPr>
        <w:t xml:space="preserve"> </w:t>
      </w:r>
      <w:r w:rsidR="00B93A69" w:rsidRPr="00471E8F">
        <w:rPr>
          <w:sz w:val="24"/>
          <w:szCs w:val="24"/>
        </w:rPr>
        <w:t>5.12 AND 5.13:</w:t>
      </w:r>
      <w:r w:rsidR="007356E6" w:rsidRPr="00471E8F">
        <w:rPr>
          <w:sz w:val="24"/>
          <w:szCs w:val="24"/>
        </w:rPr>
        <w:t xml:space="preserve"> </w:t>
      </w:r>
      <w:r w:rsidR="001A3139" w:rsidRPr="00471E8F">
        <w:rPr>
          <w:sz w:val="24"/>
          <w:szCs w:val="24"/>
        </w:rPr>
        <w:t xml:space="preserve">CHIA, </w:t>
      </w:r>
      <w:r w:rsidR="007356E6" w:rsidRPr="00471E8F">
        <w:rPr>
          <w:sz w:val="24"/>
          <w:szCs w:val="24"/>
        </w:rPr>
        <w:t>MA INPATIENT HOSPITAL DISCHARGE,</w:t>
      </w:r>
    </w:p>
    <w:p w14:paraId="0F828C84" w14:textId="16C9CEA8" w:rsidR="00197870" w:rsidRPr="00471E8F" w:rsidRDefault="007356E6" w:rsidP="00E552D2">
      <w:pPr>
        <w:pStyle w:val="SHAFigureNote"/>
        <w:spacing w:line="360" w:lineRule="auto"/>
        <w:contextualSpacing/>
        <w:rPr>
          <w:sz w:val="24"/>
          <w:szCs w:val="24"/>
        </w:rPr>
      </w:pPr>
      <w:r w:rsidRPr="00471E8F">
        <w:rPr>
          <w:sz w:val="24"/>
          <w:szCs w:val="24"/>
        </w:rPr>
        <w:t xml:space="preserve"> OUTPATIENT OBSERVATION STAY DATABASES</w:t>
      </w:r>
    </w:p>
    <w:p w14:paraId="7DA6DE7C" w14:textId="77777777" w:rsidR="00133C0A" w:rsidRPr="00471E8F" w:rsidRDefault="00133C0A" w:rsidP="00E552D2">
      <w:pPr>
        <w:spacing w:line="360" w:lineRule="auto"/>
        <w:ind w:right="-360"/>
        <w:rPr>
          <w:sz w:val="24"/>
          <w:szCs w:val="24"/>
        </w:rPr>
      </w:pPr>
    </w:p>
    <w:p w14:paraId="1E5567EA" w14:textId="39AEB01B" w:rsidR="00197870" w:rsidRPr="00471E8F" w:rsidRDefault="00197870" w:rsidP="00E552D2">
      <w:pPr>
        <w:spacing w:line="360" w:lineRule="auto"/>
        <w:ind w:right="-360"/>
        <w:rPr>
          <w:sz w:val="24"/>
          <w:szCs w:val="24"/>
        </w:rPr>
      </w:pPr>
      <w:r w:rsidRPr="00471E8F">
        <w:rPr>
          <w:sz w:val="24"/>
          <w:szCs w:val="24"/>
        </w:rPr>
        <w:t>In 2014, homicide victimization rates among males were 5.3 times higher than among females (3.7 per 100,000 population versus 0.7 per 100,000 population). For the total population, the highest homicide victimization rate by age group was among persons 15-24 (4.8 per 100,000 population) and 25-34 year olds (4.6 per 100,000 population). The homicide victimization rate for both these age groups was twice the overall statewide rate of 2.2 per 100,000 population.</w:t>
      </w:r>
    </w:p>
    <w:p w14:paraId="4D804C2E" w14:textId="77777777" w:rsidR="00197870" w:rsidRPr="00471E8F" w:rsidRDefault="00197870" w:rsidP="00E552D2">
      <w:pPr>
        <w:spacing w:line="360" w:lineRule="auto"/>
        <w:ind w:right="-360"/>
        <w:rPr>
          <w:sz w:val="24"/>
          <w:szCs w:val="24"/>
        </w:rPr>
      </w:pPr>
      <w:r w:rsidRPr="00471E8F">
        <w:rPr>
          <w:sz w:val="24"/>
          <w:szCs w:val="24"/>
        </w:rPr>
        <w:t xml:space="preserve">In 2013, rates of non-fatal assault-related hospital stays (50.4 per 100,000 population) for males were 3.8 times higher than among females (13.3 per 100,000 population). Male rates of non-fatal assault-related emergency department visits were 1.6 times higher than female rates (455.1 per 100,000 population versus 290.6 per 100,000 population). Non-fatal assault-related hospital stay rates were highest among Black non-Hispanic residents (103.4 per 100,000 population), followed by Hispanic residents (51.8 per 100,000 population) and White, non-Hispanics (19.9 per 100,000 population). </w:t>
      </w:r>
    </w:p>
    <w:p w14:paraId="4DF76830" w14:textId="77777777" w:rsidR="00197870" w:rsidRPr="00471E8F" w:rsidRDefault="00197870" w:rsidP="00E552D2">
      <w:pPr>
        <w:spacing w:line="360" w:lineRule="auto"/>
        <w:ind w:right="-360"/>
        <w:rPr>
          <w:sz w:val="24"/>
          <w:szCs w:val="24"/>
        </w:rPr>
      </w:pPr>
      <w:r w:rsidRPr="00471E8F">
        <w:rPr>
          <w:sz w:val="24"/>
          <w:szCs w:val="24"/>
        </w:rPr>
        <w:lastRenderedPageBreak/>
        <w:t>The highest male homicide victimization rates by age group were among 15-24 year olds (8.6 per 100,000 population) and 25-34 year olds (8.2 per 100,000 population). The rates for both of these age groups were over twice the male statewide rate of 3.7 per 100,000 population and 3.5 times higher than the overall statewide rate of 2.2 per 100,000 population.</w:t>
      </w:r>
    </w:p>
    <w:p w14:paraId="2764CD5C" w14:textId="6430C47B" w:rsidR="00197870" w:rsidRPr="00471E8F" w:rsidRDefault="002B3609" w:rsidP="00E552D2">
      <w:pPr>
        <w:pStyle w:val="SHAFigureNumber"/>
        <w:spacing w:line="360" w:lineRule="auto"/>
        <w:rPr>
          <w:sz w:val="24"/>
          <w:szCs w:val="24"/>
        </w:rPr>
      </w:pPr>
      <w:r w:rsidRPr="00471E8F">
        <w:rPr>
          <w:sz w:val="24"/>
          <w:szCs w:val="24"/>
        </w:rPr>
        <w:t>Figure 5.14</w:t>
      </w:r>
    </w:p>
    <w:p w14:paraId="612706AE" w14:textId="3A0863DD" w:rsidR="00197870" w:rsidRPr="00471E8F" w:rsidRDefault="00197870" w:rsidP="00E552D2">
      <w:pPr>
        <w:pStyle w:val="SHAFigureNumber"/>
        <w:spacing w:line="360" w:lineRule="auto"/>
        <w:rPr>
          <w:sz w:val="24"/>
          <w:szCs w:val="24"/>
        </w:rPr>
      </w:pPr>
      <w:r w:rsidRPr="00471E8F">
        <w:rPr>
          <w:sz w:val="24"/>
          <w:szCs w:val="24"/>
        </w:rPr>
        <w:t>Homicide Victim</w:t>
      </w:r>
      <w:r w:rsidR="001A3139" w:rsidRPr="00471E8F">
        <w:rPr>
          <w:sz w:val="24"/>
          <w:szCs w:val="24"/>
        </w:rPr>
        <w:t>ization Rates,</w:t>
      </w:r>
      <w:r w:rsidRPr="00471E8F">
        <w:rPr>
          <w:sz w:val="24"/>
          <w:szCs w:val="24"/>
        </w:rPr>
        <w:t xml:space="preserve"> </w:t>
      </w:r>
      <w:r w:rsidR="001A3139" w:rsidRPr="00471E8F">
        <w:rPr>
          <w:sz w:val="24"/>
          <w:szCs w:val="24"/>
        </w:rPr>
        <w:t xml:space="preserve">Males Compared to </w:t>
      </w:r>
      <w:r w:rsidRPr="00471E8F">
        <w:rPr>
          <w:sz w:val="24"/>
          <w:szCs w:val="24"/>
        </w:rPr>
        <w:t>M</w:t>
      </w:r>
      <w:r w:rsidR="001A3139" w:rsidRPr="00471E8F">
        <w:rPr>
          <w:sz w:val="24"/>
          <w:szCs w:val="24"/>
        </w:rPr>
        <w:t>assachusetts Totals,</w:t>
      </w:r>
      <w:r w:rsidRPr="00471E8F">
        <w:rPr>
          <w:sz w:val="24"/>
          <w:szCs w:val="24"/>
        </w:rPr>
        <w:t xml:space="preserve"> 2014</w:t>
      </w:r>
    </w:p>
    <w:p w14:paraId="31382D42" w14:textId="10832F5E" w:rsidR="00197870" w:rsidRPr="00471E8F" w:rsidRDefault="00AB351D" w:rsidP="00E552D2">
      <w:pPr>
        <w:pStyle w:val="source0"/>
        <w:spacing w:line="360" w:lineRule="auto"/>
        <w:ind w:left="-360" w:right="-360"/>
        <w:jc w:val="center"/>
        <w:rPr>
          <w:sz w:val="24"/>
          <w:szCs w:val="24"/>
        </w:rPr>
      </w:pPr>
      <w:r w:rsidRPr="00471E8F">
        <w:rPr>
          <w:noProof/>
          <w:sz w:val="24"/>
          <w:szCs w:val="24"/>
        </w:rPr>
        <w:drawing>
          <wp:inline distT="0" distB="0" distL="0" distR="0" wp14:anchorId="13BCE8D7" wp14:editId="782544A5">
            <wp:extent cx="5567364" cy="2871789"/>
            <wp:effectExtent l="0" t="0" r="0" b="5080"/>
            <wp:docPr id="622" name="Chart 622" descr="This vertical bar graph shows that for each age group, homicide rates among males were higher than the overall rate for that age group.&#10;&#10;Total homicide rate per 100,000 population was 3.7 for males compared to 2.2 overall.&#10;&#10;Among 15-24 year olds, males had a rate of 8.6, while the overall rate was 4.8.&#10;&#10;Among 25-34 year olds, males had a rate of 8.2, while the overall rate was 4.6.&#10;&#10;Among 35-44 year olds, males had a rate of 3.2, while the overall rate was 2.1.&#10;&#10;Among 45-54 year olds, males had a rate of 3.3, while the overall rate was 2.1.&#10;&#10;Among 55-64 year olds, males had a rate of 0.7, while the overall rate was 0.5.&#10;&#10;Among 65-74 year olds, males had a rate of 1.4, while the overall rate was 1.0.&#10;">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2328ECE8-2EB3-4B16-866C-6A09F38BB9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32D13F8" w14:textId="784AFEBF" w:rsidR="00197870" w:rsidRPr="00471E8F" w:rsidRDefault="00365430" w:rsidP="00E552D2">
      <w:pPr>
        <w:pStyle w:val="source0"/>
        <w:spacing w:line="360" w:lineRule="auto"/>
        <w:ind w:left="-360" w:right="-360"/>
        <w:jc w:val="center"/>
        <w:rPr>
          <w:smallCaps w:val="0"/>
          <w:sz w:val="24"/>
          <w:szCs w:val="24"/>
        </w:rPr>
      </w:pPr>
      <w:r w:rsidRPr="00471E8F">
        <w:rPr>
          <w:smallCaps w:val="0"/>
          <w:sz w:val="24"/>
          <w:szCs w:val="24"/>
        </w:rPr>
        <w:t>NOTE: RATE</w:t>
      </w:r>
      <w:r w:rsidR="00D12B72" w:rsidRPr="00471E8F">
        <w:rPr>
          <w:smallCaps w:val="0"/>
          <w:sz w:val="24"/>
          <w:szCs w:val="24"/>
        </w:rPr>
        <w:t>S WERE NOT CALCULATED FOR FEMALE VICTIMS</w:t>
      </w:r>
      <w:r w:rsidRPr="00471E8F">
        <w:rPr>
          <w:smallCaps w:val="0"/>
          <w:sz w:val="24"/>
          <w:szCs w:val="24"/>
        </w:rPr>
        <w:t xml:space="preserve"> BY AGE GROUP DUE TO SMALL NUMBERS.</w:t>
      </w:r>
    </w:p>
    <w:p w14:paraId="0363E684" w14:textId="77777777" w:rsidR="00197870" w:rsidRPr="00471E8F" w:rsidRDefault="00197870" w:rsidP="00E552D2">
      <w:pPr>
        <w:spacing w:before="0" w:after="80" w:line="360" w:lineRule="auto"/>
        <w:ind w:right="-360"/>
        <w:rPr>
          <w:sz w:val="24"/>
          <w:szCs w:val="24"/>
        </w:rPr>
      </w:pPr>
      <w:r w:rsidRPr="00471E8F">
        <w:rPr>
          <w:sz w:val="24"/>
          <w:szCs w:val="24"/>
        </w:rPr>
        <w:t xml:space="preserve">Black non-Hispanic residents had the highest homicide victimization rate among males (19.8 per 100,000 population). White non-Hispanic residents had the lowest homicide victimization rate for both men and women (1.1 per 100,000 population and 0.4 per 100,000 population, respectively). The homicide victimization rate among Black non-Hispanic men was 18 times higher than the rate for White non-Hispanic males. </w:t>
      </w:r>
    </w:p>
    <w:p w14:paraId="7B91C49E" w14:textId="77777777" w:rsidR="007734EA" w:rsidRPr="00471E8F" w:rsidRDefault="007734EA" w:rsidP="00E552D2">
      <w:pPr>
        <w:spacing w:before="0" w:line="360" w:lineRule="auto"/>
        <w:ind w:left="0" w:right="0"/>
        <w:jc w:val="left"/>
        <w:rPr>
          <w:b/>
          <w:noProof w:val="0"/>
          <w:sz w:val="24"/>
          <w:szCs w:val="24"/>
        </w:rPr>
      </w:pPr>
      <w:r w:rsidRPr="00471E8F">
        <w:rPr>
          <w:sz w:val="24"/>
          <w:szCs w:val="24"/>
        </w:rPr>
        <w:br w:type="page"/>
      </w:r>
    </w:p>
    <w:p w14:paraId="2A8F0C21" w14:textId="7418EEE5" w:rsidR="00197870" w:rsidRPr="00471E8F" w:rsidRDefault="00197870" w:rsidP="00E552D2">
      <w:pPr>
        <w:pStyle w:val="SHAFigureNumber"/>
        <w:spacing w:line="360" w:lineRule="auto"/>
        <w:rPr>
          <w:sz w:val="24"/>
          <w:szCs w:val="24"/>
        </w:rPr>
      </w:pPr>
      <w:r w:rsidRPr="00471E8F">
        <w:rPr>
          <w:sz w:val="24"/>
          <w:szCs w:val="24"/>
        </w:rPr>
        <w:lastRenderedPageBreak/>
        <w:t xml:space="preserve">Figure </w:t>
      </w:r>
      <w:r w:rsidR="002B3609" w:rsidRPr="00471E8F">
        <w:rPr>
          <w:sz w:val="24"/>
          <w:szCs w:val="24"/>
        </w:rPr>
        <w:t>5.15</w:t>
      </w:r>
    </w:p>
    <w:p w14:paraId="4CD10DFA" w14:textId="5588E0F4" w:rsidR="00197870" w:rsidRPr="00471E8F" w:rsidRDefault="00197870" w:rsidP="00E552D2">
      <w:pPr>
        <w:pStyle w:val="SHAFigureNumber"/>
        <w:spacing w:line="360" w:lineRule="auto"/>
        <w:rPr>
          <w:sz w:val="24"/>
          <w:szCs w:val="24"/>
        </w:rPr>
      </w:pPr>
      <w:r w:rsidRPr="00471E8F">
        <w:rPr>
          <w:sz w:val="24"/>
          <w:szCs w:val="24"/>
        </w:rPr>
        <w:t>Homicide Victimization Rates</w:t>
      </w:r>
      <w:r w:rsidR="00187D0C" w:rsidRPr="00471E8F">
        <w:rPr>
          <w:sz w:val="24"/>
          <w:szCs w:val="24"/>
        </w:rPr>
        <w:t>,</w:t>
      </w:r>
      <w:r w:rsidRPr="00471E8F">
        <w:rPr>
          <w:sz w:val="24"/>
          <w:szCs w:val="24"/>
        </w:rPr>
        <w:t xml:space="preserve"> by Race/Ethnicity and Sex, </w:t>
      </w:r>
      <w:r w:rsidR="00187D0C" w:rsidRPr="00471E8F">
        <w:rPr>
          <w:sz w:val="24"/>
          <w:szCs w:val="24"/>
        </w:rPr>
        <w:t>Massachusetts,</w:t>
      </w:r>
      <w:r w:rsidRPr="00471E8F">
        <w:rPr>
          <w:sz w:val="24"/>
          <w:szCs w:val="24"/>
        </w:rPr>
        <w:t xml:space="preserve"> 2014</w:t>
      </w:r>
    </w:p>
    <w:p w14:paraId="0B120E4F" w14:textId="2EAD9693" w:rsidR="00197870" w:rsidRPr="00471E8F" w:rsidRDefault="00AB351D" w:rsidP="00E552D2">
      <w:pPr>
        <w:pStyle w:val="source0"/>
        <w:spacing w:line="360" w:lineRule="auto"/>
        <w:ind w:left="-360" w:right="-360"/>
        <w:jc w:val="center"/>
        <w:rPr>
          <w:sz w:val="24"/>
          <w:szCs w:val="24"/>
        </w:rPr>
      </w:pPr>
      <w:r w:rsidRPr="00471E8F">
        <w:rPr>
          <w:noProof/>
          <w:sz w:val="24"/>
          <w:szCs w:val="24"/>
        </w:rPr>
        <w:drawing>
          <wp:inline distT="0" distB="0" distL="0" distR="0" wp14:anchorId="7761A69A" wp14:editId="2AFA7846">
            <wp:extent cx="5690870" cy="2692400"/>
            <wp:effectExtent l="0" t="0" r="5080" b="0"/>
            <wp:docPr id="624" name="Chart 624" descr="This  vertical bar graph shows that homicide rates were highest among Black non-Hispanics followed by Hispanics. This was true for both males and females. &#10;&#10;The total homicide rate for males was 3.7 per 100,000. For White non-Hispanic males the rate was 1.1 per 100,000; for Black non-Hispanic males, it was 19.8 per 100,000; and for Hispanic males, it was 9.4 per 100,000..; Data is suppressed for Asian non-Hispanic males.&#10;&#10;The total homicide rate for females was 0.7 per 100,000 population. For White non-Hispanic females, the rate was 0.4 per 100,000; for Black non-Hispanic females, it was 2.4 per 100,000; and for Hispanic females, it was 1.6 per 100,000. Data is suppressed for Asian non-Hispanic females.">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C2E4BEB8-7EB8-46C7-8142-A168058EB1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EBBA20C" w14:textId="18BF92CA" w:rsidR="00197870" w:rsidRPr="00471E8F" w:rsidRDefault="00365430" w:rsidP="00E552D2">
      <w:pPr>
        <w:pStyle w:val="source0"/>
        <w:spacing w:line="360" w:lineRule="auto"/>
        <w:ind w:left="-360" w:right="-360"/>
        <w:jc w:val="center"/>
        <w:rPr>
          <w:smallCaps w:val="0"/>
          <w:sz w:val="24"/>
          <w:szCs w:val="24"/>
        </w:rPr>
      </w:pPr>
      <w:r w:rsidRPr="00471E8F">
        <w:rPr>
          <w:smallCaps w:val="0"/>
          <w:sz w:val="24"/>
          <w:szCs w:val="24"/>
        </w:rPr>
        <w:t xml:space="preserve">NOTE: *RATES WERE NOT CALCULATED FOR ASIAN NON-HISPANIC </w:t>
      </w:r>
      <w:r w:rsidR="00D12B72" w:rsidRPr="00471E8F">
        <w:rPr>
          <w:smallCaps w:val="0"/>
          <w:sz w:val="24"/>
          <w:szCs w:val="24"/>
        </w:rPr>
        <w:t xml:space="preserve">VICTIMS </w:t>
      </w:r>
      <w:r w:rsidRPr="00471E8F">
        <w:rPr>
          <w:smallCaps w:val="0"/>
          <w:sz w:val="24"/>
          <w:szCs w:val="24"/>
        </w:rPr>
        <w:t>DUE TO SMALL NUMBERS.</w:t>
      </w:r>
    </w:p>
    <w:p w14:paraId="0F448CCA" w14:textId="09E718D7" w:rsidR="00197870" w:rsidRPr="00471E8F" w:rsidRDefault="005355DA" w:rsidP="00E552D2">
      <w:pPr>
        <w:spacing w:line="360" w:lineRule="auto"/>
        <w:ind w:right="-360"/>
        <w:rPr>
          <w:sz w:val="24"/>
          <w:szCs w:val="24"/>
        </w:rPr>
      </w:pPr>
      <w:r w:rsidRPr="00471E8F">
        <w:rPr>
          <w:rFonts w:ascii="Aileron" w:hAnsi="Aileron"/>
          <w:b/>
          <w:sz w:val="24"/>
          <w:szCs w:val="24"/>
        </w:rPr>
        <mc:AlternateContent>
          <mc:Choice Requires="wps">
            <w:drawing>
              <wp:anchor distT="0" distB="0" distL="114300" distR="114300" simplePos="0" relativeHeight="251778048" behindDoc="0" locked="0" layoutInCell="1" allowOverlap="1" wp14:anchorId="6B416C84" wp14:editId="2ED19EBE">
                <wp:simplePos x="0" y="0"/>
                <wp:positionH relativeFrom="margin">
                  <wp:posOffset>3917950</wp:posOffset>
                </wp:positionH>
                <wp:positionV relativeFrom="margin">
                  <wp:posOffset>3604260</wp:posOffset>
                </wp:positionV>
                <wp:extent cx="2647950" cy="1318260"/>
                <wp:effectExtent l="0" t="0" r="0" b="0"/>
                <wp:wrapSquare wrapText="bothSides"/>
                <wp:docPr id="253" name="Rectangle 253"/>
                <wp:cNvGraphicFramePr/>
                <a:graphic xmlns:a="http://schemas.openxmlformats.org/drawingml/2006/main">
                  <a:graphicData uri="http://schemas.microsoft.com/office/word/2010/wordprocessingShape">
                    <wps:wsp>
                      <wps:cNvSpPr/>
                      <wps:spPr>
                        <a:xfrm>
                          <a:off x="0" y="0"/>
                          <a:ext cx="2647950" cy="1318260"/>
                        </a:xfrm>
                        <a:prstGeom prst="rect">
                          <a:avLst/>
                        </a:prstGeom>
                        <a:solidFill>
                          <a:srgbClr val="EFF3FF"/>
                        </a:solidFill>
                        <a:ln w="12700" cap="flat" cmpd="sng" algn="ctr">
                          <a:noFill/>
                          <a:prstDash val="solid"/>
                          <a:miter lim="800000"/>
                        </a:ln>
                        <a:effectLst/>
                      </wps:spPr>
                      <wps:txbx>
                        <w:txbxContent>
                          <w:p w14:paraId="6376A9D6" w14:textId="1CCC5F6D" w:rsidR="0079760B" w:rsidRDefault="0079760B" w:rsidP="00365430">
                            <w:pPr>
                              <w:shd w:val="clear" w:color="auto" w:fill="EFF3FF"/>
                              <w:ind w:left="0" w:right="17"/>
                              <w:jc w:val="left"/>
                              <w:rPr>
                                <w:color w:val="203864"/>
                                <w:sz w:val="24"/>
                                <w:szCs w:val="24"/>
                              </w:rPr>
                            </w:pPr>
                            <w:r>
                              <w:rPr>
                                <w:color w:val="203864"/>
                                <w:sz w:val="24"/>
                                <w:szCs w:val="24"/>
                              </w:rPr>
                              <w:t>“</w:t>
                            </w:r>
                            <w:r w:rsidRPr="00144B21">
                              <w:rPr>
                                <w:color w:val="203864"/>
                                <w:sz w:val="24"/>
                                <w:szCs w:val="24"/>
                              </w:rPr>
                              <w:t>There are distinct communities where violence is happening. These communities need to be targeted for programs and interventions</w:t>
                            </w:r>
                            <w:r w:rsidRPr="00365430">
                              <w:rPr>
                                <w:color w:val="203864"/>
                                <w:sz w:val="24"/>
                                <w:szCs w:val="24"/>
                              </w:rPr>
                              <w:t>.”</w:t>
                            </w:r>
                          </w:p>
                          <w:p w14:paraId="6F820DBF" w14:textId="7461B556" w:rsidR="0079760B" w:rsidRPr="00365430" w:rsidRDefault="0079760B" w:rsidP="00365430">
                            <w:pPr>
                              <w:shd w:val="clear" w:color="auto" w:fill="EFF3FF"/>
                              <w:ind w:left="0" w:right="17"/>
                              <w:jc w:val="right"/>
                              <w:rPr>
                                <w:color w:val="203864"/>
                                <w:sz w:val="20"/>
                                <w:szCs w:val="20"/>
                              </w:rPr>
                            </w:pPr>
                            <w:r w:rsidRPr="00365430">
                              <w:rPr>
                                <w:color w:val="203864"/>
                                <w:sz w:val="20"/>
                                <w:szCs w:val="20"/>
                              </w:rPr>
                              <w:t>Key Informant Interviewee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53" o:spid="_x0000_s1029" style="position:absolute;left:0;text-align:left;margin-left:308.5pt;margin-top:283.8pt;width:208.5pt;height:103.8pt;z-index:2517780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" fillcolor="#eff3ff" stroked="f" strokeweight="1pt">
                <v:textbox>
                  <w:txbxContent>
                    <w:p w14:paraId="6376A9D6" w14:textId="1CCC5F6D" w:rsidR="0079760B" w:rsidRDefault="0079760B" w:rsidP="00365430">
                      <w:pPr>
                        <w:shd w:val="clear" w:color="auto" w:fill="EFF3FF"/>
                        <w:ind w:left="0" w:right="17"/>
                        <w:jc w:val="left"/>
                        <w:rPr>
                          <w:color w:val="203864"/>
                          <w:sz w:val="24"/>
                          <w:szCs w:val="24"/>
                        </w:rPr>
                      </w:pPr>
                      <w:r>
                        <w:rPr>
                          <w:color w:val="203864"/>
                          <w:sz w:val="24"/>
                          <w:szCs w:val="24"/>
                        </w:rPr>
                        <w:t>“</w:t>
                      </w:r>
                      <w:r w:rsidRPr="00144B21">
                        <w:rPr>
                          <w:color w:val="203864"/>
                          <w:sz w:val="24"/>
                          <w:szCs w:val="24"/>
                        </w:rPr>
                        <w:t>There are distinct communities where violence is happening. These communities need to be targeted for programs and interventions</w:t>
                      </w:r>
                      <w:r w:rsidRPr="00365430">
                        <w:rPr>
                          <w:color w:val="203864"/>
                          <w:sz w:val="24"/>
                          <w:szCs w:val="24"/>
                        </w:rPr>
                        <w:t>.”</w:t>
                      </w:r>
                    </w:p>
                    <w:p w14:paraId="6F820DBF" w14:textId="7461B556" w:rsidR="0079760B" w:rsidRPr="00365430" w:rsidRDefault="0079760B" w:rsidP="00365430">
                      <w:pPr>
                        <w:shd w:val="clear" w:color="auto" w:fill="EFF3FF"/>
                        <w:ind w:left="0" w:right="17"/>
                        <w:jc w:val="right"/>
                        <w:rPr>
                          <w:color w:val="203864"/>
                          <w:sz w:val="20"/>
                          <w:szCs w:val="20"/>
                        </w:rPr>
                      </w:pPr>
                      <w:r w:rsidRPr="00365430">
                        <w:rPr>
                          <w:color w:val="203864"/>
                          <w:sz w:val="20"/>
                          <w:szCs w:val="20"/>
                        </w:rPr>
                        <w:t>Key Informant Interviewee</w:t>
                      </w:r>
                    </w:p>
                  </w:txbxContent>
                </v:textbox>
                <w10:wrap type="square" anchorx="margin" anchory="margin"/>
              </v:rect>
            </w:pict>
          </mc:Fallback>
        </mc:AlternateContent>
      </w:r>
      <w:r w:rsidR="00197870" w:rsidRPr="00471E8F">
        <w:rPr>
          <w:sz w:val="24"/>
          <w:szCs w:val="24"/>
        </w:rPr>
        <w:t xml:space="preserve">Across the Commonwealth in 2014, firearms were the most commonly used weapon in homicides (59%). Sixty-two percent of male homicide and 42% of female homicides were due to firearms. Handguns were the most frequent type of firearm used (96%) among firearm deaths where type of firearm was known. </w:t>
      </w:r>
    </w:p>
    <w:p w14:paraId="53D9E079" w14:textId="28216868" w:rsidR="00197870" w:rsidRPr="00471E8F" w:rsidRDefault="00197870" w:rsidP="00E552D2">
      <w:pPr>
        <w:spacing w:line="360" w:lineRule="auto"/>
        <w:ind w:right="-360"/>
        <w:rPr>
          <w:b/>
          <w:sz w:val="24"/>
          <w:szCs w:val="24"/>
          <w:vertAlign w:val="superscript"/>
        </w:rPr>
      </w:pPr>
      <w:r w:rsidRPr="00471E8F">
        <w:rPr>
          <w:sz w:val="24"/>
          <w:szCs w:val="24"/>
        </w:rPr>
        <w:t>In 2014, 43% of homicides occurred in Suffolk County</w:t>
      </w:r>
      <w:r w:rsidR="00AD7437" w:rsidRPr="00471E8F">
        <w:rPr>
          <w:sz w:val="24"/>
          <w:szCs w:val="24"/>
        </w:rPr>
        <w:t>,</w:t>
      </w:r>
      <w:r w:rsidRPr="00471E8F">
        <w:rPr>
          <w:sz w:val="24"/>
          <w:szCs w:val="24"/>
        </w:rPr>
        <w:t xml:space="preserve"> which had the highest number of homicides as well as the highest rate (8.0 per 100,000 population). This rate was 3.6 times higher than the state rate of 2.2 per 100,000 population.</w:t>
      </w:r>
      <w:r w:rsidRPr="00471E8F">
        <w:rPr>
          <w:b/>
          <w:sz w:val="24"/>
          <w:szCs w:val="24"/>
        </w:rPr>
        <w:t xml:space="preserve"> </w:t>
      </w:r>
      <w:r w:rsidRPr="00471E8F">
        <w:rPr>
          <w:sz w:val="24"/>
          <w:szCs w:val="24"/>
        </w:rPr>
        <w:t>The cities with the highest rate of homicide were Brockton (11.6 per 100,000 population), Springfield (9.1 per 100,000 population) and Boston (8.4 per 100,000 population).</w:t>
      </w:r>
      <w:r w:rsidRPr="00471E8F">
        <w:rPr>
          <w:b/>
          <w:sz w:val="24"/>
          <w:szCs w:val="24"/>
          <w:vertAlign w:val="superscript"/>
        </w:rPr>
        <w:t xml:space="preserve"> </w:t>
      </w:r>
    </w:p>
    <w:p w14:paraId="6885598C" w14:textId="1903A7E8" w:rsidR="00197870" w:rsidRPr="00471E8F" w:rsidRDefault="00197870" w:rsidP="00E552D2">
      <w:pPr>
        <w:spacing w:before="24" w:after="24" w:line="360" w:lineRule="auto"/>
        <w:ind w:right="-360"/>
        <w:rPr>
          <w:b/>
          <w:bCs/>
          <w:sz w:val="24"/>
          <w:szCs w:val="24"/>
          <w:vertAlign w:val="superscript"/>
        </w:rPr>
      </w:pPr>
      <w:r w:rsidRPr="00471E8F">
        <w:rPr>
          <w:sz w:val="24"/>
          <w:szCs w:val="24"/>
        </w:rPr>
        <w:t>In 2014, 82% of homicide victims (n=120) had at least one circumstance known that was relevant to their homicide. The most frequently noted circumstance for males was precipitation by another crime (25%, n=30) which includes crimes such as robbery, burglary and drug trade. The most frequently noted circumstance for females was intimate partner violence-related (38%, n=10).</w:t>
      </w:r>
    </w:p>
    <w:p w14:paraId="5EC936A9" w14:textId="254E8867" w:rsidR="00197870" w:rsidRPr="00471E8F" w:rsidRDefault="00197870" w:rsidP="00E552D2">
      <w:pPr>
        <w:pStyle w:val="Heading3"/>
        <w:spacing w:line="360" w:lineRule="auto"/>
        <w:rPr>
          <w:sz w:val="24"/>
          <w:szCs w:val="24"/>
        </w:rPr>
      </w:pPr>
      <w:r w:rsidRPr="00471E8F">
        <w:rPr>
          <w:sz w:val="24"/>
          <w:szCs w:val="24"/>
        </w:rPr>
        <w:lastRenderedPageBreak/>
        <w:t>Youth Violence</w:t>
      </w:r>
    </w:p>
    <w:p w14:paraId="6842D353" w14:textId="3A12CA25" w:rsidR="00197870" w:rsidRPr="00471E8F" w:rsidRDefault="00197870" w:rsidP="00E552D2">
      <w:pPr>
        <w:spacing w:before="0" w:line="360" w:lineRule="auto"/>
        <w:ind w:right="-360"/>
        <w:rPr>
          <w:sz w:val="24"/>
          <w:szCs w:val="24"/>
        </w:rPr>
      </w:pPr>
      <w:r w:rsidRPr="00471E8F">
        <w:rPr>
          <w:sz w:val="24"/>
          <w:szCs w:val="24"/>
        </w:rPr>
        <w:t>In 2014, homicide was the third leading cause of death in the Commonwealth for young people 10 to 24 years of age</w:t>
      </w:r>
      <w:r w:rsidRPr="00471E8F">
        <w:rPr>
          <w:rStyle w:val="EndnoteReference"/>
          <w:sz w:val="24"/>
          <w:szCs w:val="24"/>
        </w:rPr>
        <w:endnoteReference w:id="64"/>
      </w:r>
      <w:r w:rsidRPr="00471E8F">
        <w:rPr>
          <w:sz w:val="24"/>
          <w:szCs w:val="24"/>
        </w:rPr>
        <w:t xml:space="preserve">. Young survivors of violence often suffer physical, mental, and/or emotional health problems that carry on into adulthood.  </w:t>
      </w:r>
    </w:p>
    <w:p w14:paraId="66B20080" w14:textId="77777777" w:rsidR="00197870" w:rsidRPr="00471E8F" w:rsidRDefault="00197870" w:rsidP="00E552D2">
      <w:pPr>
        <w:spacing w:before="0" w:line="360" w:lineRule="auto"/>
        <w:ind w:right="-360"/>
        <w:rPr>
          <w:sz w:val="24"/>
          <w:szCs w:val="24"/>
        </w:rPr>
      </w:pPr>
      <w:r w:rsidRPr="00471E8F">
        <w:rPr>
          <w:sz w:val="24"/>
          <w:szCs w:val="24"/>
        </w:rPr>
        <w:t>Adverse Childhood Experiences (ACES) are associated with a variety of behavioral risk factors and chronic illnesses in adulthood.</w:t>
      </w:r>
      <w:r w:rsidRPr="00471E8F">
        <w:rPr>
          <w:rStyle w:val="EndnoteReference"/>
          <w:sz w:val="24"/>
          <w:szCs w:val="24"/>
        </w:rPr>
        <w:endnoteReference w:id="65"/>
      </w:r>
      <w:r w:rsidRPr="00471E8F">
        <w:rPr>
          <w:sz w:val="24"/>
          <w:szCs w:val="24"/>
        </w:rPr>
        <w:t xml:space="preserve"> Furthermore, youth who live in areas with high risk of violence are at elevated risk for trauma, which can have devastating effects on a child’s physiology, emotions, ability to think, learn, and concentrate, impulse control, self-image, and relationships with others.</w:t>
      </w:r>
      <w:r w:rsidRPr="00471E8F">
        <w:rPr>
          <w:rStyle w:val="EndnoteReference"/>
          <w:sz w:val="24"/>
          <w:szCs w:val="24"/>
        </w:rPr>
        <w:endnoteReference w:id="66"/>
      </w:r>
      <w:r w:rsidRPr="00471E8F" w:rsidDel="00735F8D">
        <w:rPr>
          <w:sz w:val="24"/>
          <w:szCs w:val="24"/>
        </w:rPr>
        <w:t xml:space="preserve"> </w:t>
      </w:r>
    </w:p>
    <w:p w14:paraId="55CA172C" w14:textId="6E57D81C" w:rsidR="00197870" w:rsidRPr="00471E8F" w:rsidRDefault="001438AB" w:rsidP="00E552D2">
      <w:pPr>
        <w:spacing w:line="360" w:lineRule="auto"/>
        <w:ind w:right="-360"/>
        <w:rPr>
          <w:sz w:val="24"/>
          <w:szCs w:val="24"/>
        </w:rPr>
      </w:pPr>
      <w:r w:rsidRPr="00471E8F">
        <w:rPr>
          <w:rFonts w:ascii="Aileron" w:hAnsi="Aileron"/>
          <w:b/>
          <w:sz w:val="24"/>
          <w:szCs w:val="24"/>
        </w:rPr>
        <mc:AlternateContent>
          <mc:Choice Requires="wps">
            <w:drawing>
              <wp:anchor distT="0" distB="0" distL="114300" distR="114300" simplePos="0" relativeHeight="251757568" behindDoc="0" locked="0" layoutInCell="1" allowOverlap="1" wp14:anchorId="6A49A9C3" wp14:editId="33B12ED8">
                <wp:simplePos x="0" y="0"/>
                <wp:positionH relativeFrom="margin">
                  <wp:posOffset>4338955</wp:posOffset>
                </wp:positionH>
                <wp:positionV relativeFrom="margin">
                  <wp:posOffset>1268730</wp:posOffset>
                </wp:positionV>
                <wp:extent cx="2286000" cy="1287780"/>
                <wp:effectExtent l="0" t="0" r="0" b="7620"/>
                <wp:wrapSquare wrapText="bothSides"/>
                <wp:docPr id="254" name="Rectangle 254"/>
                <wp:cNvGraphicFramePr/>
                <a:graphic xmlns:a="http://schemas.openxmlformats.org/drawingml/2006/main">
                  <a:graphicData uri="http://schemas.microsoft.com/office/word/2010/wordprocessingShape">
                    <wps:wsp>
                      <wps:cNvSpPr/>
                      <wps:spPr>
                        <a:xfrm>
                          <a:off x="0" y="0"/>
                          <a:ext cx="2286000" cy="1287780"/>
                        </a:xfrm>
                        <a:prstGeom prst="rect">
                          <a:avLst/>
                        </a:prstGeom>
                        <a:solidFill>
                          <a:srgbClr val="EFF3FF"/>
                        </a:solidFill>
                        <a:ln w="12700" cap="flat" cmpd="sng" algn="ctr">
                          <a:noFill/>
                          <a:prstDash val="solid"/>
                          <a:miter lim="800000"/>
                        </a:ln>
                        <a:effectLst/>
                      </wps:spPr>
                      <wps:txbx>
                        <w:txbxContent>
                          <w:p w14:paraId="57DDE476" w14:textId="77777777" w:rsidR="0079760B" w:rsidRPr="00C332E5" w:rsidRDefault="0079760B" w:rsidP="00C332E5">
                            <w:pPr>
                              <w:shd w:val="clear" w:color="auto" w:fill="EFF3FF"/>
                              <w:ind w:left="0" w:right="17"/>
                              <w:jc w:val="left"/>
                              <w:rPr>
                                <w:color w:val="203864"/>
                                <w:sz w:val="24"/>
                                <w:szCs w:val="24"/>
                              </w:rPr>
                            </w:pPr>
                            <w:r w:rsidRPr="00C332E5">
                              <w:rPr>
                                <w:color w:val="203864"/>
                                <w:sz w:val="24"/>
                                <w:szCs w:val="24"/>
                              </w:rPr>
                              <w:t xml:space="preserve">“We are treating the symptoms and results of trauma, but we are not treating the causes of trauma.” </w:t>
                            </w:r>
                          </w:p>
                          <w:p w14:paraId="31E25B38" w14:textId="77777777" w:rsidR="0079760B" w:rsidRPr="00C332E5" w:rsidRDefault="0079760B" w:rsidP="00C332E5">
                            <w:pPr>
                              <w:shd w:val="clear" w:color="auto" w:fill="EFF3FF"/>
                              <w:ind w:left="0" w:right="17"/>
                              <w:jc w:val="right"/>
                              <w:rPr>
                                <w:color w:val="203864"/>
                                <w:sz w:val="20"/>
                                <w:szCs w:val="20"/>
                              </w:rPr>
                            </w:pPr>
                            <w:r w:rsidRPr="00C332E5">
                              <w:rPr>
                                <w:color w:val="203864"/>
                                <w:sz w:val="20"/>
                                <w:szCs w:val="20"/>
                              </w:rPr>
                              <w:t>Key Informant Interviewee</w:t>
                            </w:r>
                          </w:p>
                          <w:p w14:paraId="769265FF" w14:textId="3F1F613E" w:rsidR="0079760B" w:rsidRPr="00C332E5" w:rsidRDefault="0079760B" w:rsidP="00C332E5">
                            <w:pPr>
                              <w:shd w:val="clear" w:color="auto" w:fill="EFF3FF"/>
                              <w:ind w:right="17"/>
                              <w:jc w:val="right"/>
                              <w:rPr>
                                <w:smallCaps/>
                                <w:color w:val="203864"/>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54" o:spid="_x0000_s1030" style="position:absolute;left:0;text-align:left;margin-left:341.65pt;margin-top:99.9pt;width:180pt;height:101.4pt;z-index:2517575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" fillcolor="#eff3ff" stroked="f" strokeweight="1pt">
                <v:textbox>
                  <w:txbxContent>
                    <w:p w14:paraId="57DDE476" w14:textId="77777777" w:rsidR="0079760B" w:rsidRPr="00C332E5" w:rsidRDefault="0079760B" w:rsidP="00C332E5">
                      <w:pPr>
                        <w:shd w:val="clear" w:color="auto" w:fill="EFF3FF"/>
                        <w:ind w:left="0" w:right="17"/>
                        <w:jc w:val="left"/>
                        <w:rPr>
                          <w:color w:val="203864"/>
                          <w:sz w:val="24"/>
                          <w:szCs w:val="24"/>
                        </w:rPr>
                      </w:pPr>
                      <w:r w:rsidRPr="00C332E5">
                        <w:rPr>
                          <w:color w:val="203864"/>
                          <w:sz w:val="24"/>
                          <w:szCs w:val="24"/>
                        </w:rPr>
                        <w:t xml:space="preserve">“We are treating the symptoms and results of trauma, but we are not treating the causes of trauma.” </w:t>
                      </w:r>
                    </w:p>
                    <w:p w14:paraId="31E25B38" w14:textId="77777777" w:rsidR="0079760B" w:rsidRPr="00C332E5" w:rsidRDefault="0079760B" w:rsidP="00C332E5">
                      <w:pPr>
                        <w:shd w:val="clear" w:color="auto" w:fill="EFF3FF"/>
                        <w:ind w:left="0" w:right="17"/>
                        <w:jc w:val="right"/>
                        <w:rPr>
                          <w:color w:val="203864"/>
                          <w:sz w:val="20"/>
                          <w:szCs w:val="20"/>
                        </w:rPr>
                      </w:pPr>
                      <w:r w:rsidRPr="00C332E5">
                        <w:rPr>
                          <w:color w:val="203864"/>
                          <w:sz w:val="20"/>
                          <w:szCs w:val="20"/>
                        </w:rPr>
                        <w:t>Key Informant Interviewee</w:t>
                      </w:r>
                    </w:p>
                    <w:p w14:paraId="769265FF" w14:textId="3F1F613E" w:rsidR="0079760B" w:rsidRPr="00C332E5" w:rsidRDefault="0079760B" w:rsidP="00C332E5">
                      <w:pPr>
                        <w:shd w:val="clear" w:color="auto" w:fill="EFF3FF"/>
                        <w:ind w:right="17"/>
                        <w:jc w:val="right"/>
                        <w:rPr>
                          <w:smallCaps/>
                          <w:color w:val="203864"/>
                          <w:sz w:val="24"/>
                          <w:szCs w:val="24"/>
                        </w:rPr>
                      </w:pPr>
                    </w:p>
                  </w:txbxContent>
                </v:textbox>
                <w10:wrap type="square" anchorx="margin" anchory="margin"/>
              </v:rect>
            </w:pict>
          </mc:Fallback>
        </mc:AlternateContent>
      </w:r>
      <w:r w:rsidR="00197870" w:rsidRPr="00471E8F">
        <w:rPr>
          <w:sz w:val="24"/>
          <w:szCs w:val="24"/>
        </w:rPr>
        <w:t>A prominent theme among focus group participants</w:t>
      </w:r>
      <w:r w:rsidR="005355DA" w:rsidRPr="00471E8F">
        <w:rPr>
          <w:rStyle w:val="EndnoteReference"/>
          <w:sz w:val="24"/>
          <w:szCs w:val="24"/>
        </w:rPr>
        <w:endnoteReference w:id="67"/>
      </w:r>
      <w:r w:rsidR="00197870" w:rsidRPr="00471E8F">
        <w:rPr>
          <w:sz w:val="24"/>
          <w:szCs w:val="24"/>
        </w:rPr>
        <w:t xml:space="preserve"> was concern for the effects of childhood</w:t>
      </w:r>
      <w:r w:rsidR="00AD7437" w:rsidRPr="00471E8F">
        <w:rPr>
          <w:sz w:val="24"/>
          <w:szCs w:val="24"/>
        </w:rPr>
        <w:t xml:space="preserve"> trauma. One participant stated,</w:t>
      </w:r>
      <w:r w:rsidR="00197870" w:rsidRPr="00471E8F">
        <w:rPr>
          <w:sz w:val="24"/>
          <w:szCs w:val="24"/>
        </w:rPr>
        <w:t xml:space="preserve"> </w:t>
      </w:r>
      <w:r w:rsidR="00197870" w:rsidRPr="00471E8F">
        <w:rPr>
          <w:i/>
          <w:sz w:val="24"/>
          <w:szCs w:val="24"/>
        </w:rPr>
        <w:t xml:space="preserve">“We need to do more to recognize adverse childhood experiences as a health priority.” </w:t>
      </w:r>
      <w:r w:rsidR="00197870" w:rsidRPr="00471E8F">
        <w:rPr>
          <w:sz w:val="24"/>
          <w:szCs w:val="24"/>
        </w:rPr>
        <w:t xml:space="preserve">Another reflected the concerns of many by pointing out: </w:t>
      </w:r>
      <w:r w:rsidR="00197870" w:rsidRPr="00471E8F">
        <w:rPr>
          <w:i/>
          <w:sz w:val="24"/>
          <w:szCs w:val="24"/>
        </w:rPr>
        <w:t xml:space="preserve">“Childhood trauma is not as in your face as the opioid epidemic, but it’s still so harmful because the consequences are long-lasting and affect adult health.”  </w:t>
      </w:r>
    </w:p>
    <w:p w14:paraId="44E7E9AC" w14:textId="212582A3" w:rsidR="00197870" w:rsidRPr="00471E8F" w:rsidRDefault="00197870" w:rsidP="00E552D2">
      <w:pPr>
        <w:pStyle w:val="Heading4"/>
        <w:spacing w:line="360" w:lineRule="auto"/>
      </w:pPr>
      <w:r w:rsidRPr="00471E8F">
        <w:t xml:space="preserve">Trends/Disparities </w:t>
      </w:r>
    </w:p>
    <w:p w14:paraId="0FFC3A89" w14:textId="68505EF5" w:rsidR="00197870" w:rsidRPr="00471E8F" w:rsidRDefault="00197870" w:rsidP="00E552D2">
      <w:pPr>
        <w:spacing w:before="0" w:line="360" w:lineRule="auto"/>
        <w:ind w:right="-360"/>
        <w:rPr>
          <w:sz w:val="24"/>
          <w:szCs w:val="24"/>
        </w:rPr>
      </w:pPr>
      <w:r w:rsidRPr="00471E8F">
        <w:rPr>
          <w:sz w:val="24"/>
          <w:szCs w:val="24"/>
        </w:rPr>
        <w:t>From 2004 to 2013, homicide rates were highest among youth and young adults 15-24 years of age. In 2014, 48 Massachusetts residents 15-24 years old were victims of homicide, making homicide the third leading cause of death among this age group. Homicide rates have decreased by 48% among youth and young adults 15-24</w:t>
      </w:r>
      <w:r w:rsidR="00AD7437" w:rsidRPr="00471E8F">
        <w:rPr>
          <w:sz w:val="24"/>
          <w:szCs w:val="24"/>
        </w:rPr>
        <w:t xml:space="preserve"> years old</w:t>
      </w:r>
      <w:r w:rsidRPr="00471E8F">
        <w:rPr>
          <w:sz w:val="24"/>
          <w:szCs w:val="24"/>
        </w:rPr>
        <w:t xml:space="preserve">. Homicide rates among Black non-Hispanic residents </w:t>
      </w:r>
      <w:r w:rsidR="00AD7437" w:rsidRPr="00471E8F">
        <w:rPr>
          <w:sz w:val="24"/>
          <w:szCs w:val="24"/>
        </w:rPr>
        <w:t xml:space="preserve">ages </w:t>
      </w:r>
      <w:r w:rsidRPr="00471E8F">
        <w:rPr>
          <w:sz w:val="24"/>
          <w:szCs w:val="24"/>
        </w:rPr>
        <w:t>15 to 24 also declined from 2006 to 2013 (2006: 116.8 per 100,000 population; 2013: 38.1 per 100,000 population).</w:t>
      </w:r>
    </w:p>
    <w:p w14:paraId="5A5E6572" w14:textId="2D5C866D" w:rsidR="00197870" w:rsidRPr="00471E8F" w:rsidRDefault="00197870" w:rsidP="00E552D2">
      <w:pPr>
        <w:spacing w:before="0" w:line="360" w:lineRule="auto"/>
        <w:ind w:right="-360"/>
        <w:rPr>
          <w:sz w:val="24"/>
          <w:szCs w:val="24"/>
        </w:rPr>
      </w:pPr>
      <w:r w:rsidRPr="00471E8F">
        <w:rPr>
          <w:sz w:val="24"/>
          <w:szCs w:val="24"/>
        </w:rPr>
        <w:t xml:space="preserve">Despite these declines, homicide disparities by age and race/ethnicity persist. Youth and young adults </w:t>
      </w:r>
      <w:r w:rsidR="00AD7437" w:rsidRPr="00471E8F">
        <w:rPr>
          <w:sz w:val="24"/>
          <w:szCs w:val="24"/>
        </w:rPr>
        <w:t xml:space="preserve">ages </w:t>
      </w:r>
      <w:r w:rsidRPr="00471E8F">
        <w:rPr>
          <w:sz w:val="24"/>
          <w:szCs w:val="24"/>
        </w:rPr>
        <w:t xml:space="preserve">15-24 and Black non-Hispanic youth and young adults continue to experience the highest homicide and firearm-related deaths relative to other age and racial/ethnic groups. </w:t>
      </w:r>
    </w:p>
    <w:p w14:paraId="7266B1C9" w14:textId="519DD6B1" w:rsidR="00197870" w:rsidRPr="00471E8F" w:rsidRDefault="00197870" w:rsidP="00E552D2">
      <w:pPr>
        <w:spacing w:before="0" w:line="360" w:lineRule="auto"/>
        <w:ind w:right="-360"/>
        <w:rPr>
          <w:sz w:val="24"/>
          <w:szCs w:val="24"/>
        </w:rPr>
      </w:pPr>
      <w:r w:rsidRPr="00471E8F">
        <w:rPr>
          <w:sz w:val="24"/>
          <w:szCs w:val="24"/>
        </w:rPr>
        <w:t xml:space="preserve">Among youth and young adults </w:t>
      </w:r>
      <w:r w:rsidR="00AD7437" w:rsidRPr="00471E8F">
        <w:rPr>
          <w:sz w:val="24"/>
          <w:szCs w:val="24"/>
        </w:rPr>
        <w:t xml:space="preserve">ages </w:t>
      </w:r>
      <w:r w:rsidRPr="00471E8F">
        <w:rPr>
          <w:sz w:val="24"/>
          <w:szCs w:val="24"/>
        </w:rPr>
        <w:t xml:space="preserve">15-24, the homicide rate among Black non-Hispanic males (57.7 per 100,000 population) was 30 times higher than that for White non-Hispanic males (1.9 per 100,000 population). Among this same age group, the homicide rate among Hispanic males was almost 13 times higher than the </w:t>
      </w:r>
      <w:r w:rsidRPr="00471E8F">
        <w:rPr>
          <w:sz w:val="24"/>
          <w:szCs w:val="24"/>
        </w:rPr>
        <w:lastRenderedPageBreak/>
        <w:t>homicide rate for White non-Hispanic males (25.1 per 100,000 population versus 1.9 per 100,000 population, respectively).</w:t>
      </w:r>
      <w:r w:rsidRPr="00471E8F">
        <w:rPr>
          <w:rFonts w:ascii="Aileron" w:hAnsi="Aileron"/>
          <w:b/>
          <w:sz w:val="24"/>
          <w:szCs w:val="24"/>
        </w:rPr>
        <w:t xml:space="preserve"> </w:t>
      </w:r>
    </w:p>
    <w:p w14:paraId="68BF5105" w14:textId="4248A096" w:rsidR="00197870" w:rsidRPr="00471E8F" w:rsidRDefault="00197870" w:rsidP="00E552D2">
      <w:pPr>
        <w:spacing w:before="0" w:line="360" w:lineRule="auto"/>
        <w:ind w:right="-360"/>
        <w:rPr>
          <w:sz w:val="24"/>
          <w:szCs w:val="24"/>
        </w:rPr>
      </w:pPr>
      <w:r w:rsidRPr="00471E8F">
        <w:rPr>
          <w:sz w:val="24"/>
          <w:szCs w:val="24"/>
        </w:rPr>
        <w:t>With the exception of incidents involving dating violence, males are far more likely than females to be killed in incidents of peer-to-peer youth violence.  Across all racial/ethnic groups among the MA population 15 to 24 years of age, females were less likely to die in a homicide than their male counterparts.</w:t>
      </w:r>
    </w:p>
    <w:p w14:paraId="0E942754" w14:textId="12309B03" w:rsidR="00197870" w:rsidRPr="00471E8F" w:rsidRDefault="00197870" w:rsidP="00E552D2">
      <w:pPr>
        <w:pStyle w:val="SHAFigureNumber"/>
        <w:spacing w:line="360" w:lineRule="auto"/>
        <w:rPr>
          <w:sz w:val="24"/>
          <w:szCs w:val="24"/>
        </w:rPr>
      </w:pPr>
      <w:r w:rsidRPr="00471E8F">
        <w:rPr>
          <w:sz w:val="24"/>
          <w:szCs w:val="24"/>
        </w:rPr>
        <w:t xml:space="preserve">Figure </w:t>
      </w:r>
      <w:r w:rsidR="002B3609" w:rsidRPr="00471E8F">
        <w:rPr>
          <w:sz w:val="24"/>
          <w:szCs w:val="24"/>
        </w:rPr>
        <w:t>5.16</w:t>
      </w:r>
    </w:p>
    <w:p w14:paraId="203C271D" w14:textId="24AA3A96" w:rsidR="00197870" w:rsidRPr="00471E8F" w:rsidRDefault="00197870" w:rsidP="00E552D2">
      <w:pPr>
        <w:pStyle w:val="SHAFigureNumber"/>
        <w:spacing w:line="360" w:lineRule="auto"/>
        <w:rPr>
          <w:sz w:val="24"/>
          <w:szCs w:val="24"/>
        </w:rPr>
      </w:pPr>
      <w:r w:rsidRPr="00471E8F">
        <w:rPr>
          <w:sz w:val="24"/>
          <w:szCs w:val="24"/>
        </w:rPr>
        <w:t>Homicide Rates</w:t>
      </w:r>
      <w:r w:rsidR="00187D0C" w:rsidRPr="00471E8F">
        <w:rPr>
          <w:sz w:val="24"/>
          <w:szCs w:val="24"/>
        </w:rPr>
        <w:t>,</w:t>
      </w:r>
      <w:r w:rsidRPr="00471E8F">
        <w:rPr>
          <w:sz w:val="24"/>
          <w:szCs w:val="24"/>
        </w:rPr>
        <w:t xml:space="preserve"> by Race/Ethnicity and Sex, Ages 15</w:t>
      </w:r>
      <w:r w:rsidR="00AB351D" w:rsidRPr="00471E8F">
        <w:rPr>
          <w:sz w:val="24"/>
          <w:szCs w:val="24"/>
        </w:rPr>
        <w:t xml:space="preserve">-24, </w:t>
      </w:r>
      <w:r w:rsidR="00187D0C" w:rsidRPr="00471E8F">
        <w:rPr>
          <w:sz w:val="24"/>
          <w:szCs w:val="24"/>
        </w:rPr>
        <w:t>Massachusetts,</w:t>
      </w:r>
      <w:r w:rsidR="00AB351D" w:rsidRPr="00471E8F">
        <w:rPr>
          <w:sz w:val="24"/>
          <w:szCs w:val="24"/>
        </w:rPr>
        <w:t xml:space="preserve"> 2010-2014</w:t>
      </w:r>
    </w:p>
    <w:p w14:paraId="5970223E" w14:textId="12C39F48" w:rsidR="00AB351D" w:rsidRPr="00471E8F" w:rsidRDefault="00AB351D" w:rsidP="00E552D2">
      <w:pPr>
        <w:pStyle w:val="SHAFigureNumber"/>
        <w:spacing w:line="360" w:lineRule="auto"/>
        <w:rPr>
          <w:sz w:val="24"/>
          <w:szCs w:val="24"/>
        </w:rPr>
      </w:pPr>
      <w:r w:rsidRPr="00471E8F">
        <w:rPr>
          <w:noProof/>
          <w:sz w:val="24"/>
          <w:szCs w:val="24"/>
        </w:rPr>
        <w:drawing>
          <wp:inline distT="0" distB="0" distL="0" distR="0" wp14:anchorId="75C243ED" wp14:editId="49AF14FC">
            <wp:extent cx="5147945" cy="2345635"/>
            <wp:effectExtent l="0" t="0" r="0" b="0"/>
            <wp:docPr id="625" name="Chart 625" descr="This vertical bar graph shows that during this time, homicide rates among 15-24 year olds were highest among Black non-Hispanic males followed by Hispanic males. &#10;&#10;Among 15-24 year old males, the average annual homicide rate was 10.8 per 100,000 population. Among White non-Hispanic males, the rate was 1.9; among Black non-Hispanic males the rate was 57.7; and among Hispanic males, the rate was 25.1. &#10;&#10;Among 15-24 year old females, the average annual homicide rate was 1.6 per 100,000 population. Data is suppressed for White non-Hispanic females, Black non-Hispanic females and Hispanic females.&#10;">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40E54E72-5152-4A9E-AA89-C6A308F36C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3E7C57DD" w14:textId="3CA9725B" w:rsidR="00E11DBA" w:rsidRPr="00471E8F" w:rsidRDefault="001438AB" w:rsidP="00E552D2">
      <w:pPr>
        <w:pStyle w:val="source0"/>
        <w:spacing w:line="360" w:lineRule="auto"/>
        <w:ind w:left="-360" w:right="-360"/>
        <w:jc w:val="center"/>
        <w:rPr>
          <w:smallCaps w:val="0"/>
          <w:sz w:val="24"/>
          <w:szCs w:val="24"/>
        </w:rPr>
      </w:pPr>
      <w:r w:rsidRPr="00471E8F">
        <w:rPr>
          <w:rFonts w:ascii="Aileron" w:hAnsi="Aileron"/>
          <w:noProof/>
          <w:sz w:val="24"/>
          <w:szCs w:val="24"/>
          <w:highlight w:val="yellow"/>
        </w:rPr>
        <mc:AlternateContent>
          <mc:Choice Requires="wps">
            <w:drawing>
              <wp:anchor distT="0" distB="0" distL="114300" distR="114300" simplePos="0" relativeHeight="251789312" behindDoc="0" locked="0" layoutInCell="1" allowOverlap="1" wp14:anchorId="54D8F10F" wp14:editId="263EE6A1">
                <wp:simplePos x="0" y="0"/>
                <wp:positionH relativeFrom="margin">
                  <wp:posOffset>4208780</wp:posOffset>
                </wp:positionH>
                <wp:positionV relativeFrom="margin">
                  <wp:posOffset>33655</wp:posOffset>
                </wp:positionV>
                <wp:extent cx="2286000" cy="1159510"/>
                <wp:effectExtent l="0" t="0" r="0" b="2540"/>
                <wp:wrapSquare wrapText="bothSides"/>
                <wp:docPr id="255" name="Rectangle 255"/>
                <wp:cNvGraphicFramePr/>
                <a:graphic xmlns:a="http://schemas.openxmlformats.org/drawingml/2006/main">
                  <a:graphicData uri="http://schemas.microsoft.com/office/word/2010/wordprocessingShape">
                    <wps:wsp>
                      <wps:cNvSpPr/>
                      <wps:spPr>
                        <a:xfrm>
                          <a:off x="0" y="0"/>
                          <a:ext cx="2286000" cy="1159510"/>
                        </a:xfrm>
                        <a:prstGeom prst="rect">
                          <a:avLst/>
                        </a:prstGeom>
                        <a:solidFill>
                          <a:srgbClr val="EFF3FF"/>
                        </a:solidFill>
                        <a:ln w="12700" cap="flat" cmpd="sng" algn="ctr">
                          <a:noFill/>
                          <a:prstDash val="solid"/>
                          <a:miter lim="800000"/>
                        </a:ln>
                        <a:effectLst/>
                      </wps:spPr>
                      <wps:txbx>
                        <w:txbxContent>
                          <w:p w14:paraId="1B574295" w14:textId="77777777" w:rsidR="0079760B" w:rsidRPr="00C332E5" w:rsidRDefault="0079760B" w:rsidP="00C332E5">
                            <w:pPr>
                              <w:shd w:val="clear" w:color="auto" w:fill="EFF3FF"/>
                              <w:ind w:left="0" w:right="17"/>
                              <w:jc w:val="left"/>
                              <w:rPr>
                                <w:color w:val="203864"/>
                                <w:sz w:val="24"/>
                                <w:szCs w:val="24"/>
                              </w:rPr>
                            </w:pPr>
                            <w:r w:rsidRPr="00C332E5">
                              <w:rPr>
                                <w:color w:val="203864"/>
                                <w:sz w:val="24"/>
                                <w:szCs w:val="24"/>
                              </w:rPr>
                              <w:t xml:space="preserve">“We’re seeing emerging issues or increasing challenges related to cyber-bullying.” </w:t>
                            </w:r>
                          </w:p>
                          <w:p w14:paraId="1AC44F02" w14:textId="77777777" w:rsidR="0079760B" w:rsidRPr="00C332E5" w:rsidRDefault="0079760B" w:rsidP="00C332E5">
                            <w:pPr>
                              <w:shd w:val="clear" w:color="auto" w:fill="EFF3FF"/>
                              <w:ind w:left="0" w:right="17"/>
                              <w:jc w:val="right"/>
                              <w:rPr>
                                <w:color w:val="203864"/>
                                <w:sz w:val="20"/>
                                <w:szCs w:val="20"/>
                              </w:rPr>
                            </w:pPr>
                            <w:r w:rsidRPr="00C332E5">
                              <w:rPr>
                                <w:color w:val="203864"/>
                                <w:sz w:val="20"/>
                                <w:szCs w:val="20"/>
                              </w:rPr>
                              <w:t>Key Informant Interviewee</w:t>
                            </w:r>
                          </w:p>
                          <w:p w14:paraId="7DA20C04" w14:textId="75CB7E97" w:rsidR="0079760B" w:rsidRPr="00C332E5" w:rsidRDefault="0079760B" w:rsidP="00C332E5">
                            <w:pPr>
                              <w:shd w:val="clear" w:color="auto" w:fill="EFF3FF"/>
                              <w:ind w:left="0" w:right="17"/>
                              <w:jc w:val="right"/>
                              <w:rPr>
                                <w:smallCaps/>
                                <w:color w:val="203864"/>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55" o:spid="_x0000_s1031" style="position:absolute;left:0;text-align:left;margin-left:331.4pt;margin-top:2.65pt;width:180pt;height:91.3pt;z-index:251789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" fillcolor="#eff3ff" stroked="f" strokeweight="1pt">
                <v:textbox>
                  <w:txbxContent>
                    <w:p w14:paraId="1B574295" w14:textId="77777777" w:rsidR="0079760B" w:rsidRPr="00C332E5" w:rsidRDefault="0079760B" w:rsidP="00C332E5">
                      <w:pPr>
                        <w:shd w:val="clear" w:color="auto" w:fill="EFF3FF"/>
                        <w:ind w:left="0" w:right="17"/>
                        <w:jc w:val="left"/>
                        <w:rPr>
                          <w:color w:val="203864"/>
                          <w:sz w:val="24"/>
                          <w:szCs w:val="24"/>
                        </w:rPr>
                      </w:pPr>
                      <w:r w:rsidRPr="00C332E5">
                        <w:rPr>
                          <w:color w:val="203864"/>
                          <w:sz w:val="24"/>
                          <w:szCs w:val="24"/>
                        </w:rPr>
                        <w:t xml:space="preserve">“We’re seeing emerging issues or increasing challenges related to cyber-bullying.” </w:t>
                      </w:r>
                    </w:p>
                    <w:p w14:paraId="1AC44F02" w14:textId="77777777" w:rsidR="0079760B" w:rsidRPr="00C332E5" w:rsidRDefault="0079760B" w:rsidP="00C332E5">
                      <w:pPr>
                        <w:shd w:val="clear" w:color="auto" w:fill="EFF3FF"/>
                        <w:ind w:left="0" w:right="17"/>
                        <w:jc w:val="right"/>
                        <w:rPr>
                          <w:color w:val="203864"/>
                          <w:sz w:val="20"/>
                          <w:szCs w:val="20"/>
                        </w:rPr>
                      </w:pPr>
                      <w:r w:rsidRPr="00C332E5">
                        <w:rPr>
                          <w:color w:val="203864"/>
                          <w:sz w:val="20"/>
                          <w:szCs w:val="20"/>
                        </w:rPr>
                        <w:t>Key Informant Interviewee</w:t>
                      </w:r>
                    </w:p>
                    <w:p w14:paraId="7DA20C04" w14:textId="75CB7E97" w:rsidR="0079760B" w:rsidRPr="00C332E5" w:rsidRDefault="0079760B" w:rsidP="00C332E5">
                      <w:pPr>
                        <w:shd w:val="clear" w:color="auto" w:fill="EFF3FF"/>
                        <w:ind w:left="0" w:right="17"/>
                        <w:jc w:val="right"/>
                        <w:rPr>
                          <w:smallCaps/>
                          <w:color w:val="203864"/>
                          <w:sz w:val="24"/>
                          <w:szCs w:val="24"/>
                        </w:rPr>
                      </w:pPr>
                    </w:p>
                  </w:txbxContent>
                </v:textbox>
                <w10:wrap type="square" anchorx="margin" anchory="margin"/>
              </v:rect>
            </w:pict>
          </mc:Fallback>
        </mc:AlternateContent>
      </w:r>
      <w:r w:rsidR="00C332E5" w:rsidRPr="00471E8F">
        <w:rPr>
          <w:smallCaps w:val="0"/>
          <w:sz w:val="24"/>
          <w:szCs w:val="24"/>
        </w:rPr>
        <w:t>NOTE: * RATES WERE NOT CALCULATED FOR FEMALES BY AGE GROUP DUE TO SMALL NUMBERS.</w:t>
      </w:r>
    </w:p>
    <w:p w14:paraId="3EB5354A" w14:textId="50439AD4" w:rsidR="00197870" w:rsidRPr="00471E8F" w:rsidRDefault="00197870" w:rsidP="00E552D2">
      <w:pPr>
        <w:spacing w:line="360" w:lineRule="auto"/>
        <w:ind w:right="-360"/>
        <w:rPr>
          <w:sz w:val="24"/>
          <w:szCs w:val="24"/>
        </w:rPr>
      </w:pPr>
      <w:r w:rsidRPr="00471E8F">
        <w:rPr>
          <w:sz w:val="24"/>
          <w:szCs w:val="24"/>
        </w:rPr>
        <w:t xml:space="preserve">From </w:t>
      </w:r>
      <w:r w:rsidR="00B93A69" w:rsidRPr="00471E8F">
        <w:rPr>
          <w:sz w:val="24"/>
          <w:szCs w:val="24"/>
        </w:rPr>
        <w:t xml:space="preserve">Federal </w:t>
      </w:r>
      <w:r w:rsidR="005F55D7" w:rsidRPr="00471E8F">
        <w:rPr>
          <w:sz w:val="24"/>
          <w:szCs w:val="24"/>
        </w:rPr>
        <w:t>Fiscal Year</w:t>
      </w:r>
      <w:r w:rsidRPr="00471E8F">
        <w:rPr>
          <w:sz w:val="24"/>
          <w:szCs w:val="24"/>
        </w:rPr>
        <w:t xml:space="preserve"> 2004 to 2013,</w:t>
      </w:r>
      <w:r w:rsidRPr="00471E8F">
        <w:rPr>
          <w:iCs/>
          <w:sz w:val="24"/>
          <w:szCs w:val="24"/>
        </w:rPr>
        <w:t xml:space="preserve"> young adults</w:t>
      </w:r>
      <w:r w:rsidR="001438AB" w:rsidRPr="00471E8F">
        <w:rPr>
          <w:iCs/>
          <w:sz w:val="24"/>
          <w:szCs w:val="24"/>
        </w:rPr>
        <w:t>, ages</w:t>
      </w:r>
      <w:r w:rsidRPr="00471E8F">
        <w:rPr>
          <w:iCs/>
          <w:sz w:val="24"/>
          <w:szCs w:val="24"/>
        </w:rPr>
        <w:t xml:space="preserve"> 15-24</w:t>
      </w:r>
      <w:r w:rsidRPr="00471E8F">
        <w:rPr>
          <w:sz w:val="24"/>
          <w:szCs w:val="24"/>
        </w:rPr>
        <w:t xml:space="preserve"> were the only age group that experienced a significant decrease in rates of assault-related hospital stays.</w:t>
      </w:r>
      <w:r w:rsidRPr="00471E8F">
        <w:rPr>
          <w:rFonts w:cs="Calibri"/>
          <w:sz w:val="24"/>
          <w:szCs w:val="24"/>
        </w:rPr>
        <w:t xml:space="preserve"> However, during this same time period, </w:t>
      </w:r>
      <w:r w:rsidRPr="00471E8F">
        <w:rPr>
          <w:sz w:val="24"/>
          <w:szCs w:val="24"/>
        </w:rPr>
        <w:t xml:space="preserve">young adults </w:t>
      </w:r>
      <w:r w:rsidR="001438AB" w:rsidRPr="00471E8F">
        <w:rPr>
          <w:sz w:val="24"/>
          <w:szCs w:val="24"/>
        </w:rPr>
        <w:t xml:space="preserve">ages </w:t>
      </w:r>
      <w:r w:rsidRPr="00471E8F">
        <w:rPr>
          <w:sz w:val="24"/>
          <w:szCs w:val="24"/>
        </w:rPr>
        <w:t xml:space="preserve">15-24 had the highest hospital stay rates for assault-related injuries of any age group. Among youth and young adults </w:t>
      </w:r>
      <w:r w:rsidR="00AD7437" w:rsidRPr="00471E8F">
        <w:rPr>
          <w:sz w:val="24"/>
          <w:szCs w:val="24"/>
        </w:rPr>
        <w:t xml:space="preserve">ages </w:t>
      </w:r>
      <w:r w:rsidRPr="00471E8F">
        <w:rPr>
          <w:sz w:val="24"/>
          <w:szCs w:val="24"/>
        </w:rPr>
        <w:t xml:space="preserve">15-24, Black non-Hispanic males were 31 times more likely to be treated for a non-fatal firearm related assault than White non-Hispanic males in </w:t>
      </w:r>
      <w:r w:rsidR="005F55D7" w:rsidRPr="00471E8F">
        <w:rPr>
          <w:sz w:val="24"/>
          <w:szCs w:val="24"/>
        </w:rPr>
        <w:t xml:space="preserve">Fiscal Year </w:t>
      </w:r>
      <w:r w:rsidRPr="00471E8F">
        <w:rPr>
          <w:sz w:val="24"/>
          <w:szCs w:val="24"/>
        </w:rPr>
        <w:t xml:space="preserve">2014 (224.0 per 100,000 population versus 7.3 per 100,000 population). </w:t>
      </w:r>
    </w:p>
    <w:p w14:paraId="48CA22BC" w14:textId="4C97853E" w:rsidR="00197870" w:rsidRPr="00471E8F" w:rsidRDefault="00197870" w:rsidP="00E552D2">
      <w:pPr>
        <w:spacing w:line="360" w:lineRule="auto"/>
        <w:ind w:right="-360"/>
        <w:rPr>
          <w:sz w:val="24"/>
          <w:szCs w:val="24"/>
        </w:rPr>
      </w:pPr>
      <w:r w:rsidRPr="00471E8F">
        <w:rPr>
          <w:sz w:val="24"/>
          <w:szCs w:val="24"/>
        </w:rPr>
        <w:t xml:space="preserve">In </w:t>
      </w:r>
      <w:r w:rsidR="005F55D7" w:rsidRPr="00471E8F">
        <w:rPr>
          <w:sz w:val="24"/>
          <w:szCs w:val="24"/>
        </w:rPr>
        <w:t xml:space="preserve">Fiscal Year </w:t>
      </w:r>
      <w:r w:rsidRPr="00471E8F">
        <w:rPr>
          <w:sz w:val="24"/>
          <w:szCs w:val="24"/>
        </w:rPr>
        <w:t xml:space="preserve">2014, Black non-Hispanic males </w:t>
      </w:r>
      <w:r w:rsidR="001438AB" w:rsidRPr="00471E8F">
        <w:rPr>
          <w:sz w:val="24"/>
          <w:szCs w:val="24"/>
        </w:rPr>
        <w:t xml:space="preserve">ages </w:t>
      </w:r>
      <w:r w:rsidRPr="00471E8F">
        <w:rPr>
          <w:sz w:val="24"/>
          <w:szCs w:val="24"/>
        </w:rPr>
        <w:t xml:space="preserve">15 to 24 (1,799 per 100,000 population) were 2.6 times more likely to be treated for a non-fatal assault-related injury than White non-Hispanic males of the same age group (680 per 100,000 population). Hispanic males 15-24 (1,366 per 100,000 population) were twice as likely </w:t>
      </w:r>
      <w:r w:rsidRPr="00471E8F">
        <w:rPr>
          <w:sz w:val="24"/>
          <w:szCs w:val="24"/>
        </w:rPr>
        <w:lastRenderedPageBreak/>
        <w:t>as White non-Hispanic males of the same age group (680 per 100,000 population) to be treated for non-fatal assault-related injury.</w:t>
      </w:r>
      <w:r w:rsidRPr="00471E8F">
        <w:rPr>
          <w:rFonts w:ascii="Aileron" w:hAnsi="Aileron"/>
          <w:sz w:val="24"/>
          <w:szCs w:val="24"/>
          <w:highlight w:val="yellow"/>
        </w:rPr>
        <w:t xml:space="preserve"> </w:t>
      </w:r>
    </w:p>
    <w:p w14:paraId="0DA371BF" w14:textId="1E41FF47" w:rsidR="00197870" w:rsidRPr="00471E8F" w:rsidRDefault="00197870" w:rsidP="00E552D2">
      <w:pPr>
        <w:spacing w:line="360" w:lineRule="auto"/>
        <w:ind w:right="-360"/>
        <w:rPr>
          <w:sz w:val="24"/>
          <w:szCs w:val="24"/>
        </w:rPr>
      </w:pPr>
      <w:r w:rsidRPr="00471E8F">
        <w:rPr>
          <w:sz w:val="24"/>
          <w:szCs w:val="24"/>
        </w:rPr>
        <w:t>In 2015, gay, lesbian, and bisexual high school students were three times more likely than heterosexual or cis-gender students to miss at least one day of school because they felt unsafe at or on the way to/from school (13% versus 4%) and also more than 2 times more likely to have been bullied on school property in the past year (34% versus 14</w:t>
      </w:r>
      <w:r w:rsidR="000F773C" w:rsidRPr="00471E8F">
        <w:rPr>
          <w:sz w:val="24"/>
          <w:szCs w:val="24"/>
        </w:rPr>
        <w:t>%</w:t>
      </w:r>
      <w:r w:rsidRPr="00471E8F">
        <w:rPr>
          <w:sz w:val="24"/>
          <w:szCs w:val="24"/>
        </w:rPr>
        <w:t>).</w:t>
      </w:r>
    </w:p>
    <w:p w14:paraId="524F71FF" w14:textId="695BD67A" w:rsidR="00197870" w:rsidRPr="00471E8F" w:rsidRDefault="00E552D2" w:rsidP="00E552D2">
      <w:pPr>
        <w:pStyle w:val="SHAFigureNumber"/>
        <w:spacing w:line="360" w:lineRule="auto"/>
        <w:rPr>
          <w:sz w:val="24"/>
          <w:szCs w:val="24"/>
        </w:rPr>
      </w:pPr>
      <w:r w:rsidRPr="00471E8F">
        <w:rPr>
          <w:rFonts w:ascii="Aileron" w:hAnsi="Aileron"/>
          <w:b w:val="0"/>
          <w:noProof/>
          <w:sz w:val="24"/>
          <w:szCs w:val="24"/>
        </w:rPr>
        <mc:AlternateContent>
          <mc:Choice Requires="wps">
            <w:drawing>
              <wp:anchor distT="0" distB="0" distL="114300" distR="114300" simplePos="0" relativeHeight="251801600" behindDoc="0" locked="0" layoutInCell="1" allowOverlap="1" wp14:anchorId="386A13F8" wp14:editId="194BCBD0">
                <wp:simplePos x="0" y="0"/>
                <wp:positionH relativeFrom="margin">
                  <wp:posOffset>-223520</wp:posOffset>
                </wp:positionH>
                <wp:positionV relativeFrom="margin">
                  <wp:posOffset>-294005</wp:posOffset>
                </wp:positionV>
                <wp:extent cx="6682740" cy="925195"/>
                <wp:effectExtent l="0" t="0" r="3810" b="8255"/>
                <wp:wrapSquare wrapText="bothSides"/>
                <wp:docPr id="34" name="Rectangle 34"/>
                <wp:cNvGraphicFramePr/>
                <a:graphic xmlns:a="http://schemas.openxmlformats.org/drawingml/2006/main">
                  <a:graphicData uri="http://schemas.microsoft.com/office/word/2010/wordprocessingShape">
                    <wps:wsp>
                      <wps:cNvSpPr/>
                      <wps:spPr>
                        <a:xfrm>
                          <a:off x="0" y="0"/>
                          <a:ext cx="6682740" cy="925195"/>
                        </a:xfrm>
                        <a:prstGeom prst="rect">
                          <a:avLst/>
                        </a:prstGeom>
                        <a:solidFill>
                          <a:srgbClr val="EFF3FF"/>
                        </a:solidFill>
                        <a:ln w="12700" cap="flat" cmpd="sng" algn="ctr">
                          <a:noFill/>
                          <a:prstDash val="solid"/>
                          <a:miter lim="800000"/>
                        </a:ln>
                        <a:effectLst/>
                      </wps:spPr>
                      <wps:txbx>
                        <w:txbxContent>
                          <w:p w14:paraId="2F17BD74" w14:textId="77777777" w:rsidR="0079760B" w:rsidRPr="00C332E5" w:rsidRDefault="0079760B" w:rsidP="00C332E5">
                            <w:pPr>
                              <w:shd w:val="clear" w:color="auto" w:fill="EFF3FF"/>
                              <w:ind w:left="0" w:right="17"/>
                              <w:jc w:val="left"/>
                              <w:rPr>
                                <w:color w:val="203864"/>
                                <w:sz w:val="24"/>
                                <w:szCs w:val="24"/>
                              </w:rPr>
                            </w:pPr>
                            <w:r w:rsidRPr="00C332E5">
                              <w:rPr>
                                <w:color w:val="203864"/>
                                <w:sz w:val="24"/>
                                <w:szCs w:val="24"/>
                              </w:rPr>
                              <w:t xml:space="preserve">“People with disabilities are more vulnerable to sexual/intimate partner violence and other types of violence.” </w:t>
                            </w:r>
                          </w:p>
                          <w:p w14:paraId="6116E5D9" w14:textId="77777777" w:rsidR="0079760B" w:rsidRPr="00C332E5" w:rsidRDefault="0079760B" w:rsidP="00C332E5">
                            <w:pPr>
                              <w:shd w:val="clear" w:color="auto" w:fill="EFF3FF"/>
                              <w:ind w:left="0" w:right="17"/>
                              <w:jc w:val="right"/>
                              <w:rPr>
                                <w:color w:val="203864"/>
                                <w:sz w:val="20"/>
                                <w:szCs w:val="20"/>
                              </w:rPr>
                            </w:pPr>
                            <w:r w:rsidRPr="00C332E5">
                              <w:rPr>
                                <w:color w:val="203864"/>
                                <w:sz w:val="20"/>
                                <w:szCs w:val="20"/>
                              </w:rPr>
                              <w:t>Key Informant Interviewee</w:t>
                            </w:r>
                          </w:p>
                          <w:p w14:paraId="3CCBC7AF" w14:textId="1CCC34EB" w:rsidR="0079760B" w:rsidRPr="00C332E5" w:rsidRDefault="0079760B" w:rsidP="00C332E5">
                            <w:pPr>
                              <w:shd w:val="clear" w:color="auto" w:fill="EFF3FF"/>
                              <w:ind w:left="0" w:right="17"/>
                              <w:jc w:val="left"/>
                              <w:rPr>
                                <w:smallCaps/>
                                <w:color w:val="203864"/>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4" o:spid="_x0000_s1032" style="position:absolute;left:0;text-align:left;margin-left:-17.6pt;margin-top:-23.15pt;width:526.2pt;height:72.85pt;z-index:2518016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" fillcolor="#eff3ff" stroked="f" strokeweight="1pt">
                <v:textbox>
                  <w:txbxContent>
                    <w:p w14:paraId="2F17BD74" w14:textId="77777777" w:rsidR="0079760B" w:rsidRPr="00C332E5" w:rsidRDefault="0079760B" w:rsidP="00C332E5">
                      <w:pPr>
                        <w:shd w:val="clear" w:color="auto" w:fill="EFF3FF"/>
                        <w:ind w:left="0" w:right="17"/>
                        <w:jc w:val="left"/>
                        <w:rPr>
                          <w:color w:val="203864"/>
                          <w:sz w:val="24"/>
                          <w:szCs w:val="24"/>
                        </w:rPr>
                      </w:pPr>
                      <w:r w:rsidRPr="00C332E5">
                        <w:rPr>
                          <w:color w:val="203864"/>
                          <w:sz w:val="24"/>
                          <w:szCs w:val="24"/>
                        </w:rPr>
                        <w:t xml:space="preserve">“People with disabilities are more vulnerable to sexual/intimate partner violence and other types of violence.” </w:t>
                      </w:r>
                    </w:p>
                    <w:p w14:paraId="6116E5D9" w14:textId="77777777" w:rsidR="0079760B" w:rsidRPr="00C332E5" w:rsidRDefault="0079760B" w:rsidP="00C332E5">
                      <w:pPr>
                        <w:shd w:val="clear" w:color="auto" w:fill="EFF3FF"/>
                        <w:ind w:left="0" w:right="17"/>
                        <w:jc w:val="right"/>
                        <w:rPr>
                          <w:color w:val="203864"/>
                          <w:sz w:val="20"/>
                          <w:szCs w:val="20"/>
                        </w:rPr>
                      </w:pPr>
                      <w:r w:rsidRPr="00C332E5">
                        <w:rPr>
                          <w:color w:val="203864"/>
                          <w:sz w:val="20"/>
                          <w:szCs w:val="20"/>
                        </w:rPr>
                        <w:t>Key Informant Interviewee</w:t>
                      </w:r>
                    </w:p>
                    <w:p w14:paraId="3CCBC7AF" w14:textId="1CCC34EB" w:rsidR="0079760B" w:rsidRPr="00C332E5" w:rsidRDefault="0079760B" w:rsidP="00C332E5">
                      <w:pPr>
                        <w:shd w:val="clear" w:color="auto" w:fill="EFF3FF"/>
                        <w:ind w:left="0" w:right="17"/>
                        <w:jc w:val="left"/>
                        <w:rPr>
                          <w:smallCaps/>
                          <w:color w:val="203864"/>
                          <w:sz w:val="24"/>
                          <w:szCs w:val="24"/>
                        </w:rPr>
                      </w:pPr>
                    </w:p>
                  </w:txbxContent>
                </v:textbox>
                <w10:wrap type="square" anchorx="margin" anchory="margin"/>
              </v:rect>
            </w:pict>
          </mc:Fallback>
        </mc:AlternateContent>
      </w:r>
      <w:r w:rsidR="00197870" w:rsidRPr="00471E8F">
        <w:rPr>
          <w:sz w:val="24"/>
          <w:szCs w:val="24"/>
        </w:rPr>
        <w:t xml:space="preserve">Figure </w:t>
      </w:r>
      <w:r w:rsidR="002B3609" w:rsidRPr="00471E8F">
        <w:rPr>
          <w:sz w:val="24"/>
          <w:szCs w:val="24"/>
        </w:rPr>
        <w:t>5.17</w:t>
      </w:r>
    </w:p>
    <w:p w14:paraId="4CD513A9" w14:textId="09C4ACFE" w:rsidR="00197870" w:rsidRPr="00471E8F" w:rsidRDefault="00197870" w:rsidP="00E552D2">
      <w:pPr>
        <w:pStyle w:val="SHAFigureNumber"/>
        <w:spacing w:line="360" w:lineRule="auto"/>
        <w:rPr>
          <w:sz w:val="24"/>
          <w:szCs w:val="24"/>
        </w:rPr>
      </w:pPr>
      <w:r w:rsidRPr="00471E8F">
        <w:rPr>
          <w:sz w:val="24"/>
          <w:szCs w:val="24"/>
        </w:rPr>
        <w:t xml:space="preserve">Bullying Victimization in the Past 30 Days and the Effect of Fear for Personal Safety on School Attendance in the Past 30 </w:t>
      </w:r>
      <w:r w:rsidR="00925A89" w:rsidRPr="00471E8F">
        <w:rPr>
          <w:sz w:val="24"/>
          <w:szCs w:val="24"/>
        </w:rPr>
        <w:t>Days a</w:t>
      </w:r>
      <w:r w:rsidRPr="00471E8F">
        <w:rPr>
          <w:sz w:val="24"/>
          <w:szCs w:val="24"/>
        </w:rPr>
        <w:t xml:space="preserve">mong </w:t>
      </w:r>
      <w:r w:rsidR="00187D0C" w:rsidRPr="00471E8F">
        <w:rPr>
          <w:sz w:val="24"/>
          <w:szCs w:val="24"/>
        </w:rPr>
        <w:t>Massachusetts</w:t>
      </w:r>
      <w:r w:rsidRPr="00471E8F">
        <w:rPr>
          <w:sz w:val="24"/>
          <w:szCs w:val="24"/>
        </w:rPr>
        <w:t xml:space="preserve"> High School Youth by Sexual Orientation, 2015</w:t>
      </w:r>
    </w:p>
    <w:p w14:paraId="33E2233B" w14:textId="5467AD9A" w:rsidR="00197870" w:rsidRPr="00471E8F" w:rsidRDefault="00AB351D" w:rsidP="00E552D2">
      <w:pPr>
        <w:pStyle w:val="source0"/>
        <w:spacing w:line="360" w:lineRule="auto"/>
        <w:ind w:left="-360" w:right="-360"/>
        <w:jc w:val="center"/>
        <w:rPr>
          <w:color w:val="0563C1" w:themeColor="hyperlink"/>
          <w:sz w:val="24"/>
          <w:szCs w:val="24"/>
        </w:rPr>
      </w:pPr>
      <w:r w:rsidRPr="00471E8F">
        <w:rPr>
          <w:noProof/>
          <w:sz w:val="24"/>
          <w:szCs w:val="24"/>
        </w:rPr>
        <w:drawing>
          <wp:inline distT="0" distB="0" distL="0" distR="0" wp14:anchorId="1EAED978" wp14:editId="22FB36DF">
            <wp:extent cx="5943600" cy="2847975"/>
            <wp:effectExtent l="0" t="0" r="0" b="0"/>
            <wp:docPr id="626" name="Chart 626" descr="This vertical bar graph shows that gay, lesbian and bisexual high school students were more likely than heterosexual students to report not going to school because they felt unsafe, being electronically bullied, and being bullied on school property. &#10;&#10;13% of gay, lesbian and bisexual students reported not going to school at some time in the previous 30 days because they felt unsafe compared to 4% of heterosexual students.&#10;&#10;27% of gay, lesbian and bisexual students reported being electronically bullied in the past 30 days compared to 12% of heterosexual students.&#10;&#10;34% of gay, lesbian and bisexual students reported being bullied on school property in the past 30 days compared to 14% of heterosexual students.&#10;">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E043DF31-B531-4D95-8E97-6A6F1CE494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71E993FC" w14:textId="0FBB308E" w:rsidR="00197870" w:rsidRPr="00471E8F" w:rsidRDefault="00197870" w:rsidP="00E552D2">
      <w:pPr>
        <w:pStyle w:val="Heading3"/>
        <w:spacing w:line="360" w:lineRule="auto"/>
        <w:rPr>
          <w:sz w:val="24"/>
          <w:szCs w:val="24"/>
        </w:rPr>
      </w:pPr>
      <w:r w:rsidRPr="00471E8F">
        <w:rPr>
          <w:sz w:val="24"/>
          <w:szCs w:val="24"/>
        </w:rPr>
        <w:t>Sexual Violence/Child Sexual Abuse</w:t>
      </w:r>
    </w:p>
    <w:p w14:paraId="28DF146C" w14:textId="581D42E6" w:rsidR="00197870" w:rsidRPr="00471E8F" w:rsidRDefault="00197870" w:rsidP="00E552D2">
      <w:pPr>
        <w:spacing w:line="360" w:lineRule="auto"/>
        <w:ind w:right="-360"/>
        <w:rPr>
          <w:sz w:val="24"/>
          <w:szCs w:val="24"/>
        </w:rPr>
      </w:pPr>
      <w:r w:rsidRPr="00471E8F">
        <w:rPr>
          <w:sz w:val="24"/>
          <w:szCs w:val="24"/>
        </w:rPr>
        <w:t xml:space="preserve">Sexual violence leads to many long-lasting physical and mental health effects. Sexual victimization has been associated with subsequent negative health outcomes such as acute and chronic gynecologic injuries and symptoms; sexually transmitted infections, including HIV; rape-induced pregnancy; cervical cancer; pre-term </w:t>
      </w:r>
      <w:r w:rsidRPr="00471E8F">
        <w:rPr>
          <w:sz w:val="24"/>
          <w:szCs w:val="24"/>
        </w:rPr>
        <w:lastRenderedPageBreak/>
        <w:t>or lower birth-weight infants; and high-risk health behaviors, such as substance use and high-risk sex practices.</w:t>
      </w:r>
      <w:r w:rsidRPr="00471E8F">
        <w:rPr>
          <w:rStyle w:val="EndnoteReference"/>
          <w:sz w:val="24"/>
          <w:szCs w:val="24"/>
        </w:rPr>
        <w:endnoteReference w:id="68"/>
      </w:r>
    </w:p>
    <w:p w14:paraId="5774E2DE" w14:textId="77777777" w:rsidR="00AC0A62" w:rsidRPr="00471E8F" w:rsidRDefault="00AC0A62" w:rsidP="00E552D2">
      <w:pPr>
        <w:spacing w:line="360" w:lineRule="auto"/>
        <w:ind w:right="-360"/>
        <w:rPr>
          <w:sz w:val="24"/>
          <w:szCs w:val="24"/>
        </w:rPr>
      </w:pPr>
    </w:p>
    <w:p w14:paraId="111F400A" w14:textId="112A24BA" w:rsidR="00197870" w:rsidRPr="00471E8F" w:rsidRDefault="00197870" w:rsidP="00E552D2">
      <w:pPr>
        <w:pStyle w:val="Heading4"/>
        <w:spacing w:line="360" w:lineRule="auto"/>
        <w:rPr>
          <w:bCs/>
          <w:iCs/>
        </w:rPr>
      </w:pPr>
      <w:r w:rsidRPr="00471E8F">
        <w:t>Trends</w:t>
      </w:r>
      <w:r w:rsidR="00B77854" w:rsidRPr="00471E8F">
        <w:t>/Disparities</w:t>
      </w:r>
    </w:p>
    <w:p w14:paraId="76E87A13" w14:textId="1DF3D638" w:rsidR="00197870" w:rsidRPr="00471E8F" w:rsidRDefault="00197870" w:rsidP="00E552D2">
      <w:pPr>
        <w:pStyle w:val="Heading4"/>
        <w:spacing w:line="360" w:lineRule="auto"/>
        <w:rPr>
          <w:bCs/>
          <w:iCs/>
        </w:rPr>
      </w:pPr>
      <w:r w:rsidRPr="00471E8F">
        <w:rPr>
          <w:b w:val="0"/>
        </w:rPr>
        <w:t>In Massachusetts, between 2011 and 2015, the prevalence of adults reporting sexual violence at some point in their lives showed no statistically significant changes, ranging from 10.7% to 12.8% overall and between 4.6% and 5.5% for men and between 15.7% and 20.1% for women.</w:t>
      </w:r>
      <w:r w:rsidRPr="00471E8F">
        <w:rPr>
          <w:rStyle w:val="EndnoteReference"/>
          <w:b w:val="0"/>
        </w:rPr>
        <w:endnoteReference w:id="69"/>
      </w:r>
    </w:p>
    <w:p w14:paraId="4FA01ED1" w14:textId="40632145" w:rsidR="00197870" w:rsidRPr="00471E8F" w:rsidRDefault="00197870" w:rsidP="00E552D2">
      <w:pPr>
        <w:spacing w:line="360" w:lineRule="auto"/>
        <w:ind w:right="-360"/>
        <w:rPr>
          <w:sz w:val="24"/>
          <w:szCs w:val="24"/>
        </w:rPr>
      </w:pPr>
      <w:r w:rsidRPr="00471E8F">
        <w:rPr>
          <w:sz w:val="24"/>
          <w:szCs w:val="24"/>
        </w:rPr>
        <w:t>The number of suspected cases of  child sexual abuse reported to the Massachusetts Department of Children and Families (DCF) has followed a similar pattern with no statistically significant change over the past five years of available data.</w:t>
      </w:r>
      <w:r w:rsidRPr="00471E8F">
        <w:rPr>
          <w:rStyle w:val="EndnoteReference"/>
          <w:sz w:val="24"/>
          <w:szCs w:val="24"/>
        </w:rPr>
        <w:endnoteReference w:id="70"/>
      </w:r>
      <w:r w:rsidRPr="00471E8F">
        <w:rPr>
          <w:sz w:val="24"/>
          <w:szCs w:val="24"/>
          <w:vertAlign w:val="superscript"/>
        </w:rPr>
        <w:t>,</w:t>
      </w:r>
      <w:r w:rsidRPr="00471E8F">
        <w:rPr>
          <w:rStyle w:val="EndnoteReference"/>
          <w:sz w:val="24"/>
          <w:szCs w:val="24"/>
        </w:rPr>
        <w:endnoteReference w:id="71"/>
      </w:r>
      <w:r w:rsidRPr="00471E8F">
        <w:rPr>
          <w:sz w:val="24"/>
          <w:szCs w:val="24"/>
          <w:vertAlign w:val="superscript"/>
        </w:rPr>
        <w:t>,</w:t>
      </w:r>
      <w:r w:rsidRPr="00471E8F">
        <w:rPr>
          <w:rStyle w:val="EndnoteReference"/>
          <w:sz w:val="24"/>
          <w:szCs w:val="24"/>
        </w:rPr>
        <w:endnoteReference w:id="72"/>
      </w:r>
      <w:r w:rsidRPr="00471E8F">
        <w:rPr>
          <w:sz w:val="24"/>
          <w:szCs w:val="24"/>
          <w:vertAlign w:val="superscript"/>
        </w:rPr>
        <w:t>,</w:t>
      </w:r>
      <w:r w:rsidRPr="00471E8F">
        <w:rPr>
          <w:rStyle w:val="EndnoteReference"/>
          <w:sz w:val="24"/>
          <w:szCs w:val="24"/>
        </w:rPr>
        <w:endnoteReference w:id="73"/>
      </w:r>
      <w:r w:rsidRPr="00471E8F">
        <w:rPr>
          <w:sz w:val="24"/>
          <w:szCs w:val="24"/>
          <w:vertAlign w:val="superscript"/>
        </w:rPr>
        <w:t>,</w:t>
      </w:r>
      <w:r w:rsidRPr="00471E8F">
        <w:rPr>
          <w:rStyle w:val="EndnoteReference"/>
          <w:sz w:val="24"/>
          <w:szCs w:val="24"/>
        </w:rPr>
        <w:endnoteReference w:id="74"/>
      </w:r>
      <w:r w:rsidRPr="00471E8F">
        <w:rPr>
          <w:sz w:val="24"/>
          <w:szCs w:val="24"/>
          <w:vertAlign w:val="superscript"/>
        </w:rPr>
        <w:t xml:space="preserve"> </w:t>
      </w:r>
      <w:r w:rsidRPr="00471E8F">
        <w:rPr>
          <w:sz w:val="24"/>
          <w:szCs w:val="24"/>
        </w:rPr>
        <w:t>The same pattern holds true for unwanted contact among Massachusetts high school students. The Youth Health Survey shows that between 2011-2015 the number of high school students reporting having experienced sexual contact against their will has remained fairly consistent. In 2011, 9% of high school students reported experiencing sexual violence, compared to 6% in 2013 and 7% in 2015.</w:t>
      </w:r>
      <w:r w:rsidRPr="00471E8F">
        <w:rPr>
          <w:rStyle w:val="EndnoteReference"/>
          <w:sz w:val="24"/>
          <w:szCs w:val="24"/>
        </w:rPr>
        <w:endnoteReference w:id="75"/>
      </w:r>
    </w:p>
    <w:p w14:paraId="4CCB11C4" w14:textId="2DC77492" w:rsidR="00197870" w:rsidRPr="00471E8F" w:rsidRDefault="00197870" w:rsidP="00E552D2">
      <w:pPr>
        <w:spacing w:line="360" w:lineRule="auto"/>
        <w:ind w:right="-360"/>
        <w:rPr>
          <w:sz w:val="24"/>
          <w:szCs w:val="24"/>
          <w:vertAlign w:val="superscript"/>
        </w:rPr>
      </w:pPr>
      <w:r w:rsidRPr="00471E8F">
        <w:rPr>
          <w:sz w:val="24"/>
          <w:szCs w:val="24"/>
        </w:rPr>
        <w:t>Massachusetts adults with disabilities reported a statistically significantly higher prevalence of lifetime sexual violence victimization (20%) than adults without a disability (9%).</w:t>
      </w:r>
      <w:r w:rsidRPr="00471E8F">
        <w:rPr>
          <w:sz w:val="24"/>
          <w:szCs w:val="24"/>
          <w:vertAlign w:val="superscript"/>
        </w:rPr>
        <w:t xml:space="preserve"> </w:t>
      </w:r>
    </w:p>
    <w:p w14:paraId="25755DE0" w14:textId="17EDFC09" w:rsidR="00197870" w:rsidRPr="00471E8F" w:rsidRDefault="00197870" w:rsidP="00E552D2">
      <w:pPr>
        <w:spacing w:line="360" w:lineRule="auto"/>
        <w:ind w:right="-360"/>
        <w:rPr>
          <w:sz w:val="24"/>
          <w:szCs w:val="24"/>
        </w:rPr>
      </w:pPr>
      <w:r w:rsidRPr="00471E8F">
        <w:rPr>
          <w:rFonts w:cs="Arial"/>
          <w:color w:val="000000"/>
          <w:sz w:val="24"/>
          <w:szCs w:val="24"/>
          <w:shd w:val="clear" w:color="auto" w:fill="FFFFFF"/>
        </w:rPr>
        <w:t>Both males and females with disabilities are at a heightened risk for lifetime experiences of sexual violence and for experiencing such victimization within the past year. The prevalence of lifetime reported sexual violence victimization was 3.5 times higher among men with disabilities compared to those without disabilities (13.9% versus 3.7%).  Similarly, the reported prevalence among women with disabilities was more than twice as high as that of women without disabilities (26.6% versus 12.4%).</w:t>
      </w:r>
      <w:r w:rsidRPr="00471E8F">
        <w:rPr>
          <w:rStyle w:val="EndnoteReference"/>
          <w:rFonts w:cs="Arial"/>
          <w:color w:val="000000"/>
          <w:sz w:val="24"/>
          <w:szCs w:val="24"/>
          <w:shd w:val="clear" w:color="auto" w:fill="FFFFFF"/>
        </w:rPr>
        <w:endnoteReference w:id="76"/>
      </w:r>
    </w:p>
    <w:p w14:paraId="489DA77E" w14:textId="77777777" w:rsidR="00471E8F" w:rsidRDefault="00471E8F">
      <w:pPr>
        <w:spacing w:before="0"/>
        <w:ind w:left="0" w:right="0"/>
        <w:jc w:val="left"/>
        <w:rPr>
          <w:b/>
          <w:noProof w:val="0"/>
          <w:sz w:val="24"/>
          <w:szCs w:val="24"/>
        </w:rPr>
      </w:pPr>
      <w:r>
        <w:rPr>
          <w:sz w:val="24"/>
          <w:szCs w:val="24"/>
        </w:rPr>
        <w:br w:type="page"/>
      </w:r>
    </w:p>
    <w:p w14:paraId="229F33C4" w14:textId="033FFB70" w:rsidR="00197870" w:rsidRPr="00471E8F" w:rsidRDefault="00197870" w:rsidP="00E552D2">
      <w:pPr>
        <w:pStyle w:val="SHAFigureNumber"/>
        <w:spacing w:line="360" w:lineRule="auto"/>
        <w:rPr>
          <w:sz w:val="24"/>
          <w:szCs w:val="24"/>
        </w:rPr>
      </w:pPr>
      <w:r w:rsidRPr="00471E8F">
        <w:rPr>
          <w:sz w:val="24"/>
          <w:szCs w:val="24"/>
        </w:rPr>
        <w:lastRenderedPageBreak/>
        <w:t>Figure 5.1</w:t>
      </w:r>
      <w:r w:rsidR="002B3609" w:rsidRPr="00471E8F">
        <w:rPr>
          <w:sz w:val="24"/>
          <w:szCs w:val="24"/>
        </w:rPr>
        <w:t>8</w:t>
      </w:r>
    </w:p>
    <w:p w14:paraId="5091B46D" w14:textId="55EF76BD" w:rsidR="00197870" w:rsidRPr="00471E8F" w:rsidRDefault="00197870" w:rsidP="00E552D2">
      <w:pPr>
        <w:pStyle w:val="SHAFigureNumber"/>
        <w:spacing w:line="360" w:lineRule="auto"/>
        <w:rPr>
          <w:sz w:val="24"/>
          <w:szCs w:val="24"/>
          <w:highlight w:val="lightGray"/>
        </w:rPr>
      </w:pPr>
      <w:r w:rsidRPr="00471E8F">
        <w:rPr>
          <w:sz w:val="24"/>
          <w:szCs w:val="24"/>
        </w:rPr>
        <w:t>Lifetime and Past Year Sexual Viol</w:t>
      </w:r>
      <w:r w:rsidR="00925A89" w:rsidRPr="00471E8F">
        <w:rPr>
          <w:sz w:val="24"/>
          <w:szCs w:val="24"/>
        </w:rPr>
        <w:t>ence Victimization Experiences a</w:t>
      </w:r>
      <w:r w:rsidRPr="00471E8F">
        <w:rPr>
          <w:sz w:val="24"/>
          <w:szCs w:val="24"/>
        </w:rPr>
        <w:t xml:space="preserve">mong </w:t>
      </w:r>
      <w:r w:rsidR="00187D0C" w:rsidRPr="00471E8F">
        <w:rPr>
          <w:sz w:val="24"/>
          <w:szCs w:val="24"/>
        </w:rPr>
        <w:t>Massachusetts</w:t>
      </w:r>
      <w:r w:rsidRPr="00471E8F">
        <w:rPr>
          <w:sz w:val="24"/>
          <w:szCs w:val="24"/>
        </w:rPr>
        <w:t xml:space="preserve"> Adults, Ages 18 and Older, by Disability Status, 2012-2015 </w:t>
      </w:r>
    </w:p>
    <w:p w14:paraId="00C3ABB8" w14:textId="4A5B09FA" w:rsidR="00197870" w:rsidRPr="00471E8F" w:rsidRDefault="00AB351D" w:rsidP="00E552D2">
      <w:pPr>
        <w:pStyle w:val="source0"/>
        <w:spacing w:line="360" w:lineRule="auto"/>
        <w:ind w:left="-360" w:right="-360"/>
        <w:jc w:val="center"/>
        <w:rPr>
          <w:sz w:val="24"/>
          <w:szCs w:val="24"/>
        </w:rPr>
      </w:pPr>
      <w:r w:rsidRPr="00471E8F">
        <w:rPr>
          <w:noProof/>
          <w:sz w:val="24"/>
          <w:szCs w:val="24"/>
        </w:rPr>
        <w:drawing>
          <wp:inline distT="0" distB="0" distL="0" distR="0" wp14:anchorId="219AA492" wp14:editId="69340011">
            <wp:extent cx="5472114" cy="2919413"/>
            <wp:effectExtent l="0" t="0" r="0" b="0"/>
            <wp:docPr id="627" name="Chart 627" descr="This vertical bar graph shows differences in sexual violence victimization experiences between adults with a disability and adults without a disability.&#10;&#10;20.3% of adults with a disability reported any lifetime sexual violence victimization compared to 8.9% of adults without a disability.&#10;&#10;4.7% of adults with a disability reported that they had been the victim of sexual violence in the past year compared to 3.0% of adults without a disability. These confidence intervals overlap.">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0D2DE363-8B2F-4FF4-A17A-0AA9C87B76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6D9F5775" w14:textId="77777777" w:rsidR="00197870" w:rsidRPr="00471E8F" w:rsidRDefault="00197870" w:rsidP="00E552D2">
      <w:pPr>
        <w:spacing w:line="360" w:lineRule="auto"/>
        <w:ind w:right="-360"/>
        <w:rPr>
          <w:sz w:val="24"/>
          <w:szCs w:val="24"/>
          <w:vertAlign w:val="superscript"/>
        </w:rPr>
      </w:pPr>
      <w:r w:rsidRPr="00471E8F">
        <w:rPr>
          <w:sz w:val="24"/>
          <w:szCs w:val="24"/>
        </w:rPr>
        <w:t>From July 1, 2013 through June 30, 2016, the Massachusetts Disabled Persons Protection Commission (DPPC) received 2,213 reports of sexual abuse, of which 749 fell within DPPC’s jurisdiction and were investigated. Notably, statistics such as these do not represent the true scope of the problem, as research demonstrates that the majority of victims of sexual violence do not report their experiences to authorities.</w:t>
      </w:r>
      <w:r w:rsidRPr="00471E8F">
        <w:rPr>
          <w:rStyle w:val="EndnoteReference"/>
          <w:sz w:val="24"/>
          <w:szCs w:val="24"/>
        </w:rPr>
        <w:endnoteReference w:id="77"/>
      </w:r>
    </w:p>
    <w:p w14:paraId="14EB0464" w14:textId="1911DFA8" w:rsidR="00197870" w:rsidRPr="00471E8F" w:rsidRDefault="00197870" w:rsidP="00E552D2">
      <w:pPr>
        <w:spacing w:line="360" w:lineRule="auto"/>
        <w:ind w:right="-360"/>
        <w:rPr>
          <w:sz w:val="24"/>
          <w:szCs w:val="24"/>
          <w:vertAlign w:val="superscript"/>
        </w:rPr>
      </w:pPr>
      <w:r w:rsidRPr="00471E8F">
        <w:rPr>
          <w:sz w:val="24"/>
          <w:szCs w:val="24"/>
        </w:rPr>
        <w:t xml:space="preserve">Youth who have disabilities are also at increased risk of sexual violence. In Massachusetts, youth with disabilities reported experiencing sexual violence at </w:t>
      </w:r>
      <w:r w:rsidR="00AD7437" w:rsidRPr="00471E8F">
        <w:rPr>
          <w:sz w:val="24"/>
          <w:szCs w:val="24"/>
        </w:rPr>
        <w:t xml:space="preserve">more than </w:t>
      </w:r>
      <w:r w:rsidRPr="00471E8F">
        <w:rPr>
          <w:sz w:val="24"/>
          <w:szCs w:val="24"/>
        </w:rPr>
        <w:t>three times the rate of youth without disabilities (15% versus 4%, respectively), a difference that was statistically significant.</w:t>
      </w:r>
      <w:r w:rsidRPr="00471E8F">
        <w:rPr>
          <w:rStyle w:val="EndnoteReference"/>
          <w:sz w:val="24"/>
          <w:szCs w:val="24"/>
        </w:rPr>
        <w:endnoteReference w:id="78"/>
      </w:r>
    </w:p>
    <w:p w14:paraId="17142A1A" w14:textId="77777777" w:rsidR="00197870" w:rsidRPr="00471E8F" w:rsidRDefault="00197870" w:rsidP="00E552D2">
      <w:pPr>
        <w:spacing w:line="360" w:lineRule="auto"/>
        <w:ind w:right="-360"/>
        <w:rPr>
          <w:sz w:val="24"/>
          <w:szCs w:val="24"/>
        </w:rPr>
      </w:pPr>
      <w:r w:rsidRPr="00471E8F">
        <w:rPr>
          <w:sz w:val="24"/>
          <w:szCs w:val="24"/>
        </w:rPr>
        <w:t xml:space="preserve">In Massachusetts, adult women and teenage girls face higher risk of experiencing sexual violence than adult and teenage men. The percentages of adult women experiencing some form of sexual violence were almost three times higher than the percentage of adult men (17% of females versus 6% of males). Massachusetts high school females reported experiencing any form of sexual violence at some point in their lives at almost three times the rate of high school males (11% versus 3%, respectively). </w:t>
      </w:r>
    </w:p>
    <w:p w14:paraId="7B9FDCA4" w14:textId="77777777" w:rsidR="00197870" w:rsidRPr="00471E8F" w:rsidRDefault="00197870" w:rsidP="00E552D2">
      <w:pPr>
        <w:spacing w:line="360" w:lineRule="auto"/>
        <w:ind w:right="-360"/>
        <w:rPr>
          <w:sz w:val="24"/>
          <w:szCs w:val="24"/>
        </w:rPr>
      </w:pPr>
      <w:r w:rsidRPr="00471E8F">
        <w:rPr>
          <w:sz w:val="24"/>
          <w:szCs w:val="24"/>
        </w:rPr>
        <w:lastRenderedPageBreak/>
        <w:t>In Massachusetts, White non-Hispanic high school youth (6%) were statistically significantly less likely to report ever having experienced sexual violence when compared to Black non-Hispanic high school youth (10%), Hispanic high school youth (11%), and high school youth of other non-Hispanic races (8%).</w:t>
      </w:r>
    </w:p>
    <w:p w14:paraId="0BD6B498" w14:textId="2BD9C536" w:rsidR="00E552D2" w:rsidRPr="00471E8F" w:rsidRDefault="00197870" w:rsidP="00471E8F">
      <w:pPr>
        <w:spacing w:line="360" w:lineRule="auto"/>
        <w:ind w:right="-360"/>
        <w:rPr>
          <w:sz w:val="24"/>
          <w:szCs w:val="24"/>
        </w:rPr>
      </w:pPr>
      <w:r w:rsidRPr="00471E8F">
        <w:rPr>
          <w:sz w:val="24"/>
          <w:szCs w:val="24"/>
        </w:rPr>
        <w:t xml:space="preserve">For Massachusetts high school students who reported sexual violence during the 2011 to 2015 period, the most commonly reported perpetrator was a dating partner. For high school students overall, and for female high school students, this category of perpetrator was statistically significantly more commonly reported than any other category. </w:t>
      </w:r>
    </w:p>
    <w:p w14:paraId="6FB6F6BE" w14:textId="67B399F4" w:rsidR="00197870" w:rsidRPr="00471E8F" w:rsidRDefault="00197870" w:rsidP="00E552D2">
      <w:pPr>
        <w:pStyle w:val="SHAFigureNumber"/>
        <w:spacing w:line="360" w:lineRule="auto"/>
        <w:rPr>
          <w:sz w:val="24"/>
          <w:szCs w:val="24"/>
        </w:rPr>
      </w:pPr>
      <w:r w:rsidRPr="00471E8F">
        <w:rPr>
          <w:sz w:val="24"/>
          <w:szCs w:val="24"/>
        </w:rPr>
        <w:t>Figure 5.1</w:t>
      </w:r>
      <w:r w:rsidR="002B3609" w:rsidRPr="00471E8F">
        <w:rPr>
          <w:sz w:val="24"/>
          <w:szCs w:val="24"/>
        </w:rPr>
        <w:t>9</w:t>
      </w:r>
    </w:p>
    <w:p w14:paraId="438935F2" w14:textId="77777777" w:rsidR="000F773C" w:rsidRPr="00471E8F" w:rsidRDefault="00197870" w:rsidP="00E552D2">
      <w:pPr>
        <w:pStyle w:val="SHAFigureNumber"/>
        <w:spacing w:line="360" w:lineRule="auto"/>
        <w:contextualSpacing/>
        <w:rPr>
          <w:sz w:val="24"/>
          <w:szCs w:val="24"/>
        </w:rPr>
      </w:pPr>
      <w:r w:rsidRPr="00471E8F">
        <w:rPr>
          <w:sz w:val="24"/>
          <w:szCs w:val="24"/>
        </w:rPr>
        <w:t>Lifetime and Past Year Sexual Viol</w:t>
      </w:r>
      <w:r w:rsidR="00925A89" w:rsidRPr="00471E8F">
        <w:rPr>
          <w:sz w:val="24"/>
          <w:szCs w:val="24"/>
        </w:rPr>
        <w:t>ence Victimization Experiences a</w:t>
      </w:r>
      <w:r w:rsidRPr="00471E8F">
        <w:rPr>
          <w:sz w:val="24"/>
          <w:szCs w:val="24"/>
        </w:rPr>
        <w:t xml:space="preserve">mong </w:t>
      </w:r>
      <w:r w:rsidR="00834A70" w:rsidRPr="00471E8F">
        <w:rPr>
          <w:sz w:val="24"/>
          <w:szCs w:val="24"/>
        </w:rPr>
        <w:t>Massachusetts</w:t>
      </w:r>
      <w:r w:rsidRPr="00471E8F">
        <w:rPr>
          <w:sz w:val="24"/>
          <w:szCs w:val="24"/>
        </w:rPr>
        <w:t xml:space="preserve"> Adults, </w:t>
      </w:r>
    </w:p>
    <w:p w14:paraId="5924C0BF" w14:textId="220F6458" w:rsidR="00197870" w:rsidRPr="00471E8F" w:rsidRDefault="00197870" w:rsidP="00E552D2">
      <w:pPr>
        <w:pStyle w:val="SHAFigureNumber"/>
        <w:spacing w:line="360" w:lineRule="auto"/>
        <w:contextualSpacing/>
        <w:rPr>
          <w:sz w:val="24"/>
          <w:szCs w:val="24"/>
        </w:rPr>
      </w:pPr>
      <w:r w:rsidRPr="00471E8F">
        <w:rPr>
          <w:sz w:val="24"/>
          <w:szCs w:val="24"/>
        </w:rPr>
        <w:t>Ages 18 and Older</w:t>
      </w:r>
      <w:r w:rsidR="00834A70" w:rsidRPr="00471E8F">
        <w:rPr>
          <w:sz w:val="24"/>
          <w:szCs w:val="24"/>
        </w:rPr>
        <w:t>,</w:t>
      </w:r>
      <w:r w:rsidRPr="00471E8F">
        <w:rPr>
          <w:sz w:val="24"/>
          <w:szCs w:val="24"/>
        </w:rPr>
        <w:t xml:space="preserve"> by Gender, 2012-2015</w:t>
      </w:r>
    </w:p>
    <w:p w14:paraId="7203449D" w14:textId="6DDA1197" w:rsidR="00197870" w:rsidRPr="00471E8F" w:rsidRDefault="0088258B" w:rsidP="00E552D2">
      <w:pPr>
        <w:pStyle w:val="source0"/>
        <w:spacing w:line="360" w:lineRule="auto"/>
        <w:ind w:left="-360" w:right="-360"/>
        <w:jc w:val="center"/>
        <w:rPr>
          <w:sz w:val="24"/>
          <w:szCs w:val="24"/>
        </w:rPr>
      </w:pPr>
      <w:r w:rsidRPr="00471E8F">
        <w:rPr>
          <w:noProof/>
          <w:sz w:val="24"/>
          <w:szCs w:val="24"/>
        </w:rPr>
        <w:drawing>
          <wp:inline distT="0" distB="0" distL="0" distR="0" wp14:anchorId="61E1B0E9" wp14:editId="47B694EC">
            <wp:extent cx="5400675" cy="2934028"/>
            <wp:effectExtent l="0" t="0" r="0" b="0"/>
            <wp:docPr id="16" name="Chart 16" descr="This vertical bar graph shows differences in sexual violence victimization between males and females.&#10;&#10;16.6% of adult females reported any lifetime sexual violence victimization compared to 6.0% of adult males.&#10;&#10;The prevalence of reported past year sexual violence victimization was 3.6% for females and 3.1% for males. These confidence limits overlap">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3D0050E1-F6D6-4D0B-A691-5C1F422AAFB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26C2417" w14:textId="3A3047B3" w:rsidR="00197870" w:rsidRPr="00471E8F" w:rsidRDefault="00197870" w:rsidP="00E552D2">
      <w:pPr>
        <w:spacing w:line="360" w:lineRule="auto"/>
        <w:ind w:right="-360"/>
        <w:rPr>
          <w:sz w:val="24"/>
          <w:szCs w:val="24"/>
        </w:rPr>
      </w:pPr>
      <w:r w:rsidRPr="00471E8F">
        <w:rPr>
          <w:sz w:val="24"/>
          <w:szCs w:val="24"/>
        </w:rPr>
        <w:t>A statistically significantly higher percentage of Massachusetts adults who identify as gay, lesbian, bisexual, or other sexual orientation reported experiencing sexual violence in their lifetimes, compared to adults who identified as heterosexual (29% versus 11%). The percentage of gay, lesbian, or bisexual high school youth who reported ever having experienced sexual violence was five times higher than that among youth who identified as heterosexual (30% versus 6%). The high rates of sexual violence against LGBTQ youth and adults illuminate the importance of making an effort to include LGBTQ experiences in discussions and resources relating to sexual violence.</w:t>
      </w:r>
    </w:p>
    <w:p w14:paraId="09B12CF2" w14:textId="4090C8BD" w:rsidR="00197870" w:rsidRPr="00471E8F" w:rsidRDefault="00197870" w:rsidP="00E552D2">
      <w:pPr>
        <w:spacing w:line="360" w:lineRule="auto"/>
        <w:ind w:right="-360"/>
        <w:rPr>
          <w:b/>
          <w:i/>
          <w:sz w:val="24"/>
          <w:szCs w:val="24"/>
        </w:rPr>
      </w:pPr>
      <w:r w:rsidRPr="00471E8F">
        <w:rPr>
          <w:sz w:val="24"/>
          <w:szCs w:val="24"/>
        </w:rPr>
        <w:lastRenderedPageBreak/>
        <w:t>Similarly, survivors in rural regions of the Commonwealth reported rapes to area rape crisis centers at a rate twice as high as the state rate (67 versus 33 per 100,000 population, respectively). The rural towns of Athol, Florida, Montague, Monroe, Plainfield, Warwick and Wendell had more than 3 times as many registered sex offenders as the state average; an additional 14 rural towns have twice as many registered sex offenders as the state average. One</w:t>
      </w:r>
      <w:r w:rsidR="00462303" w:rsidRPr="00471E8F">
        <w:rPr>
          <w:sz w:val="24"/>
          <w:szCs w:val="24"/>
        </w:rPr>
        <w:t xml:space="preserve"> focus group participant stated,</w:t>
      </w:r>
      <w:r w:rsidRPr="00471E8F">
        <w:rPr>
          <w:sz w:val="24"/>
          <w:szCs w:val="24"/>
        </w:rPr>
        <w:t xml:space="preserve"> </w:t>
      </w:r>
      <w:r w:rsidRPr="00471E8F">
        <w:rPr>
          <w:i/>
          <w:sz w:val="24"/>
          <w:szCs w:val="24"/>
        </w:rPr>
        <w:t>“In rural areas, there is more isolation and less anonymity and as a result, sexual violence is often left untreated.”</w:t>
      </w:r>
      <w:r w:rsidRPr="00471E8F">
        <w:rPr>
          <w:rFonts w:ascii="Aileron" w:hAnsi="Aileron"/>
          <w:i/>
          <w:sz w:val="24"/>
          <w:szCs w:val="24"/>
        </w:rPr>
        <w:t xml:space="preserve"> </w:t>
      </w:r>
    </w:p>
    <w:p w14:paraId="6D16084B" w14:textId="77777777" w:rsidR="00197870" w:rsidRPr="00471E8F" w:rsidRDefault="00197870" w:rsidP="00E552D2">
      <w:pPr>
        <w:pStyle w:val="Heading3"/>
        <w:spacing w:line="360" w:lineRule="auto"/>
        <w:rPr>
          <w:sz w:val="24"/>
          <w:szCs w:val="24"/>
        </w:rPr>
      </w:pPr>
      <w:r w:rsidRPr="00471E8F">
        <w:rPr>
          <w:sz w:val="24"/>
          <w:szCs w:val="24"/>
        </w:rPr>
        <w:t>Domestic and Dating Violence</w:t>
      </w:r>
    </w:p>
    <w:p w14:paraId="014927EA" w14:textId="7F64C151" w:rsidR="00197870" w:rsidRPr="00471E8F" w:rsidRDefault="00197870" w:rsidP="00E552D2">
      <w:pPr>
        <w:spacing w:line="360" w:lineRule="auto"/>
        <w:ind w:right="-360"/>
        <w:rPr>
          <w:sz w:val="24"/>
          <w:szCs w:val="24"/>
          <w:vertAlign w:val="superscript"/>
        </w:rPr>
      </w:pPr>
      <w:r w:rsidRPr="00471E8F">
        <w:rPr>
          <w:sz w:val="24"/>
          <w:szCs w:val="24"/>
        </w:rPr>
        <w:t xml:space="preserve">Domestic violence (DV), also known as Intimate Partner Violence (IPV), can have a </w:t>
      </w:r>
      <w:r w:rsidR="000F773C" w:rsidRPr="00471E8F">
        <w:rPr>
          <w:sz w:val="24"/>
          <w:szCs w:val="24"/>
        </w:rPr>
        <w:t xml:space="preserve">desctructive </w:t>
      </w:r>
      <w:r w:rsidRPr="00471E8F">
        <w:rPr>
          <w:sz w:val="24"/>
          <w:szCs w:val="24"/>
        </w:rPr>
        <w:t xml:space="preserve">effect, not only on victims but also on family members, bystanders, and perpetrators. Survivors of domestic violence experience a wide range of negative health outcomes beyond the injuries caused by the violence itself. </w:t>
      </w:r>
    </w:p>
    <w:p w14:paraId="6E8CFE51" w14:textId="7ACF2F94" w:rsidR="00197870" w:rsidRPr="00471E8F" w:rsidRDefault="00197870" w:rsidP="00E552D2">
      <w:pPr>
        <w:spacing w:line="360" w:lineRule="auto"/>
        <w:ind w:right="-360"/>
        <w:rPr>
          <w:sz w:val="24"/>
          <w:szCs w:val="24"/>
        </w:rPr>
      </w:pPr>
      <w:r w:rsidRPr="00471E8F">
        <w:rPr>
          <w:sz w:val="24"/>
          <w:szCs w:val="24"/>
        </w:rPr>
        <w:t>Domestic violence is costly not only to survivors, but also the health care system, employers, and society as a whole. Other direct costs to society include mental health treatment and increased volume for</w:t>
      </w:r>
      <w:r w:rsidR="001438AB" w:rsidRPr="00471E8F">
        <w:rPr>
          <w:sz w:val="24"/>
          <w:szCs w:val="24"/>
        </w:rPr>
        <w:t xml:space="preserve"> the</w:t>
      </w:r>
      <w:r w:rsidRPr="00471E8F">
        <w:rPr>
          <w:sz w:val="24"/>
          <w:szCs w:val="24"/>
        </w:rPr>
        <w:t xml:space="preserve"> criminal justice and the correctional systems.</w:t>
      </w:r>
    </w:p>
    <w:p w14:paraId="3205601D" w14:textId="30D7485F" w:rsidR="00197870" w:rsidRPr="00471E8F" w:rsidRDefault="00197870" w:rsidP="00E552D2">
      <w:pPr>
        <w:spacing w:line="360" w:lineRule="auto"/>
        <w:ind w:right="-360"/>
        <w:rPr>
          <w:sz w:val="24"/>
          <w:szCs w:val="24"/>
        </w:rPr>
      </w:pPr>
      <w:r w:rsidRPr="00471E8F">
        <w:rPr>
          <w:sz w:val="24"/>
          <w:szCs w:val="24"/>
        </w:rPr>
        <w:t>Domestic violence disproportionately affects women,</w:t>
      </w:r>
      <w:r w:rsidR="001438AB" w:rsidRPr="00471E8F">
        <w:rPr>
          <w:sz w:val="24"/>
          <w:szCs w:val="24"/>
        </w:rPr>
        <w:t xml:space="preserve"> gay, lesbian, bisexual, and </w:t>
      </w:r>
      <w:r w:rsidRPr="00471E8F">
        <w:rPr>
          <w:sz w:val="24"/>
          <w:szCs w:val="24"/>
        </w:rPr>
        <w:t xml:space="preserve"> transgender individuals, and people with disabilities. </w:t>
      </w:r>
    </w:p>
    <w:p w14:paraId="13451320" w14:textId="77777777" w:rsidR="00197870" w:rsidRPr="00471E8F" w:rsidRDefault="00197870" w:rsidP="00E552D2">
      <w:pPr>
        <w:spacing w:line="360" w:lineRule="auto"/>
        <w:ind w:right="-360"/>
        <w:rPr>
          <w:sz w:val="24"/>
          <w:szCs w:val="24"/>
        </w:rPr>
      </w:pPr>
      <w:r w:rsidRPr="00471E8F">
        <w:rPr>
          <w:sz w:val="24"/>
          <w:szCs w:val="24"/>
        </w:rPr>
        <w:t xml:space="preserve">Women who experience domestic violence exhibit a wide range of negative health outcomes beyond the injuries caused by the violence itself. They are twice as likely to experience depression and almost twice as likely as their non-victimized peers to have an alcohol use disorder. They are 1.5 times as likely to contract sexually transmitted infections, including HIV, syphilis, chlamydia, and gonorrhea. They are also 16% more likely to have low-birth weight pregnancies. </w:t>
      </w:r>
    </w:p>
    <w:p w14:paraId="5BFB7D41" w14:textId="36B7E2D4" w:rsidR="00197870" w:rsidRPr="00471E8F" w:rsidRDefault="00197870" w:rsidP="00E552D2">
      <w:pPr>
        <w:spacing w:line="360" w:lineRule="auto"/>
        <w:ind w:right="-360"/>
        <w:rPr>
          <w:sz w:val="24"/>
          <w:szCs w:val="24"/>
        </w:rPr>
      </w:pPr>
      <w:r w:rsidRPr="00471E8F">
        <w:rPr>
          <w:sz w:val="24"/>
          <w:szCs w:val="24"/>
        </w:rPr>
        <w:t>Additional health outcomes that have been linked to domestic violence include</w:t>
      </w:r>
      <w:r w:rsidR="00F12830" w:rsidRPr="00471E8F">
        <w:rPr>
          <w:sz w:val="24"/>
          <w:szCs w:val="24"/>
        </w:rPr>
        <w:t>,</w:t>
      </w:r>
      <w:r w:rsidRPr="00471E8F">
        <w:rPr>
          <w:sz w:val="24"/>
          <w:szCs w:val="24"/>
        </w:rPr>
        <w:t xml:space="preserve"> but are not limited to</w:t>
      </w:r>
      <w:r w:rsidR="00F12830" w:rsidRPr="00471E8F">
        <w:rPr>
          <w:sz w:val="24"/>
          <w:szCs w:val="24"/>
        </w:rPr>
        <w:t>,</w:t>
      </w:r>
      <w:r w:rsidRPr="00471E8F">
        <w:rPr>
          <w:sz w:val="24"/>
          <w:szCs w:val="24"/>
        </w:rPr>
        <w:t xml:space="preserve"> chronic pain, migraines and/or headaches, immune system compromised by stress, stroke, TBI, cardiovascular and respiratory conditions, hypertension, heart disease, asthma, heart attack, cervical cancer, and physical and emotional scars.</w:t>
      </w:r>
      <w:r w:rsidRPr="00471E8F">
        <w:rPr>
          <w:rStyle w:val="EndnoteReference"/>
          <w:sz w:val="24"/>
          <w:szCs w:val="24"/>
        </w:rPr>
        <w:endnoteReference w:id="79"/>
      </w:r>
      <w:r w:rsidRPr="00471E8F">
        <w:rPr>
          <w:sz w:val="24"/>
          <w:szCs w:val="24"/>
        </w:rPr>
        <w:t xml:space="preserve"> Women who experience domestic violence are more likely than their peers to be murdered.</w:t>
      </w:r>
    </w:p>
    <w:p w14:paraId="5A00FD27" w14:textId="77777777" w:rsidR="00197870" w:rsidRPr="00471E8F" w:rsidRDefault="00197870" w:rsidP="00E552D2">
      <w:pPr>
        <w:pStyle w:val="Heading4"/>
        <w:spacing w:line="360" w:lineRule="auto"/>
      </w:pPr>
      <w:r w:rsidRPr="00471E8F">
        <w:t xml:space="preserve">Trends/Disparities </w:t>
      </w:r>
    </w:p>
    <w:p w14:paraId="72FCB980" w14:textId="77777777" w:rsidR="00197870" w:rsidRPr="00471E8F" w:rsidRDefault="00197870" w:rsidP="00E552D2">
      <w:pPr>
        <w:spacing w:line="360" w:lineRule="auto"/>
        <w:ind w:right="-360"/>
        <w:rPr>
          <w:sz w:val="24"/>
          <w:szCs w:val="24"/>
        </w:rPr>
      </w:pPr>
      <w:r w:rsidRPr="00471E8F">
        <w:rPr>
          <w:sz w:val="24"/>
          <w:szCs w:val="24"/>
        </w:rPr>
        <w:lastRenderedPageBreak/>
        <w:t>Nearly one in three women and one in five men in Massachusetts has experienced physical violence, rape, and/or stalking by an intimate partner during her/his lifetime.</w:t>
      </w:r>
      <w:r w:rsidRPr="00471E8F">
        <w:rPr>
          <w:rStyle w:val="EndnoteReference"/>
          <w:sz w:val="24"/>
          <w:szCs w:val="24"/>
        </w:rPr>
        <w:endnoteReference w:id="80"/>
      </w:r>
      <w:r w:rsidRPr="00471E8F">
        <w:rPr>
          <w:sz w:val="24"/>
          <w:szCs w:val="24"/>
        </w:rPr>
        <w:t xml:space="preserve"> The Youth Risk Behavior Survey indicates that in 2015 6.7% of Massachusetts high school students reported being a victim of physical dating violence in the past year.</w:t>
      </w:r>
      <w:r w:rsidRPr="00471E8F">
        <w:rPr>
          <w:rStyle w:val="EndnoteReference"/>
          <w:sz w:val="24"/>
          <w:szCs w:val="24"/>
        </w:rPr>
        <w:endnoteReference w:id="81"/>
      </w:r>
      <w:r w:rsidRPr="00471E8F">
        <w:rPr>
          <w:sz w:val="24"/>
          <w:szCs w:val="24"/>
          <w:vertAlign w:val="superscript"/>
        </w:rPr>
        <w:t xml:space="preserve"> </w:t>
      </w:r>
    </w:p>
    <w:p w14:paraId="646558C3" w14:textId="5F7095DF" w:rsidR="00197870" w:rsidRPr="00471E8F" w:rsidRDefault="00197870" w:rsidP="00E552D2">
      <w:pPr>
        <w:spacing w:line="360" w:lineRule="auto"/>
        <w:ind w:right="-360"/>
        <w:rPr>
          <w:rFonts w:cs="Segoe UI"/>
          <w:color w:val="000000" w:themeColor="text1"/>
          <w:sz w:val="24"/>
          <w:szCs w:val="24"/>
          <w:shd w:val="clear" w:color="auto" w:fill="FFFFFF"/>
        </w:rPr>
      </w:pPr>
      <w:r w:rsidRPr="00471E8F">
        <w:rPr>
          <w:sz w:val="24"/>
          <w:szCs w:val="24"/>
        </w:rPr>
        <w:t>Between 2003 and 2012, Jane Doe Inc., the federally recognized Massachusetts coalition of domestic violence and sexual assault service providers, identified at least 266 homicides associated with domestic violence in Massachusetts. In addition, 72 perpetrators of domestic violence died by suicide, and six more were killed by police. During the 10-year period reviewed, domestic violence was the cause of 14% of all homicide deaths in the state.</w:t>
      </w:r>
      <w:r w:rsidRPr="00471E8F">
        <w:rPr>
          <w:rStyle w:val="EndnoteReference"/>
          <w:sz w:val="24"/>
          <w:szCs w:val="24"/>
        </w:rPr>
        <w:endnoteReference w:id="82"/>
      </w:r>
      <w:r w:rsidRPr="00471E8F">
        <w:rPr>
          <w:sz w:val="24"/>
          <w:szCs w:val="24"/>
        </w:rPr>
        <w:t xml:space="preserve"> In F</w:t>
      </w:r>
      <w:r w:rsidR="000F773C" w:rsidRPr="00471E8F">
        <w:rPr>
          <w:sz w:val="24"/>
          <w:szCs w:val="24"/>
        </w:rPr>
        <w:t xml:space="preserve">iscal </w:t>
      </w:r>
      <w:r w:rsidRPr="00471E8F">
        <w:rPr>
          <w:sz w:val="24"/>
          <w:szCs w:val="24"/>
        </w:rPr>
        <w:t>Y</w:t>
      </w:r>
      <w:r w:rsidR="000F773C" w:rsidRPr="00471E8F">
        <w:rPr>
          <w:sz w:val="24"/>
          <w:szCs w:val="24"/>
        </w:rPr>
        <w:t>ear</w:t>
      </w:r>
      <w:r w:rsidRPr="00471E8F">
        <w:rPr>
          <w:sz w:val="24"/>
          <w:szCs w:val="24"/>
        </w:rPr>
        <w:t xml:space="preserve"> 2015, there were 28,158 domestic abuse or “209A” protective order filings in Massachusetts District Courts and the Boston Municipal Court system. These 209A filings comprised 10.4% of all civil filings in these courts </w:t>
      </w:r>
      <w:r w:rsidR="00FE346D" w:rsidRPr="00471E8F">
        <w:rPr>
          <w:sz w:val="24"/>
          <w:szCs w:val="24"/>
        </w:rPr>
        <w:t>in Fiscal Year</w:t>
      </w:r>
      <w:r w:rsidRPr="00471E8F">
        <w:rPr>
          <w:sz w:val="24"/>
          <w:szCs w:val="24"/>
        </w:rPr>
        <w:t xml:space="preserve"> 2015</w:t>
      </w:r>
      <w:r w:rsidRPr="00471E8F">
        <w:rPr>
          <w:color w:val="000000" w:themeColor="text1"/>
          <w:sz w:val="24"/>
          <w:szCs w:val="24"/>
        </w:rPr>
        <w:t>.</w:t>
      </w:r>
      <w:r w:rsidRPr="00471E8F">
        <w:rPr>
          <w:rStyle w:val="EndnoteReference"/>
          <w:color w:val="000000" w:themeColor="text1"/>
          <w:sz w:val="24"/>
          <w:szCs w:val="24"/>
        </w:rPr>
        <w:endnoteReference w:id="83"/>
      </w:r>
      <w:r w:rsidRPr="00471E8F">
        <w:rPr>
          <w:rFonts w:cs="Segoe UI"/>
          <w:color w:val="000000" w:themeColor="text1"/>
          <w:sz w:val="24"/>
          <w:szCs w:val="24"/>
          <w:shd w:val="clear" w:color="auto" w:fill="FFFFFF"/>
        </w:rPr>
        <w:t xml:space="preserve"> In F</w:t>
      </w:r>
      <w:r w:rsidR="00FE346D" w:rsidRPr="00471E8F">
        <w:rPr>
          <w:rFonts w:cs="Segoe UI"/>
          <w:color w:val="000000" w:themeColor="text1"/>
          <w:sz w:val="24"/>
          <w:szCs w:val="24"/>
          <w:shd w:val="clear" w:color="auto" w:fill="FFFFFF"/>
        </w:rPr>
        <w:t xml:space="preserve">iscal </w:t>
      </w:r>
      <w:r w:rsidRPr="00471E8F">
        <w:rPr>
          <w:rFonts w:cs="Segoe UI"/>
          <w:color w:val="000000" w:themeColor="text1"/>
          <w:sz w:val="24"/>
          <w:szCs w:val="24"/>
          <w:shd w:val="clear" w:color="auto" w:fill="FFFFFF"/>
        </w:rPr>
        <w:t>Y</w:t>
      </w:r>
      <w:r w:rsidR="00FE346D" w:rsidRPr="00471E8F">
        <w:rPr>
          <w:rFonts w:cs="Segoe UI"/>
          <w:color w:val="000000" w:themeColor="text1"/>
          <w:sz w:val="24"/>
          <w:szCs w:val="24"/>
          <w:shd w:val="clear" w:color="auto" w:fill="FFFFFF"/>
        </w:rPr>
        <w:t>ear</w:t>
      </w:r>
      <w:r w:rsidRPr="00471E8F">
        <w:rPr>
          <w:rFonts w:cs="Segoe UI"/>
          <w:color w:val="000000" w:themeColor="text1"/>
          <w:sz w:val="24"/>
          <w:szCs w:val="24"/>
          <w:shd w:val="clear" w:color="auto" w:fill="FFFFFF"/>
        </w:rPr>
        <w:t xml:space="preserve"> 2016, the percent of civil restraining orders in predominantly rural Berkshire and Franklin counties were 62% and 30% higher, respectively, than the Massachusetts state restraining order rate.</w:t>
      </w:r>
      <w:r w:rsidRPr="00471E8F">
        <w:rPr>
          <w:rStyle w:val="EndnoteReference"/>
          <w:rFonts w:cs="Segoe UI"/>
          <w:color w:val="000000" w:themeColor="text1"/>
          <w:sz w:val="24"/>
          <w:szCs w:val="24"/>
          <w:shd w:val="clear" w:color="auto" w:fill="FFFFFF"/>
        </w:rPr>
        <w:endnoteReference w:id="84"/>
      </w:r>
    </w:p>
    <w:p w14:paraId="1F0B1505" w14:textId="6735F121" w:rsidR="00197870" w:rsidRPr="00471E8F" w:rsidRDefault="00197870" w:rsidP="00E552D2">
      <w:pPr>
        <w:spacing w:line="360" w:lineRule="auto"/>
        <w:ind w:right="-360"/>
        <w:rPr>
          <w:i/>
          <w:sz w:val="24"/>
          <w:szCs w:val="24"/>
        </w:rPr>
      </w:pPr>
      <w:r w:rsidRPr="00471E8F">
        <w:rPr>
          <w:sz w:val="24"/>
          <w:szCs w:val="24"/>
        </w:rPr>
        <w:t xml:space="preserve">One key </w:t>
      </w:r>
      <w:r w:rsidR="00462303" w:rsidRPr="00471E8F">
        <w:rPr>
          <w:sz w:val="24"/>
          <w:szCs w:val="24"/>
        </w:rPr>
        <w:t>informant interviewee explained,</w:t>
      </w:r>
      <w:r w:rsidRPr="00471E8F">
        <w:rPr>
          <w:sz w:val="24"/>
          <w:szCs w:val="24"/>
        </w:rPr>
        <w:t xml:space="preserve"> </w:t>
      </w:r>
      <w:r w:rsidRPr="00471E8F">
        <w:rPr>
          <w:i/>
          <w:sz w:val="24"/>
          <w:szCs w:val="24"/>
        </w:rPr>
        <w:t>“In rural areas of the state people are less likely to report domestic violence because they will likely know someone who’s going to get involved in their situations.”</w:t>
      </w:r>
      <w:r w:rsidRPr="00471E8F">
        <w:rPr>
          <w:sz w:val="24"/>
          <w:szCs w:val="24"/>
        </w:rPr>
        <w:t xml:space="preserve"> One focus goup participant reported a</w:t>
      </w:r>
      <w:r w:rsidR="00462303" w:rsidRPr="00471E8F">
        <w:rPr>
          <w:sz w:val="24"/>
          <w:szCs w:val="24"/>
        </w:rPr>
        <w:t xml:space="preserve"> similar point of view, stating,</w:t>
      </w:r>
      <w:r w:rsidRPr="00471E8F">
        <w:rPr>
          <w:sz w:val="24"/>
          <w:szCs w:val="24"/>
        </w:rPr>
        <w:t xml:space="preserve"> </w:t>
      </w:r>
      <w:r w:rsidRPr="00471E8F">
        <w:rPr>
          <w:i/>
          <w:sz w:val="24"/>
          <w:szCs w:val="24"/>
        </w:rPr>
        <w:t>“There’s a lack of domestic violence resources in Western Mass; the need is much higher than we can handle.”</w:t>
      </w:r>
    </w:p>
    <w:p w14:paraId="0732350A" w14:textId="231A5ADD" w:rsidR="00197870" w:rsidRPr="00471E8F" w:rsidRDefault="00197870" w:rsidP="00E552D2">
      <w:pPr>
        <w:spacing w:line="360" w:lineRule="auto"/>
        <w:ind w:right="-360"/>
        <w:rPr>
          <w:sz w:val="24"/>
          <w:szCs w:val="24"/>
        </w:rPr>
      </w:pPr>
      <w:r w:rsidRPr="00471E8F">
        <w:rPr>
          <w:sz w:val="24"/>
          <w:szCs w:val="24"/>
        </w:rPr>
        <w:t>Race/ethnicity is also related both to prevalence and outcomes of domestic violence</w:t>
      </w:r>
      <w:r w:rsidR="001438AB" w:rsidRPr="00471E8F">
        <w:rPr>
          <w:sz w:val="24"/>
          <w:szCs w:val="24"/>
        </w:rPr>
        <w:t>.</w:t>
      </w:r>
      <w:r w:rsidRPr="00471E8F">
        <w:rPr>
          <w:sz w:val="24"/>
          <w:szCs w:val="24"/>
        </w:rPr>
        <w:t xml:space="preserve"> Nationally, a higher prevalence of American Indian or Alaskan Native (51.7%), multi-racial (51.3%), and Black non-Hispanic women (41.2%) report intimate partner violence compared to Hispanic (29.7%) and White non-Hispanic (30.5%) women.</w:t>
      </w:r>
      <w:r w:rsidRPr="00471E8F">
        <w:rPr>
          <w:rStyle w:val="EndnoteReference"/>
          <w:bCs/>
          <w:color w:val="000000"/>
          <w:sz w:val="24"/>
          <w:szCs w:val="24"/>
        </w:rPr>
        <w:endnoteReference w:id="85"/>
      </w:r>
      <w:r w:rsidRPr="00471E8F">
        <w:rPr>
          <w:sz w:val="24"/>
          <w:szCs w:val="24"/>
        </w:rPr>
        <w:t xml:space="preserve"> Black non-Hispanic women in Massachusetts are four times more likely to be murdered by a current or former intimate partner than other women.</w:t>
      </w:r>
      <w:r w:rsidRPr="00471E8F">
        <w:rPr>
          <w:rStyle w:val="EndnoteReference"/>
          <w:sz w:val="24"/>
          <w:szCs w:val="24"/>
        </w:rPr>
        <w:endnoteReference w:id="86"/>
      </w:r>
      <w:r w:rsidRPr="00471E8F">
        <w:rPr>
          <w:sz w:val="24"/>
          <w:szCs w:val="24"/>
        </w:rPr>
        <w:t xml:space="preserve"> The risk of being a victim in a homicide perpetrated by an intimate partner is four times higher for Black women, three times higher for Hispanic women, and twice as high for foreign born women when compared to White, non-foreign born women in the Commonwealth.</w:t>
      </w:r>
    </w:p>
    <w:p w14:paraId="2C297A67" w14:textId="77777777" w:rsidR="00197870" w:rsidRPr="00471E8F" w:rsidRDefault="00197870" w:rsidP="00E552D2">
      <w:pPr>
        <w:spacing w:line="360" w:lineRule="auto"/>
        <w:ind w:right="-360"/>
        <w:rPr>
          <w:sz w:val="24"/>
          <w:szCs w:val="24"/>
        </w:rPr>
      </w:pPr>
      <w:r w:rsidRPr="00471E8F">
        <w:rPr>
          <w:sz w:val="24"/>
          <w:szCs w:val="24"/>
        </w:rPr>
        <w:t>Nationally, Black women have the highest rate of domestic violence, at 4.7 per 100,000 vs 3.9 for white women and 2.8 for Hispanic women for the years 2002-2013.</w:t>
      </w:r>
      <w:r w:rsidRPr="00471E8F">
        <w:rPr>
          <w:rStyle w:val="EndnoteReference"/>
          <w:sz w:val="24"/>
          <w:szCs w:val="24"/>
        </w:rPr>
        <w:endnoteReference w:id="87"/>
      </w:r>
      <w:r w:rsidRPr="00471E8F">
        <w:rPr>
          <w:sz w:val="24"/>
          <w:szCs w:val="24"/>
        </w:rPr>
        <w:t xml:space="preserve"> In Massachusetts between 1997-2007, Black women had four times the rate of domestic violence related homicide compared to non-Black women. </w:t>
      </w:r>
      <w:r w:rsidRPr="00471E8F">
        <w:rPr>
          <w:sz w:val="24"/>
          <w:szCs w:val="24"/>
        </w:rPr>
        <w:lastRenderedPageBreak/>
        <w:t>Hispanic women were three times more likely to be killed by an intimate partner than their non-Hispanic counterparts, and immigrants were twice as likely to be killed by an intimate partner than non-immigrants.</w:t>
      </w:r>
      <w:r w:rsidRPr="00471E8F">
        <w:rPr>
          <w:rStyle w:val="EndnoteReference"/>
          <w:sz w:val="24"/>
          <w:szCs w:val="24"/>
        </w:rPr>
        <w:endnoteReference w:id="88"/>
      </w:r>
      <w:r w:rsidRPr="00471E8F">
        <w:rPr>
          <w:sz w:val="24"/>
          <w:szCs w:val="24"/>
        </w:rPr>
        <w:t xml:space="preserve"> </w:t>
      </w:r>
    </w:p>
    <w:p w14:paraId="791821AC" w14:textId="77777777" w:rsidR="00197870" w:rsidRPr="00471E8F" w:rsidRDefault="00197870" w:rsidP="00E552D2">
      <w:pPr>
        <w:spacing w:line="360" w:lineRule="auto"/>
        <w:ind w:right="-360"/>
        <w:rPr>
          <w:rFonts w:eastAsia="Times New Roman" w:cs="Times New Roman"/>
          <w:color w:val="000000"/>
          <w:sz w:val="24"/>
          <w:szCs w:val="24"/>
        </w:rPr>
      </w:pPr>
      <w:r w:rsidRPr="00471E8F">
        <w:rPr>
          <w:rFonts w:eastAsia="Times New Roman" w:cs="Times New Roman"/>
          <w:color w:val="000000"/>
          <w:sz w:val="24"/>
          <w:szCs w:val="24"/>
        </w:rPr>
        <w:t xml:space="preserve">Massachusetts high school girls have been found to be more likely than high school boys to report experiencing dating violence in their lifetimes (14% of girls versus 6% of boys) and in the 12 months leading up to the survey (8% of girls versus 5% of boys). </w:t>
      </w:r>
    </w:p>
    <w:p w14:paraId="2DD0B12E" w14:textId="77777777" w:rsidR="00197870" w:rsidRPr="00471E8F" w:rsidRDefault="00197870" w:rsidP="00E552D2">
      <w:pPr>
        <w:spacing w:before="0" w:after="80" w:line="360" w:lineRule="auto"/>
        <w:ind w:right="-360"/>
        <w:rPr>
          <w:rFonts w:eastAsia="Times New Roman" w:cs="Times New Roman"/>
          <w:color w:val="000000"/>
          <w:sz w:val="24"/>
          <w:szCs w:val="24"/>
        </w:rPr>
      </w:pPr>
      <w:r w:rsidRPr="00471E8F">
        <w:rPr>
          <w:rFonts w:eastAsia="Times New Roman" w:cs="Times New Roman"/>
          <w:color w:val="000000"/>
          <w:sz w:val="24"/>
          <w:szCs w:val="24"/>
        </w:rPr>
        <w:t>High school students in the Commonwealth who identify as gay, lesbian, or bi-sexual are almost four times as likely as high school students who identify as heterosexual to report experiencing dating violence in their lifetimes (30% versus 8%). High school students who have a disability are about three times more likely than other high school students to report dating violence in their lifetimes (18% versus 6%).</w:t>
      </w:r>
    </w:p>
    <w:p w14:paraId="3A2A088E" w14:textId="613A2B4D" w:rsidR="00197870" w:rsidRPr="00471E8F" w:rsidRDefault="00197870" w:rsidP="00E552D2">
      <w:pPr>
        <w:pStyle w:val="SHAFigureNumber"/>
        <w:spacing w:line="360" w:lineRule="auto"/>
        <w:rPr>
          <w:sz w:val="24"/>
          <w:szCs w:val="24"/>
        </w:rPr>
      </w:pPr>
      <w:r w:rsidRPr="00471E8F">
        <w:rPr>
          <w:sz w:val="24"/>
          <w:szCs w:val="24"/>
        </w:rPr>
        <w:t xml:space="preserve">Figure </w:t>
      </w:r>
      <w:r w:rsidR="002B3609" w:rsidRPr="00471E8F">
        <w:rPr>
          <w:sz w:val="24"/>
          <w:szCs w:val="24"/>
        </w:rPr>
        <w:t>5.20</w:t>
      </w:r>
    </w:p>
    <w:p w14:paraId="7996F710" w14:textId="3BDA585A" w:rsidR="00197870" w:rsidRPr="00471E8F" w:rsidRDefault="00197870" w:rsidP="00E552D2">
      <w:pPr>
        <w:pStyle w:val="SHAFigureNumber"/>
        <w:spacing w:line="360" w:lineRule="auto"/>
        <w:rPr>
          <w:sz w:val="24"/>
          <w:szCs w:val="24"/>
        </w:rPr>
      </w:pPr>
      <w:r w:rsidRPr="00471E8F">
        <w:rPr>
          <w:sz w:val="24"/>
          <w:szCs w:val="24"/>
        </w:rPr>
        <w:t>Percentage of M</w:t>
      </w:r>
      <w:r w:rsidR="00834A70" w:rsidRPr="00471E8F">
        <w:rPr>
          <w:sz w:val="24"/>
          <w:szCs w:val="24"/>
        </w:rPr>
        <w:t>assa</w:t>
      </w:r>
      <w:r w:rsidR="008656E4" w:rsidRPr="00471E8F">
        <w:rPr>
          <w:sz w:val="24"/>
          <w:szCs w:val="24"/>
        </w:rPr>
        <w:t>chusetts High School Youth w</w:t>
      </w:r>
      <w:r w:rsidR="00FC0BF4" w:rsidRPr="00471E8F">
        <w:rPr>
          <w:sz w:val="24"/>
          <w:szCs w:val="24"/>
        </w:rPr>
        <w:t>ho Reported Experiencing</w:t>
      </w:r>
      <w:r w:rsidRPr="00471E8F">
        <w:rPr>
          <w:sz w:val="24"/>
          <w:szCs w:val="24"/>
        </w:rPr>
        <w:t xml:space="preserve"> Physical and</w:t>
      </w:r>
      <w:r w:rsidR="00834A70" w:rsidRPr="00471E8F">
        <w:rPr>
          <w:sz w:val="24"/>
          <w:szCs w:val="24"/>
        </w:rPr>
        <w:t xml:space="preserve">/or Sexual Dating Violence in their Lifetime, </w:t>
      </w:r>
      <w:r w:rsidRPr="00471E8F">
        <w:rPr>
          <w:sz w:val="24"/>
          <w:szCs w:val="24"/>
        </w:rPr>
        <w:t>by Gender, Sexual Orientation, and Disability Status</w:t>
      </w:r>
      <w:r w:rsidR="00834A70" w:rsidRPr="00471E8F">
        <w:rPr>
          <w:sz w:val="24"/>
          <w:szCs w:val="24"/>
        </w:rPr>
        <w:t>,</w:t>
      </w:r>
      <w:r w:rsidRPr="00471E8F">
        <w:rPr>
          <w:sz w:val="24"/>
          <w:szCs w:val="24"/>
        </w:rPr>
        <w:t xml:space="preserve"> 2009-2015</w:t>
      </w:r>
    </w:p>
    <w:p w14:paraId="2F912BF5" w14:textId="494DE79D" w:rsidR="00197870" w:rsidRDefault="00AB351D" w:rsidP="00E552D2">
      <w:pPr>
        <w:pStyle w:val="source0"/>
        <w:spacing w:line="360" w:lineRule="auto"/>
        <w:ind w:left="-360" w:right="-360"/>
        <w:jc w:val="center"/>
      </w:pPr>
      <w:r>
        <w:rPr>
          <w:noProof/>
        </w:rPr>
        <w:drawing>
          <wp:inline distT="0" distB="0" distL="0" distR="0" wp14:anchorId="4CBB53AB" wp14:editId="1F73B87A">
            <wp:extent cx="4367213" cy="3243264"/>
            <wp:effectExtent l="0" t="0" r="0" b="0"/>
            <wp:docPr id="628" name="Chart 628" descr="This horizontal bar graph shows that 13.8% of female high school students reported experiencing physical and/or sexual dating violence in their lifetime compared to 6.3% of male students; &#10;&#10;29.8% of gay, lesbian or bisexual students reported experiencing physical and/or sexual dating violence in their lifetime compared to 8.4% of heterosexual students; and &#10;&#10;18.3% of students with a disability reported experiencing physical and/or sexual dating violence in their lifetime compared to 6.4% of students without a disability.">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A126A9B3-EC8F-4876-828A-793D009110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6520AE4" w14:textId="77777777" w:rsidR="002865E8" w:rsidRDefault="002865E8" w:rsidP="00E552D2">
      <w:pPr>
        <w:spacing w:before="0" w:line="360" w:lineRule="auto"/>
        <w:ind w:left="0" w:right="0"/>
        <w:jc w:val="left"/>
        <w:rPr>
          <w:rFonts w:eastAsiaTheme="majorEastAsia" w:cstheme="majorBidi"/>
          <w:b/>
          <w:sz w:val="40"/>
          <w:szCs w:val="40"/>
        </w:rPr>
      </w:pPr>
      <w:r>
        <w:br w:type="page"/>
      </w:r>
    </w:p>
    <w:p w14:paraId="6F501551" w14:textId="4C6ABFEF" w:rsidR="00197870" w:rsidRPr="00BF2BC2" w:rsidRDefault="00197870" w:rsidP="00E552D2">
      <w:pPr>
        <w:pStyle w:val="Heading1"/>
        <w:spacing w:line="360" w:lineRule="auto"/>
      </w:pPr>
      <w:r w:rsidRPr="00BF2BC2">
        <w:lastRenderedPageBreak/>
        <w:t>Selected Resources, Services, and Programs</w:t>
      </w:r>
    </w:p>
    <w:p w14:paraId="470FDFBA" w14:textId="1C29207A" w:rsidR="00A20E11" w:rsidRPr="00471E8F" w:rsidRDefault="00A20E11" w:rsidP="00E552D2">
      <w:pPr>
        <w:spacing w:line="360" w:lineRule="auto"/>
        <w:ind w:right="-360"/>
        <w:rPr>
          <w:rFonts w:cs="Times New Roman"/>
          <w:sz w:val="24"/>
          <w:szCs w:val="24"/>
        </w:rPr>
      </w:pPr>
      <w:r w:rsidRPr="00471E8F">
        <w:rPr>
          <w:sz w:val="24"/>
          <w:szCs w:val="24"/>
        </w:rPr>
        <w:t xml:space="preserve">Following are selected resources, services and programs that support the </w:t>
      </w:r>
      <w:r w:rsidR="001438AB" w:rsidRPr="00471E8F">
        <w:rPr>
          <w:sz w:val="24"/>
          <w:szCs w:val="24"/>
        </w:rPr>
        <w:t xml:space="preserve">health topics </w:t>
      </w:r>
      <w:r w:rsidRPr="00471E8F">
        <w:rPr>
          <w:sz w:val="24"/>
          <w:szCs w:val="24"/>
        </w:rPr>
        <w:t>discussed in this chapter.</w:t>
      </w:r>
    </w:p>
    <w:p w14:paraId="5BE6282C" w14:textId="77777777" w:rsidR="00197870" w:rsidRPr="00471E8F" w:rsidRDefault="00197870" w:rsidP="00E552D2">
      <w:pPr>
        <w:pStyle w:val="Heading5"/>
        <w:spacing w:line="360" w:lineRule="auto"/>
        <w:rPr>
          <w:sz w:val="24"/>
          <w:szCs w:val="24"/>
        </w:rPr>
      </w:pPr>
      <w:r w:rsidRPr="00471E8F">
        <w:rPr>
          <w:sz w:val="24"/>
          <w:szCs w:val="24"/>
        </w:rPr>
        <w:t>Childhood Unintentional Injury</w:t>
      </w:r>
    </w:p>
    <w:p w14:paraId="27A0031E" w14:textId="77777777" w:rsidR="00197870" w:rsidRPr="00471E8F" w:rsidRDefault="00197870" w:rsidP="00E552D2">
      <w:pPr>
        <w:pStyle w:val="ListParagraph"/>
        <w:numPr>
          <w:ilvl w:val="0"/>
          <w:numId w:val="82"/>
        </w:numPr>
        <w:spacing w:line="360" w:lineRule="auto"/>
        <w:ind w:right="-360"/>
        <w:rPr>
          <w:sz w:val="24"/>
          <w:szCs w:val="24"/>
        </w:rPr>
      </w:pPr>
      <w:r w:rsidRPr="00471E8F">
        <w:rPr>
          <w:sz w:val="24"/>
          <w:szCs w:val="24"/>
        </w:rPr>
        <w:t>The Massachusetts Home Visiting Initiative to support interventions at the individual, family, community, and state levels to reduce injury among children.</w:t>
      </w:r>
    </w:p>
    <w:p w14:paraId="40A4554A" w14:textId="77777777" w:rsidR="00197870" w:rsidRPr="00471E8F" w:rsidRDefault="00197870" w:rsidP="00E552D2">
      <w:pPr>
        <w:pStyle w:val="ListParagraph"/>
        <w:numPr>
          <w:ilvl w:val="0"/>
          <w:numId w:val="82"/>
        </w:numPr>
        <w:spacing w:line="360" w:lineRule="auto"/>
        <w:ind w:right="-360"/>
        <w:rPr>
          <w:color w:val="000000" w:themeColor="text1"/>
          <w:sz w:val="24"/>
          <w:szCs w:val="24"/>
        </w:rPr>
      </w:pPr>
      <w:r w:rsidRPr="00471E8F">
        <w:rPr>
          <w:sz w:val="24"/>
          <w:szCs w:val="24"/>
        </w:rPr>
        <w:t xml:space="preserve">Implementation of “Return to Play” sports concussion legislation by developing regulations, providing model policies, concussion history and medical clearance forms, and technical </w:t>
      </w:r>
      <w:r w:rsidRPr="00471E8F">
        <w:rPr>
          <w:color w:val="000000" w:themeColor="text1"/>
          <w:sz w:val="24"/>
          <w:szCs w:val="24"/>
        </w:rPr>
        <w:t>assistance to middle and high schools, and conducting numerous trainings.</w:t>
      </w:r>
    </w:p>
    <w:p w14:paraId="7B68C4FB" w14:textId="77777777" w:rsidR="00197870" w:rsidRPr="00471E8F" w:rsidRDefault="00197870" w:rsidP="00E552D2">
      <w:pPr>
        <w:pStyle w:val="ListParagraph"/>
        <w:numPr>
          <w:ilvl w:val="0"/>
          <w:numId w:val="82"/>
        </w:numPr>
        <w:spacing w:line="360" w:lineRule="auto"/>
        <w:ind w:right="-360"/>
        <w:rPr>
          <w:color w:val="000000" w:themeColor="text1"/>
          <w:sz w:val="24"/>
          <w:szCs w:val="24"/>
        </w:rPr>
      </w:pPr>
      <w:r w:rsidRPr="00471E8F">
        <w:rPr>
          <w:color w:val="000000" w:themeColor="text1"/>
          <w:sz w:val="24"/>
          <w:szCs w:val="24"/>
        </w:rPr>
        <w:t>The Centers for Disease Control and Prevention (CDC) developed HEADS UP</w:t>
      </w:r>
      <w:r w:rsidRPr="00471E8F">
        <w:rPr>
          <w:rStyle w:val="EndnoteReference"/>
          <w:color w:val="000000" w:themeColor="text1"/>
          <w:sz w:val="24"/>
          <w:szCs w:val="24"/>
        </w:rPr>
        <w:endnoteReference w:id="89"/>
      </w:r>
      <w:r w:rsidRPr="00471E8F">
        <w:rPr>
          <w:color w:val="000000" w:themeColor="text1"/>
          <w:sz w:val="24"/>
          <w:szCs w:val="24"/>
        </w:rPr>
        <w:t xml:space="preserve"> Concussion in Youth Sports Initiative, which is used in many school settings across the Commonwealth.</w:t>
      </w:r>
    </w:p>
    <w:p w14:paraId="7D59CDDC" w14:textId="77777777" w:rsidR="00197870" w:rsidRPr="00471E8F" w:rsidRDefault="00197870" w:rsidP="00E552D2">
      <w:pPr>
        <w:pStyle w:val="Heading5"/>
        <w:spacing w:line="360" w:lineRule="auto"/>
        <w:rPr>
          <w:sz w:val="24"/>
          <w:szCs w:val="24"/>
        </w:rPr>
      </w:pPr>
      <w:r w:rsidRPr="00471E8F">
        <w:rPr>
          <w:sz w:val="24"/>
          <w:szCs w:val="24"/>
        </w:rPr>
        <w:t>Older Adult Falls</w:t>
      </w:r>
    </w:p>
    <w:p w14:paraId="793B7AB6" w14:textId="77777777" w:rsidR="00197870" w:rsidRPr="00471E8F" w:rsidRDefault="00197870" w:rsidP="00E552D2">
      <w:pPr>
        <w:pStyle w:val="ListParagraph"/>
        <w:numPr>
          <w:ilvl w:val="0"/>
          <w:numId w:val="83"/>
        </w:numPr>
        <w:spacing w:line="360" w:lineRule="auto"/>
        <w:ind w:right="-360"/>
        <w:rPr>
          <w:sz w:val="24"/>
          <w:szCs w:val="24"/>
        </w:rPr>
      </w:pPr>
      <w:r w:rsidRPr="00471E8F">
        <w:rPr>
          <w:sz w:val="24"/>
          <w:szCs w:val="24"/>
        </w:rPr>
        <w:t>The Falls Prevention Coalition, a broad-based and active statewide coalition that is charged with recommending best ways to reduce older adult falls and associated health care costs to key state policy makers.</w:t>
      </w:r>
    </w:p>
    <w:p w14:paraId="79DF99D1" w14:textId="77777777" w:rsidR="00197870" w:rsidRPr="00471E8F" w:rsidRDefault="00197870" w:rsidP="00E552D2">
      <w:pPr>
        <w:pStyle w:val="ListParagraph"/>
        <w:numPr>
          <w:ilvl w:val="0"/>
          <w:numId w:val="83"/>
        </w:numPr>
        <w:spacing w:line="360" w:lineRule="auto"/>
        <w:ind w:right="-360"/>
        <w:rPr>
          <w:sz w:val="24"/>
          <w:szCs w:val="24"/>
        </w:rPr>
      </w:pPr>
      <w:r w:rsidRPr="00471E8F">
        <w:rPr>
          <w:sz w:val="24"/>
          <w:szCs w:val="24"/>
        </w:rPr>
        <w:t>The Massachusetts Prevention and Wellness Trust Fund (PWTF) that implements evidence-based interventions to reduce preventable health conditions, including older adult falls.</w:t>
      </w:r>
    </w:p>
    <w:p w14:paraId="121CD0F4" w14:textId="77777777" w:rsidR="00197870" w:rsidRPr="00471E8F" w:rsidRDefault="00197870" w:rsidP="00E552D2">
      <w:pPr>
        <w:pStyle w:val="ListParagraph"/>
        <w:numPr>
          <w:ilvl w:val="0"/>
          <w:numId w:val="83"/>
        </w:numPr>
        <w:spacing w:line="360" w:lineRule="auto"/>
        <w:ind w:right="-360"/>
        <w:rPr>
          <w:sz w:val="24"/>
          <w:szCs w:val="24"/>
        </w:rPr>
      </w:pPr>
      <w:r w:rsidRPr="00471E8F">
        <w:rPr>
          <w:sz w:val="24"/>
          <w:szCs w:val="24"/>
        </w:rPr>
        <w:t>The Elder Services of Merrimack Valley through their Healthy Living Center of Excellence utilized their competitively awarded Administration for Community Living (ACL) grants to expand and develop evidence-based falls-related programming in community settings.</w:t>
      </w:r>
    </w:p>
    <w:p w14:paraId="7A60D304" w14:textId="77777777" w:rsidR="00197870" w:rsidRPr="00471E8F" w:rsidRDefault="00197870" w:rsidP="00E552D2">
      <w:pPr>
        <w:pStyle w:val="Heading5"/>
        <w:spacing w:line="360" w:lineRule="auto"/>
        <w:rPr>
          <w:sz w:val="24"/>
          <w:szCs w:val="24"/>
        </w:rPr>
      </w:pPr>
      <w:r w:rsidRPr="00471E8F">
        <w:rPr>
          <w:sz w:val="24"/>
          <w:szCs w:val="24"/>
        </w:rPr>
        <w:t>Motor Vehicle Injuries</w:t>
      </w:r>
    </w:p>
    <w:p w14:paraId="6F8C3544" w14:textId="77777777" w:rsidR="00197870" w:rsidRPr="00471E8F" w:rsidRDefault="00197870" w:rsidP="00E552D2">
      <w:pPr>
        <w:pStyle w:val="ListParagraph"/>
        <w:numPr>
          <w:ilvl w:val="0"/>
          <w:numId w:val="84"/>
        </w:numPr>
        <w:spacing w:line="360" w:lineRule="auto"/>
        <w:ind w:right="-360"/>
        <w:rPr>
          <w:sz w:val="24"/>
          <w:szCs w:val="24"/>
        </w:rPr>
      </w:pPr>
      <w:r w:rsidRPr="00471E8F">
        <w:rPr>
          <w:sz w:val="24"/>
          <w:szCs w:val="24"/>
        </w:rPr>
        <w:t>The Traffic Safety Coalition of Massachusetts (TSCM)</w:t>
      </w:r>
      <w:r w:rsidRPr="00471E8F">
        <w:rPr>
          <w:rFonts w:cstheme="minorHAnsi"/>
          <w:sz w:val="24"/>
          <w:szCs w:val="24"/>
        </w:rPr>
        <w:t xml:space="preserve"> is a coalition of transportation safety advocates from across the state</w:t>
      </w:r>
      <w:r w:rsidRPr="00471E8F">
        <w:rPr>
          <w:sz w:val="24"/>
          <w:szCs w:val="24"/>
        </w:rPr>
        <w:t>; MDPH’s Injury Prevention and Control Program (IPCP) works with TSCM to support prevention infrastructure.</w:t>
      </w:r>
    </w:p>
    <w:p w14:paraId="70E4526F" w14:textId="77777777" w:rsidR="00197870" w:rsidRPr="00471E8F" w:rsidRDefault="00197870" w:rsidP="00E552D2">
      <w:pPr>
        <w:pStyle w:val="ListParagraph"/>
        <w:numPr>
          <w:ilvl w:val="0"/>
          <w:numId w:val="84"/>
        </w:numPr>
        <w:spacing w:line="360" w:lineRule="auto"/>
        <w:ind w:right="-360"/>
        <w:rPr>
          <w:sz w:val="24"/>
          <w:szCs w:val="24"/>
        </w:rPr>
      </w:pPr>
      <w:r w:rsidRPr="00471E8F">
        <w:rPr>
          <w:sz w:val="24"/>
          <w:szCs w:val="24"/>
        </w:rPr>
        <w:lastRenderedPageBreak/>
        <w:t>The Massachusetts Strategic Highway Safety Plan (SHSP), MDPH’s IPCP participates in the planning and implementation of the SHSP through disseminating relevant state data, research findings and evidence-based strategies; and developing a model Safe Driving Policy.</w:t>
      </w:r>
    </w:p>
    <w:p w14:paraId="023B5959" w14:textId="5452F5EA" w:rsidR="00197870" w:rsidRPr="00471E8F" w:rsidRDefault="00197870" w:rsidP="00E552D2">
      <w:pPr>
        <w:pStyle w:val="ListParagraph"/>
        <w:numPr>
          <w:ilvl w:val="0"/>
          <w:numId w:val="84"/>
        </w:numPr>
        <w:spacing w:line="360" w:lineRule="auto"/>
        <w:ind w:right="-360"/>
        <w:rPr>
          <w:sz w:val="24"/>
          <w:szCs w:val="24"/>
        </w:rPr>
      </w:pPr>
      <w:r w:rsidRPr="00471E8F">
        <w:rPr>
          <w:sz w:val="24"/>
          <w:szCs w:val="24"/>
        </w:rPr>
        <w:t xml:space="preserve">The </w:t>
      </w:r>
      <w:r w:rsidRPr="00471E8F">
        <w:rPr>
          <w:i/>
          <w:sz w:val="24"/>
          <w:szCs w:val="24"/>
        </w:rPr>
        <w:t>Massachusetts Junior Operator's Graduated Driver’s License</w:t>
      </w:r>
      <w:r w:rsidRPr="00471E8F">
        <w:rPr>
          <w:sz w:val="24"/>
          <w:szCs w:val="24"/>
        </w:rPr>
        <w:t xml:space="preserve"> law that</w:t>
      </w:r>
      <w:r w:rsidR="001438AB" w:rsidRPr="00471E8F">
        <w:rPr>
          <w:sz w:val="24"/>
          <w:szCs w:val="24"/>
        </w:rPr>
        <w:t xml:space="preserve"> had significant changes made to it </w:t>
      </w:r>
      <w:r w:rsidRPr="00471E8F">
        <w:rPr>
          <w:sz w:val="24"/>
          <w:szCs w:val="24"/>
        </w:rPr>
        <w:t>in 2007 impose</w:t>
      </w:r>
      <w:r w:rsidR="001438AB" w:rsidRPr="00471E8F">
        <w:rPr>
          <w:sz w:val="24"/>
          <w:szCs w:val="24"/>
        </w:rPr>
        <w:t>s</w:t>
      </w:r>
      <w:r w:rsidRPr="00471E8F">
        <w:rPr>
          <w:sz w:val="24"/>
          <w:szCs w:val="24"/>
        </w:rPr>
        <w:t xml:space="preserve"> mandatory suspensions for violations related to night-time driving, operating under the influence, and operating to endanger.</w:t>
      </w:r>
    </w:p>
    <w:p w14:paraId="39DF69E6" w14:textId="77777777" w:rsidR="00197870" w:rsidRPr="00471E8F" w:rsidRDefault="00197870" w:rsidP="00E552D2">
      <w:pPr>
        <w:pStyle w:val="ListParagraph"/>
        <w:numPr>
          <w:ilvl w:val="0"/>
          <w:numId w:val="84"/>
        </w:numPr>
        <w:spacing w:line="360" w:lineRule="auto"/>
        <w:ind w:right="-360"/>
        <w:rPr>
          <w:sz w:val="24"/>
          <w:szCs w:val="24"/>
        </w:rPr>
      </w:pPr>
      <w:r w:rsidRPr="00471E8F">
        <w:rPr>
          <w:sz w:val="24"/>
          <w:szCs w:val="24"/>
        </w:rPr>
        <w:t>The Massachusetts Executive Office of Public Safety’s Highway Safety Division’s 2017 Impaired Driving Summit that brought together leaders, stakeholders, and experts to elevate the priority of impaired driving, identify needs to address impaired driving and create opportunities for participants to collaborate to address these needs.</w:t>
      </w:r>
    </w:p>
    <w:p w14:paraId="4AEE69BC" w14:textId="54619950" w:rsidR="00197870" w:rsidRPr="00471E8F" w:rsidRDefault="00197870" w:rsidP="00E552D2">
      <w:pPr>
        <w:pStyle w:val="ListParagraph"/>
        <w:numPr>
          <w:ilvl w:val="0"/>
          <w:numId w:val="84"/>
        </w:numPr>
        <w:spacing w:line="360" w:lineRule="auto"/>
        <w:ind w:right="-360"/>
        <w:rPr>
          <w:sz w:val="24"/>
          <w:szCs w:val="24"/>
        </w:rPr>
      </w:pPr>
      <w:r w:rsidRPr="00471E8F">
        <w:rPr>
          <w:sz w:val="24"/>
          <w:szCs w:val="24"/>
        </w:rPr>
        <w:t xml:space="preserve">The MDPH Injury Prevention and Control Program is conducting a project to require the adoption of safe transportation policies among youth-oriented programs in an effort to reduce motor vehicle injuries and </w:t>
      </w:r>
      <w:r w:rsidR="000F773C" w:rsidRPr="00471E8F">
        <w:rPr>
          <w:sz w:val="24"/>
          <w:szCs w:val="24"/>
        </w:rPr>
        <w:t>tramautic brain injury (</w:t>
      </w:r>
      <w:r w:rsidRPr="00471E8F">
        <w:rPr>
          <w:sz w:val="24"/>
          <w:szCs w:val="24"/>
        </w:rPr>
        <w:t>TBI</w:t>
      </w:r>
      <w:r w:rsidR="000F773C" w:rsidRPr="00471E8F">
        <w:rPr>
          <w:sz w:val="24"/>
          <w:szCs w:val="24"/>
        </w:rPr>
        <w:t>)</w:t>
      </w:r>
      <w:r w:rsidRPr="00471E8F">
        <w:rPr>
          <w:sz w:val="24"/>
          <w:szCs w:val="24"/>
        </w:rPr>
        <w:t xml:space="preserve"> among Massachusetts youth 15-24 years of age.</w:t>
      </w:r>
    </w:p>
    <w:p w14:paraId="277E27D3" w14:textId="77777777" w:rsidR="00AC0A62" w:rsidRPr="00471E8F" w:rsidRDefault="00AC0A62" w:rsidP="00E552D2">
      <w:pPr>
        <w:pStyle w:val="Heading5"/>
        <w:spacing w:line="360" w:lineRule="auto"/>
        <w:rPr>
          <w:sz w:val="24"/>
          <w:szCs w:val="24"/>
        </w:rPr>
      </w:pPr>
    </w:p>
    <w:p w14:paraId="375B1F39" w14:textId="77777777" w:rsidR="00197870" w:rsidRPr="00471E8F" w:rsidRDefault="00197870" w:rsidP="00E552D2">
      <w:pPr>
        <w:pStyle w:val="Heading5"/>
        <w:spacing w:line="360" w:lineRule="auto"/>
        <w:rPr>
          <w:sz w:val="24"/>
          <w:szCs w:val="24"/>
        </w:rPr>
      </w:pPr>
      <w:r w:rsidRPr="00471E8F">
        <w:rPr>
          <w:sz w:val="24"/>
          <w:szCs w:val="24"/>
        </w:rPr>
        <w:t xml:space="preserve">Occupational Injuries </w:t>
      </w:r>
    </w:p>
    <w:p w14:paraId="3DC9A3F3" w14:textId="77777777" w:rsidR="00197870" w:rsidRPr="00471E8F" w:rsidRDefault="00197870" w:rsidP="00E552D2">
      <w:pPr>
        <w:pStyle w:val="ListParagraph"/>
        <w:numPr>
          <w:ilvl w:val="0"/>
          <w:numId w:val="85"/>
        </w:numPr>
        <w:spacing w:line="360" w:lineRule="auto"/>
        <w:ind w:right="-360"/>
        <w:rPr>
          <w:sz w:val="24"/>
          <w:szCs w:val="24"/>
        </w:rPr>
      </w:pPr>
      <w:r w:rsidRPr="00471E8F">
        <w:rPr>
          <w:sz w:val="24"/>
          <w:szCs w:val="24"/>
        </w:rPr>
        <w:t>MDPH is working with hospitals, hospital worker organizations, and researchers to reduce risks associated with patient handling to protect both workers and patients; a MDPH-initiated Hospital Ergonomics Task Force developed a blue print for action and an ongoing stakeholder group is working to implement Task Force recommendations.</w:t>
      </w:r>
    </w:p>
    <w:p w14:paraId="7BA37DBC" w14:textId="77777777" w:rsidR="00197870" w:rsidRPr="00471E8F" w:rsidRDefault="00197870" w:rsidP="00E552D2">
      <w:pPr>
        <w:pStyle w:val="ListParagraph"/>
        <w:numPr>
          <w:ilvl w:val="0"/>
          <w:numId w:val="85"/>
        </w:numPr>
        <w:spacing w:line="360" w:lineRule="auto"/>
        <w:ind w:right="-360"/>
        <w:rPr>
          <w:sz w:val="24"/>
          <w:szCs w:val="24"/>
        </w:rPr>
      </w:pPr>
      <w:r w:rsidRPr="00471E8F">
        <w:rPr>
          <w:sz w:val="24"/>
          <w:szCs w:val="24"/>
        </w:rPr>
        <w:t>MDPH is chairing the Massachusetts Youth Employment and Safety (YES) Team that coordinates efforts of multiple agencies to protect youth at work.</w:t>
      </w:r>
    </w:p>
    <w:p w14:paraId="4A1B9B0B" w14:textId="7651F764" w:rsidR="00197870" w:rsidRPr="00471E8F" w:rsidRDefault="00197870" w:rsidP="00E552D2">
      <w:pPr>
        <w:pStyle w:val="ListParagraph"/>
        <w:numPr>
          <w:ilvl w:val="0"/>
          <w:numId w:val="85"/>
        </w:numPr>
        <w:spacing w:line="360" w:lineRule="auto"/>
        <w:ind w:right="-360"/>
        <w:rPr>
          <w:sz w:val="24"/>
          <w:szCs w:val="24"/>
        </w:rPr>
      </w:pPr>
      <w:r w:rsidRPr="00471E8F">
        <w:rPr>
          <w:sz w:val="24"/>
          <w:szCs w:val="24"/>
        </w:rPr>
        <w:t>MDPH develops multi-lingual materials that are broadly disseminated through worker centers and community organizations to educate low wage immigrant and minority workers</w:t>
      </w:r>
      <w:r w:rsidR="008231EE" w:rsidRPr="00471E8F">
        <w:rPr>
          <w:sz w:val="24"/>
          <w:szCs w:val="24"/>
        </w:rPr>
        <w:t xml:space="preserve"> about workplace safety</w:t>
      </w:r>
      <w:r w:rsidRPr="00471E8F">
        <w:rPr>
          <w:sz w:val="24"/>
          <w:szCs w:val="24"/>
        </w:rPr>
        <w:t>.</w:t>
      </w:r>
    </w:p>
    <w:p w14:paraId="2017D7AE" w14:textId="77777777" w:rsidR="00197870" w:rsidRPr="00471E8F" w:rsidRDefault="00197870" w:rsidP="00E552D2">
      <w:pPr>
        <w:pStyle w:val="ListParagraph"/>
        <w:numPr>
          <w:ilvl w:val="0"/>
          <w:numId w:val="85"/>
        </w:numPr>
        <w:spacing w:line="360" w:lineRule="auto"/>
        <w:ind w:right="-360"/>
        <w:rPr>
          <w:sz w:val="24"/>
          <w:szCs w:val="24"/>
        </w:rPr>
      </w:pPr>
      <w:r w:rsidRPr="00471E8F">
        <w:rPr>
          <w:sz w:val="24"/>
          <w:szCs w:val="24"/>
        </w:rPr>
        <w:t>MDPH works with federal and other state partners to promote a federal campaign to prevent falls in construction and the safety stand-down for fall prevention, including a series of brochures on preventing falls in residential construction.</w:t>
      </w:r>
    </w:p>
    <w:p w14:paraId="4DB9EA27" w14:textId="77777777" w:rsidR="00197870" w:rsidRPr="00471E8F" w:rsidRDefault="00197870" w:rsidP="00E552D2">
      <w:pPr>
        <w:pStyle w:val="Heading5"/>
        <w:spacing w:line="360" w:lineRule="auto"/>
        <w:rPr>
          <w:sz w:val="24"/>
          <w:szCs w:val="24"/>
        </w:rPr>
      </w:pPr>
      <w:r w:rsidRPr="00471E8F">
        <w:rPr>
          <w:sz w:val="24"/>
          <w:szCs w:val="24"/>
        </w:rPr>
        <w:t>Suicide</w:t>
      </w:r>
    </w:p>
    <w:p w14:paraId="7058BFFE" w14:textId="77777777" w:rsidR="00197870" w:rsidRPr="00471E8F" w:rsidRDefault="00197870" w:rsidP="00E552D2">
      <w:pPr>
        <w:pStyle w:val="ListParagraph"/>
        <w:numPr>
          <w:ilvl w:val="0"/>
          <w:numId w:val="86"/>
        </w:numPr>
        <w:spacing w:line="360" w:lineRule="auto"/>
        <w:ind w:right="-360"/>
        <w:rPr>
          <w:sz w:val="24"/>
          <w:szCs w:val="24"/>
        </w:rPr>
      </w:pPr>
      <w:r w:rsidRPr="00471E8F">
        <w:rPr>
          <w:sz w:val="24"/>
          <w:szCs w:val="24"/>
        </w:rPr>
        <w:lastRenderedPageBreak/>
        <w:t>The MDPH’s Suicide Prevention Program provides funds for the MassMen campaign and a statewide suicide prevention crisis hotline, and funding for 20 community partners to support “postvention” services to schools after a suicide.</w:t>
      </w:r>
    </w:p>
    <w:p w14:paraId="17CA6DB6" w14:textId="77777777" w:rsidR="00197870" w:rsidRPr="00471E8F" w:rsidRDefault="00197870" w:rsidP="00E552D2">
      <w:pPr>
        <w:pStyle w:val="Heading5"/>
        <w:spacing w:line="360" w:lineRule="auto"/>
        <w:rPr>
          <w:sz w:val="24"/>
          <w:szCs w:val="24"/>
        </w:rPr>
      </w:pPr>
      <w:r w:rsidRPr="00471E8F">
        <w:rPr>
          <w:sz w:val="24"/>
          <w:szCs w:val="24"/>
        </w:rPr>
        <w:t>Youth Violence</w:t>
      </w:r>
    </w:p>
    <w:p w14:paraId="4BDF8B1A" w14:textId="77777777" w:rsidR="00197870" w:rsidRPr="00471E8F" w:rsidRDefault="00197870" w:rsidP="00E552D2">
      <w:pPr>
        <w:pStyle w:val="ListParagraph"/>
        <w:numPr>
          <w:ilvl w:val="0"/>
          <w:numId w:val="87"/>
        </w:numPr>
        <w:spacing w:line="360" w:lineRule="auto"/>
        <w:ind w:right="-360"/>
        <w:rPr>
          <w:sz w:val="24"/>
          <w:szCs w:val="24"/>
        </w:rPr>
      </w:pPr>
      <w:r w:rsidRPr="00471E8F">
        <w:rPr>
          <w:sz w:val="24"/>
          <w:szCs w:val="24"/>
        </w:rPr>
        <w:t>MDPH’s Child and Youth Violence Prevention Unit created three violence prevention grants programs that fund more than 25 community-based organizations to implement intervention programs to prevent violence by addressing its root causes.</w:t>
      </w:r>
    </w:p>
    <w:p w14:paraId="59E82FD2" w14:textId="77777777" w:rsidR="00197870" w:rsidRPr="00471E8F" w:rsidRDefault="00197870" w:rsidP="00E552D2">
      <w:pPr>
        <w:pStyle w:val="ListParagraph"/>
        <w:numPr>
          <w:ilvl w:val="0"/>
          <w:numId w:val="87"/>
        </w:numPr>
        <w:spacing w:line="360" w:lineRule="auto"/>
        <w:ind w:right="-360"/>
        <w:rPr>
          <w:sz w:val="24"/>
          <w:szCs w:val="24"/>
        </w:rPr>
      </w:pPr>
      <w:r w:rsidRPr="00471E8F">
        <w:rPr>
          <w:sz w:val="24"/>
          <w:szCs w:val="24"/>
        </w:rPr>
        <w:t>MDPH’s Youth at Risk grants focus on the most underserved youth to address shared risk and protective factors that influence gang violence, sexual violence, violence against LGBTQ youth, teen dating violence, bullying, and suicide.</w:t>
      </w:r>
    </w:p>
    <w:p w14:paraId="3B7F8127" w14:textId="77777777" w:rsidR="00197870" w:rsidRPr="00471E8F" w:rsidRDefault="00197870" w:rsidP="00E552D2">
      <w:pPr>
        <w:pStyle w:val="Heading5"/>
        <w:spacing w:line="360" w:lineRule="auto"/>
        <w:rPr>
          <w:sz w:val="24"/>
          <w:szCs w:val="24"/>
        </w:rPr>
      </w:pPr>
      <w:r w:rsidRPr="00471E8F">
        <w:rPr>
          <w:sz w:val="24"/>
          <w:szCs w:val="24"/>
        </w:rPr>
        <w:t>Homicide and Assault</w:t>
      </w:r>
    </w:p>
    <w:p w14:paraId="258A844B" w14:textId="77777777" w:rsidR="00197870" w:rsidRPr="00471E8F" w:rsidRDefault="00197870" w:rsidP="00E552D2">
      <w:pPr>
        <w:pStyle w:val="ListParagraph"/>
        <w:numPr>
          <w:ilvl w:val="0"/>
          <w:numId w:val="88"/>
        </w:numPr>
        <w:spacing w:line="360" w:lineRule="auto"/>
        <w:ind w:right="-360"/>
        <w:rPr>
          <w:sz w:val="24"/>
          <w:szCs w:val="24"/>
        </w:rPr>
      </w:pPr>
      <w:r w:rsidRPr="00471E8F">
        <w:rPr>
          <w:sz w:val="24"/>
          <w:szCs w:val="24"/>
        </w:rPr>
        <w:t>MDPH tracks gun shots and knife wounds through the Weapon Related Injury Surveillance System (WRISS).</w:t>
      </w:r>
    </w:p>
    <w:p w14:paraId="4E0203E4" w14:textId="77777777" w:rsidR="00197870" w:rsidRPr="00471E8F" w:rsidRDefault="00197870" w:rsidP="00E552D2">
      <w:pPr>
        <w:pStyle w:val="ListParagraph"/>
        <w:numPr>
          <w:ilvl w:val="0"/>
          <w:numId w:val="88"/>
        </w:numPr>
        <w:spacing w:line="360" w:lineRule="auto"/>
        <w:ind w:right="-360"/>
        <w:rPr>
          <w:sz w:val="24"/>
          <w:szCs w:val="24"/>
        </w:rPr>
      </w:pPr>
      <w:r w:rsidRPr="00471E8F">
        <w:rPr>
          <w:sz w:val="24"/>
          <w:szCs w:val="24"/>
        </w:rPr>
        <w:t>The Massachusetts Violent Death Reporting System tracks homicides and suicides and provides this information to prevention practitioners to help target their efforts.</w:t>
      </w:r>
    </w:p>
    <w:p w14:paraId="3E5C2914" w14:textId="77777777" w:rsidR="00197870" w:rsidRPr="00471E8F" w:rsidRDefault="00197870" w:rsidP="00E552D2">
      <w:pPr>
        <w:pStyle w:val="ListParagraph"/>
        <w:numPr>
          <w:ilvl w:val="0"/>
          <w:numId w:val="88"/>
        </w:numPr>
        <w:spacing w:line="360" w:lineRule="auto"/>
        <w:ind w:right="-360"/>
        <w:rPr>
          <w:sz w:val="24"/>
          <w:szCs w:val="24"/>
        </w:rPr>
      </w:pPr>
      <w:r w:rsidRPr="00471E8F">
        <w:rPr>
          <w:sz w:val="24"/>
          <w:szCs w:val="24"/>
        </w:rPr>
        <w:t>The Safe and Successful Youth Initiative works with “proven risk” youth who are often agency-involved to provide supports and services and reduce the risk of homicide or assault.</w:t>
      </w:r>
    </w:p>
    <w:p w14:paraId="47A73024" w14:textId="464E863A" w:rsidR="00E77118" w:rsidRPr="00471E8F" w:rsidRDefault="00197870" w:rsidP="00E552D2">
      <w:pPr>
        <w:pStyle w:val="ListParagraph"/>
        <w:numPr>
          <w:ilvl w:val="0"/>
          <w:numId w:val="88"/>
        </w:numPr>
        <w:spacing w:line="360" w:lineRule="auto"/>
        <w:ind w:right="-360"/>
        <w:rPr>
          <w:sz w:val="24"/>
          <w:szCs w:val="24"/>
        </w:rPr>
      </w:pPr>
      <w:r w:rsidRPr="00471E8F">
        <w:rPr>
          <w:sz w:val="24"/>
          <w:szCs w:val="24"/>
        </w:rPr>
        <w:t>See resources, services, and programs listed in the sections for “Youth Violence”, “Sexual Violence/Child Sexual Abuse”, and “Domestic and Dating Violence” that also support issues described in the “Homicide and Assault” section.</w:t>
      </w:r>
    </w:p>
    <w:p w14:paraId="5AAFC38C" w14:textId="1E8D0070" w:rsidR="008231EE" w:rsidRPr="00471E8F" w:rsidRDefault="008231EE" w:rsidP="00E552D2">
      <w:pPr>
        <w:spacing w:before="0" w:line="360" w:lineRule="auto"/>
        <w:ind w:left="0" w:right="0"/>
        <w:jc w:val="left"/>
        <w:rPr>
          <w:sz w:val="24"/>
          <w:szCs w:val="24"/>
        </w:rPr>
      </w:pPr>
      <w:r w:rsidRPr="00471E8F">
        <w:rPr>
          <w:sz w:val="24"/>
          <w:szCs w:val="24"/>
        </w:rPr>
        <w:br w:type="page"/>
      </w:r>
    </w:p>
    <w:p w14:paraId="63648F90" w14:textId="77777777" w:rsidR="00197870" w:rsidRPr="00471E8F" w:rsidRDefault="00197870" w:rsidP="00E552D2">
      <w:pPr>
        <w:pStyle w:val="Heading5"/>
        <w:spacing w:line="360" w:lineRule="auto"/>
        <w:ind w:left="0"/>
        <w:rPr>
          <w:sz w:val="24"/>
          <w:szCs w:val="24"/>
        </w:rPr>
      </w:pPr>
      <w:r w:rsidRPr="00471E8F">
        <w:rPr>
          <w:sz w:val="24"/>
          <w:szCs w:val="24"/>
        </w:rPr>
        <w:lastRenderedPageBreak/>
        <w:t>Sexual Violence/Child Sexual Abuse</w:t>
      </w:r>
    </w:p>
    <w:p w14:paraId="23E4723D" w14:textId="76F8588B" w:rsidR="00197870" w:rsidRPr="00471E8F" w:rsidRDefault="00197870" w:rsidP="00E552D2">
      <w:pPr>
        <w:pStyle w:val="ListParagraph"/>
        <w:numPr>
          <w:ilvl w:val="0"/>
          <w:numId w:val="89"/>
        </w:numPr>
        <w:spacing w:line="360" w:lineRule="auto"/>
        <w:ind w:right="-360"/>
        <w:rPr>
          <w:sz w:val="24"/>
          <w:szCs w:val="24"/>
        </w:rPr>
      </w:pPr>
      <w:r w:rsidRPr="00471E8F">
        <w:rPr>
          <w:sz w:val="24"/>
          <w:szCs w:val="24"/>
        </w:rPr>
        <w:t>Youth Violence Prevention Services provide trainings on positive youth development, trauma-informed care, suicide prevention and risk identification; and trainings for community-based organizations to help staff of</w:t>
      </w:r>
      <w:r w:rsidR="00E77118" w:rsidRPr="00471E8F">
        <w:rPr>
          <w:sz w:val="24"/>
          <w:szCs w:val="24"/>
        </w:rPr>
        <w:t xml:space="preserve"> youth-serving organizations </w:t>
      </w:r>
      <w:r w:rsidRPr="00471E8F">
        <w:rPr>
          <w:sz w:val="24"/>
          <w:szCs w:val="24"/>
        </w:rPr>
        <w:t>recognize and respond to adolescents’ experiences of sexual violence.</w:t>
      </w:r>
    </w:p>
    <w:p w14:paraId="0DFF495B" w14:textId="05FAA6DD" w:rsidR="00197870" w:rsidRPr="00471E8F" w:rsidRDefault="00197870" w:rsidP="00E552D2">
      <w:pPr>
        <w:pStyle w:val="ListParagraph"/>
        <w:numPr>
          <w:ilvl w:val="0"/>
          <w:numId w:val="89"/>
        </w:numPr>
        <w:spacing w:line="360" w:lineRule="auto"/>
        <w:ind w:right="-360"/>
        <w:rPr>
          <w:sz w:val="24"/>
          <w:szCs w:val="24"/>
        </w:rPr>
      </w:pPr>
      <w:r w:rsidRPr="00471E8F">
        <w:rPr>
          <w:sz w:val="24"/>
          <w:szCs w:val="24"/>
        </w:rPr>
        <w:t>A total of 16 com</w:t>
      </w:r>
      <w:r w:rsidR="00BA2534" w:rsidRPr="00471E8F">
        <w:rPr>
          <w:sz w:val="24"/>
          <w:szCs w:val="24"/>
        </w:rPr>
        <w:t>prehensive rape crisis centers are funded by MDPH to</w:t>
      </w:r>
      <w:r w:rsidRPr="00471E8F">
        <w:rPr>
          <w:sz w:val="24"/>
          <w:szCs w:val="24"/>
        </w:rPr>
        <w:t xml:space="preserve"> deliver </w:t>
      </w:r>
      <w:r w:rsidR="00533DBC" w:rsidRPr="00471E8F">
        <w:rPr>
          <w:sz w:val="24"/>
          <w:szCs w:val="24"/>
        </w:rPr>
        <w:t xml:space="preserve">sexual assault </w:t>
      </w:r>
      <w:r w:rsidRPr="00471E8F">
        <w:rPr>
          <w:sz w:val="24"/>
          <w:szCs w:val="24"/>
        </w:rPr>
        <w:t>survivor services, including 24/7 hotline response; 24/7 accompaniment to all hospital emergency departments; individual and group support sessions; legal advocacy and accompaniment to courts and police stations; outreach; and professional and community education.</w:t>
      </w:r>
    </w:p>
    <w:p w14:paraId="15ADEE92" w14:textId="4BE30B01" w:rsidR="00197870" w:rsidRPr="00471E8F" w:rsidRDefault="00197870" w:rsidP="00E552D2">
      <w:pPr>
        <w:pStyle w:val="ListParagraph"/>
        <w:numPr>
          <w:ilvl w:val="0"/>
          <w:numId w:val="89"/>
        </w:numPr>
        <w:spacing w:line="360" w:lineRule="auto"/>
        <w:ind w:right="-360"/>
        <w:rPr>
          <w:sz w:val="24"/>
          <w:szCs w:val="24"/>
        </w:rPr>
      </w:pPr>
      <w:r w:rsidRPr="00471E8F">
        <w:rPr>
          <w:sz w:val="24"/>
          <w:szCs w:val="24"/>
        </w:rPr>
        <w:t>The Oversight Unit at the Massachusetts Disabled Persons Protection Commission (DPPC) coordinates with protective service agencies to meet the identified needs of the individual victims</w:t>
      </w:r>
      <w:r w:rsidR="008231EE" w:rsidRPr="00471E8F">
        <w:rPr>
          <w:sz w:val="24"/>
          <w:szCs w:val="24"/>
        </w:rPr>
        <w:t xml:space="preserve"> of sexual violence</w:t>
      </w:r>
      <w:r w:rsidRPr="00471E8F">
        <w:rPr>
          <w:sz w:val="24"/>
          <w:szCs w:val="24"/>
        </w:rPr>
        <w:t>.</w:t>
      </w:r>
    </w:p>
    <w:p w14:paraId="4CA60798" w14:textId="77777777" w:rsidR="00197870" w:rsidRPr="00471E8F" w:rsidRDefault="00197870" w:rsidP="00E552D2">
      <w:pPr>
        <w:pStyle w:val="ListParagraph"/>
        <w:numPr>
          <w:ilvl w:val="0"/>
          <w:numId w:val="89"/>
        </w:numPr>
        <w:spacing w:line="360" w:lineRule="auto"/>
        <w:ind w:right="-360"/>
        <w:rPr>
          <w:sz w:val="24"/>
          <w:szCs w:val="24"/>
        </w:rPr>
      </w:pPr>
      <w:r w:rsidRPr="00471E8F">
        <w:rPr>
          <w:sz w:val="24"/>
          <w:szCs w:val="24"/>
        </w:rPr>
        <w:t>Massachusetts Disabled Persons Protection Commission program builds and enhances relationships to improve access to trauma-informed services for sexual assault survivors who have intellectual and developmental disabilities.</w:t>
      </w:r>
    </w:p>
    <w:p w14:paraId="187E20AC" w14:textId="77777777" w:rsidR="00197870" w:rsidRPr="00471E8F" w:rsidRDefault="00197870" w:rsidP="00E552D2">
      <w:pPr>
        <w:pStyle w:val="ListParagraph"/>
        <w:numPr>
          <w:ilvl w:val="0"/>
          <w:numId w:val="89"/>
        </w:numPr>
        <w:spacing w:line="360" w:lineRule="auto"/>
        <w:ind w:right="-360"/>
        <w:rPr>
          <w:sz w:val="24"/>
          <w:szCs w:val="24"/>
        </w:rPr>
      </w:pPr>
      <w:r w:rsidRPr="00471E8F">
        <w:rPr>
          <w:sz w:val="24"/>
          <w:szCs w:val="24"/>
        </w:rPr>
        <w:t>The Massachusetts Child Sexual Abuse Prevention Advisory Group supports youth-serving agencies across the state by conducting an assessment of what policies and procedures these agencies need in order to improve the prevention of child sexual abuse.</w:t>
      </w:r>
    </w:p>
    <w:p w14:paraId="39B820C8" w14:textId="77777777" w:rsidR="00197870" w:rsidRPr="00471E8F" w:rsidRDefault="00197870" w:rsidP="00E552D2">
      <w:pPr>
        <w:pStyle w:val="Heading5"/>
        <w:spacing w:line="360" w:lineRule="auto"/>
        <w:rPr>
          <w:sz w:val="24"/>
          <w:szCs w:val="24"/>
        </w:rPr>
      </w:pPr>
      <w:r w:rsidRPr="00471E8F">
        <w:rPr>
          <w:sz w:val="24"/>
          <w:szCs w:val="24"/>
        </w:rPr>
        <w:t>Domestic and Dating Violence</w:t>
      </w:r>
    </w:p>
    <w:p w14:paraId="67CE5845" w14:textId="77777777" w:rsidR="00197870" w:rsidRPr="00471E8F" w:rsidRDefault="00197870" w:rsidP="00E552D2">
      <w:pPr>
        <w:pStyle w:val="ListParagraph"/>
        <w:numPr>
          <w:ilvl w:val="0"/>
          <w:numId w:val="90"/>
        </w:numPr>
        <w:spacing w:line="360" w:lineRule="auto"/>
        <w:ind w:right="-360"/>
        <w:jc w:val="left"/>
        <w:rPr>
          <w:sz w:val="24"/>
          <w:szCs w:val="24"/>
        </w:rPr>
      </w:pPr>
      <w:r w:rsidRPr="00471E8F">
        <w:rPr>
          <w:sz w:val="24"/>
          <w:szCs w:val="24"/>
        </w:rPr>
        <w:t>MDPH supports residential and community-based programs across the Commonwealth to provide services to survivors of domestic violence and prioritizes services for populations at highest risk.  High risk populations were determined to be rural populations, LGBT, immigrants, Black non-Hispanic women, and people with disabilities.</w:t>
      </w:r>
    </w:p>
    <w:p w14:paraId="602A08F1" w14:textId="032A37BF" w:rsidR="008231EE" w:rsidRPr="00471E8F" w:rsidRDefault="008231EE" w:rsidP="00E552D2">
      <w:pPr>
        <w:pStyle w:val="ListParagraph"/>
        <w:numPr>
          <w:ilvl w:val="0"/>
          <w:numId w:val="90"/>
        </w:numPr>
        <w:spacing w:line="360" w:lineRule="auto"/>
        <w:ind w:right="-360"/>
        <w:jc w:val="left"/>
        <w:rPr>
          <w:sz w:val="24"/>
          <w:szCs w:val="24"/>
        </w:rPr>
      </w:pPr>
      <w:r w:rsidRPr="00471E8F">
        <w:rPr>
          <w:sz w:val="24"/>
          <w:szCs w:val="24"/>
        </w:rPr>
        <w:t>MDPH certifies and funds 15 Intimate Partner Abuse Education Programs in Massachusetts to address abusive behavior by intimiate partners.  The majority of client are men who are referred to this service by the courts. However, referrals also come from other service agencies, service professionals, and self-referrals, and some women and transgender clients are served each year.</w:t>
      </w:r>
    </w:p>
    <w:p w14:paraId="703992DE" w14:textId="23B799EF" w:rsidR="000902A4" w:rsidRPr="00FE4FD3" w:rsidRDefault="00197870" w:rsidP="00E552D2">
      <w:pPr>
        <w:pStyle w:val="Heading1"/>
        <w:spacing w:line="360" w:lineRule="auto"/>
        <w:rPr>
          <w:rStyle w:val="Heading1Char"/>
          <w:b/>
        </w:rPr>
        <w:sectPr w:rsidR="000902A4" w:rsidRPr="00FE4FD3" w:rsidSect="00AC0A62">
          <w:endnotePr>
            <w:numFmt w:val="decimal"/>
          </w:endnotePr>
          <w:type w:val="continuous"/>
          <w:pgSz w:w="12240" w:h="15840"/>
          <w:pgMar w:top="1440" w:right="1080" w:bottom="1440" w:left="1080" w:header="720" w:footer="720" w:gutter="0"/>
          <w:cols w:space="720"/>
          <w:docGrid w:linePitch="360"/>
        </w:sectPr>
      </w:pPr>
      <w:bookmarkStart w:id="3" w:name="_GoBack"/>
      <w:bookmarkEnd w:id="3"/>
      <w:r w:rsidRPr="00FE4FD3">
        <w:rPr>
          <w:rStyle w:val="Heading1Char"/>
          <w:b/>
        </w:rPr>
        <w:lastRenderedPageBreak/>
        <w:t>References</w:t>
      </w:r>
    </w:p>
    <w:p w14:paraId="64F06FDB" w14:textId="69006DA1" w:rsidR="000902A4" w:rsidRDefault="000902A4" w:rsidP="00E552D2">
      <w:pPr>
        <w:spacing w:before="0" w:line="360" w:lineRule="auto"/>
        <w:ind w:left="0" w:right="0"/>
        <w:jc w:val="left"/>
        <w:rPr>
          <w:rStyle w:val="Heading1Char"/>
        </w:rPr>
      </w:pPr>
    </w:p>
    <w:sectPr w:rsidR="000902A4" w:rsidSect="00EF0801">
      <w:endnotePr>
        <w:numFmt w:val="decimal"/>
      </w:endnotePr>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F18765" w14:textId="77777777" w:rsidR="00092F96" w:rsidRPr="00EC73EF" w:rsidRDefault="00092F96" w:rsidP="00EC73EF">
      <w:pPr>
        <w:pStyle w:val="Footer"/>
      </w:pPr>
    </w:p>
  </w:endnote>
  <w:endnote w:type="continuationSeparator" w:id="0">
    <w:p w14:paraId="544F0391" w14:textId="77777777" w:rsidR="00092F96" w:rsidRPr="00EC73EF" w:rsidRDefault="00092F96" w:rsidP="00EC73EF">
      <w:pPr>
        <w:pStyle w:val="Footer"/>
      </w:pPr>
    </w:p>
  </w:endnote>
  <w:endnote w:type="continuationNotice" w:id="1">
    <w:p w14:paraId="5CB7DAD2" w14:textId="77777777" w:rsidR="00092F96" w:rsidRPr="00EC73EF" w:rsidRDefault="00092F96" w:rsidP="00EC73EF">
      <w:pPr>
        <w:pStyle w:val="Footer"/>
      </w:pPr>
    </w:p>
  </w:endnote>
  <w:endnote w:id="2">
    <w:p w14:paraId="4C0367A3"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Centers for Disease Control and Prevention. </w:t>
      </w:r>
      <w:r w:rsidRPr="00FE4FD3">
        <w:rPr>
          <w:rFonts w:cstheme="minorHAnsi"/>
          <w:i/>
          <w:sz w:val="22"/>
          <w:szCs w:val="22"/>
        </w:rPr>
        <w:t xml:space="preserve">Vital signs: unintentional injury deaths among persons aged 0-19 years – United States, 2000-2009.  </w:t>
      </w:r>
      <w:r w:rsidRPr="00FE4FD3">
        <w:rPr>
          <w:rFonts w:cstheme="minorHAnsi"/>
          <w:sz w:val="22"/>
          <w:szCs w:val="22"/>
        </w:rPr>
        <w:t>Morbidity and Mortality Weekly Report, April 2012, Vol.61.</w:t>
      </w:r>
    </w:p>
  </w:endnote>
  <w:endnote w:id="3">
    <w:p w14:paraId="39ABC8D5"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w:t>
      </w:r>
      <w:r w:rsidRPr="00FE4FD3">
        <w:rPr>
          <w:rFonts w:eastAsia="Times New Roman" w:cstheme="minorHAnsi"/>
          <w:sz w:val="22"/>
          <w:szCs w:val="22"/>
        </w:rPr>
        <w:t>WISQARS (W</w:t>
      </w:r>
      <w:r w:rsidRPr="00FE4FD3">
        <w:rPr>
          <w:rFonts w:cstheme="minorHAnsi"/>
          <w:sz w:val="22"/>
          <w:szCs w:val="22"/>
          <w:shd w:val="clear" w:color="auto" w:fill="FFFFFF"/>
        </w:rPr>
        <w:t>eb-based Injury Statistics Query and Reporting System),</w:t>
      </w:r>
      <w:r w:rsidRPr="00FE4FD3">
        <w:rPr>
          <w:rFonts w:eastAsia="Times New Roman" w:cstheme="minorHAnsi"/>
          <w:sz w:val="22"/>
          <w:szCs w:val="22"/>
        </w:rPr>
        <w:t xml:space="preserve"> Vital Statistics System, National Center for Injury Prevention and Control, CDC. </w:t>
      </w:r>
    </w:p>
  </w:endnote>
  <w:endnote w:id="4">
    <w:p w14:paraId="0E446D72"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w:t>
      </w:r>
      <w:r w:rsidRPr="00FE4FD3">
        <w:rPr>
          <w:rFonts w:eastAsia="Times New Roman" w:cstheme="minorHAnsi"/>
          <w:sz w:val="22"/>
          <w:szCs w:val="22"/>
        </w:rPr>
        <w:t>WISQARS (W</w:t>
      </w:r>
      <w:r w:rsidRPr="00FE4FD3">
        <w:rPr>
          <w:rFonts w:cstheme="minorHAnsi"/>
          <w:sz w:val="22"/>
          <w:szCs w:val="22"/>
          <w:shd w:val="clear" w:color="auto" w:fill="FFFFFF"/>
        </w:rPr>
        <w:t>eb-based Injury Statistics Query and Reporting System),</w:t>
      </w:r>
      <w:r w:rsidRPr="00FE4FD3">
        <w:rPr>
          <w:rFonts w:eastAsia="Times New Roman" w:cstheme="minorHAnsi"/>
          <w:sz w:val="22"/>
          <w:szCs w:val="22"/>
        </w:rPr>
        <w:t xml:space="preserve"> Vital Statistics System, National Center for Injury Prevention and Control, CDC. </w:t>
      </w:r>
    </w:p>
  </w:endnote>
  <w:endnote w:id="5">
    <w:p w14:paraId="72276EA0"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w:t>
      </w:r>
      <w:r w:rsidRPr="00FE4FD3">
        <w:rPr>
          <w:rFonts w:eastAsia="Times New Roman" w:cstheme="minorHAnsi"/>
          <w:sz w:val="22"/>
          <w:szCs w:val="22"/>
        </w:rPr>
        <w:t>WISQARS (W</w:t>
      </w:r>
      <w:r w:rsidRPr="00FE4FD3">
        <w:rPr>
          <w:rFonts w:cstheme="minorHAnsi"/>
          <w:sz w:val="22"/>
          <w:szCs w:val="22"/>
          <w:shd w:val="clear" w:color="auto" w:fill="FFFFFF"/>
        </w:rPr>
        <w:t>eb-based Injury Statistics Query and Reporting System),</w:t>
      </w:r>
      <w:r w:rsidRPr="00FE4FD3">
        <w:rPr>
          <w:rFonts w:eastAsia="Times New Roman" w:cstheme="minorHAnsi"/>
          <w:sz w:val="22"/>
          <w:szCs w:val="22"/>
        </w:rPr>
        <w:t xml:space="preserve"> Vital Statistics System, National Center for Injury Prevention and Control, CDC.</w:t>
      </w:r>
    </w:p>
  </w:endnote>
  <w:endnote w:id="6">
    <w:p w14:paraId="6DCBE383"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w:t>
      </w:r>
      <w:r w:rsidRPr="00FE4FD3">
        <w:rPr>
          <w:rFonts w:eastAsia="Times New Roman" w:cstheme="minorHAnsi"/>
          <w:sz w:val="22"/>
          <w:szCs w:val="22"/>
        </w:rPr>
        <w:t>MA Inpatient Hospital Discharge Database, Center for Health Information and Analysis (CHIA).</w:t>
      </w:r>
    </w:p>
  </w:endnote>
  <w:endnote w:id="7">
    <w:p w14:paraId="41E40E4D"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w:t>
      </w:r>
      <w:r w:rsidRPr="00FE4FD3">
        <w:rPr>
          <w:rFonts w:eastAsia="Times New Roman" w:cstheme="minorHAnsi"/>
          <w:sz w:val="22"/>
          <w:szCs w:val="22"/>
        </w:rPr>
        <w:t>MA Outpatient Emergency Department Database, CHIA.</w:t>
      </w:r>
    </w:p>
  </w:endnote>
  <w:endnote w:id="8">
    <w:p w14:paraId="65058799"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w:t>
      </w:r>
      <w:r w:rsidRPr="00FE4FD3">
        <w:rPr>
          <w:rFonts w:eastAsia="Times New Roman" w:cstheme="minorHAnsi"/>
          <w:sz w:val="22"/>
          <w:szCs w:val="22"/>
          <w:lang w:val="fr-FR"/>
        </w:rPr>
        <w:t>MA Outpatient Observation Database, CHIA.</w:t>
      </w:r>
    </w:p>
  </w:endnote>
  <w:endnote w:id="9">
    <w:p w14:paraId="202FDA71"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w:t>
      </w:r>
      <w:r w:rsidRPr="00FE4FD3">
        <w:rPr>
          <w:rFonts w:eastAsia="Times New Roman" w:cstheme="minorHAnsi"/>
          <w:sz w:val="22"/>
          <w:szCs w:val="22"/>
        </w:rPr>
        <w:t>MA Inpatient Hospital Discharge Database, Center for Health Information and Analysis (CHIA).</w:t>
      </w:r>
    </w:p>
  </w:endnote>
  <w:endnote w:id="10">
    <w:p w14:paraId="66DBDD11"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w:t>
      </w:r>
      <w:r w:rsidRPr="00FE4FD3">
        <w:rPr>
          <w:rFonts w:eastAsia="Times New Roman" w:cstheme="minorHAnsi"/>
          <w:sz w:val="22"/>
          <w:szCs w:val="22"/>
        </w:rPr>
        <w:t>MA Outpatient Emergency Department Database, CHIA.</w:t>
      </w:r>
    </w:p>
  </w:endnote>
  <w:endnote w:id="11">
    <w:p w14:paraId="1BBCC1F9"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w:t>
      </w:r>
      <w:r w:rsidRPr="00FE4FD3">
        <w:rPr>
          <w:rFonts w:eastAsia="Times New Roman" w:cstheme="minorHAnsi"/>
          <w:sz w:val="22"/>
          <w:szCs w:val="22"/>
          <w:lang w:val="fr-FR"/>
        </w:rPr>
        <w:t>MA Outpatient Observation Database, CHIA.</w:t>
      </w:r>
    </w:p>
  </w:endnote>
  <w:endnote w:id="12">
    <w:p w14:paraId="336A3D68"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w:t>
      </w:r>
      <w:r w:rsidRPr="00FE4FD3">
        <w:rPr>
          <w:rFonts w:eastAsia="Times New Roman" w:cstheme="minorHAnsi"/>
          <w:sz w:val="22"/>
          <w:szCs w:val="22"/>
        </w:rPr>
        <w:t>MA Inpatient Hospital Discharge Database, Center for Health Information and Analysis (CHIA).</w:t>
      </w:r>
    </w:p>
  </w:endnote>
  <w:endnote w:id="13">
    <w:p w14:paraId="0DC2915B"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w:t>
      </w:r>
      <w:r w:rsidRPr="00FE4FD3">
        <w:rPr>
          <w:rFonts w:eastAsia="Times New Roman" w:cstheme="minorHAnsi"/>
          <w:sz w:val="22"/>
          <w:szCs w:val="22"/>
        </w:rPr>
        <w:t>MA Outpatient Emergency Department Database, CHIA.</w:t>
      </w:r>
    </w:p>
  </w:endnote>
  <w:endnote w:id="14">
    <w:p w14:paraId="7C4F09FA"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w:t>
      </w:r>
      <w:r w:rsidRPr="00FE4FD3">
        <w:rPr>
          <w:rFonts w:eastAsia="Times New Roman" w:cstheme="minorHAnsi"/>
          <w:sz w:val="22"/>
          <w:szCs w:val="22"/>
          <w:lang w:val="fr-FR"/>
        </w:rPr>
        <w:t>MA Outpatient Observation Database, CHIA.</w:t>
      </w:r>
    </w:p>
  </w:endnote>
  <w:endnote w:id="15">
    <w:p w14:paraId="7F3EA551" w14:textId="262B8595"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Massachusetts Youth Health Survey (YHS), and Youth Risk Behavior Survey (YRBS).</w:t>
      </w:r>
    </w:p>
  </w:endnote>
  <w:endnote w:id="16">
    <w:p w14:paraId="21590B0A" w14:textId="4367257B"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Massachusetts Youth Health Survey (YHS), and Youth Risk Behavior Survey (YRBS).</w:t>
      </w:r>
    </w:p>
  </w:endnote>
  <w:endnote w:id="17">
    <w:p w14:paraId="700946C9" w14:textId="2E6D9EAE" w:rsidR="0079760B" w:rsidRPr="00FE4FD3" w:rsidRDefault="0079760B" w:rsidP="00FE4FD3">
      <w:pPr>
        <w:tabs>
          <w:tab w:val="left" w:pos="360"/>
        </w:tabs>
        <w:autoSpaceDE w:val="0"/>
        <w:autoSpaceDN w:val="0"/>
        <w:adjustRightInd w:val="0"/>
        <w:spacing w:before="0" w:after="0" w:line="240" w:lineRule="auto"/>
        <w:ind w:right="-360"/>
        <w:jc w:val="left"/>
        <w:rPr>
          <w:rFonts w:cstheme="minorHAnsi"/>
          <w:u w:val="single"/>
        </w:rPr>
      </w:pPr>
      <w:r w:rsidRPr="00FE4FD3">
        <w:rPr>
          <w:rStyle w:val="EndnoteReference"/>
          <w:rFonts w:cstheme="minorHAnsi"/>
        </w:rPr>
        <w:endnoteRef/>
      </w:r>
      <w:r w:rsidRPr="00FE4FD3">
        <w:rPr>
          <w:rFonts w:cstheme="minorHAnsi"/>
        </w:rPr>
        <w:t xml:space="preserve"> </w:t>
      </w:r>
      <w:r w:rsidRPr="00FE4FD3">
        <w:rPr>
          <w:rStyle w:val="Hyperlink"/>
          <w:color w:val="auto"/>
        </w:rPr>
        <w:t xml:space="preserve">CDC Falls Prevention: </w:t>
      </w:r>
      <w:hyperlink r:id="rId1" w:history="1">
        <w:r w:rsidRPr="00FE4FD3">
          <w:rPr>
            <w:rStyle w:val="Hyperlink"/>
            <w:color w:val="auto"/>
          </w:rPr>
          <w:t>STEADI</w:t>
        </w:r>
      </w:hyperlink>
      <w:r w:rsidRPr="00FE4FD3">
        <w:rPr>
          <w:rStyle w:val="Hyperlink"/>
          <w:color w:val="auto"/>
        </w:rPr>
        <w:t xml:space="preserve">. Available at: </w:t>
      </w:r>
      <w:hyperlink r:id="rId2" w:history="1">
        <w:r w:rsidRPr="00FE4FD3">
          <w:rPr>
            <w:rStyle w:val="Hyperlink"/>
            <w:color w:val="auto"/>
          </w:rPr>
          <w:t>https://www.cdc.gov/steadi/index.html</w:t>
        </w:r>
      </w:hyperlink>
      <w:r w:rsidRPr="00FE4FD3">
        <w:rPr>
          <w:rStyle w:val="Hyperlink"/>
          <w:color w:val="auto"/>
        </w:rPr>
        <w:t>.</w:t>
      </w:r>
    </w:p>
  </w:endnote>
  <w:endnote w:id="18">
    <w:p w14:paraId="2EED8A27" w14:textId="260F15C1" w:rsidR="0079760B" w:rsidRPr="00FE4FD3" w:rsidRDefault="0079760B" w:rsidP="00FE4FD3">
      <w:pPr>
        <w:autoSpaceDE w:val="0"/>
        <w:autoSpaceDN w:val="0"/>
        <w:adjustRightInd w:val="0"/>
        <w:spacing w:before="0" w:after="0" w:line="240" w:lineRule="auto"/>
        <w:ind w:right="-360"/>
        <w:jc w:val="left"/>
        <w:rPr>
          <w:rFonts w:cstheme="minorHAnsi"/>
        </w:rPr>
      </w:pPr>
      <w:r w:rsidRPr="00FE4FD3">
        <w:rPr>
          <w:rStyle w:val="EndnoteReference"/>
          <w:rFonts w:cstheme="minorHAnsi"/>
        </w:rPr>
        <w:endnoteRef/>
      </w:r>
      <w:r w:rsidRPr="00FE4FD3">
        <w:rPr>
          <w:rFonts w:cstheme="minorHAnsi"/>
        </w:rPr>
        <w:t xml:space="preserve"> The PWTF </w:t>
      </w:r>
      <w:hyperlink r:id="rId3" w:history="1">
        <w:r w:rsidRPr="00FE4FD3">
          <w:rPr>
            <w:rStyle w:val="Hyperlink"/>
            <w:color w:val="auto"/>
          </w:rPr>
          <w:t>Final Report</w:t>
        </w:r>
      </w:hyperlink>
      <w:r w:rsidRPr="00FE4FD3">
        <w:rPr>
          <w:rStyle w:val="Hyperlink"/>
          <w:color w:val="auto"/>
        </w:rPr>
        <w:t xml:space="preserve">. Available </w:t>
      </w:r>
      <w:r w:rsidRPr="00FE4FD3">
        <w:rPr>
          <w:rFonts w:cstheme="minorHAnsi"/>
        </w:rPr>
        <w:t xml:space="preserve">at: </w:t>
      </w:r>
      <w:hyperlink r:id="rId4" w:history="1">
        <w:r w:rsidRPr="00FE4FD3">
          <w:rPr>
            <w:rStyle w:val="Hyperlink"/>
            <w:color w:val="auto"/>
          </w:rPr>
          <w:t>http://www.mass.gov/eohhs/gov/departments/dph/programs/community-health/prevention-and-wellness-fund/</w:t>
        </w:r>
      </w:hyperlink>
      <w:r w:rsidRPr="00FE4FD3">
        <w:rPr>
          <w:rStyle w:val="Hyperlink"/>
          <w:color w:val="auto"/>
        </w:rPr>
        <w:t>.</w:t>
      </w:r>
    </w:p>
  </w:endnote>
  <w:endnote w:id="19">
    <w:p w14:paraId="69D9BAD4"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w:t>
      </w:r>
      <w:r w:rsidRPr="00FE4FD3">
        <w:rPr>
          <w:rFonts w:eastAsia="Times New Roman" w:cstheme="minorHAnsi"/>
          <w:sz w:val="22"/>
          <w:szCs w:val="22"/>
        </w:rPr>
        <w:t>WISQARS (W</w:t>
      </w:r>
      <w:r w:rsidRPr="00FE4FD3">
        <w:rPr>
          <w:rFonts w:cstheme="minorHAnsi"/>
          <w:sz w:val="22"/>
          <w:szCs w:val="22"/>
          <w:shd w:val="clear" w:color="auto" w:fill="FFFFFF"/>
        </w:rPr>
        <w:t>eb-based Injury Statistics Query and Reporting System),</w:t>
      </w:r>
      <w:r w:rsidRPr="00FE4FD3">
        <w:rPr>
          <w:rFonts w:eastAsia="Times New Roman" w:cstheme="minorHAnsi"/>
          <w:sz w:val="22"/>
          <w:szCs w:val="22"/>
        </w:rPr>
        <w:t xml:space="preserve"> Vital Statistics System, National Center for Injury Prevention and Control, CDC. </w:t>
      </w:r>
      <w:r w:rsidRPr="00FE4FD3">
        <w:rPr>
          <w:rFonts w:cstheme="minorHAnsi"/>
          <w:sz w:val="22"/>
          <w:szCs w:val="22"/>
        </w:rPr>
        <w:t>Estimated costs are generated using the WISQARS Cost Module. Estimates are based on the number of unintentional injuries to MA residents in 2015 for deaths and 2014 for non-fatal injuries.</w:t>
      </w:r>
    </w:p>
  </w:endnote>
  <w:endnote w:id="20">
    <w:p w14:paraId="60E14DDA"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w:t>
      </w:r>
      <w:r w:rsidRPr="00FE4FD3">
        <w:rPr>
          <w:rFonts w:eastAsia="Times New Roman" w:cstheme="minorHAnsi"/>
          <w:sz w:val="22"/>
          <w:szCs w:val="22"/>
        </w:rPr>
        <w:t>MA Inpatient Hospital Discharge Database, Center for Health Information and Analysis (CHIA).</w:t>
      </w:r>
    </w:p>
  </w:endnote>
  <w:endnote w:id="21">
    <w:p w14:paraId="3E74812F"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w:t>
      </w:r>
      <w:r w:rsidRPr="00FE4FD3">
        <w:rPr>
          <w:rFonts w:eastAsia="Times New Roman" w:cstheme="minorHAnsi"/>
          <w:sz w:val="22"/>
          <w:szCs w:val="22"/>
        </w:rPr>
        <w:t>MA Outpatient Emergency Department Database, CHIA.</w:t>
      </w:r>
    </w:p>
  </w:endnote>
  <w:endnote w:id="22">
    <w:p w14:paraId="168CAB83"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w:t>
      </w:r>
      <w:r w:rsidRPr="00FE4FD3">
        <w:rPr>
          <w:rFonts w:eastAsia="Times New Roman" w:cstheme="minorHAnsi"/>
          <w:sz w:val="22"/>
          <w:szCs w:val="22"/>
          <w:lang w:val="fr-FR"/>
        </w:rPr>
        <w:t>MA Outpatient Observation Database, CHIA.</w:t>
      </w:r>
    </w:p>
  </w:endnote>
  <w:endnote w:id="23">
    <w:p w14:paraId="2D9C8659"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w:t>
      </w:r>
      <w:r w:rsidRPr="00FE4FD3">
        <w:rPr>
          <w:rFonts w:eastAsia="Times New Roman" w:cstheme="minorHAnsi"/>
          <w:sz w:val="22"/>
          <w:szCs w:val="22"/>
        </w:rPr>
        <w:t>MA Inpatient Hospital Discharge Database, Center for Health Information and Analysis (CHIA).</w:t>
      </w:r>
    </w:p>
  </w:endnote>
  <w:endnote w:id="24">
    <w:p w14:paraId="68DAE24A"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w:t>
      </w:r>
      <w:r w:rsidRPr="00FE4FD3">
        <w:rPr>
          <w:rFonts w:eastAsia="Times New Roman" w:cstheme="minorHAnsi"/>
          <w:sz w:val="22"/>
          <w:szCs w:val="22"/>
        </w:rPr>
        <w:t>MA Inpatient Hospital Discharge Database, Center for Health Information and Analysis (CHIA).</w:t>
      </w:r>
    </w:p>
  </w:endnote>
  <w:endnote w:id="25">
    <w:p w14:paraId="3028288B"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w:t>
      </w:r>
      <w:r w:rsidRPr="00FE4FD3">
        <w:rPr>
          <w:rFonts w:eastAsia="Times New Roman" w:cstheme="minorHAnsi"/>
          <w:sz w:val="22"/>
          <w:szCs w:val="22"/>
        </w:rPr>
        <w:t>MA Outpatient Emergency Department Database, CHIA.</w:t>
      </w:r>
    </w:p>
  </w:endnote>
  <w:endnote w:id="26">
    <w:p w14:paraId="0FA83969"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w:t>
      </w:r>
      <w:r w:rsidRPr="00FE4FD3">
        <w:rPr>
          <w:rFonts w:eastAsia="Times New Roman" w:cstheme="minorHAnsi"/>
          <w:sz w:val="22"/>
          <w:szCs w:val="22"/>
          <w:lang w:val="fr-FR"/>
        </w:rPr>
        <w:t>MA Outpatient Observation Database, CHIA.</w:t>
      </w:r>
    </w:p>
  </w:endnote>
  <w:endnote w:id="27">
    <w:p w14:paraId="43AF2D9D"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w:t>
      </w:r>
      <w:r w:rsidRPr="00FE4FD3">
        <w:rPr>
          <w:rFonts w:eastAsia="Times New Roman" w:cstheme="minorHAnsi"/>
          <w:sz w:val="22"/>
          <w:szCs w:val="22"/>
        </w:rPr>
        <w:t>MA Inpatient Hospital Discharge Database, Center for Health Information and Analysis (CHIA).</w:t>
      </w:r>
    </w:p>
  </w:endnote>
  <w:endnote w:id="28">
    <w:p w14:paraId="3275A9EA"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w:t>
      </w:r>
      <w:r w:rsidRPr="00FE4FD3">
        <w:rPr>
          <w:rFonts w:eastAsia="Times New Roman" w:cstheme="minorHAnsi"/>
          <w:sz w:val="22"/>
          <w:szCs w:val="22"/>
        </w:rPr>
        <w:t>MA Outpatient Emergency Department Database, CHIA.</w:t>
      </w:r>
    </w:p>
  </w:endnote>
  <w:endnote w:id="29">
    <w:p w14:paraId="67045397"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w:t>
      </w:r>
      <w:r w:rsidRPr="00FE4FD3">
        <w:rPr>
          <w:rFonts w:eastAsia="Times New Roman" w:cstheme="minorHAnsi"/>
          <w:sz w:val="22"/>
          <w:szCs w:val="22"/>
          <w:lang w:val="fr-FR"/>
        </w:rPr>
        <w:t>MA Outpatient Observation Database, CHIA.</w:t>
      </w:r>
    </w:p>
  </w:endnote>
  <w:endnote w:id="30">
    <w:p w14:paraId="2C07C30A"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w:t>
      </w:r>
      <w:r w:rsidRPr="00FE4FD3">
        <w:rPr>
          <w:rFonts w:eastAsia="Times New Roman" w:cstheme="minorHAnsi"/>
          <w:sz w:val="22"/>
          <w:szCs w:val="22"/>
        </w:rPr>
        <w:t>MA Inpatient Hospital Discharge Database, Center for Health Information and Analysis (CHIA).</w:t>
      </w:r>
    </w:p>
  </w:endnote>
  <w:endnote w:id="31">
    <w:p w14:paraId="40D221C9"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w:t>
      </w:r>
      <w:r w:rsidRPr="00FE4FD3">
        <w:rPr>
          <w:rFonts w:eastAsia="Times New Roman" w:cstheme="minorHAnsi"/>
          <w:sz w:val="22"/>
          <w:szCs w:val="22"/>
        </w:rPr>
        <w:t>MA Outpatient Emergency Department Database, CHIA.</w:t>
      </w:r>
    </w:p>
  </w:endnote>
  <w:endnote w:id="32">
    <w:p w14:paraId="5866FCFA"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w:t>
      </w:r>
      <w:r w:rsidRPr="00FE4FD3">
        <w:rPr>
          <w:rFonts w:eastAsia="Times New Roman" w:cstheme="minorHAnsi"/>
          <w:sz w:val="22"/>
          <w:szCs w:val="22"/>
          <w:lang w:val="fr-FR"/>
        </w:rPr>
        <w:t>MA Outpatient Observation Database, CHIA.</w:t>
      </w:r>
    </w:p>
  </w:endnote>
  <w:endnote w:id="33">
    <w:p w14:paraId="0203DE50" w14:textId="3E6D35E7" w:rsidR="0079760B" w:rsidRPr="00FE4FD3" w:rsidRDefault="0079760B" w:rsidP="00FE4FD3">
      <w:pPr>
        <w:widowControl w:val="0"/>
        <w:autoSpaceDE w:val="0"/>
        <w:autoSpaceDN w:val="0"/>
        <w:adjustRightInd w:val="0"/>
        <w:spacing w:before="0" w:after="0" w:line="240" w:lineRule="auto"/>
        <w:ind w:right="-360"/>
        <w:jc w:val="left"/>
        <w:rPr>
          <w:rFonts w:eastAsia="Times New Roman" w:cstheme="minorHAnsi"/>
        </w:rPr>
      </w:pPr>
      <w:r w:rsidRPr="00FE4FD3">
        <w:rPr>
          <w:rStyle w:val="EndnoteReference"/>
          <w:rFonts w:cstheme="minorHAnsi"/>
        </w:rPr>
        <w:endnoteRef/>
      </w:r>
      <w:r w:rsidRPr="00FE4FD3">
        <w:rPr>
          <w:rFonts w:cstheme="minorHAnsi"/>
        </w:rPr>
        <w:t xml:space="preserve"> </w:t>
      </w:r>
      <w:r w:rsidRPr="00FE4FD3">
        <w:rPr>
          <w:rFonts w:eastAsia="Times New Roman" w:cstheme="minorHAnsi"/>
        </w:rPr>
        <w:t xml:space="preserve">CDC motor vehicle injury prevention pages: Available at: </w:t>
      </w:r>
      <w:hyperlink r:id="rId5" w:history="1">
        <w:r w:rsidRPr="00FE4FD3">
          <w:rPr>
            <w:rStyle w:val="Hyperlink"/>
            <w:rFonts w:eastAsia="Times New Roman"/>
            <w:color w:val="auto"/>
          </w:rPr>
          <w:t>https://www.cdc.gov/motorvehiclesafety/pedestrian_safety/index.html</w:t>
        </w:r>
      </w:hyperlink>
      <w:r w:rsidRPr="00FE4FD3">
        <w:rPr>
          <w:rFonts w:eastAsia="Times New Roman" w:cstheme="minorHAnsi"/>
        </w:rPr>
        <w:t>.</w:t>
      </w:r>
    </w:p>
  </w:endnote>
  <w:endnote w:id="34">
    <w:p w14:paraId="69744E38" w14:textId="19A54662"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CHIA, </w:t>
      </w:r>
      <w:r w:rsidRPr="00FE4FD3">
        <w:rPr>
          <w:rFonts w:eastAsia="Times New Roman" w:cstheme="minorHAnsi"/>
          <w:sz w:val="22"/>
          <w:szCs w:val="22"/>
        </w:rPr>
        <w:t>MA Inpatient Hospital Discharge Database, Center for Health Information and Analysis (CHIA).</w:t>
      </w:r>
    </w:p>
  </w:endnote>
  <w:endnote w:id="35">
    <w:p w14:paraId="2DE9AC2A" w14:textId="7F001AEF"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CHIA, MA </w:t>
      </w:r>
      <w:r w:rsidRPr="00FE4FD3">
        <w:rPr>
          <w:rFonts w:eastAsia="Times New Roman" w:cstheme="minorHAnsi"/>
          <w:sz w:val="22"/>
          <w:szCs w:val="22"/>
        </w:rPr>
        <w:t>Outpatient Emergency Department Database, CHIA.</w:t>
      </w:r>
    </w:p>
  </w:endnote>
  <w:endnote w:id="36">
    <w:p w14:paraId="787E8E5D" w14:textId="513F1D53"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CHIA, </w:t>
      </w:r>
      <w:r w:rsidRPr="00FE4FD3">
        <w:rPr>
          <w:rFonts w:eastAsia="Times New Roman" w:cstheme="minorHAnsi"/>
          <w:sz w:val="22"/>
          <w:szCs w:val="22"/>
        </w:rPr>
        <w:t>MA Inpatient Hospital Discharge Database, Center for Health Information and Analysis (CHIA).</w:t>
      </w:r>
    </w:p>
  </w:endnote>
  <w:endnote w:id="37">
    <w:p w14:paraId="2A286E16" w14:textId="171CCD75"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CHIA, </w:t>
      </w:r>
      <w:r w:rsidRPr="00FE4FD3">
        <w:rPr>
          <w:rFonts w:eastAsia="Times New Roman" w:cstheme="minorHAnsi"/>
          <w:sz w:val="22"/>
          <w:szCs w:val="22"/>
        </w:rPr>
        <w:t>MA Outpatient Emergency Department Database, CHIA.</w:t>
      </w:r>
    </w:p>
  </w:endnote>
  <w:endnote w:id="38">
    <w:p w14:paraId="6C1415D6" w14:textId="0F270E35"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CHIA, </w:t>
      </w:r>
      <w:r w:rsidRPr="00FE4FD3">
        <w:rPr>
          <w:rFonts w:eastAsia="Times New Roman" w:cstheme="minorHAnsi"/>
          <w:sz w:val="22"/>
          <w:szCs w:val="22"/>
          <w:lang w:val="fr-FR"/>
        </w:rPr>
        <w:t>MA Outpatient Observation Database, CHIA.</w:t>
      </w:r>
    </w:p>
  </w:endnote>
  <w:endnote w:id="39">
    <w:p w14:paraId="59969665" w14:textId="7EB9BDB3"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CHIA, MA Inpatient Hospital Discharge Database, MA Observation Stays Database, and MA Outpatient Emergency Department Discharge Database, CHIA. </w:t>
      </w:r>
    </w:p>
  </w:endnote>
  <w:endnote w:id="40">
    <w:p w14:paraId="01149103" w14:textId="597536AE"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w:t>
      </w:r>
      <w:r w:rsidRPr="00FE4FD3">
        <w:rPr>
          <w:rFonts w:cstheme="minorHAnsi"/>
          <w:sz w:val="22"/>
          <w:szCs w:val="22"/>
          <w:shd w:val="clear" w:color="auto" w:fill="FFFFFF"/>
        </w:rPr>
        <w:t xml:space="preserve">National Highway Traffic Safety Administration (NHTSA), </w:t>
      </w:r>
      <w:r w:rsidRPr="00FE4FD3">
        <w:rPr>
          <w:rFonts w:cstheme="minorHAnsi"/>
          <w:sz w:val="22"/>
          <w:szCs w:val="22"/>
        </w:rPr>
        <w:t xml:space="preserve"> NOPUS. </w:t>
      </w:r>
      <w:r w:rsidRPr="00FE4FD3">
        <w:rPr>
          <w:rFonts w:cstheme="minorHAnsi"/>
          <w:sz w:val="22"/>
          <w:szCs w:val="22"/>
          <w:shd w:val="clear" w:color="auto" w:fill="FFFFFF"/>
        </w:rPr>
        <w:t>(National Occupant Protection Use Survey).</w:t>
      </w:r>
    </w:p>
  </w:endnote>
  <w:endnote w:id="41">
    <w:p w14:paraId="0D0BDE49" w14:textId="36AF739D" w:rsidR="0079760B" w:rsidRPr="00FE4FD3" w:rsidRDefault="0079760B" w:rsidP="00FE4FD3">
      <w:pPr>
        <w:widowControl w:val="0"/>
        <w:autoSpaceDE w:val="0"/>
        <w:autoSpaceDN w:val="0"/>
        <w:adjustRightInd w:val="0"/>
        <w:spacing w:before="0" w:after="0" w:line="240" w:lineRule="auto"/>
        <w:ind w:right="-360"/>
        <w:jc w:val="left"/>
        <w:rPr>
          <w:rFonts w:eastAsia="Times New Roman" w:cstheme="minorHAnsi"/>
        </w:rPr>
      </w:pPr>
      <w:r w:rsidRPr="00FE4FD3">
        <w:rPr>
          <w:rStyle w:val="EndnoteReference"/>
          <w:rFonts w:cstheme="minorHAnsi"/>
        </w:rPr>
        <w:endnoteRef/>
      </w:r>
      <w:r w:rsidRPr="00FE4FD3">
        <w:rPr>
          <w:rFonts w:cstheme="minorHAnsi"/>
        </w:rPr>
        <w:t xml:space="preserve"> FARS (2010-2014) and MA MS YHS (2009-2015) data (MVT seat belt use).</w:t>
      </w:r>
    </w:p>
  </w:endnote>
  <w:endnote w:id="42">
    <w:p w14:paraId="1B5B40DC" w14:textId="03F323FB"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Orrenius P, Zavodny M. Do Immigrants Work in Riskier Jobs? </w:t>
      </w:r>
      <w:r w:rsidRPr="00FE4FD3">
        <w:rPr>
          <w:rFonts w:cstheme="minorHAnsi"/>
          <w:i/>
          <w:sz w:val="22"/>
          <w:szCs w:val="22"/>
        </w:rPr>
        <w:t xml:space="preserve">Demography. </w:t>
      </w:r>
      <w:r w:rsidRPr="00FE4FD3">
        <w:rPr>
          <w:rFonts w:cstheme="minorHAnsi"/>
          <w:sz w:val="22"/>
          <w:szCs w:val="22"/>
        </w:rPr>
        <w:t>2009; 46(3): 535-551.</w:t>
      </w:r>
    </w:p>
  </w:endnote>
  <w:endnote w:id="43">
    <w:p w14:paraId="16D3E897"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Occupational Safety and Health Act of 1970, 29 USC 654, 5(a)1 (General Duty Clause).  Available at: https://www.osha.gov/pls/oshaweb/owadisp.show_document?p_id=3359&amp;p_table=OSHACT.  Accessed June 26, 2017.</w:t>
      </w:r>
    </w:p>
  </w:endnote>
  <w:endnote w:id="44">
    <w:p w14:paraId="5A8EAE93"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Massachusetts General Laws, Chapter 149: Section 6. Safety devices and means to prevent accidents and diseases generally.</w:t>
      </w:r>
    </w:p>
  </w:endnote>
  <w:endnote w:id="45">
    <w:p w14:paraId="2ECC2B10" w14:textId="21B814C6"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MA SOII, 2015.  (IBID) Bureau of Labor Statistics, Survey of Occupational Injuries and Illnesses, 2015. Available at: www.bls.gov/iff. Accessed on June 26, 2017.</w:t>
      </w:r>
    </w:p>
  </w:endnote>
  <w:endnote w:id="46">
    <w:p w14:paraId="699CC4F3" w14:textId="2E01B970"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(IBID)Bureau of Labor Statistics, Survey of Occupational Injuries and Illnesses, 2015. Available at: www.bls.gov/iff. Accessed on June 26, 2017. </w:t>
      </w:r>
    </w:p>
  </w:endnote>
  <w:endnote w:id="47">
    <w:p w14:paraId="3E3C8AB3" w14:textId="0AC9E400"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Census of Fatal Occupational Injuries, Bureau of Labor Statistics, US Department of Labor, State Occupational Injuries, Illnesses, and Fatalities.  Available at: </w:t>
      </w:r>
      <w:hyperlink r:id="rId6" w:anchor="MA" w:history="1">
        <w:r w:rsidRPr="00FE4FD3">
          <w:rPr>
            <w:rStyle w:val="Hyperlink"/>
            <w:color w:val="auto"/>
            <w:sz w:val="22"/>
            <w:szCs w:val="22"/>
          </w:rPr>
          <w:t>https://www.bls.gov/iif/oshstate.htm#MA</w:t>
        </w:r>
      </w:hyperlink>
      <w:r w:rsidRPr="00FE4FD3">
        <w:rPr>
          <w:rFonts w:cstheme="minorHAnsi"/>
          <w:sz w:val="22"/>
          <w:szCs w:val="22"/>
        </w:rPr>
        <w:t>.  Accessed June 26, 2017.</w:t>
      </w:r>
    </w:p>
  </w:endnote>
  <w:endnote w:id="48">
    <w:p w14:paraId="33A1C880" w14:textId="4E8696AE"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Census of Fatal Occupational Injuries, Bureau of Labor Statistics, US Department of Labor, State Occupational Injuries, Illnesses, and Fatalities.  Available at: https://www.bls.gov/iif/oshstate.htm#MA.  Accessed June 26, 2017.</w:t>
      </w:r>
    </w:p>
  </w:endnote>
  <w:endnote w:id="49">
    <w:p w14:paraId="60959750" w14:textId="038D9A59"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MDPH, Occupational Health Surveillance Program,  Unpublished data, 2017.</w:t>
      </w:r>
    </w:p>
  </w:endnote>
  <w:endnote w:id="50">
    <w:p w14:paraId="65DAB678" w14:textId="1333B86F"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lang w:val="fr-FR"/>
        </w:rPr>
        <w:t xml:space="preserve"> Orrenius P, Zavodny M.  </w:t>
      </w:r>
      <w:r w:rsidRPr="00FE4FD3">
        <w:rPr>
          <w:rFonts w:cstheme="minorHAnsi"/>
          <w:sz w:val="22"/>
          <w:szCs w:val="22"/>
        </w:rPr>
        <w:t xml:space="preserve">Do Immigrants Work In Riskier Jobs?  </w:t>
      </w:r>
      <w:r w:rsidRPr="00FE4FD3">
        <w:rPr>
          <w:rFonts w:cstheme="minorHAnsi"/>
          <w:i/>
          <w:sz w:val="22"/>
          <w:szCs w:val="22"/>
        </w:rPr>
        <w:t>Demography</w:t>
      </w:r>
      <w:r w:rsidRPr="00FE4FD3">
        <w:rPr>
          <w:rFonts w:cstheme="minorHAnsi"/>
          <w:sz w:val="22"/>
          <w:szCs w:val="22"/>
        </w:rPr>
        <w:t>.  2009; 46(3): 535–551.</w:t>
      </w:r>
    </w:p>
  </w:endnote>
  <w:endnote w:id="51">
    <w:p w14:paraId="129714B4" w14:textId="155381D1"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Census of Fatal Occupational Injuries, Bureau of Labor Statistics, US Department of Labor, State Occupational Injuries, Illnesses, and Fatalities.  Available at: https://www.bls.gov/iif/oshstate.htm#MA.  Accessed June 26, 2017.</w:t>
      </w:r>
    </w:p>
  </w:endnote>
  <w:endnote w:id="52">
    <w:p w14:paraId="49020193" w14:textId="4D8BED43"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(IBID); Unpublished data, provided by the Occupational Health Surveillance Program.</w:t>
      </w:r>
    </w:p>
  </w:endnote>
  <w:endnote w:id="53">
    <w:p w14:paraId="6D03497A"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CDC,WHO – Featured Topic: World Health Organization’s (WHO) Report on Preventing Suicide.</w:t>
      </w:r>
    </w:p>
  </w:endnote>
  <w:endnote w:id="54">
    <w:p w14:paraId="3226CECC"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CDC,WHO – Featured Topic: World Health Organization’s (WHO) Report on Preventing Suicide.</w:t>
      </w:r>
    </w:p>
  </w:endnote>
  <w:endnote w:id="55">
    <w:p w14:paraId="15D83D28" w14:textId="51D7CE91"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Pr>
          <w:rFonts w:cstheme="minorHAnsi"/>
          <w:sz w:val="22"/>
          <w:szCs w:val="22"/>
        </w:rPr>
        <w:t xml:space="preserve"> M</w:t>
      </w:r>
      <w:r w:rsidRPr="00FE4FD3">
        <w:rPr>
          <w:rFonts w:cstheme="minorHAnsi"/>
          <w:sz w:val="22"/>
          <w:szCs w:val="22"/>
        </w:rPr>
        <w:t>DPH, Office of Data Management and Outcomes Assessment – Massachusetts Deaths 2014: Table 6. Top Ten Leading Underlying Causes of Death by Age, Massachusetts 2014.</w:t>
      </w:r>
    </w:p>
  </w:endnote>
  <w:endnote w:id="56">
    <w:p w14:paraId="23AEE13A" w14:textId="5620E516"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CDC, WISQARS – Fatal Injuries Report, 1999-2014, for National, Regional, and States.</w:t>
      </w:r>
    </w:p>
  </w:endnote>
  <w:endnote w:id="57">
    <w:p w14:paraId="070342AB" w14:textId="77777777" w:rsidR="0079760B" w:rsidRPr="00FE4FD3" w:rsidRDefault="0079760B" w:rsidP="00FE4FD3">
      <w:pPr>
        <w:spacing w:before="0" w:after="0" w:line="240" w:lineRule="auto"/>
        <w:ind w:right="-360"/>
        <w:jc w:val="left"/>
        <w:rPr>
          <w:rFonts w:cstheme="minorHAnsi"/>
        </w:rPr>
      </w:pPr>
      <w:r w:rsidRPr="00FE4FD3">
        <w:rPr>
          <w:rStyle w:val="EndnoteReference"/>
          <w:rFonts w:cstheme="minorHAnsi"/>
        </w:rPr>
        <w:endnoteRef/>
      </w:r>
      <w:r w:rsidRPr="00FE4FD3">
        <w:rPr>
          <w:rFonts w:cstheme="minorHAnsi"/>
        </w:rPr>
        <w:t xml:space="preserve"> World Health Organization and Calouste Gulbenkian Foundation. Social determinants of mental health. Geneva, World Health Organization, 2014.</w:t>
      </w:r>
    </w:p>
  </w:endnote>
  <w:endnote w:id="58">
    <w:p w14:paraId="2321505F" w14:textId="31804455"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Mental Health Foundation. Available at: </w:t>
      </w:r>
      <w:hyperlink r:id="rId7" w:history="1">
        <w:r w:rsidRPr="00FE4FD3">
          <w:rPr>
            <w:rStyle w:val="Hyperlink"/>
            <w:color w:val="auto"/>
            <w:sz w:val="22"/>
            <w:szCs w:val="22"/>
          </w:rPr>
          <w:t>https://www.mentalhealth.org.uk/blog/mental-health-and-built-environment</w:t>
        </w:r>
      </w:hyperlink>
      <w:r w:rsidRPr="00FE4FD3">
        <w:rPr>
          <w:rStyle w:val="Hyperlink"/>
          <w:color w:val="auto"/>
          <w:sz w:val="22"/>
          <w:szCs w:val="22"/>
        </w:rPr>
        <w:t>.</w:t>
      </w:r>
    </w:p>
  </w:endnote>
  <w:endnote w:id="59">
    <w:p w14:paraId="50151378"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w:t>
      </w:r>
      <w:hyperlink r:id="rId8" w:tooltip="Journal of epidemiology and community health." w:history="1">
        <w:r w:rsidRPr="00FE4FD3">
          <w:rPr>
            <w:rStyle w:val="Hyperlink"/>
            <w:color w:val="auto"/>
            <w:sz w:val="22"/>
            <w:szCs w:val="22"/>
          </w:rPr>
          <w:t>J Epidemiol Community Health.</w:t>
        </w:r>
      </w:hyperlink>
      <w:r w:rsidRPr="00FE4FD3">
        <w:rPr>
          <w:rFonts w:cstheme="minorHAnsi"/>
          <w:sz w:val="22"/>
          <w:szCs w:val="22"/>
        </w:rPr>
        <w:t xml:space="preserve"> </w:t>
      </w:r>
      <w:hyperlink r:id="rId9" w:history="1">
        <w:r w:rsidRPr="00FE4FD3">
          <w:rPr>
            <w:rStyle w:val="Hyperlink"/>
            <w:color w:val="auto"/>
            <w:sz w:val="22"/>
            <w:szCs w:val="22"/>
          </w:rPr>
          <w:t>Roustit C</w:t>
        </w:r>
      </w:hyperlink>
      <w:r w:rsidRPr="00FE4FD3">
        <w:rPr>
          <w:rFonts w:cstheme="minorHAnsi"/>
          <w:sz w:val="22"/>
          <w:szCs w:val="22"/>
          <w:vertAlign w:val="superscript"/>
        </w:rPr>
        <w:t xml:space="preserve"> </w:t>
      </w:r>
      <w:r w:rsidRPr="00FE4FD3">
        <w:rPr>
          <w:rFonts w:cstheme="minorHAnsi"/>
          <w:sz w:val="22"/>
          <w:szCs w:val="22"/>
        </w:rPr>
        <w:t xml:space="preserve">et al. 2009 Jul;63(7):563-8. Epub 2009, May 28. Exposure to interparental violence and psychosocial maladjustment in the adult life course: advocacy for early prevention. </w:t>
      </w:r>
    </w:p>
  </w:endnote>
  <w:endnote w:id="60">
    <w:p w14:paraId="5398BCF5"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CDC, WHO – Featured Topic: World Health Organization’s (WHO) Report on Preventing Suicide.</w:t>
      </w:r>
    </w:p>
  </w:endnote>
  <w:endnote w:id="61">
    <w:p w14:paraId="2595DF18" w14:textId="20CA3165"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Centers for Disease Control and Prevention (CDC) Data &amp; Statistics Fatal Injury Report for 2015.</w:t>
      </w:r>
    </w:p>
  </w:endnote>
  <w:endnote w:id="62">
    <w:p w14:paraId="019C5844" w14:textId="07D5B23B"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CDC, National Center for Injury Prevention and Control, Division of Violence Prevention – Understanding Suicide 2015.</w:t>
      </w:r>
    </w:p>
  </w:endnote>
  <w:endnote w:id="63">
    <w:p w14:paraId="65F2D32F" w14:textId="2C23404D"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CHIA, MA Inpatient Hospital Discharge, Outpatient Observation Stay and Emergency Department Discharge databases, MA Center for Health Information and Analysis.</w:t>
      </w:r>
    </w:p>
  </w:endnote>
  <w:endnote w:id="64">
    <w:p w14:paraId="2F9CB1E8" w14:textId="77777777"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WISQARS (Web-based Injury Statistics Query and Reporting System), Vital Statistics System, National Center for Injury Prevention and Control, CDC.</w:t>
      </w:r>
    </w:p>
  </w:endnote>
  <w:endnote w:id="65">
    <w:p w14:paraId="2961CB94" w14:textId="5E44715A" w:rsidR="0079760B" w:rsidRPr="00FE4FD3" w:rsidRDefault="0079760B" w:rsidP="00FE4FD3">
      <w:pPr>
        <w:widowControl w:val="0"/>
        <w:pBdr>
          <w:top w:val="nil"/>
          <w:left w:val="nil"/>
          <w:bottom w:val="nil"/>
          <w:right w:val="nil"/>
          <w:between w:val="nil"/>
        </w:pBdr>
        <w:spacing w:before="0" w:after="0" w:line="240" w:lineRule="auto"/>
        <w:ind w:right="-360"/>
        <w:jc w:val="left"/>
        <w:rPr>
          <w:rFonts w:cstheme="minorHAnsi"/>
        </w:rPr>
      </w:pPr>
      <w:r w:rsidRPr="00FE4FD3">
        <w:rPr>
          <w:rStyle w:val="EndnoteReference"/>
          <w:rFonts w:cstheme="minorHAnsi"/>
        </w:rPr>
        <w:endnoteRef/>
      </w:r>
      <w:r w:rsidRPr="00FE4FD3">
        <w:rPr>
          <w:rFonts w:cstheme="minorHAnsi"/>
        </w:rPr>
        <w:t xml:space="preserve"> </w:t>
      </w:r>
      <w:r w:rsidRPr="00FE4FD3">
        <w:rPr>
          <w:rFonts w:eastAsia="Times New Roman" w:cstheme="minorHAnsi"/>
          <w:i/>
        </w:rPr>
        <w:t>Connecting Safety to Chronic Disease</w:t>
      </w:r>
      <w:r w:rsidRPr="00FE4FD3">
        <w:rPr>
          <w:rFonts w:eastAsia="Times New Roman" w:cstheme="minorHAnsi"/>
        </w:rPr>
        <w:t xml:space="preserve">. Prevention Institute. Available at: </w:t>
      </w:r>
      <w:hyperlink r:id="rId10" w:history="1">
        <w:r w:rsidRPr="00FE4FD3">
          <w:rPr>
            <w:rStyle w:val="Hyperlink"/>
            <w:rFonts w:eastAsia="Times New Roman"/>
            <w:color w:val="auto"/>
          </w:rPr>
          <w:t>https://www.preventioninstitute.org/focus-areas/preventing-violence-and-reducing-injury/connecting-safety-to-chronic-disease</w:t>
        </w:r>
      </w:hyperlink>
      <w:r w:rsidRPr="00FE4FD3">
        <w:rPr>
          <w:rFonts w:eastAsia="Times New Roman" w:cstheme="minorHAnsi"/>
        </w:rPr>
        <w:t>. Accessed June 20, 2017.</w:t>
      </w:r>
    </w:p>
  </w:endnote>
  <w:endnote w:id="66">
    <w:p w14:paraId="27CBAC62" w14:textId="5F668CA8"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w:t>
      </w:r>
      <w:r w:rsidRPr="00FE4FD3">
        <w:rPr>
          <w:rFonts w:eastAsia="Times New Roman" w:cstheme="minorHAnsi"/>
          <w:sz w:val="22"/>
          <w:szCs w:val="22"/>
        </w:rPr>
        <w:t>http://www.mass.gov/eohhs/docs/dph/research-epi/death-data/death-report-2014.pdf.</w:t>
      </w:r>
    </w:p>
  </w:endnote>
  <w:endnote w:id="67">
    <w:p w14:paraId="6F924AF3" w14:textId="0767BD38" w:rsidR="0079760B" w:rsidRPr="005355DA" w:rsidRDefault="0079760B" w:rsidP="005355DA">
      <w:pPr>
        <w:pStyle w:val="EndnoteText"/>
        <w:ind w:right="0"/>
        <w:rPr>
          <w:sz w:val="22"/>
          <w:szCs w:val="22"/>
        </w:rPr>
      </w:pPr>
      <w:r w:rsidRPr="005355DA">
        <w:rPr>
          <w:rStyle w:val="EndnoteReference"/>
          <w:sz w:val="22"/>
          <w:szCs w:val="22"/>
        </w:rPr>
        <w:endnoteRef/>
      </w:r>
      <w:r w:rsidRPr="005355DA">
        <w:rPr>
          <w:sz w:val="22"/>
          <w:szCs w:val="22"/>
        </w:rPr>
        <w:t xml:space="preserve"> MDPH, summary of focus groups with stakeholders across the state, please see the list in the appendix </w:t>
      </w:r>
    </w:p>
  </w:endnote>
  <w:endnote w:id="68">
    <w:p w14:paraId="4BA0E73E" w14:textId="77777777" w:rsidR="0079760B" w:rsidRPr="005355DA" w:rsidRDefault="0079760B" w:rsidP="00FE4FD3">
      <w:pPr>
        <w:pStyle w:val="EndnoteText"/>
        <w:ind w:right="-360"/>
        <w:jc w:val="left"/>
        <w:rPr>
          <w:rFonts w:cstheme="minorHAnsi"/>
          <w:sz w:val="22"/>
          <w:szCs w:val="22"/>
        </w:rPr>
      </w:pPr>
      <w:r w:rsidRPr="005355DA">
        <w:rPr>
          <w:rStyle w:val="EndnoteReference"/>
          <w:rFonts w:cstheme="minorHAnsi"/>
          <w:sz w:val="22"/>
          <w:szCs w:val="22"/>
        </w:rPr>
        <w:endnoteRef/>
      </w:r>
      <w:r w:rsidRPr="005355DA">
        <w:rPr>
          <w:rFonts w:cstheme="minorHAnsi"/>
          <w:sz w:val="22"/>
          <w:szCs w:val="22"/>
        </w:rPr>
        <w:t xml:space="preserve"> Stockman, J., Hayashi, H., Campbell, J.; Intimate Partner Violence and Its health Impact on Disproportionality Affected populations, Including Minorities and Impoverished Groups. JWomen’sHealth. 2015 Jan1; 24(1) 62-79.  </w:t>
      </w:r>
    </w:p>
  </w:endnote>
  <w:endnote w:id="69">
    <w:p w14:paraId="76D425D7" w14:textId="2EAE8131" w:rsidR="0079760B" w:rsidRPr="00FE4FD3" w:rsidRDefault="0079760B" w:rsidP="00FE4FD3">
      <w:pPr>
        <w:pStyle w:val="CommentText"/>
        <w:spacing w:before="0" w:after="0"/>
        <w:ind w:right="-360"/>
        <w:jc w:val="left"/>
        <w:rPr>
          <w:rFonts w:cstheme="minorHAnsi"/>
          <w:sz w:val="22"/>
          <w:szCs w:val="22"/>
        </w:rPr>
      </w:pPr>
      <w:r w:rsidRPr="005355DA">
        <w:rPr>
          <w:rStyle w:val="EndnoteReference"/>
          <w:rFonts w:cstheme="minorHAnsi"/>
          <w:sz w:val="22"/>
          <w:szCs w:val="22"/>
        </w:rPr>
        <w:endnoteRef/>
      </w:r>
      <w:r w:rsidRPr="005355DA">
        <w:rPr>
          <w:rFonts w:cstheme="minorHAnsi"/>
          <w:sz w:val="22"/>
          <w:szCs w:val="22"/>
        </w:rPr>
        <w:t xml:space="preserve"> Previously unpublished results from combined 2011-2015 Massachusetts Behavioral Risk Factor Surveillance System data, Health Survey Program, Ma</w:t>
      </w:r>
      <w:r w:rsidRPr="00FE4FD3">
        <w:rPr>
          <w:rFonts w:cstheme="minorHAnsi"/>
          <w:sz w:val="22"/>
          <w:szCs w:val="22"/>
        </w:rPr>
        <w:t>ssachusetts Department of Public Health, obtained through analysis conducted by staff of the Office of Statistics and Evaluation, Massachusetts Department of Public Health, June, 2017.</w:t>
      </w:r>
    </w:p>
  </w:endnote>
  <w:endnote w:id="70">
    <w:p w14:paraId="43BC8DA9" w14:textId="10A40A60"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US Department of Health and Human Services’ Administration for Children and Families Children Bureau, Child Maltreatment, 2011. Available at:  </w:t>
      </w:r>
      <w:hyperlink r:id="rId11" w:history="1">
        <w:r w:rsidRPr="00FE4FD3">
          <w:rPr>
            <w:rStyle w:val="Hyperlink"/>
            <w:color w:val="auto"/>
            <w:sz w:val="22"/>
            <w:szCs w:val="22"/>
          </w:rPr>
          <w:t>http://www.acf.hhs.gov/cb/resource/child-maltreatment-2011</w:t>
        </w:r>
      </w:hyperlink>
      <w:r w:rsidRPr="00FE4FD3">
        <w:rPr>
          <w:rFonts w:cstheme="minorHAnsi"/>
          <w:sz w:val="22"/>
          <w:szCs w:val="22"/>
        </w:rPr>
        <w:t>. Accessed June 22, 2017.</w:t>
      </w:r>
    </w:p>
  </w:endnote>
  <w:endnote w:id="71">
    <w:p w14:paraId="33935D3E" w14:textId="739BEA0A"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US Department of Health and Human Services’ Administration for Children and Families Children Bureau, Child Maltreatment, 2012. Available at:  http://www.acf.hhs.gov/cb/resource/child-maltreatment-2012. Accessed June 22, 2017.</w:t>
      </w:r>
    </w:p>
  </w:endnote>
  <w:endnote w:id="72">
    <w:p w14:paraId="376CECFD" w14:textId="5E33BC0C"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US Department of Health and Human Services’ Administration for Children and Families Children Bureau, Child Maltreatment, 2013. Available at: http://www.acf.hhs.gov/cb/resource/child-maltreatment-2013. Accessed June 22, 2017.</w:t>
      </w:r>
    </w:p>
  </w:endnote>
  <w:endnote w:id="73">
    <w:p w14:paraId="68CC7B1A" w14:textId="6E69BC03"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US Department of Health and Human Services’ Administration for Children and Families Children Bureau, Child Maltreatment, 2014. Available at:  http://www.acf.hhs.gov/cb/resource/child-maltreatment-2014. Accessed June 22, 2017.</w:t>
      </w:r>
    </w:p>
  </w:endnote>
  <w:endnote w:id="74">
    <w:p w14:paraId="079B8272" w14:textId="2C7C2002" w:rsidR="0079760B" w:rsidRPr="00FE4FD3" w:rsidRDefault="0079760B" w:rsidP="00FE4FD3">
      <w:pPr>
        <w:spacing w:before="0" w:after="0" w:line="240" w:lineRule="auto"/>
        <w:ind w:right="-360"/>
        <w:jc w:val="left"/>
        <w:rPr>
          <w:rFonts w:cstheme="minorHAnsi"/>
        </w:rPr>
      </w:pPr>
      <w:r w:rsidRPr="00FE4FD3">
        <w:rPr>
          <w:rStyle w:val="EndnoteReference"/>
          <w:rFonts w:cstheme="minorHAnsi"/>
        </w:rPr>
        <w:endnoteRef/>
      </w:r>
      <w:r w:rsidRPr="00FE4FD3">
        <w:rPr>
          <w:rFonts w:cstheme="minorHAnsi"/>
        </w:rPr>
        <w:t xml:space="preserve"> US Department of Health and Human Services’ Administration for Children and Families Children Bureau, Child Maltreatment, 2015, US Department of Health and Human Services’ Administration for Children and Families. Children Bureau.  Available at: http://www.acf.hhs.gov/cb/resource/child-maltreatment-2015. Accessed June 22, 2017.  </w:t>
      </w:r>
    </w:p>
  </w:endnote>
  <w:endnote w:id="75">
    <w:p w14:paraId="73E7F566" w14:textId="3D48AA20" w:rsidR="0079760B" w:rsidRPr="00FE4FD3" w:rsidRDefault="0079760B" w:rsidP="00FE4FD3">
      <w:pPr>
        <w:pStyle w:val="CommentText"/>
        <w:spacing w:before="0" w:after="0"/>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MDPH, BCHAP, Office of Statistics and Evaluation, Previously unpublished statistics from combined 2009, 2011, 2013, and 2015 Massachusetts High School Youth Health Survey data, Health Survey Program. Obtained through analysis conducted by staff June 2017.</w:t>
      </w:r>
    </w:p>
  </w:endnote>
  <w:endnote w:id="76">
    <w:p w14:paraId="24BE4DC8" w14:textId="68873905"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Mitra, M., Mouradian, V.E., Diamond, M, </w:t>
      </w:r>
      <w:r w:rsidRPr="00FE4FD3">
        <w:rPr>
          <w:rFonts w:cstheme="minorHAnsi"/>
          <w:i/>
          <w:sz w:val="22"/>
          <w:szCs w:val="22"/>
        </w:rPr>
        <w:t xml:space="preserve">Am J Prev Med </w:t>
      </w:r>
      <w:r w:rsidRPr="00FE4FD3">
        <w:rPr>
          <w:rFonts w:cstheme="minorHAnsi"/>
          <w:sz w:val="22"/>
          <w:szCs w:val="22"/>
        </w:rPr>
        <w:t>Nov; 41(5):494-7, 2011</w:t>
      </w:r>
    </w:p>
  </w:endnote>
  <w:endnote w:id="77">
    <w:p w14:paraId="33BAB1B9" w14:textId="15D0B4B7" w:rsidR="0079760B" w:rsidRPr="00FE4FD3" w:rsidRDefault="0079760B" w:rsidP="00FE4FD3">
      <w:pPr>
        <w:pStyle w:val="CommentText"/>
        <w:spacing w:before="0" w:after="0"/>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MA Disabled Persons Protection Commission, Data collection system, FY2014 to FY2016.</w:t>
      </w:r>
    </w:p>
  </w:endnote>
  <w:endnote w:id="78">
    <w:p w14:paraId="1C40C54D" w14:textId="77777777" w:rsidR="0079760B" w:rsidRPr="00FE4FD3" w:rsidRDefault="0079760B" w:rsidP="00FE4FD3">
      <w:pPr>
        <w:pStyle w:val="CommentText"/>
        <w:spacing w:before="0" w:after="0"/>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Previously unpublished statistics from combined 2009, 2011, 2013, &amp; 2015 Massachusetts High School Youth Health Survey data, Health Survey Program, Massachusetts Department of Public Health. Obtained through analysis conducted by staff of the Office of Statistics and Evaluation, Massachusetts Department of Public Health, June, 2017.</w:t>
      </w:r>
    </w:p>
  </w:endnote>
  <w:endnote w:id="79">
    <w:p w14:paraId="7BDDCC32" w14:textId="30E4C67E" w:rsidR="0079760B" w:rsidRPr="00FE4FD3" w:rsidRDefault="0079760B" w:rsidP="00FE4FD3">
      <w:pPr>
        <w:pStyle w:val="CommentText"/>
        <w:spacing w:before="0" w:after="0"/>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Conditions and Injuries Related to Domestic Violence: National Prevention Tool Kit on Domestic Violence for Medical Professionals, Verizon Wireless, Florida State University, 2014. Retrieved from </w:t>
      </w:r>
      <w:hyperlink r:id="rId12" w:history="1">
        <w:r w:rsidRPr="00FE4FD3">
          <w:rPr>
            <w:rStyle w:val="Hyperlink"/>
            <w:color w:val="auto"/>
            <w:sz w:val="22"/>
            <w:szCs w:val="22"/>
          </w:rPr>
          <w:t>http://dvmedtraining.csw.fsu.edu/wp-content/uploads/2014/01/Conditions-and-Injuries-2014.pdf</w:t>
        </w:r>
      </w:hyperlink>
      <w:r w:rsidRPr="00FE4FD3">
        <w:rPr>
          <w:rStyle w:val="Hyperlink"/>
          <w:color w:val="auto"/>
          <w:sz w:val="22"/>
          <w:szCs w:val="22"/>
        </w:rPr>
        <w:t>.</w:t>
      </w:r>
      <w:r w:rsidRPr="00FE4FD3">
        <w:rPr>
          <w:rFonts w:cstheme="minorHAnsi"/>
          <w:sz w:val="22"/>
          <w:szCs w:val="22"/>
        </w:rPr>
        <w:t xml:space="preserve"> </w:t>
      </w:r>
    </w:p>
  </w:endnote>
  <w:endnote w:id="80">
    <w:p w14:paraId="06EFA755" w14:textId="6EF3D440" w:rsidR="0079760B" w:rsidRPr="00FE4FD3" w:rsidRDefault="0079760B" w:rsidP="00FE4FD3">
      <w:pPr>
        <w:spacing w:before="0" w:after="0" w:line="240" w:lineRule="auto"/>
        <w:ind w:right="-360"/>
        <w:jc w:val="left"/>
        <w:rPr>
          <w:rFonts w:cstheme="minorHAnsi"/>
        </w:rPr>
      </w:pPr>
      <w:r w:rsidRPr="00FE4FD3">
        <w:rPr>
          <w:rFonts w:cstheme="minorHAnsi"/>
          <w:vertAlign w:val="superscript"/>
        </w:rPr>
        <w:t xml:space="preserve">275 </w:t>
      </w:r>
      <w:r w:rsidRPr="00FE4FD3">
        <w:rPr>
          <w:rFonts w:cstheme="minorHAnsi"/>
        </w:rPr>
        <w:t xml:space="preserve">National Center for Disease Control. National Intimate Partner and Sexual Violence Survey (NISVIS). Available at: </w:t>
      </w:r>
      <w:hyperlink r:id="rId13" w:history="1">
        <w:r w:rsidRPr="00FE4FD3">
          <w:rPr>
            <w:rStyle w:val="Hyperlink"/>
            <w:color w:val="auto"/>
          </w:rPr>
          <w:t>https://www.cdc.gov/violenceprevention/pdf/NISVS-StateReportBook.pdf</w:t>
        </w:r>
      </w:hyperlink>
      <w:r w:rsidRPr="00FE4FD3">
        <w:rPr>
          <w:rFonts w:cstheme="minorHAnsi"/>
        </w:rPr>
        <w:t>.  Accessed June 25, 2017.</w:t>
      </w:r>
    </w:p>
  </w:endnote>
  <w:endnote w:id="81">
    <w:p w14:paraId="32F32373" w14:textId="539F9A7A" w:rsidR="0079760B" w:rsidRPr="00FE4FD3" w:rsidRDefault="0079760B" w:rsidP="00FE4FD3">
      <w:pPr>
        <w:pStyle w:val="EndnoteText"/>
        <w:ind w:right="-360"/>
        <w:jc w:val="left"/>
        <w:rPr>
          <w:rFonts w:cstheme="minorHAnsi"/>
          <w:sz w:val="22"/>
          <w:szCs w:val="22"/>
        </w:rPr>
      </w:pPr>
      <w:r w:rsidRPr="00FE4FD3">
        <w:rPr>
          <w:rFonts w:cstheme="minorHAnsi"/>
          <w:sz w:val="22"/>
          <w:szCs w:val="22"/>
          <w:vertAlign w:val="superscript"/>
        </w:rPr>
        <w:t>276</w:t>
      </w:r>
      <w:r w:rsidRPr="00FE4FD3">
        <w:rPr>
          <w:rFonts w:cstheme="minorHAnsi"/>
          <w:sz w:val="22"/>
          <w:szCs w:val="22"/>
        </w:rPr>
        <w:t xml:space="preserve"> MDPH, YRBS.</w:t>
      </w:r>
    </w:p>
  </w:endnote>
  <w:endnote w:id="82">
    <w:p w14:paraId="34A3B5C4" w14:textId="2CF617D5" w:rsidR="0079760B" w:rsidRPr="00FE4FD3" w:rsidRDefault="0079760B" w:rsidP="00FE4FD3">
      <w:pPr>
        <w:pStyle w:val="EndnoteText"/>
        <w:ind w:right="-360"/>
        <w:jc w:val="left"/>
        <w:rPr>
          <w:rFonts w:cstheme="minorHAnsi"/>
          <w:sz w:val="22"/>
          <w:szCs w:val="22"/>
        </w:rPr>
      </w:pPr>
      <w:r w:rsidRPr="00FE4FD3">
        <w:rPr>
          <w:rFonts w:cstheme="minorHAnsi"/>
          <w:sz w:val="22"/>
          <w:szCs w:val="22"/>
          <w:vertAlign w:val="superscript"/>
        </w:rPr>
        <w:t>277</w:t>
      </w:r>
      <w:r w:rsidRPr="00FE4FD3">
        <w:rPr>
          <w:rFonts w:cstheme="minorHAnsi"/>
          <w:sz w:val="22"/>
          <w:szCs w:val="22"/>
        </w:rPr>
        <w:t xml:space="preserve">Jane Doe Inc., Available at: </w:t>
      </w:r>
      <w:hyperlink r:id="rId14" w:history="1">
        <w:r w:rsidRPr="00FE4FD3">
          <w:rPr>
            <w:rStyle w:val="Hyperlink"/>
            <w:color w:val="auto"/>
            <w:sz w:val="22"/>
            <w:szCs w:val="22"/>
          </w:rPr>
          <w:t>www.janedoe.org/Learn_More</w:t>
        </w:r>
      </w:hyperlink>
      <w:r w:rsidRPr="00FE4FD3">
        <w:rPr>
          <w:rStyle w:val="Hyperlink"/>
          <w:color w:val="auto"/>
          <w:sz w:val="22"/>
          <w:szCs w:val="22"/>
        </w:rPr>
        <w:t>.</w:t>
      </w:r>
      <w:r w:rsidRPr="00FE4FD3">
        <w:rPr>
          <w:rFonts w:cstheme="minorHAnsi"/>
          <w:sz w:val="22"/>
          <w:szCs w:val="22"/>
        </w:rPr>
        <w:t xml:space="preserve"> Accessed June 23, 2017.</w:t>
      </w:r>
    </w:p>
  </w:endnote>
  <w:endnote w:id="83">
    <w:p w14:paraId="0780E285" w14:textId="03648D09" w:rsidR="0079760B" w:rsidRPr="00FE4FD3" w:rsidRDefault="0079760B" w:rsidP="00FE4FD3">
      <w:pPr>
        <w:pStyle w:val="ListParagraph"/>
        <w:spacing w:before="0" w:after="0" w:line="240" w:lineRule="auto"/>
        <w:ind w:left="-360" w:right="-360"/>
        <w:jc w:val="left"/>
        <w:rPr>
          <w:rFonts w:cstheme="minorHAnsi"/>
        </w:rPr>
      </w:pPr>
      <w:r w:rsidRPr="00FE4FD3">
        <w:rPr>
          <w:rFonts w:cstheme="minorHAnsi"/>
          <w:vertAlign w:val="superscript"/>
        </w:rPr>
        <w:t>278</w:t>
      </w:r>
      <w:r w:rsidRPr="00FE4FD3">
        <w:rPr>
          <w:rFonts w:cstheme="minorHAnsi"/>
        </w:rPr>
        <w:t xml:space="preserve"> Massachusetts Court System, Available at: </w:t>
      </w:r>
      <w:hyperlink r:id="rId15" w:history="1">
        <w:r w:rsidRPr="00FE4FD3">
          <w:rPr>
            <w:rStyle w:val="Hyperlink"/>
            <w:color w:val="auto"/>
          </w:rPr>
          <w:t>http://www.mass.gov/courts/docs/courts-and-judges/courts/district-court/dc-civilstats2015.pdf</w:t>
        </w:r>
      </w:hyperlink>
      <w:r w:rsidRPr="00FE4FD3">
        <w:rPr>
          <w:rFonts w:cstheme="minorHAnsi"/>
        </w:rPr>
        <w:t xml:space="preserve">. Accessed 9/20/2016.  </w:t>
      </w:r>
      <w:hyperlink r:id="rId16" w:history="1">
        <w:r w:rsidRPr="00FE4FD3">
          <w:rPr>
            <w:rStyle w:val="Hyperlink"/>
            <w:color w:val="auto"/>
          </w:rPr>
          <w:t>http://www.mass.gov/courts/docs/courts-and-judges/courts/boston-muncipal-court/2015caseloadstats.pdf</w:t>
        </w:r>
      </w:hyperlink>
      <w:r w:rsidRPr="00FE4FD3">
        <w:rPr>
          <w:rFonts w:cstheme="minorHAnsi"/>
        </w:rPr>
        <w:t>.  Accessed 11/30/2016. (Total counts and percentages across courts were calculated by staff of the Office of Statistics and Evaluation, Massachusetts Department of Public Health on 9/21/2016 and 11/30/2016.)</w:t>
      </w:r>
    </w:p>
  </w:endnote>
  <w:endnote w:id="84">
    <w:p w14:paraId="767EB246" w14:textId="3EBC49B1" w:rsidR="0079760B" w:rsidRPr="00FE4FD3" w:rsidRDefault="0079760B" w:rsidP="00FE4FD3">
      <w:pPr>
        <w:pStyle w:val="EndnoteText"/>
        <w:ind w:right="-360"/>
        <w:jc w:val="left"/>
        <w:rPr>
          <w:rFonts w:cstheme="minorHAnsi"/>
          <w:sz w:val="22"/>
          <w:szCs w:val="22"/>
          <w:shd w:val="clear" w:color="auto" w:fill="FFFFFF"/>
        </w:rPr>
      </w:pPr>
      <w:r w:rsidRPr="00FE4FD3">
        <w:rPr>
          <w:rStyle w:val="EndnoteReference"/>
          <w:rFonts w:cstheme="minorHAnsi"/>
          <w:sz w:val="22"/>
          <w:szCs w:val="22"/>
        </w:rPr>
        <w:endnoteRef/>
      </w:r>
      <w:r w:rsidRPr="00FE4FD3">
        <w:rPr>
          <w:rFonts w:cstheme="minorHAnsi"/>
          <w:sz w:val="22"/>
          <w:szCs w:val="22"/>
        </w:rPr>
        <w:t xml:space="preserve"> </w:t>
      </w:r>
      <w:r w:rsidRPr="00FE4FD3">
        <w:rPr>
          <w:rFonts w:cstheme="minorHAnsi"/>
          <w:sz w:val="22"/>
          <w:szCs w:val="22"/>
          <w:shd w:val="clear" w:color="auto" w:fill="FFFFFF"/>
        </w:rPr>
        <w:t xml:space="preserve">MA District Court Available at </w:t>
      </w:r>
      <w:hyperlink r:id="rId17" w:tgtFrame="_blank" w:history="1">
        <w:r w:rsidRPr="00FE4FD3">
          <w:rPr>
            <w:rStyle w:val="Hyperlink"/>
            <w:color w:val="auto"/>
            <w:sz w:val="22"/>
            <w:szCs w:val="22"/>
          </w:rPr>
          <w:t>http://www.mass.gov/courts/docs/courts-and-judges/courts/district-court/2016-district-court-civil.pdf</w:t>
        </w:r>
      </w:hyperlink>
      <w:r w:rsidRPr="00FE4FD3">
        <w:rPr>
          <w:rFonts w:cstheme="minorHAnsi"/>
          <w:sz w:val="22"/>
          <w:szCs w:val="22"/>
          <w:shd w:val="clear" w:color="auto" w:fill="FFFFFF"/>
        </w:rPr>
        <w:t>. Civil Filings.  Accessed June 26, 2017. MDPH, Previously unpublished statistics from combined 2009, 2011, 2013, and 2015 Massachusetts High School Youth Health Survey data, Health Survey Program, Massachusetts Department of Public Health. Obtained through analysis conducted by staff of the Office of Statistics and Evaluation, June 2017.</w:t>
      </w:r>
    </w:p>
    <w:p w14:paraId="758A1CD7" w14:textId="18598F10" w:rsidR="0079760B" w:rsidRPr="00FE4FD3" w:rsidRDefault="0079760B" w:rsidP="00FE4FD3">
      <w:pPr>
        <w:pStyle w:val="EndnoteText"/>
        <w:ind w:right="-360"/>
        <w:jc w:val="left"/>
        <w:rPr>
          <w:rFonts w:cstheme="minorHAnsi"/>
          <w:sz w:val="22"/>
          <w:szCs w:val="22"/>
        </w:rPr>
      </w:pPr>
      <w:r w:rsidRPr="00FE4FD3">
        <w:rPr>
          <w:rFonts w:cstheme="minorHAnsi"/>
          <w:sz w:val="22"/>
          <w:szCs w:val="22"/>
          <w:shd w:val="clear" w:color="auto" w:fill="FFFFFF"/>
          <w:vertAlign w:val="superscript"/>
        </w:rPr>
        <w:t>282</w:t>
      </w:r>
      <w:r w:rsidRPr="00FE4FD3">
        <w:rPr>
          <w:rFonts w:cstheme="minorHAnsi"/>
          <w:sz w:val="22"/>
          <w:szCs w:val="22"/>
          <w:shd w:val="clear" w:color="auto" w:fill="FFFFFF"/>
        </w:rPr>
        <w:t xml:space="preserve"> </w:t>
      </w:r>
      <w:r w:rsidRPr="00FE4FD3">
        <w:rPr>
          <w:rStyle w:val="footnote0020textchar"/>
          <w:rFonts w:cstheme="minorHAnsi"/>
          <w:sz w:val="22"/>
          <w:szCs w:val="22"/>
        </w:rPr>
        <w:t>Breiding, M., Smith, S., Basile, K., Walters, M., Chen, J., Merrick, M. (2011). Prevalence and Characteristics of Sexual Violence, Stalking, and Intimate Partner Violence Victimization – National Intimate Partner and Sexual Violence Survey, United States, 2011. Centers for Disease Control and Prevention.  Atlanta: GA. Retrieved from </w:t>
      </w:r>
      <w:r w:rsidRPr="00FE4FD3">
        <w:rPr>
          <w:rStyle w:val="hyperlinkchar"/>
          <w:rFonts w:cstheme="minorHAnsi"/>
          <w:sz w:val="22"/>
          <w:szCs w:val="22"/>
        </w:rPr>
        <w:t>http://www.cdc.gov/mmwr/preview/mmwrhtml/ss6308a1.htm?s_cid=ss6308a1_e</w:t>
      </w:r>
    </w:p>
  </w:endnote>
  <w:endnote w:id="85">
    <w:p w14:paraId="4E815638" w14:textId="7838CF23" w:rsidR="0079760B" w:rsidRPr="00FE4FD3" w:rsidRDefault="0079760B" w:rsidP="00FE4FD3">
      <w:pPr>
        <w:pStyle w:val="EndnoteText"/>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w:t>
      </w:r>
      <w:r w:rsidRPr="00FE4FD3">
        <w:rPr>
          <w:rStyle w:val="footnote0020textchar"/>
          <w:rFonts w:cstheme="minorHAnsi"/>
          <w:sz w:val="22"/>
          <w:szCs w:val="22"/>
        </w:rPr>
        <w:t>Breiding, M., Smith, S., Basile, K., Walters, M., Chen, J., Merrick, M. (2011). Prevalence and Characteristics of Sexual Violence, Stalking, and Intimate Partner Violence Victimization – National Intimate Partner and Sexual Violence Survey, United States, 2011. Centers for Disease Control and Prevention.  Atlanta: GA. Retrieved from </w:t>
      </w:r>
      <w:r w:rsidRPr="00FE4FD3">
        <w:rPr>
          <w:rStyle w:val="hyperlinkchar"/>
          <w:rFonts w:cstheme="minorHAnsi"/>
          <w:sz w:val="22"/>
          <w:szCs w:val="22"/>
        </w:rPr>
        <w:t>http://www.cdc.gov/mmwr/preview/mmwrhtml/ss6308a1.htm?s_cid=ss6308a1_e</w:t>
      </w:r>
    </w:p>
  </w:endnote>
  <w:endnote w:id="86">
    <w:p w14:paraId="52D594C2" w14:textId="77777777" w:rsidR="0079760B" w:rsidRPr="00FE4FD3" w:rsidRDefault="0079760B" w:rsidP="00FE4FD3">
      <w:pPr>
        <w:pStyle w:val="ListParagraph"/>
        <w:spacing w:before="0" w:after="0" w:line="240" w:lineRule="auto"/>
        <w:ind w:left="-360" w:right="-360"/>
        <w:jc w:val="left"/>
        <w:rPr>
          <w:rFonts w:cstheme="minorHAnsi"/>
        </w:rPr>
      </w:pPr>
      <w:r w:rsidRPr="00FE4FD3">
        <w:rPr>
          <w:rStyle w:val="EndnoteReference"/>
          <w:rFonts w:cstheme="minorHAnsi"/>
        </w:rPr>
        <w:endnoteRef/>
      </w:r>
      <w:r w:rsidRPr="00FE4FD3">
        <w:rPr>
          <w:rFonts w:cstheme="minorHAnsi"/>
        </w:rPr>
        <w:t xml:space="preserve"> Chen, I (2011). Chronological and comparative trends in intimate partner homicide: Massachusetts 1993-2009. Yale University: New Haven CT  </w:t>
      </w:r>
    </w:p>
  </w:endnote>
  <w:endnote w:id="87">
    <w:p w14:paraId="66B8BE53" w14:textId="475C0D37" w:rsidR="0079760B" w:rsidRPr="00FE4FD3" w:rsidRDefault="0079760B" w:rsidP="00FE4FD3">
      <w:pPr>
        <w:pStyle w:val="CommentText"/>
        <w:spacing w:before="0" w:after="0"/>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Truman, J. &amp; Morgan, R. (2014).  Nonfatal domestic violence 2002-2013. National Crime Victimization Survey. US Dept of Justice, Bureau of Justice Statistics. Available at: </w:t>
      </w:r>
      <w:hyperlink r:id="rId18" w:history="1">
        <w:r w:rsidRPr="00FE4FD3">
          <w:rPr>
            <w:rStyle w:val="Hyperlink"/>
            <w:color w:val="auto"/>
            <w:sz w:val="22"/>
            <w:szCs w:val="22"/>
          </w:rPr>
          <w:t>http://www.bjs.gov/content/pub/pdf/ndv0312.pdf</w:t>
        </w:r>
      </w:hyperlink>
      <w:r w:rsidRPr="00FE4FD3">
        <w:rPr>
          <w:rFonts w:cstheme="minorHAnsi"/>
          <w:sz w:val="22"/>
          <w:szCs w:val="22"/>
        </w:rPr>
        <w:t>. Accessed on 4/11/16.</w:t>
      </w:r>
    </w:p>
  </w:endnote>
  <w:endnote w:id="88">
    <w:p w14:paraId="586A6CEA" w14:textId="77FD143A" w:rsidR="0079760B" w:rsidRPr="00FE4FD3" w:rsidRDefault="0079760B" w:rsidP="00FE4FD3">
      <w:pPr>
        <w:pStyle w:val="CommentText"/>
        <w:spacing w:before="0" w:after="0"/>
        <w:ind w:right="-360"/>
        <w:jc w:val="left"/>
        <w:rPr>
          <w:rFonts w:cstheme="minorHAnsi"/>
          <w:sz w:val="22"/>
          <w:szCs w:val="22"/>
        </w:rPr>
      </w:pPr>
      <w:r w:rsidRPr="00FE4FD3">
        <w:rPr>
          <w:rStyle w:val="EndnoteReference"/>
          <w:rFonts w:cstheme="minorHAnsi"/>
          <w:sz w:val="22"/>
          <w:szCs w:val="22"/>
        </w:rPr>
        <w:endnoteRef/>
      </w:r>
      <w:r w:rsidRPr="00FE4FD3">
        <w:rPr>
          <w:rFonts w:cstheme="minorHAnsi"/>
          <w:sz w:val="22"/>
          <w:szCs w:val="22"/>
        </w:rPr>
        <w:t xml:space="preserve"> Chen, I (2011). Chronological and comparative trends in intimate partner homicide: Massachusetts 2003-2009. Yale University: New Haven CT.</w:t>
      </w:r>
    </w:p>
  </w:endnote>
  <w:endnote w:id="89">
    <w:p w14:paraId="05E12308" w14:textId="6120D1E4" w:rsidR="0079760B" w:rsidRPr="00C332E5" w:rsidRDefault="0079760B" w:rsidP="00FE4FD3">
      <w:pPr>
        <w:widowControl w:val="0"/>
        <w:autoSpaceDE w:val="0"/>
        <w:autoSpaceDN w:val="0"/>
        <w:adjustRightInd w:val="0"/>
        <w:spacing w:before="0" w:after="0" w:line="240" w:lineRule="auto"/>
        <w:ind w:right="-360"/>
        <w:jc w:val="left"/>
        <w:rPr>
          <w:rFonts w:eastAsia="Times New Roman" w:cstheme="minorHAnsi"/>
        </w:rPr>
      </w:pPr>
      <w:r w:rsidRPr="00FE4FD3">
        <w:rPr>
          <w:rStyle w:val="EndnoteReference"/>
          <w:rFonts w:cstheme="minorHAnsi"/>
        </w:rPr>
        <w:endnoteRef/>
      </w:r>
      <w:r w:rsidRPr="00FE4FD3">
        <w:rPr>
          <w:rFonts w:cstheme="minorHAnsi"/>
        </w:rPr>
        <w:t xml:space="preserve"> </w:t>
      </w:r>
      <w:r w:rsidRPr="00FE4FD3">
        <w:rPr>
          <w:rFonts w:eastAsia="Times New Roman" w:cstheme="minorHAnsi"/>
        </w:rPr>
        <w:t>Heads-Up, Center</w:t>
      </w:r>
      <w:r w:rsidRPr="00FE4FD3">
        <w:rPr>
          <w:rFonts w:eastAsia="Times New Roman" w:cstheme="minorHAnsi"/>
          <w:spacing w:val="-1"/>
        </w:rPr>
        <w:t xml:space="preserve">s </w:t>
      </w:r>
      <w:r w:rsidRPr="00FE4FD3">
        <w:rPr>
          <w:rFonts w:eastAsia="Times New Roman" w:cstheme="minorHAnsi"/>
        </w:rPr>
        <w:t xml:space="preserve">for Disease </w:t>
      </w:r>
      <w:r w:rsidRPr="00FE4FD3">
        <w:rPr>
          <w:rFonts w:eastAsia="Times New Roman" w:cstheme="minorHAnsi"/>
          <w:spacing w:val="-1"/>
        </w:rPr>
        <w:t>C</w:t>
      </w:r>
      <w:r w:rsidRPr="00FE4FD3">
        <w:rPr>
          <w:rFonts w:eastAsia="Times New Roman" w:cstheme="minorHAnsi"/>
        </w:rPr>
        <w:t>ontrol and</w:t>
      </w:r>
      <w:r w:rsidRPr="00FE4FD3">
        <w:rPr>
          <w:rFonts w:eastAsia="Times New Roman" w:cstheme="minorHAnsi"/>
          <w:spacing w:val="-1"/>
        </w:rPr>
        <w:t xml:space="preserve"> </w:t>
      </w:r>
      <w:r w:rsidRPr="00FE4FD3">
        <w:rPr>
          <w:rFonts w:eastAsia="Times New Roman" w:cstheme="minorHAnsi"/>
        </w:rPr>
        <w:t>Prevention. A</w:t>
      </w:r>
      <w:r w:rsidRPr="00FE4FD3">
        <w:rPr>
          <w:rFonts w:eastAsia="Times New Roman" w:cstheme="minorHAnsi"/>
          <w:spacing w:val="-1"/>
        </w:rPr>
        <w:t>vailable at:</w:t>
      </w:r>
      <w:r w:rsidRPr="00FE4FD3">
        <w:rPr>
          <w:rFonts w:eastAsia="Times New Roman" w:cstheme="minorHAnsi"/>
        </w:rPr>
        <w:t xml:space="preserve"> </w:t>
      </w:r>
      <w:hyperlink r:id="rId19" w:history="1">
        <w:r w:rsidRPr="00FE4FD3">
          <w:rPr>
            <w:rStyle w:val="Hyperlink"/>
            <w:rFonts w:eastAsia="Times New Roman"/>
            <w:color w:val="auto"/>
          </w:rPr>
          <w:t>www.cd</w:t>
        </w:r>
        <w:r w:rsidRPr="00FE4FD3">
          <w:rPr>
            <w:rStyle w:val="Hyperlink"/>
            <w:rFonts w:eastAsia="Times New Roman"/>
            <w:color w:val="auto"/>
            <w:spacing w:val="-1"/>
          </w:rPr>
          <w:t>c</w:t>
        </w:r>
        <w:r w:rsidRPr="00FE4FD3">
          <w:rPr>
            <w:rStyle w:val="Hyperlink"/>
            <w:rFonts w:eastAsia="Times New Roman"/>
            <w:color w:val="auto"/>
          </w:rPr>
          <w:t>.gov/headsup/basi</w:t>
        </w:r>
        <w:r w:rsidRPr="00FE4FD3">
          <w:rPr>
            <w:rStyle w:val="Hyperlink"/>
            <w:rFonts w:eastAsia="Times New Roman"/>
            <w:color w:val="auto"/>
            <w:spacing w:val="-1"/>
          </w:rPr>
          <w:t>c</w:t>
        </w:r>
        <w:r w:rsidRPr="00FE4FD3">
          <w:rPr>
            <w:rStyle w:val="Hyperlink"/>
            <w:rFonts w:eastAsia="Times New Roman"/>
            <w:color w:val="auto"/>
          </w:rPr>
          <w:t>s/concussion_wha</w:t>
        </w:r>
        <w:r w:rsidRPr="00FE4FD3">
          <w:rPr>
            <w:rStyle w:val="Hyperlink"/>
            <w:rFonts w:eastAsia="Times New Roman"/>
            <w:color w:val="auto"/>
            <w:spacing w:val="-1"/>
          </w:rPr>
          <w:t>t</w:t>
        </w:r>
        <w:r w:rsidRPr="00FE4FD3">
          <w:rPr>
            <w:rStyle w:val="Hyperlink"/>
            <w:rFonts w:eastAsia="Times New Roman"/>
            <w:color w:val="auto"/>
          </w:rPr>
          <w:t>is.htm</w:t>
        </w:r>
        <w:r w:rsidRPr="00FE4FD3">
          <w:rPr>
            <w:rStyle w:val="Hyperlink"/>
            <w:rFonts w:eastAsia="Times New Roman"/>
            <w:color w:val="auto"/>
            <w:spacing w:val="-2"/>
          </w:rPr>
          <w:t>l</w:t>
        </w:r>
      </w:hyperlink>
      <w:r w:rsidRPr="00FE4FD3">
        <w:rPr>
          <w:rFonts w:eastAsia="Times New Roman" w:cstheme="minorHAnsi"/>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ymbolMT">
    <w:charset w:val="00"/>
    <w:family w:val="auto"/>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ileron Heavy">
    <w:panose1 w:val="00000000000000000000"/>
    <w:charset w:val="00"/>
    <w:family w:val="modern"/>
    <w:notTrueType/>
    <w:pitch w:val="variable"/>
    <w:sig w:usb0="00000007" w:usb1="00000000" w:usb2="00000000" w:usb3="00000000" w:csb0="00000093" w:csb1="00000000"/>
  </w:font>
  <w:font w:name="Aileron">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TradeGothic Light">
    <w:altName w:val="Calibri"/>
    <w:panose1 w:val="00000000000000000000"/>
    <w:charset w:val="00"/>
    <w:family w:val="swiss"/>
    <w:notTrueType/>
    <w:pitch w:val="default"/>
    <w:sig w:usb0="00000003" w:usb1="00000000" w:usb2="00000000" w:usb3="00000000" w:csb0="00000001" w:csb1="00000000"/>
  </w:font>
  <w:font w:name="Adobe Caslon Pro">
    <w:altName w:val="Times New Roman"/>
    <w:panose1 w:val="00000000000000000000"/>
    <w:charset w:val="00"/>
    <w:family w:val="roman"/>
    <w:notTrueType/>
    <w:pitch w:val="variable"/>
    <w:sig w:usb0="00000001" w:usb1="00000001" w:usb2="00000000" w:usb3="00000000" w:csb0="00000093" w:csb1="00000000"/>
  </w:font>
  <w:font w:name="Aileron Bold">
    <w:panose1 w:val="00000000000000000000"/>
    <w:charset w:val="00"/>
    <w:family w:val="modern"/>
    <w:notTrueType/>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DINMittelschrift">
    <w:altName w:val="Cambria"/>
    <w:panose1 w:val="00000000000000000000"/>
    <w:charset w:val="00"/>
    <w:family w:val="swiss"/>
    <w:notTrueType/>
    <w:pitch w:val="default"/>
    <w:sig w:usb0="00000003" w:usb1="00000000" w:usb2="00000000" w:usb3="00000000" w:csb0="00000001" w:csb1="00000000"/>
  </w:font>
  <w:font w:name="Aileron Light">
    <w:panose1 w:val="00000000000000000000"/>
    <w:charset w:val="00"/>
    <w:family w:val="modern"/>
    <w:notTrueType/>
    <w:pitch w:val="variable"/>
    <w:sig w:usb0="00000007" w:usb1="00000000" w:usb2="00000000" w:usb3="00000000" w:csb0="00000093"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7101493"/>
      <w:docPartObj>
        <w:docPartGallery w:val="Page Numbers (Bottom of Page)"/>
        <w:docPartUnique/>
      </w:docPartObj>
    </w:sdtPr>
    <w:sdtEndPr/>
    <w:sdtContent>
      <w:p w14:paraId="781AA377" w14:textId="70BB35D0" w:rsidR="0079760B" w:rsidRPr="00195F02" w:rsidRDefault="0079760B" w:rsidP="00E36D41">
        <w:pPr>
          <w:pStyle w:val="Footer"/>
        </w:pPr>
        <w:r w:rsidRPr="00195F02">
          <w:rPr>
            <w:noProof w:val="0"/>
          </w:rPr>
          <w:fldChar w:fldCharType="begin"/>
        </w:r>
        <w:r w:rsidRPr="00561BF0">
          <w:instrText xml:space="preserve"> PAGE   \* MERGEFORMAT </w:instrText>
        </w:r>
        <w:r w:rsidRPr="00195F02">
          <w:rPr>
            <w:noProof w:val="0"/>
          </w:rPr>
          <w:fldChar w:fldCharType="separate"/>
        </w:r>
        <w:r w:rsidR="00471E8F">
          <w:t>43</w:t>
        </w:r>
        <w:r w:rsidRPr="00195F02">
          <w:fldChar w:fldCharType="end"/>
        </w:r>
        <w:r>
          <w:t xml:space="preserve"> | </w:t>
        </w:r>
        <w:r w:rsidRPr="0098472B">
          <w:rPr>
            <w:b/>
            <w:color w:val="203864"/>
          </w:rPr>
          <w:t>Massachusetts State Health Assessment</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484B32" w14:textId="77777777" w:rsidR="00092F96" w:rsidRDefault="00092F96" w:rsidP="00E36D41">
      <w:r>
        <w:separator/>
      </w:r>
    </w:p>
    <w:p w14:paraId="0B799270" w14:textId="77777777" w:rsidR="00092F96" w:rsidRDefault="00092F96"/>
    <w:p w14:paraId="51F37AEC" w14:textId="77777777" w:rsidR="00092F96" w:rsidRDefault="00092F96"/>
  </w:footnote>
  <w:footnote w:type="continuationSeparator" w:id="0">
    <w:p w14:paraId="4629DA40" w14:textId="77777777" w:rsidR="00092F96" w:rsidRDefault="00092F96" w:rsidP="00E36D41">
      <w:r>
        <w:continuationSeparator/>
      </w:r>
    </w:p>
    <w:p w14:paraId="4EA6AC01" w14:textId="77777777" w:rsidR="00092F96" w:rsidRDefault="00092F96"/>
    <w:p w14:paraId="6B218BA3" w14:textId="77777777" w:rsidR="00092F96" w:rsidRDefault="00092F96"/>
  </w:footnote>
  <w:footnote w:type="continuationNotice" w:id="1">
    <w:p w14:paraId="1746AB2E" w14:textId="77777777" w:rsidR="00092F96" w:rsidRDefault="00092F96" w:rsidP="00E36D41"/>
    <w:p w14:paraId="0D21D264" w14:textId="77777777" w:rsidR="00092F96" w:rsidRDefault="00092F96"/>
    <w:p w14:paraId="6590FAAA" w14:textId="77777777" w:rsidR="00092F96" w:rsidRDefault="00092F9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613B8"/>
    <w:multiLevelType w:val="hybridMultilevel"/>
    <w:tmpl w:val="7896A4F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01A0580"/>
    <w:multiLevelType w:val="hybridMultilevel"/>
    <w:tmpl w:val="6B9013DE"/>
    <w:lvl w:ilvl="0" w:tplc="85BAAB46">
      <w:start w:val="1"/>
      <w:numFmt w:val="bullet"/>
      <w:lvlText w:val=""/>
      <w:lvlJc w:val="left"/>
      <w:pPr>
        <w:ind w:left="360" w:hanging="360"/>
      </w:pPr>
      <w:rPr>
        <w:rFonts w:ascii="Symbol" w:hAnsi="Symbol" w:hint="default"/>
        <w:color w:val="2F5496" w:themeColor="accent1" w:themeShade="B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0C40C08"/>
    <w:multiLevelType w:val="hybridMultilevel"/>
    <w:tmpl w:val="8FD0856E"/>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15832D6"/>
    <w:multiLevelType w:val="hybridMultilevel"/>
    <w:tmpl w:val="01FC64B4"/>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19722DF"/>
    <w:multiLevelType w:val="hybridMultilevel"/>
    <w:tmpl w:val="E64C7D40"/>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2651AB8"/>
    <w:multiLevelType w:val="hybridMultilevel"/>
    <w:tmpl w:val="5F2EE830"/>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02A1138C"/>
    <w:multiLevelType w:val="hybridMultilevel"/>
    <w:tmpl w:val="44FA79F0"/>
    <w:lvl w:ilvl="0" w:tplc="4D2A9564">
      <w:start w:val="1"/>
      <w:numFmt w:val="bullet"/>
      <w:lvlText w:val=""/>
      <w:lvlJc w:val="left"/>
      <w:pPr>
        <w:ind w:left="360" w:hanging="360"/>
      </w:pPr>
      <w:rPr>
        <w:rFonts w:ascii="Symbol" w:hAnsi="Symbol" w:hint="default"/>
        <w:b/>
        <w:i w:val="0"/>
        <w:color w:val="20386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03101E19"/>
    <w:multiLevelType w:val="hybridMultilevel"/>
    <w:tmpl w:val="D556C7DE"/>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05622694"/>
    <w:multiLevelType w:val="hybridMultilevel"/>
    <w:tmpl w:val="E7DA2242"/>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05857066"/>
    <w:multiLevelType w:val="hybridMultilevel"/>
    <w:tmpl w:val="A6F6DFE2"/>
    <w:lvl w:ilvl="0" w:tplc="85BAAB46">
      <w:start w:val="1"/>
      <w:numFmt w:val="bullet"/>
      <w:lvlText w:val=""/>
      <w:lvlJc w:val="left"/>
      <w:pPr>
        <w:ind w:left="360" w:hanging="360"/>
      </w:pPr>
      <w:rPr>
        <w:rFonts w:ascii="Symbol" w:hAnsi="Symbol" w:hint="default"/>
        <w:color w:val="2F5496" w:themeColor="accent1" w:themeShade="B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0644076E"/>
    <w:multiLevelType w:val="hybridMultilevel"/>
    <w:tmpl w:val="56962708"/>
    <w:lvl w:ilvl="0" w:tplc="4D2A9564">
      <w:start w:val="1"/>
      <w:numFmt w:val="bullet"/>
      <w:lvlText w:val=""/>
      <w:lvlJc w:val="left"/>
      <w:pPr>
        <w:ind w:left="360" w:hanging="360"/>
      </w:pPr>
      <w:rPr>
        <w:rFonts w:ascii="Symbol" w:hAnsi="Symbol" w:hint="default"/>
        <w:b/>
        <w:i w:val="0"/>
        <w:color w:val="203864"/>
      </w:rPr>
    </w:lvl>
    <w:lvl w:ilvl="1" w:tplc="DEFC08C0">
      <w:start w:val="1"/>
      <w:numFmt w:val="bullet"/>
      <w:lvlText w:val=""/>
      <w:lvlJc w:val="left"/>
      <w:pPr>
        <w:ind w:left="1080" w:hanging="360"/>
      </w:pPr>
      <w:rPr>
        <w:rFonts w:ascii="Symbol" w:hAnsi="Symbol" w:hint="default"/>
        <w:color w:val="2F5496"/>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071F604A"/>
    <w:multiLevelType w:val="hybridMultilevel"/>
    <w:tmpl w:val="B09240E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07A441D4"/>
    <w:multiLevelType w:val="hybridMultilevel"/>
    <w:tmpl w:val="47CCB9B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07D952F1"/>
    <w:multiLevelType w:val="hybridMultilevel"/>
    <w:tmpl w:val="4CE8C006"/>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08113020"/>
    <w:multiLevelType w:val="hybridMultilevel"/>
    <w:tmpl w:val="0F3A868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8460A3C"/>
    <w:multiLevelType w:val="hybridMultilevel"/>
    <w:tmpl w:val="7FFA0A20"/>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5290D98E">
      <w:start w:val="1"/>
      <w:numFmt w:val="bullet"/>
      <w:lvlText w:val=""/>
      <w:lvlJc w:val="left"/>
      <w:pPr>
        <w:ind w:left="1800" w:hanging="360"/>
      </w:pPr>
      <w:rPr>
        <w:rFonts w:ascii="Symbol" w:hAnsi="Symbol" w:hint="default"/>
        <w:color w:val="203864"/>
        <w:sz w:val="22"/>
        <w:u w:color="002060"/>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0909572B"/>
    <w:multiLevelType w:val="hybridMultilevel"/>
    <w:tmpl w:val="A566CDE0"/>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0B404CC7"/>
    <w:multiLevelType w:val="hybridMultilevel"/>
    <w:tmpl w:val="4C585B6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0BEF773E"/>
    <w:multiLevelType w:val="hybridMultilevel"/>
    <w:tmpl w:val="9ACAAE5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0C9D0C1E"/>
    <w:multiLevelType w:val="hybridMultilevel"/>
    <w:tmpl w:val="33386CE0"/>
    <w:lvl w:ilvl="0" w:tplc="5290D98E">
      <w:start w:val="1"/>
      <w:numFmt w:val="bullet"/>
      <w:lvlText w:val=""/>
      <w:lvlJc w:val="left"/>
      <w:pPr>
        <w:ind w:left="360" w:hanging="360"/>
      </w:pPr>
      <w:rPr>
        <w:rFonts w:ascii="Symbol" w:hAnsi="Symbol" w:hint="default"/>
        <w:color w:val="203864"/>
        <w:sz w:val="22"/>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0D2A3E0B"/>
    <w:multiLevelType w:val="hybridMultilevel"/>
    <w:tmpl w:val="F380247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0D71507C"/>
    <w:multiLevelType w:val="hybridMultilevel"/>
    <w:tmpl w:val="EAA0B54E"/>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0D8F5DF6"/>
    <w:multiLevelType w:val="hybridMultilevel"/>
    <w:tmpl w:val="D46004DA"/>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0EF627B3"/>
    <w:multiLevelType w:val="hybridMultilevel"/>
    <w:tmpl w:val="860E3390"/>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0F555627"/>
    <w:multiLevelType w:val="hybridMultilevel"/>
    <w:tmpl w:val="AA9A687A"/>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0F76592D"/>
    <w:multiLevelType w:val="hybridMultilevel"/>
    <w:tmpl w:val="D12289C0"/>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0FAA15AD"/>
    <w:multiLevelType w:val="hybridMultilevel"/>
    <w:tmpl w:val="7FAEA97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0FAE2A7C"/>
    <w:multiLevelType w:val="hybridMultilevel"/>
    <w:tmpl w:val="4A425B5A"/>
    <w:lvl w:ilvl="0" w:tplc="85BAAB46">
      <w:start w:val="1"/>
      <w:numFmt w:val="bullet"/>
      <w:lvlText w:val=""/>
      <w:lvlJc w:val="left"/>
      <w:pPr>
        <w:ind w:left="360" w:hanging="360"/>
      </w:pPr>
      <w:rPr>
        <w:rFonts w:ascii="Symbol" w:hAnsi="Symbol" w:hint="default"/>
        <w:color w:val="2F5496" w:themeColor="accent1" w:themeShade="B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10750C24"/>
    <w:multiLevelType w:val="hybridMultilevel"/>
    <w:tmpl w:val="036C867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111C033C"/>
    <w:multiLevelType w:val="hybridMultilevel"/>
    <w:tmpl w:val="96CA46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11256DED"/>
    <w:multiLevelType w:val="hybridMultilevel"/>
    <w:tmpl w:val="DA2C76A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11866C43"/>
    <w:multiLevelType w:val="hybridMultilevel"/>
    <w:tmpl w:val="04BAABF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11A76CFE"/>
    <w:multiLevelType w:val="hybridMultilevel"/>
    <w:tmpl w:val="49D25A0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11D6613E"/>
    <w:multiLevelType w:val="hybridMultilevel"/>
    <w:tmpl w:val="A8BCA5D0"/>
    <w:lvl w:ilvl="0" w:tplc="5290D98E">
      <w:start w:val="1"/>
      <w:numFmt w:val="bullet"/>
      <w:lvlText w:val=""/>
      <w:lvlJc w:val="left"/>
      <w:pPr>
        <w:ind w:left="360" w:hanging="360"/>
      </w:pPr>
      <w:rPr>
        <w:rFonts w:ascii="Symbol" w:hAnsi="Symbol" w:hint="default"/>
        <w:color w:val="203864"/>
        <w:sz w:val="22"/>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11F046A8"/>
    <w:multiLevelType w:val="hybridMultilevel"/>
    <w:tmpl w:val="420AE7A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130D19C2"/>
    <w:multiLevelType w:val="hybridMultilevel"/>
    <w:tmpl w:val="958A79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1373498D"/>
    <w:multiLevelType w:val="hybridMultilevel"/>
    <w:tmpl w:val="D3785B88"/>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13804B65"/>
    <w:multiLevelType w:val="hybridMultilevel"/>
    <w:tmpl w:val="37BC743C"/>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13C07302"/>
    <w:multiLevelType w:val="hybridMultilevel"/>
    <w:tmpl w:val="C262B4E2"/>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13FF4D3E"/>
    <w:multiLevelType w:val="hybridMultilevel"/>
    <w:tmpl w:val="CC7C5782"/>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14192738"/>
    <w:multiLevelType w:val="hybridMultilevel"/>
    <w:tmpl w:val="90521B58"/>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14426F14"/>
    <w:multiLevelType w:val="hybridMultilevel"/>
    <w:tmpl w:val="40C65CCA"/>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15B14DAB"/>
    <w:multiLevelType w:val="hybridMultilevel"/>
    <w:tmpl w:val="98961DD8"/>
    <w:lvl w:ilvl="0" w:tplc="4D2A9564">
      <w:start w:val="1"/>
      <w:numFmt w:val="bullet"/>
      <w:lvlText w:val=""/>
      <w:lvlJc w:val="left"/>
      <w:pPr>
        <w:ind w:left="360" w:hanging="360"/>
      </w:pPr>
      <w:rPr>
        <w:rFonts w:ascii="Symbol" w:hAnsi="Symbol" w:hint="default"/>
        <w:b/>
        <w:i w:val="0"/>
        <w:color w:val="203864"/>
      </w:rPr>
    </w:lvl>
    <w:lvl w:ilvl="1" w:tplc="85BAAB46">
      <w:start w:val="1"/>
      <w:numFmt w:val="bullet"/>
      <w:lvlText w:val=""/>
      <w:lvlJc w:val="left"/>
      <w:pPr>
        <w:ind w:left="1080" w:hanging="360"/>
      </w:pPr>
      <w:rPr>
        <w:rFonts w:ascii="Symbol" w:hAnsi="Symbol" w:hint="default"/>
        <w:color w:val="2F5496" w:themeColor="accent1" w:themeShade="BF"/>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169924CE"/>
    <w:multiLevelType w:val="hybridMultilevel"/>
    <w:tmpl w:val="546039E0"/>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16D80884"/>
    <w:multiLevelType w:val="hybridMultilevel"/>
    <w:tmpl w:val="9EAE04A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16E178E3"/>
    <w:multiLevelType w:val="hybridMultilevel"/>
    <w:tmpl w:val="BA8065B2"/>
    <w:lvl w:ilvl="0" w:tplc="4D2A9564">
      <w:start w:val="1"/>
      <w:numFmt w:val="bullet"/>
      <w:lvlText w:val=""/>
      <w:lvlJc w:val="left"/>
      <w:pPr>
        <w:ind w:left="45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nsid w:val="1825781B"/>
    <w:multiLevelType w:val="hybridMultilevel"/>
    <w:tmpl w:val="E018AF34"/>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nsid w:val="18441B87"/>
    <w:multiLevelType w:val="hybridMultilevel"/>
    <w:tmpl w:val="8042C92C"/>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nsid w:val="185810B9"/>
    <w:multiLevelType w:val="hybridMultilevel"/>
    <w:tmpl w:val="5B182CB4"/>
    <w:lvl w:ilvl="0" w:tplc="4D2A9564">
      <w:start w:val="1"/>
      <w:numFmt w:val="bullet"/>
      <w:lvlText w:val=""/>
      <w:lvlJc w:val="left"/>
      <w:pPr>
        <w:ind w:left="720" w:hanging="360"/>
      </w:pPr>
      <w:rPr>
        <w:rFonts w:ascii="Symbol" w:hAnsi="Symbol" w:hint="default"/>
        <w:color w:val="20386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189000A5"/>
    <w:multiLevelType w:val="hybridMultilevel"/>
    <w:tmpl w:val="D1BA7212"/>
    <w:lvl w:ilvl="0" w:tplc="5290D98E">
      <w:start w:val="1"/>
      <w:numFmt w:val="bullet"/>
      <w:lvlText w:val=""/>
      <w:lvlJc w:val="left"/>
      <w:pPr>
        <w:ind w:left="720" w:hanging="360"/>
      </w:pPr>
      <w:rPr>
        <w:rFonts w:ascii="Symbol" w:hAnsi="Symbol" w:hint="default"/>
        <w:color w:val="203864"/>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18D551E6"/>
    <w:multiLevelType w:val="hybridMultilevel"/>
    <w:tmpl w:val="7A766EF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nsid w:val="19AC0584"/>
    <w:multiLevelType w:val="hybridMultilevel"/>
    <w:tmpl w:val="93825706"/>
    <w:lvl w:ilvl="0" w:tplc="4D2A9564">
      <w:start w:val="1"/>
      <w:numFmt w:val="bullet"/>
      <w:lvlText w:val=""/>
      <w:lvlJc w:val="left"/>
      <w:pPr>
        <w:ind w:left="45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nsid w:val="1A6257FE"/>
    <w:multiLevelType w:val="hybridMultilevel"/>
    <w:tmpl w:val="0D4C7758"/>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nsid w:val="1B887224"/>
    <w:multiLevelType w:val="hybridMultilevel"/>
    <w:tmpl w:val="40929BC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4">
    <w:nsid w:val="1B9B4CB3"/>
    <w:multiLevelType w:val="hybridMultilevel"/>
    <w:tmpl w:val="643A8E4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nsid w:val="1BDB46DC"/>
    <w:multiLevelType w:val="hybridMultilevel"/>
    <w:tmpl w:val="643A6DD6"/>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nsid w:val="1D2E22AD"/>
    <w:multiLevelType w:val="hybridMultilevel"/>
    <w:tmpl w:val="EF38C45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nsid w:val="1DA6104C"/>
    <w:multiLevelType w:val="hybridMultilevel"/>
    <w:tmpl w:val="AEBA8D2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nsid w:val="1E845852"/>
    <w:multiLevelType w:val="hybridMultilevel"/>
    <w:tmpl w:val="F0D6FDA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nsid w:val="1EA14D05"/>
    <w:multiLevelType w:val="hybridMultilevel"/>
    <w:tmpl w:val="1AB638D2"/>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nsid w:val="2070110A"/>
    <w:multiLevelType w:val="hybridMultilevel"/>
    <w:tmpl w:val="E618DB3A"/>
    <w:lvl w:ilvl="0" w:tplc="4D2A9564">
      <w:start w:val="1"/>
      <w:numFmt w:val="bullet"/>
      <w:lvlText w:val=""/>
      <w:lvlJc w:val="left"/>
      <w:pPr>
        <w:ind w:left="360" w:hanging="360"/>
      </w:pPr>
      <w:rPr>
        <w:rFonts w:ascii="Symbol" w:hAnsi="Symbol" w:hint="default"/>
        <w:b/>
        <w:i w:val="0"/>
        <w:color w:val="20386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nsid w:val="20D552FE"/>
    <w:multiLevelType w:val="hybridMultilevel"/>
    <w:tmpl w:val="2BD8722C"/>
    <w:lvl w:ilvl="0" w:tplc="4D2A9564">
      <w:start w:val="1"/>
      <w:numFmt w:val="bullet"/>
      <w:lvlText w:val=""/>
      <w:lvlJc w:val="left"/>
      <w:pPr>
        <w:ind w:left="360" w:hanging="360"/>
      </w:pPr>
      <w:rPr>
        <w:rFonts w:ascii="Symbol" w:hAnsi="Symbol" w:hint="default"/>
        <w:b/>
        <w:i w:val="0"/>
        <w:color w:val="20386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nsid w:val="218C2580"/>
    <w:multiLevelType w:val="multilevel"/>
    <w:tmpl w:val="9134E524"/>
    <w:lvl w:ilvl="0">
      <w:start w:val="1"/>
      <w:numFmt w:val="bullet"/>
      <w:lvlText w:val=""/>
      <w:lvlJc w:val="left"/>
      <w:pPr>
        <w:ind w:left="360" w:hanging="360"/>
      </w:pPr>
      <w:rPr>
        <w:rFonts w:ascii="Symbol" w:hAnsi="Symbol" w:hint="default"/>
        <w:b/>
        <w:i w:val="0"/>
        <w:color w:val="20386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3">
    <w:nsid w:val="21A567A4"/>
    <w:multiLevelType w:val="hybridMultilevel"/>
    <w:tmpl w:val="A04AC894"/>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nsid w:val="21E57AD1"/>
    <w:multiLevelType w:val="hybridMultilevel"/>
    <w:tmpl w:val="E132DAE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nsid w:val="23164003"/>
    <w:multiLevelType w:val="hybridMultilevel"/>
    <w:tmpl w:val="E5DCEB34"/>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nsid w:val="23331D14"/>
    <w:multiLevelType w:val="hybridMultilevel"/>
    <w:tmpl w:val="635C5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23937892"/>
    <w:multiLevelType w:val="hybridMultilevel"/>
    <w:tmpl w:val="997472C0"/>
    <w:lvl w:ilvl="0" w:tplc="4D2A9564">
      <w:start w:val="1"/>
      <w:numFmt w:val="bullet"/>
      <w:lvlText w:val=""/>
      <w:lvlJc w:val="left"/>
      <w:pPr>
        <w:ind w:left="360" w:hanging="360"/>
      </w:pPr>
      <w:rPr>
        <w:rFonts w:ascii="Symbol" w:hAnsi="Symbol" w:hint="default"/>
        <w:b/>
        <w:i w:val="0"/>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nsid w:val="23A76F85"/>
    <w:multiLevelType w:val="hybridMultilevel"/>
    <w:tmpl w:val="1274624A"/>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nsid w:val="23FC330E"/>
    <w:multiLevelType w:val="hybridMultilevel"/>
    <w:tmpl w:val="D7821B36"/>
    <w:lvl w:ilvl="0" w:tplc="BBD44B2A">
      <w:start w:val="1"/>
      <w:numFmt w:val="decimal"/>
      <w:lvlText w:val="%1."/>
      <w:lvlJc w:val="left"/>
      <w:pPr>
        <w:ind w:left="360" w:hanging="360"/>
      </w:pPr>
      <w:rPr>
        <w:rFonts w:hint="default"/>
        <w:b/>
        <w:i w:val="0"/>
        <w:color w:val="20386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24032D25"/>
    <w:multiLevelType w:val="hybridMultilevel"/>
    <w:tmpl w:val="3F32C0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nsid w:val="24145AD5"/>
    <w:multiLevelType w:val="hybridMultilevel"/>
    <w:tmpl w:val="B7E2F4A6"/>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nsid w:val="242D7989"/>
    <w:multiLevelType w:val="hybridMultilevel"/>
    <w:tmpl w:val="8A464B06"/>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3">
    <w:nsid w:val="2459314A"/>
    <w:multiLevelType w:val="hybridMultilevel"/>
    <w:tmpl w:val="60F615B6"/>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4">
    <w:nsid w:val="249D4690"/>
    <w:multiLevelType w:val="hybridMultilevel"/>
    <w:tmpl w:val="71AEA34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5">
    <w:nsid w:val="24AD3A07"/>
    <w:multiLevelType w:val="hybridMultilevel"/>
    <w:tmpl w:val="AB36D64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6">
    <w:nsid w:val="25C93D92"/>
    <w:multiLevelType w:val="hybridMultilevel"/>
    <w:tmpl w:val="A7260C50"/>
    <w:lvl w:ilvl="0" w:tplc="5290D98E">
      <w:start w:val="1"/>
      <w:numFmt w:val="bullet"/>
      <w:lvlText w:val=""/>
      <w:lvlJc w:val="left"/>
      <w:pPr>
        <w:ind w:left="360" w:hanging="360"/>
      </w:pPr>
      <w:rPr>
        <w:rFonts w:ascii="Symbol" w:hAnsi="Symbol" w:hint="default"/>
        <w:color w:val="203864"/>
        <w:sz w:val="22"/>
        <w:szCs w:val="22"/>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7">
    <w:nsid w:val="263A4782"/>
    <w:multiLevelType w:val="hybridMultilevel"/>
    <w:tmpl w:val="F0CA0A1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8">
    <w:nsid w:val="26C80A99"/>
    <w:multiLevelType w:val="hybridMultilevel"/>
    <w:tmpl w:val="65640C2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nsid w:val="26D86FF1"/>
    <w:multiLevelType w:val="hybridMultilevel"/>
    <w:tmpl w:val="750608E4"/>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0">
    <w:nsid w:val="27082500"/>
    <w:multiLevelType w:val="hybridMultilevel"/>
    <w:tmpl w:val="398E46D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1">
    <w:nsid w:val="27412309"/>
    <w:multiLevelType w:val="hybridMultilevel"/>
    <w:tmpl w:val="AAA638A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2">
    <w:nsid w:val="27CB54E9"/>
    <w:multiLevelType w:val="hybridMultilevel"/>
    <w:tmpl w:val="4BEAAC0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3">
    <w:nsid w:val="27F50C0A"/>
    <w:multiLevelType w:val="hybridMultilevel"/>
    <w:tmpl w:val="F816F66C"/>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4">
    <w:nsid w:val="27FA6853"/>
    <w:multiLevelType w:val="hybridMultilevel"/>
    <w:tmpl w:val="13B09E38"/>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5">
    <w:nsid w:val="28EE5CC0"/>
    <w:multiLevelType w:val="hybridMultilevel"/>
    <w:tmpl w:val="D62623F4"/>
    <w:lvl w:ilvl="0" w:tplc="5290D98E">
      <w:start w:val="1"/>
      <w:numFmt w:val="bullet"/>
      <w:lvlText w:val=""/>
      <w:lvlJc w:val="left"/>
      <w:pPr>
        <w:ind w:left="450" w:hanging="360"/>
      </w:pPr>
      <w:rPr>
        <w:rFonts w:ascii="Symbol" w:hAnsi="Symbol" w:hint="default"/>
        <w:color w:val="203864"/>
        <w:sz w:val="22"/>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86">
    <w:nsid w:val="29597855"/>
    <w:multiLevelType w:val="hybridMultilevel"/>
    <w:tmpl w:val="8A6E0D7E"/>
    <w:lvl w:ilvl="0" w:tplc="5290D98E">
      <w:start w:val="1"/>
      <w:numFmt w:val="bullet"/>
      <w:lvlText w:val=""/>
      <w:lvlJc w:val="left"/>
      <w:pPr>
        <w:ind w:left="360" w:hanging="360"/>
      </w:pPr>
      <w:rPr>
        <w:rFonts w:ascii="Symbol" w:hAnsi="Symbol" w:hint="default"/>
        <w:color w:val="203864"/>
        <w:sz w:val="22"/>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nsid w:val="29916258"/>
    <w:multiLevelType w:val="hybridMultilevel"/>
    <w:tmpl w:val="F17EED8A"/>
    <w:lvl w:ilvl="0" w:tplc="8BAA9C4C">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8">
    <w:nsid w:val="2AD610A4"/>
    <w:multiLevelType w:val="hybridMultilevel"/>
    <w:tmpl w:val="3DFC7B6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9">
    <w:nsid w:val="2AFB0BD8"/>
    <w:multiLevelType w:val="hybridMultilevel"/>
    <w:tmpl w:val="FEB0508E"/>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0">
    <w:nsid w:val="2B355823"/>
    <w:multiLevelType w:val="hybridMultilevel"/>
    <w:tmpl w:val="557866A0"/>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1">
    <w:nsid w:val="2B627A6F"/>
    <w:multiLevelType w:val="hybridMultilevel"/>
    <w:tmpl w:val="A352F0C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2">
    <w:nsid w:val="2BA21286"/>
    <w:multiLevelType w:val="hybridMultilevel"/>
    <w:tmpl w:val="AE14AAFC"/>
    <w:lvl w:ilvl="0" w:tplc="4D2A9564">
      <w:start w:val="1"/>
      <w:numFmt w:val="bullet"/>
      <w:lvlText w:val=""/>
      <w:lvlJc w:val="left"/>
      <w:pPr>
        <w:ind w:left="720" w:hanging="360"/>
      </w:pPr>
      <w:rPr>
        <w:rFonts w:ascii="Symbol" w:hAnsi="Symbol" w:hint="default"/>
        <w:color w:val="20386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2C881B4E"/>
    <w:multiLevelType w:val="hybridMultilevel"/>
    <w:tmpl w:val="51EAFF22"/>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4">
    <w:nsid w:val="2D612C0F"/>
    <w:multiLevelType w:val="hybridMultilevel"/>
    <w:tmpl w:val="CF96694C"/>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5">
    <w:nsid w:val="2DA8438B"/>
    <w:multiLevelType w:val="hybridMultilevel"/>
    <w:tmpl w:val="C2E0B82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6">
    <w:nsid w:val="2F3F3148"/>
    <w:multiLevelType w:val="hybridMultilevel"/>
    <w:tmpl w:val="901E503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7">
    <w:nsid w:val="300D1FD2"/>
    <w:multiLevelType w:val="hybridMultilevel"/>
    <w:tmpl w:val="2A46238E"/>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8">
    <w:nsid w:val="30F440D8"/>
    <w:multiLevelType w:val="hybridMultilevel"/>
    <w:tmpl w:val="9B105F9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9">
    <w:nsid w:val="312C2936"/>
    <w:multiLevelType w:val="hybridMultilevel"/>
    <w:tmpl w:val="7B1C4C54"/>
    <w:lvl w:ilvl="0" w:tplc="85BAAB46">
      <w:start w:val="1"/>
      <w:numFmt w:val="bullet"/>
      <w:lvlText w:val=""/>
      <w:lvlJc w:val="left"/>
      <w:pPr>
        <w:ind w:left="360" w:hanging="360"/>
      </w:pPr>
      <w:rPr>
        <w:rFonts w:ascii="Symbol" w:hAnsi="Symbol" w:hint="default"/>
        <w:color w:val="2F5496" w:themeColor="accent1" w:themeShade="B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0">
    <w:nsid w:val="33421C3E"/>
    <w:multiLevelType w:val="hybridMultilevel"/>
    <w:tmpl w:val="6316CABA"/>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1">
    <w:nsid w:val="353874F1"/>
    <w:multiLevelType w:val="hybridMultilevel"/>
    <w:tmpl w:val="06A0954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2">
    <w:nsid w:val="35943369"/>
    <w:multiLevelType w:val="hybridMultilevel"/>
    <w:tmpl w:val="095436B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3">
    <w:nsid w:val="35C510AC"/>
    <w:multiLevelType w:val="hybridMultilevel"/>
    <w:tmpl w:val="1E4E085E"/>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4">
    <w:nsid w:val="36EE7FE0"/>
    <w:multiLevelType w:val="hybridMultilevel"/>
    <w:tmpl w:val="F572C6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5">
    <w:nsid w:val="377379D2"/>
    <w:multiLevelType w:val="hybridMultilevel"/>
    <w:tmpl w:val="873A584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6">
    <w:nsid w:val="38625180"/>
    <w:multiLevelType w:val="hybridMultilevel"/>
    <w:tmpl w:val="A984CD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7">
    <w:nsid w:val="395C45AD"/>
    <w:multiLevelType w:val="hybridMultilevel"/>
    <w:tmpl w:val="5D6A15F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8">
    <w:nsid w:val="3A7426FB"/>
    <w:multiLevelType w:val="hybridMultilevel"/>
    <w:tmpl w:val="2E469C9C"/>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9">
    <w:nsid w:val="3AFC0B9D"/>
    <w:multiLevelType w:val="hybridMultilevel"/>
    <w:tmpl w:val="720463F8"/>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0">
    <w:nsid w:val="3C8164EE"/>
    <w:multiLevelType w:val="hybridMultilevel"/>
    <w:tmpl w:val="B6686CCA"/>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1">
    <w:nsid w:val="3D2C022D"/>
    <w:multiLevelType w:val="hybridMultilevel"/>
    <w:tmpl w:val="70FCF292"/>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2">
    <w:nsid w:val="3DB16255"/>
    <w:multiLevelType w:val="hybridMultilevel"/>
    <w:tmpl w:val="42CE45EC"/>
    <w:lvl w:ilvl="0" w:tplc="04090001">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3">
    <w:nsid w:val="3EE63E67"/>
    <w:multiLevelType w:val="hybridMultilevel"/>
    <w:tmpl w:val="573AB4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4">
    <w:nsid w:val="404F563B"/>
    <w:multiLevelType w:val="hybridMultilevel"/>
    <w:tmpl w:val="CB62066A"/>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5">
    <w:nsid w:val="4065249C"/>
    <w:multiLevelType w:val="hybridMultilevel"/>
    <w:tmpl w:val="79508CE0"/>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6">
    <w:nsid w:val="40F95F1D"/>
    <w:multiLevelType w:val="hybridMultilevel"/>
    <w:tmpl w:val="61521CD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7">
    <w:nsid w:val="41DC486E"/>
    <w:multiLevelType w:val="hybridMultilevel"/>
    <w:tmpl w:val="D468102A"/>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8">
    <w:nsid w:val="4214305E"/>
    <w:multiLevelType w:val="hybridMultilevel"/>
    <w:tmpl w:val="5448A47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9">
    <w:nsid w:val="422D70F0"/>
    <w:multiLevelType w:val="hybridMultilevel"/>
    <w:tmpl w:val="E90C10D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0">
    <w:nsid w:val="4257348A"/>
    <w:multiLevelType w:val="hybridMultilevel"/>
    <w:tmpl w:val="B4DE5F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1">
    <w:nsid w:val="427546ED"/>
    <w:multiLevelType w:val="hybridMultilevel"/>
    <w:tmpl w:val="2800D03C"/>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2">
    <w:nsid w:val="42D41408"/>
    <w:multiLevelType w:val="hybridMultilevel"/>
    <w:tmpl w:val="357E881E"/>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3">
    <w:nsid w:val="42E76767"/>
    <w:multiLevelType w:val="hybridMultilevel"/>
    <w:tmpl w:val="76D687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4">
    <w:nsid w:val="42ED4468"/>
    <w:multiLevelType w:val="hybridMultilevel"/>
    <w:tmpl w:val="0DDE82E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5">
    <w:nsid w:val="450E6099"/>
    <w:multiLevelType w:val="hybridMultilevel"/>
    <w:tmpl w:val="0E203DD4"/>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6">
    <w:nsid w:val="453F4063"/>
    <w:multiLevelType w:val="hybridMultilevel"/>
    <w:tmpl w:val="C23E374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7">
    <w:nsid w:val="454073AA"/>
    <w:multiLevelType w:val="hybridMultilevel"/>
    <w:tmpl w:val="392A4B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8">
    <w:nsid w:val="45A939AA"/>
    <w:multiLevelType w:val="hybridMultilevel"/>
    <w:tmpl w:val="C874885A"/>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9">
    <w:nsid w:val="45AB7CEB"/>
    <w:multiLevelType w:val="hybridMultilevel"/>
    <w:tmpl w:val="4DE84252"/>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0">
    <w:nsid w:val="467C53DC"/>
    <w:multiLevelType w:val="hybridMultilevel"/>
    <w:tmpl w:val="6D32B96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1">
    <w:nsid w:val="480820FB"/>
    <w:multiLevelType w:val="hybridMultilevel"/>
    <w:tmpl w:val="C5889D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2">
    <w:nsid w:val="480B006E"/>
    <w:multiLevelType w:val="hybridMultilevel"/>
    <w:tmpl w:val="3B069F6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3">
    <w:nsid w:val="48C21035"/>
    <w:multiLevelType w:val="hybridMultilevel"/>
    <w:tmpl w:val="E2D24F8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4">
    <w:nsid w:val="49FF1230"/>
    <w:multiLevelType w:val="hybridMultilevel"/>
    <w:tmpl w:val="E69ED790"/>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5">
    <w:nsid w:val="4A333B85"/>
    <w:multiLevelType w:val="hybridMultilevel"/>
    <w:tmpl w:val="53E4D846"/>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6">
    <w:nsid w:val="4A560183"/>
    <w:multiLevelType w:val="hybridMultilevel"/>
    <w:tmpl w:val="62049F0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7">
    <w:nsid w:val="4CA50EE7"/>
    <w:multiLevelType w:val="hybridMultilevel"/>
    <w:tmpl w:val="A9A2526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8">
    <w:nsid w:val="4CC318F3"/>
    <w:multiLevelType w:val="hybridMultilevel"/>
    <w:tmpl w:val="D3DA0CB0"/>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9">
    <w:nsid w:val="4E72292C"/>
    <w:multiLevelType w:val="hybridMultilevel"/>
    <w:tmpl w:val="56E28D60"/>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0">
    <w:nsid w:val="4F2D3E4F"/>
    <w:multiLevelType w:val="hybridMultilevel"/>
    <w:tmpl w:val="226850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1">
    <w:nsid w:val="4FCB6BD8"/>
    <w:multiLevelType w:val="hybridMultilevel"/>
    <w:tmpl w:val="317236FE"/>
    <w:lvl w:ilvl="0" w:tplc="BBD44B2A">
      <w:start w:val="1"/>
      <w:numFmt w:val="decimal"/>
      <w:lvlText w:val="%1."/>
      <w:lvlJc w:val="left"/>
      <w:pPr>
        <w:ind w:left="360" w:hanging="360"/>
      </w:pPr>
      <w:rPr>
        <w:rFonts w:hint="default"/>
        <w:b/>
        <w:i w:val="0"/>
        <w:color w:val="20386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2">
    <w:nsid w:val="4FCE575D"/>
    <w:multiLevelType w:val="hybridMultilevel"/>
    <w:tmpl w:val="87CAF2D4"/>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3">
    <w:nsid w:val="50564C79"/>
    <w:multiLevelType w:val="hybridMultilevel"/>
    <w:tmpl w:val="FD3225AE"/>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4">
    <w:nsid w:val="50BA3256"/>
    <w:multiLevelType w:val="hybridMultilevel"/>
    <w:tmpl w:val="A2E809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5">
    <w:nsid w:val="5256035A"/>
    <w:multiLevelType w:val="hybridMultilevel"/>
    <w:tmpl w:val="AB5EA7AE"/>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nsid w:val="53313FB2"/>
    <w:multiLevelType w:val="hybridMultilevel"/>
    <w:tmpl w:val="B536663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7">
    <w:nsid w:val="53A93794"/>
    <w:multiLevelType w:val="hybridMultilevel"/>
    <w:tmpl w:val="BF66675A"/>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8">
    <w:nsid w:val="5523656F"/>
    <w:multiLevelType w:val="hybridMultilevel"/>
    <w:tmpl w:val="85CEB8A8"/>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9">
    <w:nsid w:val="555B42CE"/>
    <w:multiLevelType w:val="hybridMultilevel"/>
    <w:tmpl w:val="569C02C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0">
    <w:nsid w:val="55A67F12"/>
    <w:multiLevelType w:val="hybridMultilevel"/>
    <w:tmpl w:val="DF5C919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alibri"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alibri"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alibri"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1">
    <w:nsid w:val="55DA581B"/>
    <w:multiLevelType w:val="hybridMultilevel"/>
    <w:tmpl w:val="97D2D32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2">
    <w:nsid w:val="56193EBC"/>
    <w:multiLevelType w:val="hybridMultilevel"/>
    <w:tmpl w:val="CB1A4CB6"/>
    <w:lvl w:ilvl="0" w:tplc="04090001">
      <w:start w:val="1"/>
      <w:numFmt w:val="bullet"/>
      <w:lvlText w:val=""/>
      <w:lvlJc w:val="left"/>
      <w:pPr>
        <w:ind w:left="360" w:hanging="360"/>
      </w:pPr>
      <w:rPr>
        <w:rFonts w:ascii="Symbol" w:hAnsi="Symbol" w:hint="default"/>
        <w:b/>
        <w:i w:val="0"/>
        <w:color w:val="auto"/>
      </w:rPr>
    </w:lvl>
    <w:lvl w:ilvl="1" w:tplc="4D2A9564">
      <w:start w:val="1"/>
      <w:numFmt w:val="bullet"/>
      <w:lvlText w:val=""/>
      <w:lvlJc w:val="left"/>
      <w:pPr>
        <w:ind w:left="1080" w:hanging="360"/>
      </w:pPr>
      <w:rPr>
        <w:rFonts w:ascii="Symbol" w:hAnsi="Symbol" w:hint="default"/>
        <w:color w:val="203864"/>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3">
    <w:nsid w:val="562B670F"/>
    <w:multiLevelType w:val="hybridMultilevel"/>
    <w:tmpl w:val="E5E418F6"/>
    <w:lvl w:ilvl="0" w:tplc="5290D98E">
      <w:start w:val="1"/>
      <w:numFmt w:val="bullet"/>
      <w:lvlText w:val=""/>
      <w:lvlJc w:val="left"/>
      <w:pPr>
        <w:ind w:left="360" w:hanging="360"/>
      </w:pPr>
      <w:rPr>
        <w:rFonts w:ascii="Symbol" w:hAnsi="Symbol" w:hint="default"/>
        <w:b/>
        <w:i w:val="0"/>
        <w:color w:val="203864"/>
        <w:sz w:val="22"/>
      </w:rPr>
    </w:lvl>
    <w:lvl w:ilvl="1" w:tplc="4D2A9564">
      <w:start w:val="1"/>
      <w:numFmt w:val="bullet"/>
      <w:lvlText w:val=""/>
      <w:lvlJc w:val="left"/>
      <w:pPr>
        <w:ind w:left="1080" w:hanging="360"/>
      </w:pPr>
      <w:rPr>
        <w:rFonts w:ascii="Symbol" w:hAnsi="Symbol" w:hint="default"/>
        <w:color w:val="203864"/>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4">
    <w:nsid w:val="564A2DA5"/>
    <w:multiLevelType w:val="hybridMultilevel"/>
    <w:tmpl w:val="8ED4D99C"/>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5">
    <w:nsid w:val="56FD6ABB"/>
    <w:multiLevelType w:val="hybridMultilevel"/>
    <w:tmpl w:val="9D0428D2"/>
    <w:lvl w:ilvl="0" w:tplc="AF08376C">
      <w:numFmt w:val="bullet"/>
      <w:lvlText w:val="•"/>
      <w:lvlJc w:val="left"/>
      <w:pPr>
        <w:ind w:left="720" w:hanging="360"/>
      </w:pPr>
      <w:rPr>
        <w:rFonts w:ascii="SymbolMT" w:hAnsi="Calibri" w:cs="SymbolMT" w:hint="default"/>
        <w:color w:val="1F3863"/>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6">
    <w:nsid w:val="576A56F3"/>
    <w:multiLevelType w:val="hybridMultilevel"/>
    <w:tmpl w:val="C4C2F8B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7">
    <w:nsid w:val="577A3D30"/>
    <w:multiLevelType w:val="hybridMultilevel"/>
    <w:tmpl w:val="3FC2599A"/>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8">
    <w:nsid w:val="579370E4"/>
    <w:multiLevelType w:val="hybridMultilevel"/>
    <w:tmpl w:val="E43A0624"/>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9">
    <w:nsid w:val="5859278F"/>
    <w:multiLevelType w:val="hybridMultilevel"/>
    <w:tmpl w:val="8244EBF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0">
    <w:nsid w:val="58BE4399"/>
    <w:multiLevelType w:val="hybridMultilevel"/>
    <w:tmpl w:val="2E6E9CF8"/>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1">
    <w:nsid w:val="5B033EC5"/>
    <w:multiLevelType w:val="hybridMultilevel"/>
    <w:tmpl w:val="BC768894"/>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2">
    <w:nsid w:val="5B0C15F1"/>
    <w:multiLevelType w:val="hybridMultilevel"/>
    <w:tmpl w:val="C2EEA92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3">
    <w:nsid w:val="5B5F1C41"/>
    <w:multiLevelType w:val="hybridMultilevel"/>
    <w:tmpl w:val="5D2CE754"/>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4">
    <w:nsid w:val="5CCC4407"/>
    <w:multiLevelType w:val="hybridMultilevel"/>
    <w:tmpl w:val="E9E497A8"/>
    <w:lvl w:ilvl="0" w:tplc="4D2A9564">
      <w:start w:val="1"/>
      <w:numFmt w:val="bullet"/>
      <w:lvlText w:val=""/>
      <w:lvlJc w:val="left"/>
      <w:pPr>
        <w:ind w:left="360" w:hanging="360"/>
      </w:pPr>
      <w:rPr>
        <w:rFonts w:ascii="Symbol" w:hAnsi="Symbol" w:hint="default"/>
        <w:b/>
        <w:i w:val="0"/>
        <w:color w:val="20386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5">
    <w:nsid w:val="5CDF1C44"/>
    <w:multiLevelType w:val="hybridMultilevel"/>
    <w:tmpl w:val="0B7A8D2A"/>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6">
    <w:nsid w:val="5E105EBA"/>
    <w:multiLevelType w:val="hybridMultilevel"/>
    <w:tmpl w:val="A958394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7">
    <w:nsid w:val="5E5A61A3"/>
    <w:multiLevelType w:val="hybridMultilevel"/>
    <w:tmpl w:val="CDAE4174"/>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8">
    <w:nsid w:val="5EB875F2"/>
    <w:multiLevelType w:val="hybridMultilevel"/>
    <w:tmpl w:val="AC70D774"/>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9">
    <w:nsid w:val="5EDB31EC"/>
    <w:multiLevelType w:val="hybridMultilevel"/>
    <w:tmpl w:val="B6DED6EA"/>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0">
    <w:nsid w:val="5F201AC1"/>
    <w:multiLevelType w:val="hybridMultilevel"/>
    <w:tmpl w:val="03646246"/>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1">
    <w:nsid w:val="5F423FDF"/>
    <w:multiLevelType w:val="hybridMultilevel"/>
    <w:tmpl w:val="2DD6BB12"/>
    <w:lvl w:ilvl="0" w:tplc="4D2A9564">
      <w:start w:val="1"/>
      <w:numFmt w:val="bullet"/>
      <w:lvlText w:val=""/>
      <w:lvlJc w:val="left"/>
      <w:pPr>
        <w:ind w:left="360" w:hanging="360"/>
      </w:pPr>
      <w:rPr>
        <w:rFonts w:ascii="Symbol" w:hAnsi="Symbol" w:hint="default"/>
        <w:b/>
        <w:i w:val="0"/>
        <w:color w:val="203864"/>
      </w:rPr>
    </w:lvl>
    <w:lvl w:ilvl="1" w:tplc="85BAAB46">
      <w:start w:val="1"/>
      <w:numFmt w:val="bullet"/>
      <w:lvlText w:val=""/>
      <w:lvlJc w:val="left"/>
      <w:pPr>
        <w:ind w:left="1080" w:hanging="360"/>
      </w:pPr>
      <w:rPr>
        <w:rFonts w:ascii="Symbol" w:hAnsi="Symbol" w:hint="default"/>
        <w:color w:val="2F5496" w:themeColor="accent1" w:themeShade="BF"/>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2">
    <w:nsid w:val="607400F6"/>
    <w:multiLevelType w:val="hybridMultilevel"/>
    <w:tmpl w:val="F342C08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3">
    <w:nsid w:val="60BB2F5A"/>
    <w:multiLevelType w:val="hybridMultilevel"/>
    <w:tmpl w:val="A1ACB99E"/>
    <w:lvl w:ilvl="0" w:tplc="BBD44B2A">
      <w:start w:val="1"/>
      <w:numFmt w:val="decimal"/>
      <w:lvlText w:val="%1."/>
      <w:lvlJc w:val="left"/>
      <w:pPr>
        <w:ind w:left="360" w:hanging="360"/>
      </w:pPr>
      <w:rPr>
        <w:rFonts w:hint="default"/>
        <w:b/>
        <w:i w:val="0"/>
        <w:color w:val="20386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4">
    <w:nsid w:val="620F2D49"/>
    <w:multiLevelType w:val="hybridMultilevel"/>
    <w:tmpl w:val="181060D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5">
    <w:nsid w:val="621B7C4A"/>
    <w:multiLevelType w:val="hybridMultilevel"/>
    <w:tmpl w:val="0E60BA6E"/>
    <w:lvl w:ilvl="0" w:tplc="8E8E806E">
      <w:start w:val="1"/>
      <w:numFmt w:val="upperLetter"/>
      <w:lvlText w:val="%1."/>
      <w:lvlJc w:val="left"/>
      <w:pPr>
        <w:ind w:left="720" w:hanging="360"/>
      </w:pPr>
      <w:rPr>
        <w:rFonts w:hint="default"/>
        <w:b/>
        <w:i w:val="0"/>
        <w:color w:val="20386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nsid w:val="62233155"/>
    <w:multiLevelType w:val="hybridMultilevel"/>
    <w:tmpl w:val="9B221052"/>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7">
    <w:nsid w:val="62D001E3"/>
    <w:multiLevelType w:val="hybridMultilevel"/>
    <w:tmpl w:val="023AA682"/>
    <w:lvl w:ilvl="0" w:tplc="5290D98E">
      <w:start w:val="1"/>
      <w:numFmt w:val="bullet"/>
      <w:lvlText w:val=""/>
      <w:lvlJc w:val="left"/>
      <w:pPr>
        <w:ind w:left="360" w:hanging="360"/>
      </w:pPr>
      <w:rPr>
        <w:rFonts w:ascii="Symbol" w:hAnsi="Symbol" w:hint="default"/>
        <w:color w:val="203864"/>
        <w:sz w:val="22"/>
        <w:szCs w:val="22"/>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8">
    <w:nsid w:val="639104E6"/>
    <w:multiLevelType w:val="hybridMultilevel"/>
    <w:tmpl w:val="4DB209C4"/>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9">
    <w:nsid w:val="63A50FDD"/>
    <w:multiLevelType w:val="hybridMultilevel"/>
    <w:tmpl w:val="91562010"/>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0">
    <w:nsid w:val="63E05A99"/>
    <w:multiLevelType w:val="hybridMultilevel"/>
    <w:tmpl w:val="F448FE3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1">
    <w:nsid w:val="645D21F7"/>
    <w:multiLevelType w:val="hybridMultilevel"/>
    <w:tmpl w:val="71AA229A"/>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2">
    <w:nsid w:val="646F34B4"/>
    <w:multiLevelType w:val="hybridMultilevel"/>
    <w:tmpl w:val="C2F613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183">
    <w:nsid w:val="647401A2"/>
    <w:multiLevelType w:val="hybridMultilevel"/>
    <w:tmpl w:val="CB4A6644"/>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4">
    <w:nsid w:val="64A60370"/>
    <w:multiLevelType w:val="hybridMultilevel"/>
    <w:tmpl w:val="3D3467A6"/>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5">
    <w:nsid w:val="64BC4DCD"/>
    <w:multiLevelType w:val="hybridMultilevel"/>
    <w:tmpl w:val="F7D69498"/>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6">
    <w:nsid w:val="651773B3"/>
    <w:multiLevelType w:val="hybridMultilevel"/>
    <w:tmpl w:val="CAA6C9F4"/>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7">
    <w:nsid w:val="65EE1DDD"/>
    <w:multiLevelType w:val="hybridMultilevel"/>
    <w:tmpl w:val="A4D64C08"/>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8">
    <w:nsid w:val="66EB0229"/>
    <w:multiLevelType w:val="hybridMultilevel"/>
    <w:tmpl w:val="068A1D7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9">
    <w:nsid w:val="66FA53C7"/>
    <w:multiLevelType w:val="hybridMultilevel"/>
    <w:tmpl w:val="9EB2A3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0">
    <w:nsid w:val="67D77023"/>
    <w:multiLevelType w:val="hybridMultilevel"/>
    <w:tmpl w:val="792613E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1">
    <w:nsid w:val="689724E2"/>
    <w:multiLevelType w:val="hybridMultilevel"/>
    <w:tmpl w:val="6E0E6B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2">
    <w:nsid w:val="68CB74F5"/>
    <w:multiLevelType w:val="hybridMultilevel"/>
    <w:tmpl w:val="6C489AB6"/>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3">
    <w:nsid w:val="6957729A"/>
    <w:multiLevelType w:val="hybridMultilevel"/>
    <w:tmpl w:val="7F30D6BE"/>
    <w:lvl w:ilvl="0" w:tplc="BBD44B2A">
      <w:start w:val="1"/>
      <w:numFmt w:val="decimal"/>
      <w:lvlText w:val="%1."/>
      <w:lvlJc w:val="left"/>
      <w:pPr>
        <w:ind w:left="0" w:hanging="360"/>
      </w:pPr>
      <w:rPr>
        <w:rFonts w:hint="default"/>
        <w:b/>
        <w:i w:val="0"/>
        <w:color w:val="203864"/>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94">
    <w:nsid w:val="699A7E75"/>
    <w:multiLevelType w:val="hybridMultilevel"/>
    <w:tmpl w:val="5942B432"/>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5">
    <w:nsid w:val="69C5733A"/>
    <w:multiLevelType w:val="hybridMultilevel"/>
    <w:tmpl w:val="84F6383E"/>
    <w:lvl w:ilvl="0" w:tplc="4D2A9564">
      <w:start w:val="1"/>
      <w:numFmt w:val="bullet"/>
      <w:lvlText w:val=""/>
      <w:lvlJc w:val="left"/>
      <w:pPr>
        <w:ind w:left="720" w:hanging="360"/>
      </w:pPr>
      <w:rPr>
        <w:rFonts w:ascii="Symbol" w:hAnsi="Symbol" w:hint="default"/>
        <w:color w:val="20386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6">
    <w:nsid w:val="6A143E4D"/>
    <w:multiLevelType w:val="hybridMultilevel"/>
    <w:tmpl w:val="0E0890A4"/>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7">
    <w:nsid w:val="6A2F4DDC"/>
    <w:multiLevelType w:val="hybridMultilevel"/>
    <w:tmpl w:val="8C9CB5CA"/>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8">
    <w:nsid w:val="6AA92CD4"/>
    <w:multiLevelType w:val="multilevel"/>
    <w:tmpl w:val="4F166B70"/>
    <w:lvl w:ilvl="0">
      <w:start w:val="1"/>
      <w:numFmt w:val="bullet"/>
      <w:lvlText w:val=""/>
      <w:lvlJc w:val="left"/>
      <w:pPr>
        <w:ind w:left="360" w:hanging="360"/>
      </w:pPr>
      <w:rPr>
        <w:rFonts w:ascii="Symbol" w:hAnsi="Symbol" w:hint="default"/>
        <w:b/>
        <w:i w:val="0"/>
        <w:color w:val="20386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9">
    <w:nsid w:val="6AF87186"/>
    <w:multiLevelType w:val="hybridMultilevel"/>
    <w:tmpl w:val="061246BA"/>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0">
    <w:nsid w:val="6B4A4503"/>
    <w:multiLevelType w:val="hybridMultilevel"/>
    <w:tmpl w:val="CDAA811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1">
    <w:nsid w:val="6C1A02CE"/>
    <w:multiLevelType w:val="hybridMultilevel"/>
    <w:tmpl w:val="8C9836F2"/>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2">
    <w:nsid w:val="6C7C213A"/>
    <w:multiLevelType w:val="hybridMultilevel"/>
    <w:tmpl w:val="D99E3002"/>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3">
    <w:nsid w:val="6EE8064E"/>
    <w:multiLevelType w:val="hybridMultilevel"/>
    <w:tmpl w:val="923A3022"/>
    <w:lvl w:ilvl="0" w:tplc="8E8E806E">
      <w:start w:val="1"/>
      <w:numFmt w:val="upperLetter"/>
      <w:lvlText w:val="%1."/>
      <w:lvlJc w:val="left"/>
      <w:pPr>
        <w:ind w:left="360" w:hanging="360"/>
      </w:pPr>
      <w:rPr>
        <w:rFonts w:hint="default"/>
        <w:b/>
        <w:i w:val="0"/>
        <w:color w:val="20386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4">
    <w:nsid w:val="6F9324F2"/>
    <w:multiLevelType w:val="hybridMultilevel"/>
    <w:tmpl w:val="45ECC5AA"/>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5">
    <w:nsid w:val="70897A47"/>
    <w:multiLevelType w:val="hybridMultilevel"/>
    <w:tmpl w:val="9AF06A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6">
    <w:nsid w:val="70AB3221"/>
    <w:multiLevelType w:val="hybridMultilevel"/>
    <w:tmpl w:val="A502C42A"/>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7">
    <w:nsid w:val="70F541EC"/>
    <w:multiLevelType w:val="hybridMultilevel"/>
    <w:tmpl w:val="90E4E57C"/>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8">
    <w:nsid w:val="713726FF"/>
    <w:multiLevelType w:val="hybridMultilevel"/>
    <w:tmpl w:val="6CA0B47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9">
    <w:nsid w:val="72DB7F93"/>
    <w:multiLevelType w:val="hybridMultilevel"/>
    <w:tmpl w:val="03729D12"/>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0">
    <w:nsid w:val="765271F1"/>
    <w:multiLevelType w:val="hybridMultilevel"/>
    <w:tmpl w:val="168AF962"/>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1">
    <w:nsid w:val="774A2ACC"/>
    <w:multiLevelType w:val="hybridMultilevel"/>
    <w:tmpl w:val="3ADC753A"/>
    <w:lvl w:ilvl="0" w:tplc="4D2A9564">
      <w:start w:val="1"/>
      <w:numFmt w:val="bullet"/>
      <w:lvlText w:val=""/>
      <w:lvlJc w:val="left"/>
      <w:pPr>
        <w:ind w:left="720" w:hanging="360"/>
      </w:pPr>
      <w:rPr>
        <w:rFonts w:ascii="Symbol" w:hAnsi="Symbol" w:hint="default"/>
        <w:color w:val="20386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2">
    <w:nsid w:val="779A1B36"/>
    <w:multiLevelType w:val="hybridMultilevel"/>
    <w:tmpl w:val="57CA4838"/>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3">
    <w:nsid w:val="77C061C2"/>
    <w:multiLevelType w:val="hybridMultilevel"/>
    <w:tmpl w:val="231C62EC"/>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14">
    <w:nsid w:val="78510000"/>
    <w:multiLevelType w:val="hybridMultilevel"/>
    <w:tmpl w:val="7F64B60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5">
    <w:nsid w:val="79742284"/>
    <w:multiLevelType w:val="hybridMultilevel"/>
    <w:tmpl w:val="C06681A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6">
    <w:nsid w:val="7ACB1B05"/>
    <w:multiLevelType w:val="hybridMultilevel"/>
    <w:tmpl w:val="AE126DD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7">
    <w:nsid w:val="7B1526AD"/>
    <w:multiLevelType w:val="hybridMultilevel"/>
    <w:tmpl w:val="F68E3D02"/>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8">
    <w:nsid w:val="7BF129F0"/>
    <w:multiLevelType w:val="hybridMultilevel"/>
    <w:tmpl w:val="2F623FBA"/>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9">
    <w:nsid w:val="7D67255E"/>
    <w:multiLevelType w:val="hybridMultilevel"/>
    <w:tmpl w:val="702828E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0">
    <w:nsid w:val="7FBB6C27"/>
    <w:multiLevelType w:val="hybridMultilevel"/>
    <w:tmpl w:val="CBCC0354"/>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9"/>
  </w:num>
  <w:num w:numId="2">
    <w:abstractNumId w:val="203"/>
  </w:num>
  <w:num w:numId="3">
    <w:abstractNumId w:val="53"/>
  </w:num>
  <w:num w:numId="4">
    <w:abstractNumId w:val="198"/>
  </w:num>
  <w:num w:numId="5">
    <w:abstractNumId w:val="99"/>
  </w:num>
  <w:num w:numId="6">
    <w:abstractNumId w:val="9"/>
  </w:num>
  <w:num w:numId="7">
    <w:abstractNumId w:val="27"/>
  </w:num>
  <w:num w:numId="8">
    <w:abstractNumId w:val="1"/>
  </w:num>
  <w:num w:numId="9">
    <w:abstractNumId w:val="67"/>
  </w:num>
  <w:num w:numId="10">
    <w:abstractNumId w:val="103"/>
  </w:num>
  <w:num w:numId="11">
    <w:abstractNumId w:val="61"/>
  </w:num>
  <w:num w:numId="12">
    <w:abstractNumId w:val="108"/>
  </w:num>
  <w:num w:numId="13">
    <w:abstractNumId w:val="40"/>
  </w:num>
  <w:num w:numId="14">
    <w:abstractNumId w:val="168"/>
  </w:num>
  <w:num w:numId="15">
    <w:abstractNumId w:val="173"/>
  </w:num>
  <w:num w:numId="16">
    <w:abstractNumId w:val="195"/>
  </w:num>
  <w:num w:numId="17">
    <w:abstractNumId w:val="48"/>
  </w:num>
  <w:num w:numId="18">
    <w:abstractNumId w:val="92"/>
  </w:num>
  <w:num w:numId="19">
    <w:abstractNumId w:val="193"/>
  </w:num>
  <w:num w:numId="20">
    <w:abstractNumId w:val="188"/>
  </w:num>
  <w:num w:numId="21">
    <w:abstractNumId w:val="102"/>
  </w:num>
  <w:num w:numId="22">
    <w:abstractNumId w:val="163"/>
  </w:num>
  <w:num w:numId="23">
    <w:abstractNumId w:val="60"/>
  </w:num>
  <w:num w:numId="24">
    <w:abstractNumId w:val="150"/>
  </w:num>
  <w:num w:numId="25">
    <w:abstractNumId w:val="182"/>
  </w:num>
  <w:num w:numId="26">
    <w:abstractNumId w:val="118"/>
  </w:num>
  <w:num w:numId="27">
    <w:abstractNumId w:val="54"/>
  </w:num>
  <w:num w:numId="28">
    <w:abstractNumId w:val="123"/>
  </w:num>
  <w:num w:numId="29">
    <w:abstractNumId w:val="116"/>
  </w:num>
  <w:num w:numId="30">
    <w:abstractNumId w:val="190"/>
  </w:num>
  <w:num w:numId="31">
    <w:abstractNumId w:val="106"/>
  </w:num>
  <w:num w:numId="32">
    <w:abstractNumId w:val="140"/>
  </w:num>
  <w:num w:numId="33">
    <w:abstractNumId w:val="131"/>
  </w:num>
  <w:num w:numId="34">
    <w:abstractNumId w:val="70"/>
  </w:num>
  <w:num w:numId="35">
    <w:abstractNumId w:val="35"/>
  </w:num>
  <w:num w:numId="36">
    <w:abstractNumId w:val="189"/>
  </w:num>
  <w:num w:numId="37">
    <w:abstractNumId w:val="104"/>
  </w:num>
  <w:num w:numId="38">
    <w:abstractNumId w:val="29"/>
  </w:num>
  <w:num w:numId="39">
    <w:abstractNumId w:val="127"/>
  </w:num>
  <w:num w:numId="40">
    <w:abstractNumId w:val="87"/>
  </w:num>
  <w:num w:numId="41">
    <w:abstractNumId w:val="120"/>
  </w:num>
  <w:num w:numId="42">
    <w:abstractNumId w:val="191"/>
  </w:num>
  <w:num w:numId="43">
    <w:abstractNumId w:val="126"/>
  </w:num>
  <w:num w:numId="44">
    <w:abstractNumId w:val="156"/>
  </w:num>
  <w:num w:numId="45">
    <w:abstractNumId w:val="100"/>
  </w:num>
  <w:num w:numId="46">
    <w:abstractNumId w:val="115"/>
  </w:num>
  <w:num w:numId="47">
    <w:abstractNumId w:val="211"/>
  </w:num>
  <w:num w:numId="48">
    <w:abstractNumId w:val="179"/>
  </w:num>
  <w:num w:numId="49">
    <w:abstractNumId w:val="71"/>
  </w:num>
  <w:num w:numId="50">
    <w:abstractNumId w:val="51"/>
  </w:num>
  <w:num w:numId="51">
    <w:abstractNumId w:val="134"/>
  </w:num>
  <w:num w:numId="52">
    <w:abstractNumId w:val="199"/>
  </w:num>
  <w:num w:numId="53">
    <w:abstractNumId w:val="73"/>
  </w:num>
  <w:num w:numId="54">
    <w:abstractNumId w:val="169"/>
  </w:num>
  <w:num w:numId="55">
    <w:abstractNumId w:val="4"/>
  </w:num>
  <w:num w:numId="56">
    <w:abstractNumId w:val="178"/>
  </w:num>
  <w:num w:numId="57">
    <w:abstractNumId w:val="209"/>
  </w:num>
  <w:num w:numId="58">
    <w:abstractNumId w:val="162"/>
  </w:num>
  <w:num w:numId="59">
    <w:abstractNumId w:val="139"/>
  </w:num>
  <w:num w:numId="60">
    <w:abstractNumId w:val="170"/>
  </w:num>
  <w:num w:numId="61">
    <w:abstractNumId w:val="23"/>
  </w:num>
  <w:num w:numId="62">
    <w:abstractNumId w:val="154"/>
  </w:num>
  <w:num w:numId="63">
    <w:abstractNumId w:val="16"/>
  </w:num>
  <w:num w:numId="64">
    <w:abstractNumId w:val="21"/>
  </w:num>
  <w:num w:numId="65">
    <w:abstractNumId w:val="187"/>
  </w:num>
  <w:num w:numId="66">
    <w:abstractNumId w:val="90"/>
  </w:num>
  <w:num w:numId="67">
    <w:abstractNumId w:val="141"/>
  </w:num>
  <w:num w:numId="68">
    <w:abstractNumId w:val="192"/>
  </w:num>
  <w:num w:numId="69">
    <w:abstractNumId w:val="167"/>
  </w:num>
  <w:num w:numId="70">
    <w:abstractNumId w:val="176"/>
  </w:num>
  <w:num w:numId="71">
    <w:abstractNumId w:val="183"/>
  </w:num>
  <w:num w:numId="72">
    <w:abstractNumId w:val="55"/>
  </w:num>
  <w:num w:numId="73">
    <w:abstractNumId w:val="52"/>
  </w:num>
  <w:num w:numId="74">
    <w:abstractNumId w:val="202"/>
  </w:num>
  <w:num w:numId="75">
    <w:abstractNumId w:val="25"/>
  </w:num>
  <w:num w:numId="76">
    <w:abstractNumId w:val="63"/>
  </w:num>
  <w:num w:numId="77">
    <w:abstractNumId w:val="109"/>
  </w:num>
  <w:num w:numId="78">
    <w:abstractNumId w:val="128"/>
  </w:num>
  <w:num w:numId="79">
    <w:abstractNumId w:val="56"/>
  </w:num>
  <w:num w:numId="80">
    <w:abstractNumId w:val="148"/>
  </w:num>
  <w:num w:numId="81">
    <w:abstractNumId w:val="84"/>
  </w:num>
  <w:num w:numId="82">
    <w:abstractNumId w:val="72"/>
  </w:num>
  <w:num w:numId="83">
    <w:abstractNumId w:val="80"/>
  </w:num>
  <w:num w:numId="84">
    <w:abstractNumId w:val="204"/>
  </w:num>
  <w:num w:numId="85">
    <w:abstractNumId w:val="79"/>
  </w:num>
  <w:num w:numId="86">
    <w:abstractNumId w:val="218"/>
  </w:num>
  <w:num w:numId="87">
    <w:abstractNumId w:val="28"/>
  </w:num>
  <w:num w:numId="88">
    <w:abstractNumId w:val="185"/>
  </w:num>
  <w:num w:numId="89">
    <w:abstractNumId w:val="37"/>
  </w:num>
  <w:num w:numId="90">
    <w:abstractNumId w:val="201"/>
  </w:num>
  <w:num w:numId="91">
    <w:abstractNumId w:val="138"/>
  </w:num>
  <w:num w:numId="92">
    <w:abstractNumId w:val="137"/>
  </w:num>
  <w:num w:numId="93">
    <w:abstractNumId w:val="45"/>
  </w:num>
  <w:num w:numId="94">
    <w:abstractNumId w:val="7"/>
  </w:num>
  <w:num w:numId="95">
    <w:abstractNumId w:val="147"/>
  </w:num>
  <w:num w:numId="96">
    <w:abstractNumId w:val="112"/>
  </w:num>
  <w:num w:numId="97">
    <w:abstractNumId w:val="152"/>
  </w:num>
  <w:num w:numId="98">
    <w:abstractNumId w:val="88"/>
  </w:num>
  <w:num w:numId="99">
    <w:abstractNumId w:val="5"/>
  </w:num>
  <w:num w:numId="100">
    <w:abstractNumId w:val="41"/>
  </w:num>
  <w:num w:numId="101">
    <w:abstractNumId w:val="135"/>
  </w:num>
  <w:num w:numId="102">
    <w:abstractNumId w:val="94"/>
  </w:num>
  <w:num w:numId="103">
    <w:abstractNumId w:val="22"/>
  </w:num>
  <w:num w:numId="104">
    <w:abstractNumId w:val="207"/>
  </w:num>
  <w:num w:numId="105">
    <w:abstractNumId w:val="114"/>
  </w:num>
  <w:num w:numId="106">
    <w:abstractNumId w:val="184"/>
  </w:num>
  <w:num w:numId="107">
    <w:abstractNumId w:val="164"/>
  </w:num>
  <w:num w:numId="108">
    <w:abstractNumId w:val="171"/>
  </w:num>
  <w:num w:numId="109">
    <w:abstractNumId w:val="213"/>
  </w:num>
  <w:num w:numId="110">
    <w:abstractNumId w:val="10"/>
  </w:num>
  <w:num w:numId="111">
    <w:abstractNumId w:val="212"/>
  </w:num>
  <w:num w:numId="112">
    <w:abstractNumId w:val="43"/>
  </w:num>
  <w:num w:numId="113">
    <w:abstractNumId w:val="111"/>
  </w:num>
  <w:num w:numId="114">
    <w:abstractNumId w:val="181"/>
  </w:num>
  <w:num w:numId="115">
    <w:abstractNumId w:val="36"/>
  </w:num>
  <w:num w:numId="116">
    <w:abstractNumId w:val="89"/>
  </w:num>
  <w:num w:numId="117">
    <w:abstractNumId w:val="46"/>
  </w:num>
  <w:num w:numId="118">
    <w:abstractNumId w:val="83"/>
  </w:num>
  <w:num w:numId="119">
    <w:abstractNumId w:val="13"/>
  </w:num>
  <w:num w:numId="120">
    <w:abstractNumId w:val="166"/>
  </w:num>
  <w:num w:numId="121">
    <w:abstractNumId w:val="62"/>
  </w:num>
  <w:num w:numId="122">
    <w:abstractNumId w:val="47"/>
  </w:num>
  <w:num w:numId="123">
    <w:abstractNumId w:val="42"/>
  </w:num>
  <w:num w:numId="124">
    <w:abstractNumId w:val="6"/>
  </w:num>
  <w:num w:numId="125">
    <w:abstractNumId w:val="14"/>
  </w:num>
  <w:num w:numId="126">
    <w:abstractNumId w:val="129"/>
  </w:num>
  <w:num w:numId="127">
    <w:abstractNumId w:val="96"/>
  </w:num>
  <w:num w:numId="128">
    <w:abstractNumId w:val="91"/>
  </w:num>
  <w:num w:numId="129">
    <w:abstractNumId w:val="24"/>
  </w:num>
  <w:num w:numId="130">
    <w:abstractNumId w:val="2"/>
  </w:num>
  <w:num w:numId="131">
    <w:abstractNumId w:val="146"/>
  </w:num>
  <w:num w:numId="132">
    <w:abstractNumId w:val="59"/>
  </w:num>
  <w:num w:numId="133">
    <w:abstractNumId w:val="20"/>
  </w:num>
  <w:num w:numId="134">
    <w:abstractNumId w:val="17"/>
  </w:num>
  <w:num w:numId="135">
    <w:abstractNumId w:val="130"/>
  </w:num>
  <w:num w:numId="136">
    <w:abstractNumId w:val="50"/>
  </w:num>
  <w:num w:numId="137">
    <w:abstractNumId w:val="217"/>
  </w:num>
  <w:num w:numId="138">
    <w:abstractNumId w:val="11"/>
  </w:num>
  <w:num w:numId="139">
    <w:abstractNumId w:val="101"/>
  </w:num>
  <w:num w:numId="140">
    <w:abstractNumId w:val="175"/>
  </w:num>
  <w:num w:numId="141">
    <w:abstractNumId w:val="57"/>
  </w:num>
  <w:num w:numId="142">
    <w:abstractNumId w:val="76"/>
  </w:num>
  <w:num w:numId="143">
    <w:abstractNumId w:val="180"/>
  </w:num>
  <w:num w:numId="144">
    <w:abstractNumId w:val="210"/>
  </w:num>
  <w:num w:numId="145">
    <w:abstractNumId w:val="208"/>
  </w:num>
  <w:num w:numId="146">
    <w:abstractNumId w:val="12"/>
  </w:num>
  <w:num w:numId="147">
    <w:abstractNumId w:val="143"/>
  </w:num>
  <w:num w:numId="148">
    <w:abstractNumId w:val="132"/>
  </w:num>
  <w:num w:numId="149">
    <w:abstractNumId w:val="157"/>
  </w:num>
  <w:num w:numId="150">
    <w:abstractNumId w:val="161"/>
  </w:num>
  <w:num w:numId="151">
    <w:abstractNumId w:val="82"/>
  </w:num>
  <w:num w:numId="152">
    <w:abstractNumId w:val="206"/>
  </w:num>
  <w:num w:numId="153">
    <w:abstractNumId w:val="158"/>
  </w:num>
  <w:num w:numId="154">
    <w:abstractNumId w:val="31"/>
  </w:num>
  <w:num w:numId="155">
    <w:abstractNumId w:val="119"/>
  </w:num>
  <w:num w:numId="156">
    <w:abstractNumId w:val="18"/>
  </w:num>
  <w:num w:numId="157">
    <w:abstractNumId w:val="197"/>
  </w:num>
  <w:num w:numId="158">
    <w:abstractNumId w:val="122"/>
  </w:num>
  <w:num w:numId="159">
    <w:abstractNumId w:val="3"/>
  </w:num>
  <w:num w:numId="160">
    <w:abstractNumId w:val="172"/>
  </w:num>
  <w:num w:numId="161">
    <w:abstractNumId w:val="196"/>
  </w:num>
  <w:num w:numId="162">
    <w:abstractNumId w:val="219"/>
  </w:num>
  <w:num w:numId="163">
    <w:abstractNumId w:val="19"/>
  </w:num>
  <w:num w:numId="164">
    <w:abstractNumId w:val="78"/>
  </w:num>
  <w:num w:numId="165">
    <w:abstractNumId w:val="214"/>
  </w:num>
  <w:num w:numId="166">
    <w:abstractNumId w:val="32"/>
  </w:num>
  <w:num w:numId="167">
    <w:abstractNumId w:val="34"/>
  </w:num>
  <w:num w:numId="168">
    <w:abstractNumId w:val="81"/>
  </w:num>
  <w:num w:numId="169">
    <w:abstractNumId w:val="142"/>
  </w:num>
  <w:num w:numId="170">
    <w:abstractNumId w:val="65"/>
  </w:num>
  <w:num w:numId="171">
    <w:abstractNumId w:val="74"/>
  </w:num>
  <w:num w:numId="172">
    <w:abstractNumId w:val="75"/>
  </w:num>
  <w:num w:numId="173">
    <w:abstractNumId w:val="26"/>
  </w:num>
  <w:num w:numId="174">
    <w:abstractNumId w:val="0"/>
  </w:num>
  <w:num w:numId="175">
    <w:abstractNumId w:val="216"/>
  </w:num>
  <w:num w:numId="176">
    <w:abstractNumId w:val="33"/>
  </w:num>
  <w:num w:numId="177">
    <w:abstractNumId w:val="159"/>
  </w:num>
  <w:num w:numId="178">
    <w:abstractNumId w:val="220"/>
  </w:num>
  <w:num w:numId="179">
    <w:abstractNumId w:val="49"/>
  </w:num>
  <w:num w:numId="180">
    <w:abstractNumId w:val="133"/>
  </w:num>
  <w:num w:numId="181">
    <w:abstractNumId w:val="8"/>
  </w:num>
  <w:num w:numId="182">
    <w:abstractNumId w:val="105"/>
  </w:num>
  <w:num w:numId="183">
    <w:abstractNumId w:val="125"/>
  </w:num>
  <w:num w:numId="184">
    <w:abstractNumId w:val="174"/>
  </w:num>
  <w:num w:numId="185">
    <w:abstractNumId w:val="110"/>
  </w:num>
  <w:num w:numId="186">
    <w:abstractNumId w:val="95"/>
  </w:num>
  <w:num w:numId="187">
    <w:abstractNumId w:val="39"/>
  </w:num>
  <w:num w:numId="188">
    <w:abstractNumId w:val="186"/>
  </w:num>
  <w:num w:numId="189">
    <w:abstractNumId w:val="117"/>
  </w:num>
  <w:num w:numId="190">
    <w:abstractNumId w:val="151"/>
  </w:num>
  <w:num w:numId="191">
    <w:abstractNumId w:val="149"/>
  </w:num>
  <w:num w:numId="192">
    <w:abstractNumId w:val="107"/>
  </w:num>
  <w:num w:numId="193">
    <w:abstractNumId w:val="97"/>
  </w:num>
  <w:num w:numId="194">
    <w:abstractNumId w:val="93"/>
  </w:num>
  <w:num w:numId="195">
    <w:abstractNumId w:val="86"/>
  </w:num>
  <w:num w:numId="196">
    <w:abstractNumId w:val="136"/>
  </w:num>
  <w:num w:numId="197">
    <w:abstractNumId w:val="98"/>
  </w:num>
  <w:num w:numId="198">
    <w:abstractNumId w:val="64"/>
  </w:num>
  <w:num w:numId="199">
    <w:abstractNumId w:val="38"/>
  </w:num>
  <w:num w:numId="200">
    <w:abstractNumId w:val="44"/>
  </w:num>
  <w:num w:numId="201">
    <w:abstractNumId w:val="165"/>
  </w:num>
  <w:num w:numId="202">
    <w:abstractNumId w:val="200"/>
  </w:num>
  <w:num w:numId="203">
    <w:abstractNumId w:val="85"/>
  </w:num>
  <w:num w:numId="204">
    <w:abstractNumId w:val="30"/>
  </w:num>
  <w:num w:numId="205">
    <w:abstractNumId w:val="68"/>
  </w:num>
  <w:num w:numId="206">
    <w:abstractNumId w:val="160"/>
  </w:num>
  <w:num w:numId="207">
    <w:abstractNumId w:val="121"/>
  </w:num>
  <w:num w:numId="208">
    <w:abstractNumId w:val="194"/>
  </w:num>
  <w:num w:numId="209">
    <w:abstractNumId w:val="124"/>
  </w:num>
  <w:num w:numId="210">
    <w:abstractNumId w:val="58"/>
  </w:num>
  <w:num w:numId="211">
    <w:abstractNumId w:val="15"/>
  </w:num>
  <w:num w:numId="212">
    <w:abstractNumId w:val="177"/>
  </w:num>
  <w:num w:numId="213">
    <w:abstractNumId w:val="215"/>
  </w:num>
  <w:num w:numId="214">
    <w:abstractNumId w:val="77"/>
  </w:num>
  <w:num w:numId="215">
    <w:abstractNumId w:val="153"/>
  </w:num>
  <w:num w:numId="216">
    <w:abstractNumId w:val="205"/>
  </w:num>
  <w:num w:numId="217">
    <w:abstractNumId w:val="155"/>
  </w:num>
  <w:num w:numId="218">
    <w:abstractNumId w:val="66"/>
  </w:num>
  <w:num w:numId="219">
    <w:abstractNumId w:val="144"/>
  </w:num>
  <w:num w:numId="220">
    <w:abstractNumId w:val="113"/>
  </w:num>
  <w:num w:numId="221">
    <w:abstractNumId w:val="145"/>
  </w:num>
  <w:numIdMacAtCleanup w:val="2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20"/>
  <w:characterSpacingControl w:val="doNotCompress"/>
  <w:hdrShapeDefaults>
    <o:shapedefaults v:ext="edit" spidmax="2049"/>
  </w:hdrShapeDefaults>
  <w:footnotePr>
    <w:footnote w:id="-1"/>
    <w:footnote w:id="0"/>
    <w:footnote w:id="1"/>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559F"/>
    <w:rsid w:val="000004AE"/>
    <w:rsid w:val="0000087B"/>
    <w:rsid w:val="00002D70"/>
    <w:rsid w:val="00006698"/>
    <w:rsid w:val="00007602"/>
    <w:rsid w:val="00011462"/>
    <w:rsid w:val="00011520"/>
    <w:rsid w:val="0001351A"/>
    <w:rsid w:val="00016064"/>
    <w:rsid w:val="00021392"/>
    <w:rsid w:val="00024331"/>
    <w:rsid w:val="00024ABD"/>
    <w:rsid w:val="00026617"/>
    <w:rsid w:val="0003034F"/>
    <w:rsid w:val="00031EDF"/>
    <w:rsid w:val="0003304E"/>
    <w:rsid w:val="00033EA5"/>
    <w:rsid w:val="00033EA9"/>
    <w:rsid w:val="0003428C"/>
    <w:rsid w:val="00036BFA"/>
    <w:rsid w:val="00037037"/>
    <w:rsid w:val="00037514"/>
    <w:rsid w:val="00041F6A"/>
    <w:rsid w:val="00045870"/>
    <w:rsid w:val="00045ED4"/>
    <w:rsid w:val="00047934"/>
    <w:rsid w:val="00050022"/>
    <w:rsid w:val="00050053"/>
    <w:rsid w:val="00050AC2"/>
    <w:rsid w:val="0005150A"/>
    <w:rsid w:val="000527E5"/>
    <w:rsid w:val="00055777"/>
    <w:rsid w:val="00055B12"/>
    <w:rsid w:val="000612A6"/>
    <w:rsid w:val="00065464"/>
    <w:rsid w:val="000715AB"/>
    <w:rsid w:val="00071C9D"/>
    <w:rsid w:val="00071CD6"/>
    <w:rsid w:val="000722DE"/>
    <w:rsid w:val="00073F2A"/>
    <w:rsid w:val="00074DF8"/>
    <w:rsid w:val="00074F78"/>
    <w:rsid w:val="00074F95"/>
    <w:rsid w:val="00075159"/>
    <w:rsid w:val="00075341"/>
    <w:rsid w:val="0007683E"/>
    <w:rsid w:val="00077561"/>
    <w:rsid w:val="000807B7"/>
    <w:rsid w:val="000816FD"/>
    <w:rsid w:val="00082905"/>
    <w:rsid w:val="00082B5D"/>
    <w:rsid w:val="00086430"/>
    <w:rsid w:val="000902A4"/>
    <w:rsid w:val="000907BE"/>
    <w:rsid w:val="00090803"/>
    <w:rsid w:val="00092F96"/>
    <w:rsid w:val="00094FE2"/>
    <w:rsid w:val="00095A7B"/>
    <w:rsid w:val="000966D0"/>
    <w:rsid w:val="00096EAC"/>
    <w:rsid w:val="000970B6"/>
    <w:rsid w:val="000A0431"/>
    <w:rsid w:val="000A1976"/>
    <w:rsid w:val="000A38E4"/>
    <w:rsid w:val="000A5378"/>
    <w:rsid w:val="000A669D"/>
    <w:rsid w:val="000A75FF"/>
    <w:rsid w:val="000A7743"/>
    <w:rsid w:val="000B016E"/>
    <w:rsid w:val="000B130A"/>
    <w:rsid w:val="000B199A"/>
    <w:rsid w:val="000B4605"/>
    <w:rsid w:val="000B5145"/>
    <w:rsid w:val="000B520F"/>
    <w:rsid w:val="000B54D3"/>
    <w:rsid w:val="000B54E7"/>
    <w:rsid w:val="000B5763"/>
    <w:rsid w:val="000B65F3"/>
    <w:rsid w:val="000B74DA"/>
    <w:rsid w:val="000C01E4"/>
    <w:rsid w:val="000C02C9"/>
    <w:rsid w:val="000C14EC"/>
    <w:rsid w:val="000C29DC"/>
    <w:rsid w:val="000C310F"/>
    <w:rsid w:val="000C3E09"/>
    <w:rsid w:val="000C4649"/>
    <w:rsid w:val="000C4F53"/>
    <w:rsid w:val="000C6C16"/>
    <w:rsid w:val="000C7E55"/>
    <w:rsid w:val="000D054A"/>
    <w:rsid w:val="000D1E5F"/>
    <w:rsid w:val="000D3215"/>
    <w:rsid w:val="000D59AF"/>
    <w:rsid w:val="000D6F37"/>
    <w:rsid w:val="000E0DDF"/>
    <w:rsid w:val="000E1374"/>
    <w:rsid w:val="000E1637"/>
    <w:rsid w:val="000E16B9"/>
    <w:rsid w:val="000E1EF1"/>
    <w:rsid w:val="000E3ABE"/>
    <w:rsid w:val="000E40CF"/>
    <w:rsid w:val="000E5741"/>
    <w:rsid w:val="000E5942"/>
    <w:rsid w:val="000E7569"/>
    <w:rsid w:val="000E763A"/>
    <w:rsid w:val="000F179D"/>
    <w:rsid w:val="000F3675"/>
    <w:rsid w:val="000F5141"/>
    <w:rsid w:val="000F5649"/>
    <w:rsid w:val="000F635A"/>
    <w:rsid w:val="000F6418"/>
    <w:rsid w:val="000F773C"/>
    <w:rsid w:val="001004E7"/>
    <w:rsid w:val="00100ABE"/>
    <w:rsid w:val="00104327"/>
    <w:rsid w:val="00104609"/>
    <w:rsid w:val="00107354"/>
    <w:rsid w:val="00107B78"/>
    <w:rsid w:val="00113590"/>
    <w:rsid w:val="00113EE4"/>
    <w:rsid w:val="00113EF6"/>
    <w:rsid w:val="0012094E"/>
    <w:rsid w:val="001210CF"/>
    <w:rsid w:val="0012291D"/>
    <w:rsid w:val="00123044"/>
    <w:rsid w:val="00123D8F"/>
    <w:rsid w:val="00125FF9"/>
    <w:rsid w:val="001260EC"/>
    <w:rsid w:val="00126462"/>
    <w:rsid w:val="00127F33"/>
    <w:rsid w:val="0013180E"/>
    <w:rsid w:val="00131C54"/>
    <w:rsid w:val="00132BB6"/>
    <w:rsid w:val="001337FA"/>
    <w:rsid w:val="001338F5"/>
    <w:rsid w:val="00133A04"/>
    <w:rsid w:val="00133C0A"/>
    <w:rsid w:val="00134027"/>
    <w:rsid w:val="00134050"/>
    <w:rsid w:val="001348C4"/>
    <w:rsid w:val="001350FE"/>
    <w:rsid w:val="001362B4"/>
    <w:rsid w:val="001362EE"/>
    <w:rsid w:val="00140C96"/>
    <w:rsid w:val="00140FCB"/>
    <w:rsid w:val="001416B5"/>
    <w:rsid w:val="00142C05"/>
    <w:rsid w:val="0014321B"/>
    <w:rsid w:val="001438AB"/>
    <w:rsid w:val="00144B21"/>
    <w:rsid w:val="0014624F"/>
    <w:rsid w:val="001465C0"/>
    <w:rsid w:val="001503C2"/>
    <w:rsid w:val="001504F3"/>
    <w:rsid w:val="00151304"/>
    <w:rsid w:val="0015136A"/>
    <w:rsid w:val="00152EB7"/>
    <w:rsid w:val="00152FAB"/>
    <w:rsid w:val="00153669"/>
    <w:rsid w:val="00153901"/>
    <w:rsid w:val="00153AEC"/>
    <w:rsid w:val="00154BBF"/>
    <w:rsid w:val="00155191"/>
    <w:rsid w:val="0015731D"/>
    <w:rsid w:val="00157C3C"/>
    <w:rsid w:val="00163162"/>
    <w:rsid w:val="00165A26"/>
    <w:rsid w:val="00166AEA"/>
    <w:rsid w:val="001722E3"/>
    <w:rsid w:val="00172459"/>
    <w:rsid w:val="0017365D"/>
    <w:rsid w:val="001812A7"/>
    <w:rsid w:val="0018158B"/>
    <w:rsid w:val="001828AC"/>
    <w:rsid w:val="0018401F"/>
    <w:rsid w:val="001844D8"/>
    <w:rsid w:val="00186F46"/>
    <w:rsid w:val="00187344"/>
    <w:rsid w:val="00187D0C"/>
    <w:rsid w:val="00191B9B"/>
    <w:rsid w:val="00192ED1"/>
    <w:rsid w:val="0019313D"/>
    <w:rsid w:val="001955C2"/>
    <w:rsid w:val="00195F02"/>
    <w:rsid w:val="00197870"/>
    <w:rsid w:val="001A15E0"/>
    <w:rsid w:val="001A3139"/>
    <w:rsid w:val="001A34E7"/>
    <w:rsid w:val="001A59F4"/>
    <w:rsid w:val="001A7E31"/>
    <w:rsid w:val="001B0E95"/>
    <w:rsid w:val="001B0F70"/>
    <w:rsid w:val="001B1AB0"/>
    <w:rsid w:val="001B2649"/>
    <w:rsid w:val="001B27A0"/>
    <w:rsid w:val="001B2DBE"/>
    <w:rsid w:val="001B3FD1"/>
    <w:rsid w:val="001B406E"/>
    <w:rsid w:val="001B52C7"/>
    <w:rsid w:val="001C0EB8"/>
    <w:rsid w:val="001C2D99"/>
    <w:rsid w:val="001C41B0"/>
    <w:rsid w:val="001C46C4"/>
    <w:rsid w:val="001C47BA"/>
    <w:rsid w:val="001C631F"/>
    <w:rsid w:val="001C7198"/>
    <w:rsid w:val="001D075B"/>
    <w:rsid w:val="001D149E"/>
    <w:rsid w:val="001D1E74"/>
    <w:rsid w:val="001D2EA9"/>
    <w:rsid w:val="001D4CA7"/>
    <w:rsid w:val="001D5AD3"/>
    <w:rsid w:val="001D7956"/>
    <w:rsid w:val="001E1356"/>
    <w:rsid w:val="001E1405"/>
    <w:rsid w:val="001E1461"/>
    <w:rsid w:val="001E1B36"/>
    <w:rsid w:val="001E2DF1"/>
    <w:rsid w:val="001E33B7"/>
    <w:rsid w:val="001E3647"/>
    <w:rsid w:val="001E38D5"/>
    <w:rsid w:val="001E4B12"/>
    <w:rsid w:val="001E51AA"/>
    <w:rsid w:val="001E67C2"/>
    <w:rsid w:val="001F06E2"/>
    <w:rsid w:val="001F22AE"/>
    <w:rsid w:val="001F2469"/>
    <w:rsid w:val="001F30F6"/>
    <w:rsid w:val="001F4D53"/>
    <w:rsid w:val="001F4D7D"/>
    <w:rsid w:val="001F5145"/>
    <w:rsid w:val="001F5709"/>
    <w:rsid w:val="001F578D"/>
    <w:rsid w:val="001F654F"/>
    <w:rsid w:val="00201856"/>
    <w:rsid w:val="00202EBE"/>
    <w:rsid w:val="00206588"/>
    <w:rsid w:val="002132BE"/>
    <w:rsid w:val="00213BCF"/>
    <w:rsid w:val="00214693"/>
    <w:rsid w:val="00214AB9"/>
    <w:rsid w:val="00214C7F"/>
    <w:rsid w:val="00220F9E"/>
    <w:rsid w:val="0022163F"/>
    <w:rsid w:val="0022234C"/>
    <w:rsid w:val="00223036"/>
    <w:rsid w:val="00223341"/>
    <w:rsid w:val="00223F81"/>
    <w:rsid w:val="00224A7C"/>
    <w:rsid w:val="00227D95"/>
    <w:rsid w:val="002302FA"/>
    <w:rsid w:val="00230DF9"/>
    <w:rsid w:val="0023232C"/>
    <w:rsid w:val="00234FFF"/>
    <w:rsid w:val="00235958"/>
    <w:rsid w:val="0024027E"/>
    <w:rsid w:val="002404C0"/>
    <w:rsid w:val="00241AF5"/>
    <w:rsid w:val="00242094"/>
    <w:rsid w:val="0024284E"/>
    <w:rsid w:val="00245CBA"/>
    <w:rsid w:val="002466D5"/>
    <w:rsid w:val="00250755"/>
    <w:rsid w:val="002507D9"/>
    <w:rsid w:val="00250B88"/>
    <w:rsid w:val="002529E0"/>
    <w:rsid w:val="00252E11"/>
    <w:rsid w:val="0025490E"/>
    <w:rsid w:val="00254F82"/>
    <w:rsid w:val="002601B4"/>
    <w:rsid w:val="00261496"/>
    <w:rsid w:val="00261B48"/>
    <w:rsid w:val="002628E9"/>
    <w:rsid w:val="00263252"/>
    <w:rsid w:val="00265C30"/>
    <w:rsid w:val="00266D32"/>
    <w:rsid w:val="00270201"/>
    <w:rsid w:val="00271737"/>
    <w:rsid w:val="002721FE"/>
    <w:rsid w:val="002744B6"/>
    <w:rsid w:val="00274929"/>
    <w:rsid w:val="002752C0"/>
    <w:rsid w:val="00276790"/>
    <w:rsid w:val="00276A66"/>
    <w:rsid w:val="00277DDB"/>
    <w:rsid w:val="0028497F"/>
    <w:rsid w:val="002865E8"/>
    <w:rsid w:val="002870E3"/>
    <w:rsid w:val="00290B63"/>
    <w:rsid w:val="00294C51"/>
    <w:rsid w:val="002976A1"/>
    <w:rsid w:val="002A002F"/>
    <w:rsid w:val="002A205C"/>
    <w:rsid w:val="002A2213"/>
    <w:rsid w:val="002A233B"/>
    <w:rsid w:val="002A451A"/>
    <w:rsid w:val="002A453E"/>
    <w:rsid w:val="002A6946"/>
    <w:rsid w:val="002A6AC0"/>
    <w:rsid w:val="002A6D15"/>
    <w:rsid w:val="002A7664"/>
    <w:rsid w:val="002B1820"/>
    <w:rsid w:val="002B1C3E"/>
    <w:rsid w:val="002B278B"/>
    <w:rsid w:val="002B2EF6"/>
    <w:rsid w:val="002B2FF4"/>
    <w:rsid w:val="002B3609"/>
    <w:rsid w:val="002B3A27"/>
    <w:rsid w:val="002B79C0"/>
    <w:rsid w:val="002C086C"/>
    <w:rsid w:val="002C3BA3"/>
    <w:rsid w:val="002C6F32"/>
    <w:rsid w:val="002D25C2"/>
    <w:rsid w:val="002D2FB1"/>
    <w:rsid w:val="002D3694"/>
    <w:rsid w:val="002D41F4"/>
    <w:rsid w:val="002D465E"/>
    <w:rsid w:val="002D4B30"/>
    <w:rsid w:val="002D50CC"/>
    <w:rsid w:val="002D618E"/>
    <w:rsid w:val="002D794E"/>
    <w:rsid w:val="002E4F71"/>
    <w:rsid w:val="002E50A2"/>
    <w:rsid w:val="002E5997"/>
    <w:rsid w:val="002E610F"/>
    <w:rsid w:val="002E6E53"/>
    <w:rsid w:val="002E794E"/>
    <w:rsid w:val="002E7D22"/>
    <w:rsid w:val="002F2E4F"/>
    <w:rsid w:val="002F3038"/>
    <w:rsid w:val="002F30EA"/>
    <w:rsid w:val="002F3684"/>
    <w:rsid w:val="002F3D24"/>
    <w:rsid w:val="002F68C9"/>
    <w:rsid w:val="002F6D45"/>
    <w:rsid w:val="002F6F97"/>
    <w:rsid w:val="002F7090"/>
    <w:rsid w:val="00300758"/>
    <w:rsid w:val="0030215F"/>
    <w:rsid w:val="00302456"/>
    <w:rsid w:val="003054AA"/>
    <w:rsid w:val="00305F76"/>
    <w:rsid w:val="0031048C"/>
    <w:rsid w:val="00310533"/>
    <w:rsid w:val="00310EE3"/>
    <w:rsid w:val="003154D4"/>
    <w:rsid w:val="0031653F"/>
    <w:rsid w:val="00316AB1"/>
    <w:rsid w:val="00317565"/>
    <w:rsid w:val="003216C7"/>
    <w:rsid w:val="003230FD"/>
    <w:rsid w:val="00323182"/>
    <w:rsid w:val="00325161"/>
    <w:rsid w:val="0032704F"/>
    <w:rsid w:val="0032772B"/>
    <w:rsid w:val="0033000E"/>
    <w:rsid w:val="0033048E"/>
    <w:rsid w:val="00331EE9"/>
    <w:rsid w:val="003326A2"/>
    <w:rsid w:val="00332A07"/>
    <w:rsid w:val="00337F19"/>
    <w:rsid w:val="00340703"/>
    <w:rsid w:val="00345048"/>
    <w:rsid w:val="003469E4"/>
    <w:rsid w:val="00353620"/>
    <w:rsid w:val="00353648"/>
    <w:rsid w:val="003566A6"/>
    <w:rsid w:val="0035675F"/>
    <w:rsid w:val="00357215"/>
    <w:rsid w:val="00357E64"/>
    <w:rsid w:val="00363563"/>
    <w:rsid w:val="003643A1"/>
    <w:rsid w:val="00365430"/>
    <w:rsid w:val="003659CA"/>
    <w:rsid w:val="00367354"/>
    <w:rsid w:val="00370763"/>
    <w:rsid w:val="0037275C"/>
    <w:rsid w:val="00373C65"/>
    <w:rsid w:val="00373F3B"/>
    <w:rsid w:val="00373F54"/>
    <w:rsid w:val="00374487"/>
    <w:rsid w:val="00375D1C"/>
    <w:rsid w:val="00375F55"/>
    <w:rsid w:val="003767D8"/>
    <w:rsid w:val="003774B9"/>
    <w:rsid w:val="00382525"/>
    <w:rsid w:val="003839D3"/>
    <w:rsid w:val="00383ADD"/>
    <w:rsid w:val="00384CBE"/>
    <w:rsid w:val="00387B27"/>
    <w:rsid w:val="00387BD3"/>
    <w:rsid w:val="00393867"/>
    <w:rsid w:val="00393A19"/>
    <w:rsid w:val="0039566C"/>
    <w:rsid w:val="00396273"/>
    <w:rsid w:val="00397E54"/>
    <w:rsid w:val="003A1C28"/>
    <w:rsid w:val="003A4A07"/>
    <w:rsid w:val="003A690B"/>
    <w:rsid w:val="003A6B31"/>
    <w:rsid w:val="003A763D"/>
    <w:rsid w:val="003A799E"/>
    <w:rsid w:val="003B01CE"/>
    <w:rsid w:val="003B3905"/>
    <w:rsid w:val="003B451E"/>
    <w:rsid w:val="003B540E"/>
    <w:rsid w:val="003B6A97"/>
    <w:rsid w:val="003B7236"/>
    <w:rsid w:val="003B748D"/>
    <w:rsid w:val="003B7B6D"/>
    <w:rsid w:val="003B7C27"/>
    <w:rsid w:val="003C11C1"/>
    <w:rsid w:val="003C1D48"/>
    <w:rsid w:val="003C1F44"/>
    <w:rsid w:val="003C32E8"/>
    <w:rsid w:val="003C447F"/>
    <w:rsid w:val="003C4565"/>
    <w:rsid w:val="003C5D34"/>
    <w:rsid w:val="003D14D9"/>
    <w:rsid w:val="003D1BF3"/>
    <w:rsid w:val="003D1E50"/>
    <w:rsid w:val="003D3F8D"/>
    <w:rsid w:val="003D4575"/>
    <w:rsid w:val="003D475A"/>
    <w:rsid w:val="003D5242"/>
    <w:rsid w:val="003D5B95"/>
    <w:rsid w:val="003D6AAA"/>
    <w:rsid w:val="003E0BD6"/>
    <w:rsid w:val="003E1125"/>
    <w:rsid w:val="003E2327"/>
    <w:rsid w:val="003E2D78"/>
    <w:rsid w:val="003E3840"/>
    <w:rsid w:val="003E6FE3"/>
    <w:rsid w:val="003E73B4"/>
    <w:rsid w:val="003F0E4B"/>
    <w:rsid w:val="003F0F56"/>
    <w:rsid w:val="003F257A"/>
    <w:rsid w:val="003F42E9"/>
    <w:rsid w:val="003F5322"/>
    <w:rsid w:val="003F57F0"/>
    <w:rsid w:val="003F597A"/>
    <w:rsid w:val="003F74DF"/>
    <w:rsid w:val="003F7A96"/>
    <w:rsid w:val="004031B6"/>
    <w:rsid w:val="004032DD"/>
    <w:rsid w:val="004043AD"/>
    <w:rsid w:val="00405999"/>
    <w:rsid w:val="00410E46"/>
    <w:rsid w:val="00411100"/>
    <w:rsid w:val="004120C3"/>
    <w:rsid w:val="0041612E"/>
    <w:rsid w:val="00416E52"/>
    <w:rsid w:val="0041739A"/>
    <w:rsid w:val="004205A1"/>
    <w:rsid w:val="00424211"/>
    <w:rsid w:val="00424EAA"/>
    <w:rsid w:val="0042592A"/>
    <w:rsid w:val="0042717F"/>
    <w:rsid w:val="00433367"/>
    <w:rsid w:val="004339B1"/>
    <w:rsid w:val="00435945"/>
    <w:rsid w:val="004361EB"/>
    <w:rsid w:val="00436CA7"/>
    <w:rsid w:val="0044153B"/>
    <w:rsid w:val="004415D8"/>
    <w:rsid w:val="00441EF7"/>
    <w:rsid w:val="004420BE"/>
    <w:rsid w:val="004421AE"/>
    <w:rsid w:val="00442803"/>
    <w:rsid w:val="004430DC"/>
    <w:rsid w:val="0044423B"/>
    <w:rsid w:val="00445BE4"/>
    <w:rsid w:val="0044762A"/>
    <w:rsid w:val="00451498"/>
    <w:rsid w:val="00451909"/>
    <w:rsid w:val="00451B6C"/>
    <w:rsid w:val="00454BE9"/>
    <w:rsid w:val="00455A74"/>
    <w:rsid w:val="00462303"/>
    <w:rsid w:val="00464907"/>
    <w:rsid w:val="00467901"/>
    <w:rsid w:val="00470356"/>
    <w:rsid w:val="00471E8F"/>
    <w:rsid w:val="00472AD3"/>
    <w:rsid w:val="00481426"/>
    <w:rsid w:val="00481F9C"/>
    <w:rsid w:val="00482430"/>
    <w:rsid w:val="00483E24"/>
    <w:rsid w:val="00484583"/>
    <w:rsid w:val="004848E7"/>
    <w:rsid w:val="00492322"/>
    <w:rsid w:val="00492AB1"/>
    <w:rsid w:val="0049403A"/>
    <w:rsid w:val="004943D8"/>
    <w:rsid w:val="00494574"/>
    <w:rsid w:val="004971B7"/>
    <w:rsid w:val="00497729"/>
    <w:rsid w:val="004A15EE"/>
    <w:rsid w:val="004A3FFC"/>
    <w:rsid w:val="004A4BC0"/>
    <w:rsid w:val="004A5C28"/>
    <w:rsid w:val="004A6161"/>
    <w:rsid w:val="004A6941"/>
    <w:rsid w:val="004A75E5"/>
    <w:rsid w:val="004A7A9E"/>
    <w:rsid w:val="004B5123"/>
    <w:rsid w:val="004C0845"/>
    <w:rsid w:val="004C17DC"/>
    <w:rsid w:val="004C4721"/>
    <w:rsid w:val="004C4D3A"/>
    <w:rsid w:val="004C5055"/>
    <w:rsid w:val="004C6189"/>
    <w:rsid w:val="004D1523"/>
    <w:rsid w:val="004D187E"/>
    <w:rsid w:val="004E3482"/>
    <w:rsid w:val="004E631F"/>
    <w:rsid w:val="004E7654"/>
    <w:rsid w:val="004F050A"/>
    <w:rsid w:val="004F1FB7"/>
    <w:rsid w:val="004F3BD8"/>
    <w:rsid w:val="004F5793"/>
    <w:rsid w:val="0050285F"/>
    <w:rsid w:val="005037FC"/>
    <w:rsid w:val="00504416"/>
    <w:rsid w:val="005044CD"/>
    <w:rsid w:val="00506CE3"/>
    <w:rsid w:val="00507FED"/>
    <w:rsid w:val="00510FF1"/>
    <w:rsid w:val="00511F90"/>
    <w:rsid w:val="00517721"/>
    <w:rsid w:val="005225B6"/>
    <w:rsid w:val="00523580"/>
    <w:rsid w:val="0052427C"/>
    <w:rsid w:val="005302F2"/>
    <w:rsid w:val="00533A75"/>
    <w:rsid w:val="00533DBC"/>
    <w:rsid w:val="005355DA"/>
    <w:rsid w:val="00535EA4"/>
    <w:rsid w:val="0054387D"/>
    <w:rsid w:val="00543D3F"/>
    <w:rsid w:val="00546BAA"/>
    <w:rsid w:val="00550FA9"/>
    <w:rsid w:val="005537E7"/>
    <w:rsid w:val="0055714A"/>
    <w:rsid w:val="0056199E"/>
    <w:rsid w:val="00561BF0"/>
    <w:rsid w:val="00561D9E"/>
    <w:rsid w:val="00563659"/>
    <w:rsid w:val="0056630B"/>
    <w:rsid w:val="00567C2A"/>
    <w:rsid w:val="005706DC"/>
    <w:rsid w:val="00571FB3"/>
    <w:rsid w:val="00576A6D"/>
    <w:rsid w:val="0058080A"/>
    <w:rsid w:val="005815DC"/>
    <w:rsid w:val="0058182E"/>
    <w:rsid w:val="00581871"/>
    <w:rsid w:val="00582880"/>
    <w:rsid w:val="005835E6"/>
    <w:rsid w:val="00583968"/>
    <w:rsid w:val="00583FB8"/>
    <w:rsid w:val="00584CCB"/>
    <w:rsid w:val="00584EE6"/>
    <w:rsid w:val="00584F3B"/>
    <w:rsid w:val="005856F1"/>
    <w:rsid w:val="005953B5"/>
    <w:rsid w:val="00595655"/>
    <w:rsid w:val="00595DFF"/>
    <w:rsid w:val="00595FDE"/>
    <w:rsid w:val="00597150"/>
    <w:rsid w:val="005A0277"/>
    <w:rsid w:val="005A03BF"/>
    <w:rsid w:val="005A198D"/>
    <w:rsid w:val="005A3994"/>
    <w:rsid w:val="005A6007"/>
    <w:rsid w:val="005A7D24"/>
    <w:rsid w:val="005B1096"/>
    <w:rsid w:val="005B201E"/>
    <w:rsid w:val="005B2FD6"/>
    <w:rsid w:val="005B3F14"/>
    <w:rsid w:val="005B5BD8"/>
    <w:rsid w:val="005C00B3"/>
    <w:rsid w:val="005C0456"/>
    <w:rsid w:val="005C0CE3"/>
    <w:rsid w:val="005C0FFF"/>
    <w:rsid w:val="005C125E"/>
    <w:rsid w:val="005C1881"/>
    <w:rsid w:val="005C28C2"/>
    <w:rsid w:val="005C5B27"/>
    <w:rsid w:val="005D0558"/>
    <w:rsid w:val="005D0776"/>
    <w:rsid w:val="005D1FDB"/>
    <w:rsid w:val="005D2F8B"/>
    <w:rsid w:val="005D4973"/>
    <w:rsid w:val="005D6DF2"/>
    <w:rsid w:val="005D6E46"/>
    <w:rsid w:val="005E0AF7"/>
    <w:rsid w:val="005E267D"/>
    <w:rsid w:val="005E273F"/>
    <w:rsid w:val="005E2F5C"/>
    <w:rsid w:val="005E44B6"/>
    <w:rsid w:val="005E4B81"/>
    <w:rsid w:val="005E5339"/>
    <w:rsid w:val="005E53A5"/>
    <w:rsid w:val="005E6260"/>
    <w:rsid w:val="005E64CD"/>
    <w:rsid w:val="005E6E98"/>
    <w:rsid w:val="005E751D"/>
    <w:rsid w:val="005E7BFB"/>
    <w:rsid w:val="005F1770"/>
    <w:rsid w:val="005F42E2"/>
    <w:rsid w:val="005F55D7"/>
    <w:rsid w:val="005F609E"/>
    <w:rsid w:val="005F6F4A"/>
    <w:rsid w:val="006016F6"/>
    <w:rsid w:val="00602A29"/>
    <w:rsid w:val="00602E18"/>
    <w:rsid w:val="00603A69"/>
    <w:rsid w:val="006043BC"/>
    <w:rsid w:val="00604679"/>
    <w:rsid w:val="00604814"/>
    <w:rsid w:val="00604E05"/>
    <w:rsid w:val="00605A78"/>
    <w:rsid w:val="006112CE"/>
    <w:rsid w:val="00611F9D"/>
    <w:rsid w:val="006120C3"/>
    <w:rsid w:val="0061436E"/>
    <w:rsid w:val="0061528D"/>
    <w:rsid w:val="0061596E"/>
    <w:rsid w:val="00615D7C"/>
    <w:rsid w:val="006165F4"/>
    <w:rsid w:val="00617070"/>
    <w:rsid w:val="006178F3"/>
    <w:rsid w:val="00624EB8"/>
    <w:rsid w:val="0062701A"/>
    <w:rsid w:val="00631018"/>
    <w:rsid w:val="006315E1"/>
    <w:rsid w:val="006316FD"/>
    <w:rsid w:val="006334EC"/>
    <w:rsid w:val="00633E87"/>
    <w:rsid w:val="00633EB7"/>
    <w:rsid w:val="00634CB8"/>
    <w:rsid w:val="00636067"/>
    <w:rsid w:val="00637541"/>
    <w:rsid w:val="00640EF9"/>
    <w:rsid w:val="00641719"/>
    <w:rsid w:val="00641977"/>
    <w:rsid w:val="0064316B"/>
    <w:rsid w:val="006438C8"/>
    <w:rsid w:val="006444C9"/>
    <w:rsid w:val="006454AF"/>
    <w:rsid w:val="00647A9E"/>
    <w:rsid w:val="006508EC"/>
    <w:rsid w:val="006525BF"/>
    <w:rsid w:val="00652B4B"/>
    <w:rsid w:val="00656880"/>
    <w:rsid w:val="00656F81"/>
    <w:rsid w:val="006572C7"/>
    <w:rsid w:val="0065738A"/>
    <w:rsid w:val="006573DF"/>
    <w:rsid w:val="00660D4A"/>
    <w:rsid w:val="0066277B"/>
    <w:rsid w:val="00664E76"/>
    <w:rsid w:val="00664F07"/>
    <w:rsid w:val="00667087"/>
    <w:rsid w:val="00667FEB"/>
    <w:rsid w:val="00671686"/>
    <w:rsid w:val="006734A5"/>
    <w:rsid w:val="0067368F"/>
    <w:rsid w:val="006767B5"/>
    <w:rsid w:val="006809A9"/>
    <w:rsid w:val="00685DBC"/>
    <w:rsid w:val="0068673E"/>
    <w:rsid w:val="00686CC5"/>
    <w:rsid w:val="00687A90"/>
    <w:rsid w:val="00691079"/>
    <w:rsid w:val="0069110A"/>
    <w:rsid w:val="0069452C"/>
    <w:rsid w:val="00695105"/>
    <w:rsid w:val="00697100"/>
    <w:rsid w:val="006975FF"/>
    <w:rsid w:val="006A062C"/>
    <w:rsid w:val="006A0689"/>
    <w:rsid w:val="006A07B2"/>
    <w:rsid w:val="006A12BA"/>
    <w:rsid w:val="006A1740"/>
    <w:rsid w:val="006A182C"/>
    <w:rsid w:val="006A31D0"/>
    <w:rsid w:val="006A450C"/>
    <w:rsid w:val="006A496E"/>
    <w:rsid w:val="006A5C03"/>
    <w:rsid w:val="006B0C31"/>
    <w:rsid w:val="006B1855"/>
    <w:rsid w:val="006B1F37"/>
    <w:rsid w:val="006B4334"/>
    <w:rsid w:val="006B467F"/>
    <w:rsid w:val="006B538E"/>
    <w:rsid w:val="006B66FF"/>
    <w:rsid w:val="006C047D"/>
    <w:rsid w:val="006C055D"/>
    <w:rsid w:val="006C14D4"/>
    <w:rsid w:val="006C152A"/>
    <w:rsid w:val="006C213E"/>
    <w:rsid w:val="006C3072"/>
    <w:rsid w:val="006C3321"/>
    <w:rsid w:val="006C6F75"/>
    <w:rsid w:val="006C767F"/>
    <w:rsid w:val="006D4B5F"/>
    <w:rsid w:val="006D5076"/>
    <w:rsid w:val="006D55A8"/>
    <w:rsid w:val="006D5A34"/>
    <w:rsid w:val="006D70E5"/>
    <w:rsid w:val="006E07CF"/>
    <w:rsid w:val="006E082C"/>
    <w:rsid w:val="006E0952"/>
    <w:rsid w:val="006E097B"/>
    <w:rsid w:val="006E19FA"/>
    <w:rsid w:val="006E245C"/>
    <w:rsid w:val="006E2514"/>
    <w:rsid w:val="006E3904"/>
    <w:rsid w:val="006E4D3B"/>
    <w:rsid w:val="006E5935"/>
    <w:rsid w:val="006E69F2"/>
    <w:rsid w:val="006E6B4D"/>
    <w:rsid w:val="006E7264"/>
    <w:rsid w:val="006F23A2"/>
    <w:rsid w:val="006F30D5"/>
    <w:rsid w:val="006F49DC"/>
    <w:rsid w:val="007039CB"/>
    <w:rsid w:val="00704F99"/>
    <w:rsid w:val="00705692"/>
    <w:rsid w:val="00712144"/>
    <w:rsid w:val="007138E5"/>
    <w:rsid w:val="00715AF8"/>
    <w:rsid w:val="00715E89"/>
    <w:rsid w:val="007215EF"/>
    <w:rsid w:val="007227ED"/>
    <w:rsid w:val="00722D9F"/>
    <w:rsid w:val="00724CCF"/>
    <w:rsid w:val="0072625E"/>
    <w:rsid w:val="0073434E"/>
    <w:rsid w:val="00734FAA"/>
    <w:rsid w:val="007356E6"/>
    <w:rsid w:val="00736427"/>
    <w:rsid w:val="007365D8"/>
    <w:rsid w:val="00740CF8"/>
    <w:rsid w:val="00741429"/>
    <w:rsid w:val="00741CCC"/>
    <w:rsid w:val="007432B1"/>
    <w:rsid w:val="00743576"/>
    <w:rsid w:val="00746768"/>
    <w:rsid w:val="00746EAF"/>
    <w:rsid w:val="00752C93"/>
    <w:rsid w:val="00753569"/>
    <w:rsid w:val="00753790"/>
    <w:rsid w:val="00754175"/>
    <w:rsid w:val="00754BF0"/>
    <w:rsid w:val="0075764E"/>
    <w:rsid w:val="00757A56"/>
    <w:rsid w:val="00757C0E"/>
    <w:rsid w:val="00757E76"/>
    <w:rsid w:val="00760D8A"/>
    <w:rsid w:val="00760EE3"/>
    <w:rsid w:val="00761205"/>
    <w:rsid w:val="00766A3F"/>
    <w:rsid w:val="007731A9"/>
    <w:rsid w:val="007734EA"/>
    <w:rsid w:val="00774109"/>
    <w:rsid w:val="00774D1C"/>
    <w:rsid w:val="00774E27"/>
    <w:rsid w:val="0077573F"/>
    <w:rsid w:val="007768B5"/>
    <w:rsid w:val="00777205"/>
    <w:rsid w:val="007812CC"/>
    <w:rsid w:val="00782B30"/>
    <w:rsid w:val="007830CD"/>
    <w:rsid w:val="00783397"/>
    <w:rsid w:val="0078473D"/>
    <w:rsid w:val="00786474"/>
    <w:rsid w:val="00786D99"/>
    <w:rsid w:val="00787996"/>
    <w:rsid w:val="00793562"/>
    <w:rsid w:val="00793BCF"/>
    <w:rsid w:val="00793ED2"/>
    <w:rsid w:val="00794A55"/>
    <w:rsid w:val="00795A65"/>
    <w:rsid w:val="00796139"/>
    <w:rsid w:val="00796F79"/>
    <w:rsid w:val="00797225"/>
    <w:rsid w:val="007973ED"/>
    <w:rsid w:val="0079760B"/>
    <w:rsid w:val="007A09E6"/>
    <w:rsid w:val="007A216A"/>
    <w:rsid w:val="007A31E5"/>
    <w:rsid w:val="007A3A24"/>
    <w:rsid w:val="007A4510"/>
    <w:rsid w:val="007A4A28"/>
    <w:rsid w:val="007A77C7"/>
    <w:rsid w:val="007B00B9"/>
    <w:rsid w:val="007B0F17"/>
    <w:rsid w:val="007B1CE2"/>
    <w:rsid w:val="007B26BC"/>
    <w:rsid w:val="007B2B68"/>
    <w:rsid w:val="007B462E"/>
    <w:rsid w:val="007B5608"/>
    <w:rsid w:val="007B69C3"/>
    <w:rsid w:val="007C1711"/>
    <w:rsid w:val="007C1806"/>
    <w:rsid w:val="007C3DA2"/>
    <w:rsid w:val="007C4A97"/>
    <w:rsid w:val="007C5011"/>
    <w:rsid w:val="007C52AD"/>
    <w:rsid w:val="007C6777"/>
    <w:rsid w:val="007C6D54"/>
    <w:rsid w:val="007D132D"/>
    <w:rsid w:val="007D4492"/>
    <w:rsid w:val="007D69F0"/>
    <w:rsid w:val="007D7811"/>
    <w:rsid w:val="007E0624"/>
    <w:rsid w:val="007E0910"/>
    <w:rsid w:val="007E094E"/>
    <w:rsid w:val="007E10B2"/>
    <w:rsid w:val="007E174E"/>
    <w:rsid w:val="007E17D8"/>
    <w:rsid w:val="007E4FE1"/>
    <w:rsid w:val="007E50E6"/>
    <w:rsid w:val="007E7F97"/>
    <w:rsid w:val="007F17C4"/>
    <w:rsid w:val="007F26EC"/>
    <w:rsid w:val="007F2FCD"/>
    <w:rsid w:val="007F3C34"/>
    <w:rsid w:val="007F4EC8"/>
    <w:rsid w:val="007F515C"/>
    <w:rsid w:val="007F5658"/>
    <w:rsid w:val="007F5E92"/>
    <w:rsid w:val="007F5F23"/>
    <w:rsid w:val="008012A7"/>
    <w:rsid w:val="008014B0"/>
    <w:rsid w:val="00801F63"/>
    <w:rsid w:val="008023C9"/>
    <w:rsid w:val="0080274A"/>
    <w:rsid w:val="008031DE"/>
    <w:rsid w:val="0080649D"/>
    <w:rsid w:val="0080657A"/>
    <w:rsid w:val="0080659B"/>
    <w:rsid w:val="00807737"/>
    <w:rsid w:val="0081105C"/>
    <w:rsid w:val="00811B77"/>
    <w:rsid w:val="0081568E"/>
    <w:rsid w:val="00816DC6"/>
    <w:rsid w:val="008207D4"/>
    <w:rsid w:val="008231EE"/>
    <w:rsid w:val="00823FDF"/>
    <w:rsid w:val="00830251"/>
    <w:rsid w:val="0083070D"/>
    <w:rsid w:val="00830F54"/>
    <w:rsid w:val="008310A9"/>
    <w:rsid w:val="00831335"/>
    <w:rsid w:val="00831A69"/>
    <w:rsid w:val="008329DE"/>
    <w:rsid w:val="00834A70"/>
    <w:rsid w:val="00834AA8"/>
    <w:rsid w:val="0084065F"/>
    <w:rsid w:val="00840BD0"/>
    <w:rsid w:val="00840BD9"/>
    <w:rsid w:val="00840D67"/>
    <w:rsid w:val="008410EC"/>
    <w:rsid w:val="0084326F"/>
    <w:rsid w:val="00844F8D"/>
    <w:rsid w:val="008451F8"/>
    <w:rsid w:val="0084530B"/>
    <w:rsid w:val="008469AD"/>
    <w:rsid w:val="00846C22"/>
    <w:rsid w:val="00850A7C"/>
    <w:rsid w:val="00851176"/>
    <w:rsid w:val="008511CA"/>
    <w:rsid w:val="008549B4"/>
    <w:rsid w:val="00854CD9"/>
    <w:rsid w:val="00856169"/>
    <w:rsid w:val="008569B1"/>
    <w:rsid w:val="008571EE"/>
    <w:rsid w:val="008575C1"/>
    <w:rsid w:val="00860E22"/>
    <w:rsid w:val="00860F09"/>
    <w:rsid w:val="00861BBA"/>
    <w:rsid w:val="008624BD"/>
    <w:rsid w:val="00864CE9"/>
    <w:rsid w:val="008652B7"/>
    <w:rsid w:val="008656E4"/>
    <w:rsid w:val="00866BC0"/>
    <w:rsid w:val="00866C42"/>
    <w:rsid w:val="00867951"/>
    <w:rsid w:val="00867AF0"/>
    <w:rsid w:val="00867EBB"/>
    <w:rsid w:val="00870729"/>
    <w:rsid w:val="00873159"/>
    <w:rsid w:val="00873528"/>
    <w:rsid w:val="00875608"/>
    <w:rsid w:val="00875FA2"/>
    <w:rsid w:val="00876459"/>
    <w:rsid w:val="00876511"/>
    <w:rsid w:val="008816D9"/>
    <w:rsid w:val="0088258B"/>
    <w:rsid w:val="00882C9E"/>
    <w:rsid w:val="00885307"/>
    <w:rsid w:val="00886CB3"/>
    <w:rsid w:val="00886DA7"/>
    <w:rsid w:val="00886FEE"/>
    <w:rsid w:val="0088761F"/>
    <w:rsid w:val="00887E51"/>
    <w:rsid w:val="008920B5"/>
    <w:rsid w:val="008930E6"/>
    <w:rsid w:val="0089447A"/>
    <w:rsid w:val="00895A5C"/>
    <w:rsid w:val="008A3BD0"/>
    <w:rsid w:val="008A4E2D"/>
    <w:rsid w:val="008A57EE"/>
    <w:rsid w:val="008A5C3B"/>
    <w:rsid w:val="008A6C0C"/>
    <w:rsid w:val="008A7C66"/>
    <w:rsid w:val="008B1BC2"/>
    <w:rsid w:val="008B2716"/>
    <w:rsid w:val="008B30F2"/>
    <w:rsid w:val="008B597B"/>
    <w:rsid w:val="008B691A"/>
    <w:rsid w:val="008C0E54"/>
    <w:rsid w:val="008C1EC7"/>
    <w:rsid w:val="008C3CB6"/>
    <w:rsid w:val="008C7407"/>
    <w:rsid w:val="008C7D74"/>
    <w:rsid w:val="008C7FCF"/>
    <w:rsid w:val="008D01B2"/>
    <w:rsid w:val="008D0843"/>
    <w:rsid w:val="008D22ED"/>
    <w:rsid w:val="008D5BDB"/>
    <w:rsid w:val="008D61D8"/>
    <w:rsid w:val="008D6257"/>
    <w:rsid w:val="008D631A"/>
    <w:rsid w:val="008E0661"/>
    <w:rsid w:val="008E1083"/>
    <w:rsid w:val="008E1600"/>
    <w:rsid w:val="008E19C7"/>
    <w:rsid w:val="008E2E88"/>
    <w:rsid w:val="008E2FC8"/>
    <w:rsid w:val="008E4B48"/>
    <w:rsid w:val="008E50DC"/>
    <w:rsid w:val="008E6F4D"/>
    <w:rsid w:val="008E71DE"/>
    <w:rsid w:val="008E7D50"/>
    <w:rsid w:val="008F0494"/>
    <w:rsid w:val="008F0DD5"/>
    <w:rsid w:val="008F1974"/>
    <w:rsid w:val="009000F1"/>
    <w:rsid w:val="00900AB8"/>
    <w:rsid w:val="00904153"/>
    <w:rsid w:val="00906394"/>
    <w:rsid w:val="009068C5"/>
    <w:rsid w:val="00911393"/>
    <w:rsid w:val="009127D5"/>
    <w:rsid w:val="00912C0A"/>
    <w:rsid w:val="00913956"/>
    <w:rsid w:val="00915C9F"/>
    <w:rsid w:val="009210EE"/>
    <w:rsid w:val="009214F5"/>
    <w:rsid w:val="00921F35"/>
    <w:rsid w:val="00922D6E"/>
    <w:rsid w:val="00922DB5"/>
    <w:rsid w:val="00923324"/>
    <w:rsid w:val="009237E7"/>
    <w:rsid w:val="009245D9"/>
    <w:rsid w:val="00924D5C"/>
    <w:rsid w:val="00925A89"/>
    <w:rsid w:val="00926B48"/>
    <w:rsid w:val="00930807"/>
    <w:rsid w:val="0093113E"/>
    <w:rsid w:val="009346C4"/>
    <w:rsid w:val="00935B15"/>
    <w:rsid w:val="0094038D"/>
    <w:rsid w:val="00940B6A"/>
    <w:rsid w:val="00943A94"/>
    <w:rsid w:val="00945BDC"/>
    <w:rsid w:val="00946982"/>
    <w:rsid w:val="009474E6"/>
    <w:rsid w:val="00947A6E"/>
    <w:rsid w:val="0095398C"/>
    <w:rsid w:val="00955FE6"/>
    <w:rsid w:val="00956C82"/>
    <w:rsid w:val="0095709A"/>
    <w:rsid w:val="009576FD"/>
    <w:rsid w:val="00957CEA"/>
    <w:rsid w:val="009618D2"/>
    <w:rsid w:val="00963B6F"/>
    <w:rsid w:val="009646EB"/>
    <w:rsid w:val="00964E91"/>
    <w:rsid w:val="00965429"/>
    <w:rsid w:val="00965BEA"/>
    <w:rsid w:val="00970E21"/>
    <w:rsid w:val="00970F0A"/>
    <w:rsid w:val="009717C3"/>
    <w:rsid w:val="00972148"/>
    <w:rsid w:val="00973062"/>
    <w:rsid w:val="0097359F"/>
    <w:rsid w:val="0097398C"/>
    <w:rsid w:val="00973E43"/>
    <w:rsid w:val="009756AA"/>
    <w:rsid w:val="00975C4C"/>
    <w:rsid w:val="0097710C"/>
    <w:rsid w:val="009771D5"/>
    <w:rsid w:val="0098050B"/>
    <w:rsid w:val="0098282A"/>
    <w:rsid w:val="00982FA3"/>
    <w:rsid w:val="009836AF"/>
    <w:rsid w:val="00983774"/>
    <w:rsid w:val="009837D5"/>
    <w:rsid w:val="00983DFF"/>
    <w:rsid w:val="0098472B"/>
    <w:rsid w:val="00984BB6"/>
    <w:rsid w:val="00984D89"/>
    <w:rsid w:val="00987620"/>
    <w:rsid w:val="009878EF"/>
    <w:rsid w:val="00990CA8"/>
    <w:rsid w:val="00991244"/>
    <w:rsid w:val="0099143C"/>
    <w:rsid w:val="0099259D"/>
    <w:rsid w:val="0099310A"/>
    <w:rsid w:val="00993D54"/>
    <w:rsid w:val="00993E05"/>
    <w:rsid w:val="00995D3B"/>
    <w:rsid w:val="009976B9"/>
    <w:rsid w:val="009A0B66"/>
    <w:rsid w:val="009A221A"/>
    <w:rsid w:val="009A2934"/>
    <w:rsid w:val="009A2C9E"/>
    <w:rsid w:val="009A3E6C"/>
    <w:rsid w:val="009A628F"/>
    <w:rsid w:val="009A7260"/>
    <w:rsid w:val="009A794C"/>
    <w:rsid w:val="009A7A53"/>
    <w:rsid w:val="009B01DA"/>
    <w:rsid w:val="009B2EBE"/>
    <w:rsid w:val="009B334C"/>
    <w:rsid w:val="009B366D"/>
    <w:rsid w:val="009C0EC1"/>
    <w:rsid w:val="009C488A"/>
    <w:rsid w:val="009C6A97"/>
    <w:rsid w:val="009C7508"/>
    <w:rsid w:val="009D22F6"/>
    <w:rsid w:val="009D4750"/>
    <w:rsid w:val="009D488C"/>
    <w:rsid w:val="009D5577"/>
    <w:rsid w:val="009D5E83"/>
    <w:rsid w:val="009D70DF"/>
    <w:rsid w:val="009E0179"/>
    <w:rsid w:val="009E1E51"/>
    <w:rsid w:val="009E4DF2"/>
    <w:rsid w:val="009E5BBB"/>
    <w:rsid w:val="009E6946"/>
    <w:rsid w:val="009E7ECB"/>
    <w:rsid w:val="009F30C7"/>
    <w:rsid w:val="009F5DCE"/>
    <w:rsid w:val="009F621A"/>
    <w:rsid w:val="009F6354"/>
    <w:rsid w:val="00A00456"/>
    <w:rsid w:val="00A0247D"/>
    <w:rsid w:val="00A04018"/>
    <w:rsid w:val="00A04432"/>
    <w:rsid w:val="00A0559F"/>
    <w:rsid w:val="00A0631A"/>
    <w:rsid w:val="00A073BE"/>
    <w:rsid w:val="00A07B92"/>
    <w:rsid w:val="00A10F0B"/>
    <w:rsid w:val="00A12B2D"/>
    <w:rsid w:val="00A139F8"/>
    <w:rsid w:val="00A13B3A"/>
    <w:rsid w:val="00A13FF3"/>
    <w:rsid w:val="00A167B4"/>
    <w:rsid w:val="00A16E12"/>
    <w:rsid w:val="00A1749C"/>
    <w:rsid w:val="00A177F2"/>
    <w:rsid w:val="00A20823"/>
    <w:rsid w:val="00A20E11"/>
    <w:rsid w:val="00A21573"/>
    <w:rsid w:val="00A218FA"/>
    <w:rsid w:val="00A22639"/>
    <w:rsid w:val="00A23CDD"/>
    <w:rsid w:val="00A263D6"/>
    <w:rsid w:val="00A26494"/>
    <w:rsid w:val="00A26DC2"/>
    <w:rsid w:val="00A27FA2"/>
    <w:rsid w:val="00A30B96"/>
    <w:rsid w:val="00A318E4"/>
    <w:rsid w:val="00A324A0"/>
    <w:rsid w:val="00A350C3"/>
    <w:rsid w:val="00A3521A"/>
    <w:rsid w:val="00A37A74"/>
    <w:rsid w:val="00A40A56"/>
    <w:rsid w:val="00A428A3"/>
    <w:rsid w:val="00A434E6"/>
    <w:rsid w:val="00A44406"/>
    <w:rsid w:val="00A460E8"/>
    <w:rsid w:val="00A46C5D"/>
    <w:rsid w:val="00A470AA"/>
    <w:rsid w:val="00A50056"/>
    <w:rsid w:val="00A5132F"/>
    <w:rsid w:val="00A528BF"/>
    <w:rsid w:val="00A53CCE"/>
    <w:rsid w:val="00A55BE9"/>
    <w:rsid w:val="00A605D0"/>
    <w:rsid w:val="00A60B64"/>
    <w:rsid w:val="00A60C6C"/>
    <w:rsid w:val="00A63BEE"/>
    <w:rsid w:val="00A6521D"/>
    <w:rsid w:val="00A6532C"/>
    <w:rsid w:val="00A656C6"/>
    <w:rsid w:val="00A657E9"/>
    <w:rsid w:val="00A65B86"/>
    <w:rsid w:val="00A71A6F"/>
    <w:rsid w:val="00A723B0"/>
    <w:rsid w:val="00A72D4E"/>
    <w:rsid w:val="00A72DE3"/>
    <w:rsid w:val="00A7307C"/>
    <w:rsid w:val="00A73874"/>
    <w:rsid w:val="00A758FC"/>
    <w:rsid w:val="00A807A6"/>
    <w:rsid w:val="00A80843"/>
    <w:rsid w:val="00A811C4"/>
    <w:rsid w:val="00A81308"/>
    <w:rsid w:val="00A814C0"/>
    <w:rsid w:val="00A82165"/>
    <w:rsid w:val="00A82A3E"/>
    <w:rsid w:val="00A82E45"/>
    <w:rsid w:val="00A85112"/>
    <w:rsid w:val="00A852E4"/>
    <w:rsid w:val="00A857CE"/>
    <w:rsid w:val="00A85B78"/>
    <w:rsid w:val="00A90215"/>
    <w:rsid w:val="00A91EA9"/>
    <w:rsid w:val="00A92F88"/>
    <w:rsid w:val="00A94C9B"/>
    <w:rsid w:val="00A975D3"/>
    <w:rsid w:val="00AA055A"/>
    <w:rsid w:val="00AA12A1"/>
    <w:rsid w:val="00AA19A4"/>
    <w:rsid w:val="00AA1D5F"/>
    <w:rsid w:val="00AA22EC"/>
    <w:rsid w:val="00AA24C3"/>
    <w:rsid w:val="00AA67DF"/>
    <w:rsid w:val="00AB351D"/>
    <w:rsid w:val="00AB4734"/>
    <w:rsid w:val="00AB510E"/>
    <w:rsid w:val="00AB63BD"/>
    <w:rsid w:val="00AB65DC"/>
    <w:rsid w:val="00AC06CF"/>
    <w:rsid w:val="00AC0991"/>
    <w:rsid w:val="00AC0A62"/>
    <w:rsid w:val="00AC0E4D"/>
    <w:rsid w:val="00AC196D"/>
    <w:rsid w:val="00AC1A52"/>
    <w:rsid w:val="00AC3308"/>
    <w:rsid w:val="00AC3DF3"/>
    <w:rsid w:val="00AC4361"/>
    <w:rsid w:val="00AC48BB"/>
    <w:rsid w:val="00AC4D06"/>
    <w:rsid w:val="00AC602C"/>
    <w:rsid w:val="00AC7FAE"/>
    <w:rsid w:val="00AD1072"/>
    <w:rsid w:val="00AD2AC0"/>
    <w:rsid w:val="00AD7437"/>
    <w:rsid w:val="00AE01E6"/>
    <w:rsid w:val="00AE0687"/>
    <w:rsid w:val="00AE2F07"/>
    <w:rsid w:val="00AE638A"/>
    <w:rsid w:val="00AE661F"/>
    <w:rsid w:val="00AE68D9"/>
    <w:rsid w:val="00AF107B"/>
    <w:rsid w:val="00AF1D8E"/>
    <w:rsid w:val="00AF2A6F"/>
    <w:rsid w:val="00AF4907"/>
    <w:rsid w:val="00AF7C2E"/>
    <w:rsid w:val="00AF7CFA"/>
    <w:rsid w:val="00B00120"/>
    <w:rsid w:val="00B01762"/>
    <w:rsid w:val="00B01D2C"/>
    <w:rsid w:val="00B06E88"/>
    <w:rsid w:val="00B109EA"/>
    <w:rsid w:val="00B10C41"/>
    <w:rsid w:val="00B133BB"/>
    <w:rsid w:val="00B13CAA"/>
    <w:rsid w:val="00B151AE"/>
    <w:rsid w:val="00B16036"/>
    <w:rsid w:val="00B161B4"/>
    <w:rsid w:val="00B17B3A"/>
    <w:rsid w:val="00B20B1F"/>
    <w:rsid w:val="00B20D75"/>
    <w:rsid w:val="00B21C71"/>
    <w:rsid w:val="00B21D02"/>
    <w:rsid w:val="00B21F4A"/>
    <w:rsid w:val="00B220C3"/>
    <w:rsid w:val="00B23802"/>
    <w:rsid w:val="00B23FE0"/>
    <w:rsid w:val="00B24A81"/>
    <w:rsid w:val="00B27B60"/>
    <w:rsid w:val="00B309B6"/>
    <w:rsid w:val="00B343C9"/>
    <w:rsid w:val="00B3514B"/>
    <w:rsid w:val="00B35FC2"/>
    <w:rsid w:val="00B36D86"/>
    <w:rsid w:val="00B37973"/>
    <w:rsid w:val="00B400CC"/>
    <w:rsid w:val="00B41C62"/>
    <w:rsid w:val="00B45F8C"/>
    <w:rsid w:val="00B472F1"/>
    <w:rsid w:val="00B50F3E"/>
    <w:rsid w:val="00B51FF2"/>
    <w:rsid w:val="00B55DB4"/>
    <w:rsid w:val="00B606B4"/>
    <w:rsid w:val="00B62D94"/>
    <w:rsid w:val="00B62EF4"/>
    <w:rsid w:val="00B645B9"/>
    <w:rsid w:val="00B64805"/>
    <w:rsid w:val="00B65A0F"/>
    <w:rsid w:val="00B6620D"/>
    <w:rsid w:val="00B66293"/>
    <w:rsid w:val="00B66BAF"/>
    <w:rsid w:val="00B72D42"/>
    <w:rsid w:val="00B74402"/>
    <w:rsid w:val="00B746B4"/>
    <w:rsid w:val="00B74CDB"/>
    <w:rsid w:val="00B759E2"/>
    <w:rsid w:val="00B7764F"/>
    <w:rsid w:val="00B77854"/>
    <w:rsid w:val="00B77C93"/>
    <w:rsid w:val="00B829F5"/>
    <w:rsid w:val="00B85C84"/>
    <w:rsid w:val="00B875C8"/>
    <w:rsid w:val="00B90B7C"/>
    <w:rsid w:val="00B93A69"/>
    <w:rsid w:val="00B94BE9"/>
    <w:rsid w:val="00B95971"/>
    <w:rsid w:val="00B96DCD"/>
    <w:rsid w:val="00B97A86"/>
    <w:rsid w:val="00BA0713"/>
    <w:rsid w:val="00BA0AAF"/>
    <w:rsid w:val="00BA1D8C"/>
    <w:rsid w:val="00BA2534"/>
    <w:rsid w:val="00BA273F"/>
    <w:rsid w:val="00BA2E13"/>
    <w:rsid w:val="00BA3BBA"/>
    <w:rsid w:val="00BA41E3"/>
    <w:rsid w:val="00BA502D"/>
    <w:rsid w:val="00BB0717"/>
    <w:rsid w:val="00BB0E8B"/>
    <w:rsid w:val="00BB295F"/>
    <w:rsid w:val="00BB2AC7"/>
    <w:rsid w:val="00BB2DC4"/>
    <w:rsid w:val="00BB333C"/>
    <w:rsid w:val="00BB4A31"/>
    <w:rsid w:val="00BB68A2"/>
    <w:rsid w:val="00BB7E2E"/>
    <w:rsid w:val="00BC0751"/>
    <w:rsid w:val="00BC0B6E"/>
    <w:rsid w:val="00BC3F0B"/>
    <w:rsid w:val="00BC552E"/>
    <w:rsid w:val="00BC6089"/>
    <w:rsid w:val="00BC7930"/>
    <w:rsid w:val="00BD0688"/>
    <w:rsid w:val="00BD1F5B"/>
    <w:rsid w:val="00BD244E"/>
    <w:rsid w:val="00BD3194"/>
    <w:rsid w:val="00BD401F"/>
    <w:rsid w:val="00BD4966"/>
    <w:rsid w:val="00BD4AFE"/>
    <w:rsid w:val="00BD507F"/>
    <w:rsid w:val="00BD57ED"/>
    <w:rsid w:val="00BD6EC7"/>
    <w:rsid w:val="00BE3EBB"/>
    <w:rsid w:val="00BE4E92"/>
    <w:rsid w:val="00BE5B1E"/>
    <w:rsid w:val="00BE748B"/>
    <w:rsid w:val="00BF0AD2"/>
    <w:rsid w:val="00BF0D65"/>
    <w:rsid w:val="00BF1363"/>
    <w:rsid w:val="00BF2B90"/>
    <w:rsid w:val="00BF371B"/>
    <w:rsid w:val="00BF3DA8"/>
    <w:rsid w:val="00BF4600"/>
    <w:rsid w:val="00BF7C40"/>
    <w:rsid w:val="00C00402"/>
    <w:rsid w:val="00C00EFB"/>
    <w:rsid w:val="00C0102C"/>
    <w:rsid w:val="00C043BF"/>
    <w:rsid w:val="00C05BAB"/>
    <w:rsid w:val="00C10C5D"/>
    <w:rsid w:val="00C1128D"/>
    <w:rsid w:val="00C13814"/>
    <w:rsid w:val="00C15947"/>
    <w:rsid w:val="00C21585"/>
    <w:rsid w:val="00C2166C"/>
    <w:rsid w:val="00C22086"/>
    <w:rsid w:val="00C23A8F"/>
    <w:rsid w:val="00C23FA3"/>
    <w:rsid w:val="00C24C23"/>
    <w:rsid w:val="00C252E5"/>
    <w:rsid w:val="00C26568"/>
    <w:rsid w:val="00C32A59"/>
    <w:rsid w:val="00C32DD2"/>
    <w:rsid w:val="00C332E5"/>
    <w:rsid w:val="00C34137"/>
    <w:rsid w:val="00C3510E"/>
    <w:rsid w:val="00C36738"/>
    <w:rsid w:val="00C36A1D"/>
    <w:rsid w:val="00C41670"/>
    <w:rsid w:val="00C42C1E"/>
    <w:rsid w:val="00C44156"/>
    <w:rsid w:val="00C4534B"/>
    <w:rsid w:val="00C453EE"/>
    <w:rsid w:val="00C45C9D"/>
    <w:rsid w:val="00C46CAB"/>
    <w:rsid w:val="00C46E2D"/>
    <w:rsid w:val="00C46EBB"/>
    <w:rsid w:val="00C521ED"/>
    <w:rsid w:val="00C523BC"/>
    <w:rsid w:val="00C5244A"/>
    <w:rsid w:val="00C57CE1"/>
    <w:rsid w:val="00C6019B"/>
    <w:rsid w:val="00C618DC"/>
    <w:rsid w:val="00C61A1D"/>
    <w:rsid w:val="00C65FCC"/>
    <w:rsid w:val="00C70601"/>
    <w:rsid w:val="00C713EB"/>
    <w:rsid w:val="00C71A22"/>
    <w:rsid w:val="00C7336E"/>
    <w:rsid w:val="00C765D6"/>
    <w:rsid w:val="00C76CD1"/>
    <w:rsid w:val="00C76D31"/>
    <w:rsid w:val="00C7785F"/>
    <w:rsid w:val="00C77BFF"/>
    <w:rsid w:val="00C81EA8"/>
    <w:rsid w:val="00C82BEC"/>
    <w:rsid w:val="00C86588"/>
    <w:rsid w:val="00C86B9F"/>
    <w:rsid w:val="00C877E8"/>
    <w:rsid w:val="00C87EC4"/>
    <w:rsid w:val="00C95116"/>
    <w:rsid w:val="00C9671C"/>
    <w:rsid w:val="00C97417"/>
    <w:rsid w:val="00CA1EBA"/>
    <w:rsid w:val="00CA298B"/>
    <w:rsid w:val="00CA3913"/>
    <w:rsid w:val="00CA4877"/>
    <w:rsid w:val="00CA5DA5"/>
    <w:rsid w:val="00CB054C"/>
    <w:rsid w:val="00CB21A8"/>
    <w:rsid w:val="00CB2D49"/>
    <w:rsid w:val="00CB3B52"/>
    <w:rsid w:val="00CB463E"/>
    <w:rsid w:val="00CB4F96"/>
    <w:rsid w:val="00CB6A88"/>
    <w:rsid w:val="00CC0798"/>
    <w:rsid w:val="00CC443A"/>
    <w:rsid w:val="00CC49DA"/>
    <w:rsid w:val="00CC5F0B"/>
    <w:rsid w:val="00CC7139"/>
    <w:rsid w:val="00CD0D85"/>
    <w:rsid w:val="00CD4F84"/>
    <w:rsid w:val="00CD5C5B"/>
    <w:rsid w:val="00CD69CF"/>
    <w:rsid w:val="00CD6CA2"/>
    <w:rsid w:val="00CE1285"/>
    <w:rsid w:val="00CE216E"/>
    <w:rsid w:val="00CE4A3E"/>
    <w:rsid w:val="00CE5841"/>
    <w:rsid w:val="00CE58BB"/>
    <w:rsid w:val="00CE5FA1"/>
    <w:rsid w:val="00CE7198"/>
    <w:rsid w:val="00CE72DD"/>
    <w:rsid w:val="00CF07DC"/>
    <w:rsid w:val="00CF0FAF"/>
    <w:rsid w:val="00CF1413"/>
    <w:rsid w:val="00CF1E73"/>
    <w:rsid w:val="00CF2421"/>
    <w:rsid w:val="00CF2B2D"/>
    <w:rsid w:val="00CF30F3"/>
    <w:rsid w:val="00CF405B"/>
    <w:rsid w:val="00D0203D"/>
    <w:rsid w:val="00D0347A"/>
    <w:rsid w:val="00D04009"/>
    <w:rsid w:val="00D0439F"/>
    <w:rsid w:val="00D05483"/>
    <w:rsid w:val="00D05AAD"/>
    <w:rsid w:val="00D0634A"/>
    <w:rsid w:val="00D07770"/>
    <w:rsid w:val="00D12B72"/>
    <w:rsid w:val="00D130D7"/>
    <w:rsid w:val="00D2149D"/>
    <w:rsid w:val="00D21790"/>
    <w:rsid w:val="00D22A5F"/>
    <w:rsid w:val="00D2365B"/>
    <w:rsid w:val="00D237F8"/>
    <w:rsid w:val="00D24983"/>
    <w:rsid w:val="00D269FA"/>
    <w:rsid w:val="00D3059D"/>
    <w:rsid w:val="00D332EE"/>
    <w:rsid w:val="00D332F5"/>
    <w:rsid w:val="00D355BC"/>
    <w:rsid w:val="00D367E3"/>
    <w:rsid w:val="00D36956"/>
    <w:rsid w:val="00D37AB4"/>
    <w:rsid w:val="00D5205F"/>
    <w:rsid w:val="00D5585C"/>
    <w:rsid w:val="00D56150"/>
    <w:rsid w:val="00D56BDE"/>
    <w:rsid w:val="00D61094"/>
    <w:rsid w:val="00D6187A"/>
    <w:rsid w:val="00D61890"/>
    <w:rsid w:val="00D621BC"/>
    <w:rsid w:val="00D66DE5"/>
    <w:rsid w:val="00D67B4C"/>
    <w:rsid w:val="00D70349"/>
    <w:rsid w:val="00D70BEF"/>
    <w:rsid w:val="00D71828"/>
    <w:rsid w:val="00D71BF9"/>
    <w:rsid w:val="00D735FA"/>
    <w:rsid w:val="00D73F76"/>
    <w:rsid w:val="00D74BFE"/>
    <w:rsid w:val="00D75185"/>
    <w:rsid w:val="00D76C2A"/>
    <w:rsid w:val="00D80D0A"/>
    <w:rsid w:val="00D816DF"/>
    <w:rsid w:val="00D8333C"/>
    <w:rsid w:val="00D865C3"/>
    <w:rsid w:val="00D87BCB"/>
    <w:rsid w:val="00D91104"/>
    <w:rsid w:val="00D92262"/>
    <w:rsid w:val="00D9346A"/>
    <w:rsid w:val="00D935F0"/>
    <w:rsid w:val="00D97209"/>
    <w:rsid w:val="00DA0412"/>
    <w:rsid w:val="00DA06EC"/>
    <w:rsid w:val="00DA16A2"/>
    <w:rsid w:val="00DA2612"/>
    <w:rsid w:val="00DA3440"/>
    <w:rsid w:val="00DA58F7"/>
    <w:rsid w:val="00DA5F98"/>
    <w:rsid w:val="00DA71C9"/>
    <w:rsid w:val="00DA7CCE"/>
    <w:rsid w:val="00DA7F01"/>
    <w:rsid w:val="00DB6E44"/>
    <w:rsid w:val="00DC09AA"/>
    <w:rsid w:val="00DC371D"/>
    <w:rsid w:val="00DC5B15"/>
    <w:rsid w:val="00DC5DAD"/>
    <w:rsid w:val="00DC6290"/>
    <w:rsid w:val="00DC6891"/>
    <w:rsid w:val="00DC78E8"/>
    <w:rsid w:val="00DD12F9"/>
    <w:rsid w:val="00DD1306"/>
    <w:rsid w:val="00DD1780"/>
    <w:rsid w:val="00DD190E"/>
    <w:rsid w:val="00DD316F"/>
    <w:rsid w:val="00DD519D"/>
    <w:rsid w:val="00DD6A3E"/>
    <w:rsid w:val="00DD6C7B"/>
    <w:rsid w:val="00DD7385"/>
    <w:rsid w:val="00DE15AC"/>
    <w:rsid w:val="00DE2715"/>
    <w:rsid w:val="00DE374A"/>
    <w:rsid w:val="00DE618D"/>
    <w:rsid w:val="00DE6420"/>
    <w:rsid w:val="00DE6517"/>
    <w:rsid w:val="00DF13D3"/>
    <w:rsid w:val="00DF205C"/>
    <w:rsid w:val="00DF2B88"/>
    <w:rsid w:val="00DF2F28"/>
    <w:rsid w:val="00DF3261"/>
    <w:rsid w:val="00DF40AC"/>
    <w:rsid w:val="00DF5F7F"/>
    <w:rsid w:val="00DF697F"/>
    <w:rsid w:val="00DF7F19"/>
    <w:rsid w:val="00E005D0"/>
    <w:rsid w:val="00E0349A"/>
    <w:rsid w:val="00E05A4C"/>
    <w:rsid w:val="00E06303"/>
    <w:rsid w:val="00E069C1"/>
    <w:rsid w:val="00E07060"/>
    <w:rsid w:val="00E07400"/>
    <w:rsid w:val="00E1069F"/>
    <w:rsid w:val="00E1086F"/>
    <w:rsid w:val="00E10C7B"/>
    <w:rsid w:val="00E11DBA"/>
    <w:rsid w:val="00E124DB"/>
    <w:rsid w:val="00E16A08"/>
    <w:rsid w:val="00E16FA8"/>
    <w:rsid w:val="00E170F3"/>
    <w:rsid w:val="00E22371"/>
    <w:rsid w:val="00E22D71"/>
    <w:rsid w:val="00E23188"/>
    <w:rsid w:val="00E233C1"/>
    <w:rsid w:val="00E234B6"/>
    <w:rsid w:val="00E33B03"/>
    <w:rsid w:val="00E35789"/>
    <w:rsid w:val="00E36111"/>
    <w:rsid w:val="00E36280"/>
    <w:rsid w:val="00E3641A"/>
    <w:rsid w:val="00E36D41"/>
    <w:rsid w:val="00E40103"/>
    <w:rsid w:val="00E41A7E"/>
    <w:rsid w:val="00E42DAB"/>
    <w:rsid w:val="00E43381"/>
    <w:rsid w:val="00E447C2"/>
    <w:rsid w:val="00E46E2E"/>
    <w:rsid w:val="00E4707F"/>
    <w:rsid w:val="00E474C3"/>
    <w:rsid w:val="00E479AA"/>
    <w:rsid w:val="00E47C79"/>
    <w:rsid w:val="00E50799"/>
    <w:rsid w:val="00E519CD"/>
    <w:rsid w:val="00E52B49"/>
    <w:rsid w:val="00E52BC6"/>
    <w:rsid w:val="00E552D2"/>
    <w:rsid w:val="00E6059A"/>
    <w:rsid w:val="00E617A8"/>
    <w:rsid w:val="00E62FB8"/>
    <w:rsid w:val="00E6357B"/>
    <w:rsid w:val="00E71300"/>
    <w:rsid w:val="00E739B7"/>
    <w:rsid w:val="00E73E94"/>
    <w:rsid w:val="00E756C0"/>
    <w:rsid w:val="00E7576A"/>
    <w:rsid w:val="00E7696A"/>
    <w:rsid w:val="00E77118"/>
    <w:rsid w:val="00E84BE2"/>
    <w:rsid w:val="00E877F2"/>
    <w:rsid w:val="00E90B58"/>
    <w:rsid w:val="00E90CBD"/>
    <w:rsid w:val="00E911AC"/>
    <w:rsid w:val="00E91BB8"/>
    <w:rsid w:val="00E92E08"/>
    <w:rsid w:val="00E931A9"/>
    <w:rsid w:val="00E93A36"/>
    <w:rsid w:val="00E951F3"/>
    <w:rsid w:val="00E95476"/>
    <w:rsid w:val="00E966A2"/>
    <w:rsid w:val="00E97746"/>
    <w:rsid w:val="00E97F77"/>
    <w:rsid w:val="00EA0BCD"/>
    <w:rsid w:val="00EA0F5A"/>
    <w:rsid w:val="00EA3D40"/>
    <w:rsid w:val="00EA52E7"/>
    <w:rsid w:val="00EA5ACA"/>
    <w:rsid w:val="00EA6625"/>
    <w:rsid w:val="00EB1179"/>
    <w:rsid w:val="00EB2691"/>
    <w:rsid w:val="00EB2C23"/>
    <w:rsid w:val="00EB3335"/>
    <w:rsid w:val="00EB3850"/>
    <w:rsid w:val="00EB4DDB"/>
    <w:rsid w:val="00EB51E7"/>
    <w:rsid w:val="00EB5333"/>
    <w:rsid w:val="00EB66C1"/>
    <w:rsid w:val="00EB6930"/>
    <w:rsid w:val="00EB6ACE"/>
    <w:rsid w:val="00EC13AD"/>
    <w:rsid w:val="00EC151A"/>
    <w:rsid w:val="00EC180D"/>
    <w:rsid w:val="00EC4797"/>
    <w:rsid w:val="00EC4CFC"/>
    <w:rsid w:val="00EC73EF"/>
    <w:rsid w:val="00EC76C6"/>
    <w:rsid w:val="00ED0B7F"/>
    <w:rsid w:val="00ED1330"/>
    <w:rsid w:val="00ED25C0"/>
    <w:rsid w:val="00ED35F7"/>
    <w:rsid w:val="00ED3F79"/>
    <w:rsid w:val="00ED5304"/>
    <w:rsid w:val="00EE44F2"/>
    <w:rsid w:val="00EE7C9F"/>
    <w:rsid w:val="00EF0801"/>
    <w:rsid w:val="00EF35E8"/>
    <w:rsid w:val="00EF463E"/>
    <w:rsid w:val="00EF6249"/>
    <w:rsid w:val="00EF6D5B"/>
    <w:rsid w:val="00EF7361"/>
    <w:rsid w:val="00F00002"/>
    <w:rsid w:val="00F015D5"/>
    <w:rsid w:val="00F019D9"/>
    <w:rsid w:val="00F01FC7"/>
    <w:rsid w:val="00F04692"/>
    <w:rsid w:val="00F04C4B"/>
    <w:rsid w:val="00F10BC1"/>
    <w:rsid w:val="00F11C66"/>
    <w:rsid w:val="00F121E0"/>
    <w:rsid w:val="00F12830"/>
    <w:rsid w:val="00F13540"/>
    <w:rsid w:val="00F20B44"/>
    <w:rsid w:val="00F22FCE"/>
    <w:rsid w:val="00F23431"/>
    <w:rsid w:val="00F259CB"/>
    <w:rsid w:val="00F26514"/>
    <w:rsid w:val="00F26C2A"/>
    <w:rsid w:val="00F30CEB"/>
    <w:rsid w:val="00F310FC"/>
    <w:rsid w:val="00F33C91"/>
    <w:rsid w:val="00F3429F"/>
    <w:rsid w:val="00F352E9"/>
    <w:rsid w:val="00F3552A"/>
    <w:rsid w:val="00F35CFC"/>
    <w:rsid w:val="00F402D9"/>
    <w:rsid w:val="00F40507"/>
    <w:rsid w:val="00F4227D"/>
    <w:rsid w:val="00F424D6"/>
    <w:rsid w:val="00F46EED"/>
    <w:rsid w:val="00F51278"/>
    <w:rsid w:val="00F52379"/>
    <w:rsid w:val="00F5398A"/>
    <w:rsid w:val="00F54F5F"/>
    <w:rsid w:val="00F564B8"/>
    <w:rsid w:val="00F56E08"/>
    <w:rsid w:val="00F6301D"/>
    <w:rsid w:val="00F63252"/>
    <w:rsid w:val="00F64CE5"/>
    <w:rsid w:val="00F66554"/>
    <w:rsid w:val="00F66FB9"/>
    <w:rsid w:val="00F6716B"/>
    <w:rsid w:val="00F6775B"/>
    <w:rsid w:val="00F67A4A"/>
    <w:rsid w:val="00F701D9"/>
    <w:rsid w:val="00F714EA"/>
    <w:rsid w:val="00F743A3"/>
    <w:rsid w:val="00F75C79"/>
    <w:rsid w:val="00F76316"/>
    <w:rsid w:val="00F76C92"/>
    <w:rsid w:val="00F77140"/>
    <w:rsid w:val="00F82378"/>
    <w:rsid w:val="00F8465A"/>
    <w:rsid w:val="00F85EB7"/>
    <w:rsid w:val="00F8650C"/>
    <w:rsid w:val="00F86BE6"/>
    <w:rsid w:val="00F90B5F"/>
    <w:rsid w:val="00F91247"/>
    <w:rsid w:val="00F93059"/>
    <w:rsid w:val="00F945F7"/>
    <w:rsid w:val="00F95412"/>
    <w:rsid w:val="00F97658"/>
    <w:rsid w:val="00F97BE1"/>
    <w:rsid w:val="00FA02F2"/>
    <w:rsid w:val="00FA069B"/>
    <w:rsid w:val="00FA209A"/>
    <w:rsid w:val="00FA3C0F"/>
    <w:rsid w:val="00FB3359"/>
    <w:rsid w:val="00FB4491"/>
    <w:rsid w:val="00FB77D6"/>
    <w:rsid w:val="00FC022C"/>
    <w:rsid w:val="00FC0BF4"/>
    <w:rsid w:val="00FC13FB"/>
    <w:rsid w:val="00FC2EFB"/>
    <w:rsid w:val="00FC64DD"/>
    <w:rsid w:val="00FD1190"/>
    <w:rsid w:val="00FD1476"/>
    <w:rsid w:val="00FD5C11"/>
    <w:rsid w:val="00FD5C75"/>
    <w:rsid w:val="00FE272C"/>
    <w:rsid w:val="00FE346D"/>
    <w:rsid w:val="00FE36C7"/>
    <w:rsid w:val="00FE3A12"/>
    <w:rsid w:val="00FE4FD3"/>
    <w:rsid w:val="00FE529F"/>
    <w:rsid w:val="00FF11D9"/>
    <w:rsid w:val="00FF2607"/>
    <w:rsid w:val="00FF2A43"/>
    <w:rsid w:val="00FF3EA0"/>
    <w:rsid w:val="00FF4822"/>
    <w:rsid w:val="00FF4C07"/>
    <w:rsid w:val="00FF5EDB"/>
    <w:rsid w:val="00FF620B"/>
    <w:rsid w:val="00FF7042"/>
    <w:rsid w:val="00FF7B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341BB7"/>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6D41"/>
    <w:pPr>
      <w:spacing w:before="120"/>
      <w:ind w:left="-360" w:right="2880"/>
      <w:jc w:val="both"/>
    </w:pPr>
    <w:rPr>
      <w:noProof/>
    </w:rPr>
  </w:style>
  <w:style w:type="paragraph" w:styleId="Heading1">
    <w:name w:val="heading 1"/>
    <w:aliases w:val="SHA HEADING 1"/>
    <w:basedOn w:val="Normal"/>
    <w:next w:val="Normal"/>
    <w:link w:val="Heading1Char"/>
    <w:uiPriority w:val="9"/>
    <w:qFormat/>
    <w:rsid w:val="00EF7361"/>
    <w:pPr>
      <w:keepNext/>
      <w:keepLines/>
      <w:spacing w:before="360" w:after="240"/>
      <w:ind w:right="-360"/>
      <w:jc w:val="left"/>
      <w:outlineLvl w:val="0"/>
    </w:pPr>
    <w:rPr>
      <w:rFonts w:eastAsiaTheme="majorEastAsia" w:cstheme="majorBidi"/>
      <w:b/>
      <w:sz w:val="40"/>
      <w:szCs w:val="40"/>
    </w:rPr>
  </w:style>
  <w:style w:type="paragraph" w:styleId="Heading2">
    <w:name w:val="heading 2"/>
    <w:basedOn w:val="Normal"/>
    <w:next w:val="Normal"/>
    <w:link w:val="Heading2Char"/>
    <w:uiPriority w:val="9"/>
    <w:unhideWhenUsed/>
    <w:qFormat/>
    <w:rsid w:val="00EF7361"/>
    <w:pPr>
      <w:spacing w:before="360"/>
      <w:outlineLvl w:val="1"/>
    </w:pPr>
    <w:rPr>
      <w:b/>
      <w:sz w:val="30"/>
      <w:szCs w:val="30"/>
    </w:rPr>
  </w:style>
  <w:style w:type="paragraph" w:styleId="Heading3">
    <w:name w:val="heading 3"/>
    <w:basedOn w:val="Normal"/>
    <w:next w:val="Normal"/>
    <w:link w:val="Heading3Char"/>
    <w:uiPriority w:val="9"/>
    <w:unhideWhenUsed/>
    <w:qFormat/>
    <w:rsid w:val="007D7811"/>
    <w:pPr>
      <w:keepNext/>
      <w:keepLines/>
      <w:spacing w:before="240" w:after="0"/>
      <w:ind w:right="-360"/>
      <w:jc w:val="left"/>
      <w:outlineLvl w:val="2"/>
    </w:pPr>
    <w:rPr>
      <w:rFonts w:eastAsiaTheme="majorEastAsia" w:cstheme="majorBidi"/>
      <w:color w:val="203864"/>
      <w:sz w:val="26"/>
      <w:szCs w:val="26"/>
    </w:rPr>
  </w:style>
  <w:style w:type="paragraph" w:styleId="Heading4">
    <w:name w:val="heading 4"/>
    <w:basedOn w:val="Heading2"/>
    <w:next w:val="Normal"/>
    <w:link w:val="Heading4Char"/>
    <w:uiPriority w:val="9"/>
    <w:unhideWhenUsed/>
    <w:qFormat/>
    <w:rsid w:val="00EF7361"/>
    <w:pPr>
      <w:spacing w:before="240"/>
      <w:ind w:right="-360"/>
      <w:outlineLvl w:val="3"/>
    </w:pPr>
    <w:rPr>
      <w:sz w:val="24"/>
      <w:szCs w:val="24"/>
    </w:rPr>
  </w:style>
  <w:style w:type="paragraph" w:styleId="Heading5">
    <w:name w:val="heading 5"/>
    <w:basedOn w:val="Normal"/>
    <w:next w:val="Normal"/>
    <w:link w:val="Heading5Char"/>
    <w:uiPriority w:val="9"/>
    <w:unhideWhenUsed/>
    <w:qFormat/>
    <w:rsid w:val="004D187E"/>
    <w:pPr>
      <w:ind w:right="-360"/>
      <w:outlineLvl w:val="4"/>
    </w:pPr>
    <w:rPr>
      <w:b/>
      <w:color w:val="203864"/>
    </w:rPr>
  </w:style>
  <w:style w:type="paragraph" w:styleId="Heading6">
    <w:name w:val="heading 6"/>
    <w:basedOn w:val="Normal"/>
    <w:next w:val="Normal"/>
    <w:link w:val="Heading6Char"/>
    <w:uiPriority w:val="9"/>
    <w:unhideWhenUsed/>
    <w:qFormat/>
    <w:rsid w:val="00492AB1"/>
    <w:pPr>
      <w:spacing w:after="0" w:line="271" w:lineRule="auto"/>
      <w:ind w:left="0" w:right="0"/>
      <w:outlineLvl w:val="5"/>
    </w:pPr>
    <w:rPr>
      <w:rFonts w:asciiTheme="majorHAnsi" w:eastAsiaTheme="majorEastAsia" w:hAnsiTheme="majorHAnsi" w:cstheme="majorBidi"/>
      <w:b/>
      <w:bCs/>
      <w:i/>
      <w:iCs/>
      <w:noProof w:val="0"/>
      <w:color w:val="7F7F7F" w:themeColor="text1" w:themeTint="80"/>
    </w:rPr>
  </w:style>
  <w:style w:type="paragraph" w:styleId="Heading7">
    <w:name w:val="heading 7"/>
    <w:basedOn w:val="Normal"/>
    <w:next w:val="Normal"/>
    <w:link w:val="Heading7Char"/>
    <w:uiPriority w:val="9"/>
    <w:semiHidden/>
    <w:unhideWhenUsed/>
    <w:qFormat/>
    <w:rsid w:val="00492AB1"/>
    <w:pPr>
      <w:spacing w:after="0" w:line="276" w:lineRule="auto"/>
      <w:ind w:left="0" w:right="0"/>
      <w:outlineLvl w:val="6"/>
    </w:pPr>
    <w:rPr>
      <w:rFonts w:asciiTheme="majorHAnsi" w:eastAsiaTheme="majorEastAsia" w:hAnsiTheme="majorHAnsi" w:cstheme="majorBidi"/>
      <w:i/>
      <w:iCs/>
      <w:noProof w:val="0"/>
    </w:rPr>
  </w:style>
  <w:style w:type="paragraph" w:styleId="Heading8">
    <w:name w:val="heading 8"/>
    <w:basedOn w:val="Normal"/>
    <w:next w:val="Normal"/>
    <w:link w:val="Heading8Char"/>
    <w:uiPriority w:val="9"/>
    <w:semiHidden/>
    <w:unhideWhenUsed/>
    <w:qFormat/>
    <w:rsid w:val="00492AB1"/>
    <w:pPr>
      <w:spacing w:after="0" w:line="276" w:lineRule="auto"/>
      <w:ind w:left="0" w:right="0"/>
      <w:outlineLvl w:val="7"/>
    </w:pPr>
    <w:rPr>
      <w:rFonts w:asciiTheme="majorHAnsi" w:eastAsiaTheme="majorEastAsia" w:hAnsiTheme="majorHAnsi" w:cstheme="majorBidi"/>
      <w:noProof w:val="0"/>
      <w:sz w:val="20"/>
      <w:szCs w:val="20"/>
    </w:rPr>
  </w:style>
  <w:style w:type="paragraph" w:styleId="Heading9">
    <w:name w:val="heading 9"/>
    <w:basedOn w:val="Normal"/>
    <w:next w:val="Normal"/>
    <w:link w:val="Heading9Char"/>
    <w:uiPriority w:val="9"/>
    <w:semiHidden/>
    <w:unhideWhenUsed/>
    <w:qFormat/>
    <w:rsid w:val="00492AB1"/>
    <w:pPr>
      <w:spacing w:after="0" w:line="276" w:lineRule="auto"/>
      <w:ind w:left="0" w:right="0"/>
      <w:outlineLvl w:val="8"/>
    </w:pPr>
    <w:rPr>
      <w:rFonts w:asciiTheme="majorHAnsi" w:eastAsiaTheme="majorEastAsia" w:hAnsiTheme="majorHAnsi" w:cstheme="majorBidi"/>
      <w:i/>
      <w:iCs/>
      <w:noProof w:val="0"/>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rialHermann">
    <w:name w:val="Memorial Hermann"/>
    <w:basedOn w:val="Heading1"/>
    <w:rsid w:val="001503C2"/>
    <w:pPr>
      <w:spacing w:before="0" w:line="240" w:lineRule="auto"/>
    </w:pPr>
    <w:rPr>
      <w:b w:val="0"/>
      <w:color w:val="195974"/>
    </w:rPr>
  </w:style>
  <w:style w:type="character" w:customStyle="1" w:styleId="Heading1Char">
    <w:name w:val="Heading 1 Char"/>
    <w:aliases w:val="SHA HEADING 1 Char"/>
    <w:basedOn w:val="DefaultParagraphFont"/>
    <w:link w:val="Heading1"/>
    <w:uiPriority w:val="9"/>
    <w:rsid w:val="00EF7361"/>
    <w:rPr>
      <w:rFonts w:eastAsiaTheme="majorEastAsia" w:cstheme="majorBidi"/>
      <w:b/>
      <w:noProof/>
      <w:sz w:val="40"/>
      <w:szCs w:val="40"/>
    </w:rPr>
  </w:style>
  <w:style w:type="paragraph" w:customStyle="1" w:styleId="SHA">
    <w:name w:val="SHA"/>
    <w:basedOn w:val="Normal"/>
    <w:link w:val="SHAChar"/>
    <w:autoRedefine/>
    <w:qFormat/>
    <w:rsid w:val="00EF6249"/>
    <w:rPr>
      <w:rFonts w:ascii="Aileron Heavy" w:hAnsi="Aileron Heavy"/>
      <w:b/>
      <w:sz w:val="32"/>
      <w:szCs w:val="32"/>
    </w:rPr>
  </w:style>
  <w:style w:type="character" w:customStyle="1" w:styleId="SHAChar">
    <w:name w:val="SHA Char"/>
    <w:basedOn w:val="DefaultParagraphFont"/>
    <w:link w:val="SHA"/>
    <w:rsid w:val="00EF6249"/>
    <w:rPr>
      <w:rFonts w:ascii="Aileron Heavy" w:hAnsi="Aileron Heavy"/>
      <w:b/>
      <w:sz w:val="32"/>
      <w:szCs w:val="32"/>
    </w:rPr>
  </w:style>
  <w:style w:type="paragraph" w:styleId="Title">
    <w:name w:val="Title"/>
    <w:basedOn w:val="Normal"/>
    <w:next w:val="Normal"/>
    <w:link w:val="TitleChar"/>
    <w:uiPriority w:val="10"/>
    <w:qFormat/>
    <w:rsid w:val="006E3904"/>
    <w:pPr>
      <w:spacing w:before="360" w:after="0" w:line="240" w:lineRule="auto"/>
      <w:ind w:right="2160"/>
    </w:pPr>
    <w:rPr>
      <w:rFonts w:eastAsiaTheme="majorEastAsia" w:cstheme="majorBidi"/>
      <w:spacing w:val="-10"/>
      <w:kern w:val="28"/>
      <w:sz w:val="60"/>
      <w:szCs w:val="60"/>
    </w:rPr>
  </w:style>
  <w:style w:type="character" w:customStyle="1" w:styleId="TitleChar">
    <w:name w:val="Title Char"/>
    <w:basedOn w:val="DefaultParagraphFont"/>
    <w:link w:val="Title"/>
    <w:uiPriority w:val="10"/>
    <w:rsid w:val="006E3904"/>
    <w:rPr>
      <w:rFonts w:eastAsiaTheme="majorEastAsia" w:cstheme="majorBidi"/>
      <w:noProof/>
      <w:spacing w:val="-10"/>
      <w:kern w:val="28"/>
      <w:sz w:val="60"/>
      <w:szCs w:val="60"/>
    </w:rPr>
  </w:style>
  <w:style w:type="character" w:customStyle="1" w:styleId="Heading2Char">
    <w:name w:val="Heading 2 Char"/>
    <w:basedOn w:val="DefaultParagraphFont"/>
    <w:link w:val="Heading2"/>
    <w:uiPriority w:val="9"/>
    <w:rsid w:val="00EF7361"/>
    <w:rPr>
      <w:b/>
      <w:noProof/>
      <w:sz w:val="30"/>
      <w:szCs w:val="30"/>
    </w:rPr>
  </w:style>
  <w:style w:type="paragraph" w:styleId="Header">
    <w:name w:val="header"/>
    <w:basedOn w:val="Normal"/>
    <w:link w:val="HeaderChar"/>
    <w:uiPriority w:val="99"/>
    <w:unhideWhenUsed/>
    <w:rsid w:val="00195F02"/>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195F02"/>
    <w:rPr>
      <w:rFonts w:ascii="Aileron" w:hAnsi="Aileron"/>
    </w:rPr>
  </w:style>
  <w:style w:type="paragraph" w:styleId="Footer">
    <w:name w:val="footer"/>
    <w:basedOn w:val="Normal"/>
    <w:link w:val="FooterChar"/>
    <w:uiPriority w:val="99"/>
    <w:unhideWhenUsed/>
    <w:rsid w:val="00195F02"/>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195F02"/>
    <w:rPr>
      <w:rFonts w:ascii="Aileron" w:hAnsi="Aileron"/>
    </w:rPr>
  </w:style>
  <w:style w:type="paragraph" w:styleId="NoSpacing">
    <w:name w:val="No Spacing"/>
    <w:link w:val="NoSpacingChar"/>
    <w:uiPriority w:val="1"/>
    <w:qFormat/>
    <w:rsid w:val="00561BF0"/>
    <w:pPr>
      <w:spacing w:after="0" w:line="240" w:lineRule="auto"/>
      <w:jc w:val="both"/>
    </w:pPr>
    <w:rPr>
      <w:rFonts w:ascii="Aileron" w:hAnsi="Aileron"/>
      <w:sz w:val="21"/>
      <w:szCs w:val="21"/>
    </w:rPr>
  </w:style>
  <w:style w:type="paragraph" w:customStyle="1" w:styleId="Chapter">
    <w:name w:val="Chapter"/>
    <w:basedOn w:val="NoSpacing"/>
    <w:link w:val="ChapterChar"/>
    <w:qFormat/>
    <w:rsid w:val="00FC64DD"/>
    <w:pPr>
      <w:ind w:left="-360"/>
    </w:pPr>
    <w:rPr>
      <w:rFonts w:asciiTheme="minorHAnsi" w:hAnsiTheme="minorHAnsi"/>
      <w:b/>
      <w:sz w:val="60"/>
      <w:szCs w:val="60"/>
    </w:rPr>
  </w:style>
  <w:style w:type="paragraph" w:customStyle="1" w:styleId="ChapterName">
    <w:name w:val="Chapter Name"/>
    <w:basedOn w:val="NoSpacing"/>
    <w:link w:val="ChapterNameChar"/>
    <w:qFormat/>
    <w:rsid w:val="00E36D41"/>
    <w:pPr>
      <w:ind w:firstLine="720"/>
    </w:pPr>
    <w:rPr>
      <w:rFonts w:asciiTheme="minorHAnsi" w:hAnsiTheme="minorHAnsi"/>
      <w:sz w:val="68"/>
      <w:szCs w:val="68"/>
    </w:rPr>
  </w:style>
  <w:style w:type="character" w:customStyle="1" w:styleId="NoSpacingChar">
    <w:name w:val="No Spacing Char"/>
    <w:basedOn w:val="DefaultParagraphFont"/>
    <w:link w:val="NoSpacing"/>
    <w:uiPriority w:val="1"/>
    <w:rsid w:val="000B4605"/>
    <w:rPr>
      <w:rFonts w:ascii="Aileron" w:hAnsi="Aileron"/>
      <w:sz w:val="21"/>
      <w:szCs w:val="21"/>
    </w:rPr>
  </w:style>
  <w:style w:type="character" w:customStyle="1" w:styleId="ChapterChar">
    <w:name w:val="Chapter Char"/>
    <w:basedOn w:val="NoSpacingChar"/>
    <w:link w:val="Chapter"/>
    <w:rsid w:val="00FC64DD"/>
    <w:rPr>
      <w:rFonts w:ascii="Aileron" w:hAnsi="Aileron"/>
      <w:b/>
      <w:sz w:val="60"/>
      <w:szCs w:val="60"/>
    </w:rPr>
  </w:style>
  <w:style w:type="paragraph" w:styleId="ListParagraph">
    <w:name w:val="List Paragraph"/>
    <w:basedOn w:val="Normal"/>
    <w:uiPriority w:val="34"/>
    <w:qFormat/>
    <w:rsid w:val="002C6F32"/>
    <w:pPr>
      <w:ind w:left="720"/>
      <w:contextualSpacing/>
    </w:pPr>
  </w:style>
  <w:style w:type="character" w:customStyle="1" w:styleId="ChapterNameChar">
    <w:name w:val="Chapter Name Char"/>
    <w:basedOn w:val="NoSpacingChar"/>
    <w:link w:val="ChapterName"/>
    <w:rsid w:val="00E36D41"/>
    <w:rPr>
      <w:rFonts w:ascii="Aileron" w:hAnsi="Aileron"/>
      <w:sz w:val="68"/>
      <w:szCs w:val="68"/>
    </w:rPr>
  </w:style>
  <w:style w:type="paragraph" w:styleId="NormalWeb">
    <w:name w:val="Normal (Web)"/>
    <w:basedOn w:val="Normal"/>
    <w:uiPriority w:val="99"/>
    <w:rsid w:val="00033EA5"/>
    <w:pPr>
      <w:spacing w:before="100" w:beforeAutospacing="1" w:after="100" w:afterAutospacing="1" w:line="240" w:lineRule="auto"/>
      <w:jc w:val="left"/>
    </w:pPr>
    <w:rPr>
      <w:rFonts w:ascii="Times New Roman" w:eastAsia="Times New Roman" w:hAnsi="Times New Roman" w:cs="Times New Roman"/>
      <w:color w:val="000000"/>
      <w:sz w:val="24"/>
      <w:szCs w:val="24"/>
    </w:rPr>
  </w:style>
  <w:style w:type="character" w:customStyle="1" w:styleId="Heading3Char">
    <w:name w:val="Heading 3 Char"/>
    <w:basedOn w:val="DefaultParagraphFont"/>
    <w:link w:val="Heading3"/>
    <w:uiPriority w:val="9"/>
    <w:rsid w:val="007D7811"/>
    <w:rPr>
      <w:rFonts w:eastAsiaTheme="majorEastAsia" w:cstheme="majorBidi"/>
      <w:noProof/>
      <w:color w:val="203864"/>
      <w:sz w:val="26"/>
      <w:szCs w:val="26"/>
    </w:rPr>
  </w:style>
  <w:style w:type="paragraph" w:styleId="BalloonText">
    <w:name w:val="Balloon Text"/>
    <w:basedOn w:val="Normal"/>
    <w:link w:val="BalloonTextChar"/>
    <w:uiPriority w:val="99"/>
    <w:semiHidden/>
    <w:unhideWhenUsed/>
    <w:rsid w:val="006165F4"/>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65F4"/>
    <w:rPr>
      <w:rFonts w:ascii="Tahoma" w:hAnsi="Tahoma" w:cs="Tahoma"/>
      <w:sz w:val="16"/>
      <w:szCs w:val="16"/>
    </w:rPr>
  </w:style>
  <w:style w:type="character" w:styleId="CommentReference">
    <w:name w:val="annotation reference"/>
    <w:basedOn w:val="DefaultParagraphFont"/>
    <w:uiPriority w:val="99"/>
    <w:unhideWhenUsed/>
    <w:rsid w:val="00746EAF"/>
    <w:rPr>
      <w:sz w:val="16"/>
      <w:szCs w:val="16"/>
    </w:rPr>
  </w:style>
  <w:style w:type="paragraph" w:styleId="CommentText">
    <w:name w:val="annotation text"/>
    <w:basedOn w:val="Normal"/>
    <w:link w:val="CommentTextChar"/>
    <w:unhideWhenUsed/>
    <w:rsid w:val="00746EAF"/>
    <w:pPr>
      <w:spacing w:line="240" w:lineRule="auto"/>
    </w:pPr>
    <w:rPr>
      <w:sz w:val="20"/>
      <w:szCs w:val="20"/>
    </w:rPr>
  </w:style>
  <w:style w:type="character" w:customStyle="1" w:styleId="CommentTextChar">
    <w:name w:val="Comment Text Char"/>
    <w:basedOn w:val="DefaultParagraphFont"/>
    <w:link w:val="CommentText"/>
    <w:rsid w:val="00746EAF"/>
    <w:rPr>
      <w:rFonts w:ascii="Aileron" w:hAnsi="Aileron"/>
      <w:sz w:val="20"/>
      <w:szCs w:val="20"/>
    </w:rPr>
  </w:style>
  <w:style w:type="paragraph" w:styleId="CommentSubject">
    <w:name w:val="annotation subject"/>
    <w:basedOn w:val="CommentText"/>
    <w:next w:val="CommentText"/>
    <w:link w:val="CommentSubjectChar"/>
    <w:uiPriority w:val="99"/>
    <w:semiHidden/>
    <w:unhideWhenUsed/>
    <w:rsid w:val="00746EAF"/>
    <w:rPr>
      <w:b/>
      <w:bCs/>
    </w:rPr>
  </w:style>
  <w:style w:type="character" w:customStyle="1" w:styleId="CommentSubjectChar">
    <w:name w:val="Comment Subject Char"/>
    <w:basedOn w:val="CommentTextChar"/>
    <w:link w:val="CommentSubject"/>
    <w:uiPriority w:val="99"/>
    <w:semiHidden/>
    <w:rsid w:val="00746EAF"/>
    <w:rPr>
      <w:rFonts w:ascii="Aileron" w:hAnsi="Aileron"/>
      <w:b/>
      <w:bCs/>
      <w:sz w:val="20"/>
      <w:szCs w:val="20"/>
    </w:rPr>
  </w:style>
  <w:style w:type="paragraph" w:styleId="FootnoteText">
    <w:name w:val="footnote text"/>
    <w:basedOn w:val="Normal"/>
    <w:link w:val="FootnoteTextChar"/>
    <w:uiPriority w:val="99"/>
    <w:unhideWhenUsed/>
    <w:rsid w:val="00C9671C"/>
    <w:pPr>
      <w:spacing w:before="0" w:after="0" w:line="240" w:lineRule="auto"/>
    </w:pPr>
    <w:rPr>
      <w:sz w:val="20"/>
      <w:szCs w:val="20"/>
    </w:rPr>
  </w:style>
  <w:style w:type="character" w:customStyle="1" w:styleId="FootnoteTextChar">
    <w:name w:val="Footnote Text Char"/>
    <w:basedOn w:val="DefaultParagraphFont"/>
    <w:link w:val="FootnoteText"/>
    <w:uiPriority w:val="99"/>
    <w:rsid w:val="00C9671C"/>
    <w:rPr>
      <w:noProof/>
      <w:sz w:val="20"/>
      <w:szCs w:val="20"/>
    </w:rPr>
  </w:style>
  <w:style w:type="character" w:styleId="FootnoteReference">
    <w:name w:val="footnote reference"/>
    <w:basedOn w:val="DefaultParagraphFont"/>
    <w:uiPriority w:val="99"/>
    <w:unhideWhenUsed/>
    <w:rsid w:val="00C9671C"/>
    <w:rPr>
      <w:vertAlign w:val="superscript"/>
    </w:rPr>
  </w:style>
  <w:style w:type="paragraph" w:customStyle="1" w:styleId="Fignum">
    <w:name w:val="Fignum"/>
    <w:basedOn w:val="NoSpacing"/>
    <w:link w:val="FignumChar"/>
    <w:rsid w:val="00C9671C"/>
    <w:pPr>
      <w:spacing w:before="120" w:after="160"/>
      <w:ind w:left="-360" w:right="-360"/>
    </w:pPr>
    <w:rPr>
      <w:rFonts w:asciiTheme="minorHAnsi" w:hAnsiTheme="minorHAnsi"/>
      <w:smallCaps/>
      <w:sz w:val="22"/>
      <w:szCs w:val="22"/>
    </w:rPr>
  </w:style>
  <w:style w:type="paragraph" w:customStyle="1" w:styleId="FigName">
    <w:name w:val="FigName"/>
    <w:basedOn w:val="NoSpacing"/>
    <w:link w:val="FigNameChar"/>
    <w:rsid w:val="00C9671C"/>
    <w:pPr>
      <w:spacing w:before="120" w:after="160"/>
      <w:ind w:left="-360" w:right="-360"/>
    </w:pPr>
    <w:rPr>
      <w:rFonts w:asciiTheme="minorHAnsi" w:hAnsiTheme="minorHAnsi"/>
      <w:b/>
      <w:sz w:val="22"/>
      <w:szCs w:val="22"/>
    </w:rPr>
  </w:style>
  <w:style w:type="character" w:customStyle="1" w:styleId="FignumChar">
    <w:name w:val="Fignum Char"/>
    <w:basedOn w:val="NoSpacingChar"/>
    <w:link w:val="Fignum"/>
    <w:rsid w:val="00C9671C"/>
    <w:rPr>
      <w:rFonts w:ascii="Aileron" w:hAnsi="Aileron"/>
      <w:smallCaps/>
      <w:sz w:val="21"/>
      <w:szCs w:val="21"/>
    </w:rPr>
  </w:style>
  <w:style w:type="character" w:customStyle="1" w:styleId="FigNameChar">
    <w:name w:val="FigName Char"/>
    <w:basedOn w:val="NoSpacingChar"/>
    <w:link w:val="FigName"/>
    <w:rsid w:val="00C9671C"/>
    <w:rPr>
      <w:rFonts w:ascii="Aileron" w:hAnsi="Aileron"/>
      <w:b/>
      <w:sz w:val="21"/>
      <w:szCs w:val="21"/>
    </w:rPr>
  </w:style>
  <w:style w:type="character" w:customStyle="1" w:styleId="Heading4Char">
    <w:name w:val="Heading 4 Char"/>
    <w:basedOn w:val="DefaultParagraphFont"/>
    <w:link w:val="Heading4"/>
    <w:uiPriority w:val="9"/>
    <w:rsid w:val="00EF7361"/>
    <w:rPr>
      <w:b/>
      <w:noProof/>
      <w:sz w:val="24"/>
      <w:szCs w:val="24"/>
    </w:rPr>
  </w:style>
  <w:style w:type="paragraph" w:styleId="EndnoteText">
    <w:name w:val="endnote text"/>
    <w:basedOn w:val="Normal"/>
    <w:link w:val="EndnoteTextChar"/>
    <w:uiPriority w:val="99"/>
    <w:unhideWhenUsed/>
    <w:rsid w:val="00FB3359"/>
    <w:pPr>
      <w:spacing w:before="0" w:after="0" w:line="240" w:lineRule="auto"/>
    </w:pPr>
    <w:rPr>
      <w:sz w:val="20"/>
      <w:szCs w:val="20"/>
    </w:rPr>
  </w:style>
  <w:style w:type="character" w:customStyle="1" w:styleId="EndnoteTextChar">
    <w:name w:val="Endnote Text Char"/>
    <w:basedOn w:val="DefaultParagraphFont"/>
    <w:link w:val="EndnoteText"/>
    <w:uiPriority w:val="99"/>
    <w:rsid w:val="00FB3359"/>
    <w:rPr>
      <w:noProof/>
      <w:sz w:val="20"/>
      <w:szCs w:val="20"/>
    </w:rPr>
  </w:style>
  <w:style w:type="character" w:styleId="EndnoteReference">
    <w:name w:val="endnote reference"/>
    <w:basedOn w:val="DefaultParagraphFont"/>
    <w:uiPriority w:val="99"/>
    <w:unhideWhenUsed/>
    <w:rsid w:val="00FB3359"/>
    <w:rPr>
      <w:vertAlign w:val="superscript"/>
    </w:rPr>
  </w:style>
  <w:style w:type="paragraph" w:styleId="Revision">
    <w:name w:val="Revision"/>
    <w:hidden/>
    <w:uiPriority w:val="99"/>
    <w:semiHidden/>
    <w:rsid w:val="000F3675"/>
    <w:pPr>
      <w:spacing w:after="0" w:line="240" w:lineRule="auto"/>
    </w:pPr>
    <w:rPr>
      <w:noProof/>
    </w:rPr>
  </w:style>
  <w:style w:type="character" w:styleId="Hyperlink">
    <w:name w:val="Hyperlink"/>
    <w:uiPriority w:val="99"/>
    <w:unhideWhenUsed/>
    <w:rsid w:val="001E2DF1"/>
    <w:rPr>
      <w:rFonts w:cstheme="minorHAnsi"/>
      <w:color w:val="303030"/>
      <w:shd w:val="clear" w:color="auto" w:fill="FFFFFF"/>
    </w:rPr>
  </w:style>
  <w:style w:type="table" w:styleId="TableGrid">
    <w:name w:val="Table Grid"/>
    <w:basedOn w:val="TableNormal"/>
    <w:rsid w:val="00EF0801"/>
    <w:pPr>
      <w:spacing w:before="120" w:after="0" w:line="240" w:lineRule="auto"/>
      <w:ind w:left="-360" w:right="-3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qFormat/>
    <w:rsid w:val="00EF0801"/>
    <w:pPr>
      <w:spacing w:before="0" w:after="200" w:line="240" w:lineRule="auto"/>
      <w:ind w:left="0" w:right="0"/>
    </w:pPr>
    <w:rPr>
      <w:rFonts w:cstheme="minorHAnsi"/>
      <w:iCs/>
      <w:smallCaps/>
      <w:color w:val="000000" w:themeColor="text1"/>
      <w:sz w:val="20"/>
      <w:szCs w:val="18"/>
    </w:rPr>
  </w:style>
  <w:style w:type="character" w:customStyle="1" w:styleId="apple-converted-space">
    <w:name w:val="apple-converted-space"/>
    <w:basedOn w:val="DefaultParagraphFont"/>
    <w:rsid w:val="00EF0801"/>
  </w:style>
  <w:style w:type="character" w:styleId="FollowedHyperlink">
    <w:name w:val="FollowedHyperlink"/>
    <w:basedOn w:val="DefaultParagraphFont"/>
    <w:uiPriority w:val="99"/>
    <w:semiHidden/>
    <w:unhideWhenUsed/>
    <w:rsid w:val="00EF0801"/>
    <w:rPr>
      <w:color w:val="954F72" w:themeColor="followedHyperlink"/>
      <w:u w:val="single"/>
    </w:rPr>
  </w:style>
  <w:style w:type="table" w:customStyle="1" w:styleId="PlainTable31">
    <w:name w:val="Plain Table 31"/>
    <w:basedOn w:val="TableNormal"/>
    <w:next w:val="PlainTable32"/>
    <w:uiPriority w:val="43"/>
    <w:rsid w:val="00EF0801"/>
    <w:pPr>
      <w:spacing w:before="120" w:after="0" w:line="240" w:lineRule="auto"/>
      <w:ind w:left="-360" w:right="-360"/>
      <w:jc w:val="both"/>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32">
    <w:name w:val="Plain Table 32"/>
    <w:basedOn w:val="TableNormal"/>
    <w:uiPriority w:val="43"/>
    <w:rsid w:val="00EF0801"/>
    <w:pPr>
      <w:spacing w:before="120" w:after="0" w:line="240" w:lineRule="auto"/>
      <w:ind w:left="-360" w:right="-360"/>
      <w:jc w:val="both"/>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Subtitle">
    <w:name w:val="Subtitle"/>
    <w:aliases w:val="FigNum"/>
    <w:basedOn w:val="Normal"/>
    <w:next w:val="Normal"/>
    <w:link w:val="SubtitleChar"/>
    <w:uiPriority w:val="11"/>
    <w:qFormat/>
    <w:rsid w:val="00EF0801"/>
    <w:pPr>
      <w:numPr>
        <w:ilvl w:val="1"/>
      </w:numPr>
      <w:ind w:left="-360" w:right="0"/>
    </w:pPr>
    <w:rPr>
      <w:rFonts w:eastAsiaTheme="minorEastAsia" w:cstheme="minorHAnsi"/>
      <w:b/>
      <w:color w:val="000000" w:themeColor="text1"/>
    </w:rPr>
  </w:style>
  <w:style w:type="character" w:customStyle="1" w:styleId="SubtitleChar">
    <w:name w:val="Subtitle Char"/>
    <w:aliases w:val="FigNum Char"/>
    <w:basedOn w:val="DefaultParagraphFont"/>
    <w:link w:val="Subtitle"/>
    <w:uiPriority w:val="11"/>
    <w:rsid w:val="00EF0801"/>
    <w:rPr>
      <w:rFonts w:eastAsiaTheme="minorEastAsia" w:cstheme="minorHAnsi"/>
      <w:b/>
      <w:noProof/>
      <w:color w:val="000000" w:themeColor="text1"/>
    </w:rPr>
  </w:style>
  <w:style w:type="character" w:styleId="Strong">
    <w:name w:val="Strong"/>
    <w:uiPriority w:val="22"/>
    <w:qFormat/>
    <w:rsid w:val="00EF0801"/>
    <w:rPr>
      <w:smallCaps/>
    </w:rPr>
  </w:style>
  <w:style w:type="paragraph" w:customStyle="1" w:styleId="FigureorTable">
    <w:name w:val="Figure or Table"/>
    <w:basedOn w:val="FigTitle"/>
    <w:link w:val="FigureorTableChar"/>
    <w:rsid w:val="00EF0801"/>
    <w:rPr>
      <w:b w:val="0"/>
    </w:rPr>
  </w:style>
  <w:style w:type="paragraph" w:customStyle="1" w:styleId="FigTitle">
    <w:name w:val="FigTitle"/>
    <w:basedOn w:val="Subtitle"/>
    <w:link w:val="FigTitleChar"/>
    <w:rsid w:val="00EF0801"/>
  </w:style>
  <w:style w:type="character" w:customStyle="1" w:styleId="FigureorTableChar">
    <w:name w:val="Figure or Table Char"/>
    <w:basedOn w:val="SubtitleChar"/>
    <w:link w:val="FigureorTable"/>
    <w:rsid w:val="00EF0801"/>
    <w:rPr>
      <w:rFonts w:eastAsiaTheme="minorEastAsia" w:cstheme="minorHAnsi"/>
      <w:b w:val="0"/>
      <w:noProof/>
      <w:color w:val="000000" w:themeColor="text1"/>
    </w:rPr>
  </w:style>
  <w:style w:type="paragraph" w:customStyle="1" w:styleId="Source">
    <w:name w:val="Source"/>
    <w:basedOn w:val="Caption"/>
    <w:link w:val="SourceChar"/>
    <w:rsid w:val="00EF0801"/>
  </w:style>
  <w:style w:type="character" w:customStyle="1" w:styleId="FigTitleChar">
    <w:name w:val="FigTitle Char"/>
    <w:basedOn w:val="SubtitleChar"/>
    <w:link w:val="FigTitle"/>
    <w:rsid w:val="00EF0801"/>
    <w:rPr>
      <w:rFonts w:eastAsiaTheme="minorEastAsia" w:cstheme="minorHAnsi"/>
      <w:b/>
      <w:noProof/>
      <w:color w:val="000000" w:themeColor="text1"/>
    </w:rPr>
  </w:style>
  <w:style w:type="table" w:customStyle="1" w:styleId="TableGrid1">
    <w:name w:val="Table Grid1"/>
    <w:basedOn w:val="TableNormal"/>
    <w:next w:val="TableGrid"/>
    <w:uiPriority w:val="39"/>
    <w:rsid w:val="00EF0801"/>
    <w:pPr>
      <w:spacing w:before="120" w:after="0" w:line="240" w:lineRule="auto"/>
      <w:ind w:left="-360" w:right="-3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tionChar">
    <w:name w:val="Caption Char"/>
    <w:basedOn w:val="DefaultParagraphFont"/>
    <w:link w:val="Caption"/>
    <w:uiPriority w:val="35"/>
    <w:rsid w:val="00EF0801"/>
    <w:rPr>
      <w:rFonts w:cstheme="minorHAnsi"/>
      <w:iCs/>
      <w:smallCaps/>
      <w:noProof/>
      <w:color w:val="000000" w:themeColor="text1"/>
      <w:sz w:val="20"/>
      <w:szCs w:val="18"/>
    </w:rPr>
  </w:style>
  <w:style w:type="character" w:customStyle="1" w:styleId="SourceChar">
    <w:name w:val="Source Char"/>
    <w:basedOn w:val="CaptionChar"/>
    <w:link w:val="Source"/>
    <w:rsid w:val="00EF0801"/>
    <w:rPr>
      <w:rFonts w:cstheme="minorHAnsi"/>
      <w:iCs/>
      <w:smallCaps/>
      <w:noProof/>
      <w:color w:val="000000" w:themeColor="text1"/>
      <w:sz w:val="20"/>
      <w:szCs w:val="18"/>
    </w:rPr>
  </w:style>
  <w:style w:type="table" w:customStyle="1" w:styleId="PlainTable311">
    <w:name w:val="Plain Table 311"/>
    <w:basedOn w:val="TableNormal"/>
    <w:next w:val="PlainTable32"/>
    <w:uiPriority w:val="43"/>
    <w:rsid w:val="00EF0801"/>
    <w:pPr>
      <w:spacing w:before="120" w:after="0" w:line="240" w:lineRule="auto"/>
      <w:ind w:left="-360" w:right="-360"/>
      <w:jc w:val="both"/>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customStyle="1" w:styleId="fIGnUM0">
    <w:name w:val="fIG nUM"/>
    <w:basedOn w:val="FigureorTable"/>
    <w:link w:val="fIGnUMChar0"/>
    <w:qFormat/>
    <w:rsid w:val="00EF0801"/>
  </w:style>
  <w:style w:type="character" w:customStyle="1" w:styleId="fIGnUMChar0">
    <w:name w:val="fIG nUM Char"/>
    <w:basedOn w:val="FigTitleChar"/>
    <w:link w:val="fIGnUM0"/>
    <w:rsid w:val="00EF0801"/>
    <w:rPr>
      <w:rFonts w:eastAsiaTheme="minorEastAsia" w:cstheme="minorHAnsi"/>
      <w:b w:val="0"/>
      <w:noProof/>
      <w:color w:val="000000" w:themeColor="text1"/>
    </w:rPr>
  </w:style>
  <w:style w:type="paragraph" w:customStyle="1" w:styleId="Normal1">
    <w:name w:val="Normal1"/>
    <w:rsid w:val="00EF0801"/>
    <w:pPr>
      <w:widowControl w:val="0"/>
      <w:pBdr>
        <w:top w:val="nil"/>
        <w:left w:val="nil"/>
        <w:bottom w:val="nil"/>
        <w:right w:val="nil"/>
        <w:between w:val="nil"/>
        <w:bar w:val="nil"/>
      </w:pBdr>
      <w:spacing w:after="200" w:line="276" w:lineRule="auto"/>
    </w:pPr>
    <w:rPr>
      <w:rFonts w:ascii="Calibri" w:eastAsia="Calibri" w:hAnsi="Calibri" w:cs="Calibri"/>
      <w:color w:val="000000"/>
      <w:u w:color="000000"/>
      <w:bdr w:val="nil"/>
    </w:rPr>
  </w:style>
  <w:style w:type="character" w:customStyle="1" w:styleId="sr-only">
    <w:name w:val="sr-only"/>
    <w:basedOn w:val="DefaultParagraphFont"/>
    <w:rsid w:val="00EF0801"/>
  </w:style>
  <w:style w:type="character" w:customStyle="1" w:styleId="text">
    <w:name w:val="text"/>
    <w:basedOn w:val="DefaultParagraphFont"/>
    <w:rsid w:val="00EF0801"/>
  </w:style>
  <w:style w:type="character" w:customStyle="1" w:styleId="author-ref">
    <w:name w:val="author-ref"/>
    <w:basedOn w:val="DefaultParagraphFont"/>
    <w:rsid w:val="00EF0801"/>
  </w:style>
  <w:style w:type="paragraph" w:styleId="HTMLPreformatted">
    <w:name w:val="HTML Preformatted"/>
    <w:basedOn w:val="Normal"/>
    <w:link w:val="HTMLPreformattedChar"/>
    <w:uiPriority w:val="99"/>
    <w:unhideWhenUsed/>
    <w:rsid w:val="00BA2E13"/>
    <w:pPr>
      <w:spacing w:before="0" w:after="0" w:line="240" w:lineRule="auto"/>
      <w:ind w:left="0" w:right="0"/>
      <w:jc w:val="left"/>
    </w:pPr>
    <w:rPr>
      <w:rFonts w:ascii="Consolas" w:hAnsi="Consolas" w:cs="Consolas"/>
      <w:noProof w:val="0"/>
      <w:sz w:val="20"/>
      <w:szCs w:val="20"/>
    </w:rPr>
  </w:style>
  <w:style w:type="character" w:customStyle="1" w:styleId="HTMLPreformattedChar">
    <w:name w:val="HTML Preformatted Char"/>
    <w:basedOn w:val="DefaultParagraphFont"/>
    <w:link w:val="HTMLPreformatted"/>
    <w:uiPriority w:val="99"/>
    <w:rsid w:val="00BA2E13"/>
    <w:rPr>
      <w:rFonts w:ascii="Consolas" w:hAnsi="Consolas" w:cs="Consolas"/>
      <w:sz w:val="20"/>
      <w:szCs w:val="20"/>
    </w:rPr>
  </w:style>
  <w:style w:type="character" w:styleId="Emphasis">
    <w:name w:val="Emphasis"/>
    <w:basedOn w:val="DefaultParagraphFont"/>
    <w:uiPriority w:val="20"/>
    <w:qFormat/>
    <w:rsid w:val="00BA2E13"/>
    <w:rPr>
      <w:i/>
      <w:iCs/>
    </w:rPr>
  </w:style>
  <w:style w:type="character" w:customStyle="1" w:styleId="A15">
    <w:name w:val="A15"/>
    <w:uiPriority w:val="99"/>
    <w:rsid w:val="00BA2E13"/>
    <w:rPr>
      <w:rFonts w:cs="TradeGothic Light"/>
      <w:color w:val="000000"/>
      <w:sz w:val="16"/>
      <w:szCs w:val="16"/>
    </w:rPr>
  </w:style>
  <w:style w:type="character" w:customStyle="1" w:styleId="wi-fullname">
    <w:name w:val="wi-fullname"/>
    <w:basedOn w:val="DefaultParagraphFont"/>
    <w:rsid w:val="00BA2E13"/>
  </w:style>
  <w:style w:type="character" w:customStyle="1" w:styleId="meta-citation-journal-name">
    <w:name w:val="meta-citation-journal-name"/>
    <w:basedOn w:val="DefaultParagraphFont"/>
    <w:rsid w:val="00BA2E13"/>
  </w:style>
  <w:style w:type="character" w:customStyle="1" w:styleId="meta-citation">
    <w:name w:val="meta-citation"/>
    <w:basedOn w:val="DefaultParagraphFont"/>
    <w:rsid w:val="00BA2E13"/>
  </w:style>
  <w:style w:type="character" w:customStyle="1" w:styleId="ms-rtefontface-5">
    <w:name w:val="ms-rtefontface-5"/>
    <w:basedOn w:val="DefaultParagraphFont"/>
    <w:rsid w:val="00BA2E13"/>
  </w:style>
  <w:style w:type="paragraph" w:customStyle="1" w:styleId="Default">
    <w:name w:val="Default"/>
    <w:rsid w:val="00BA2E13"/>
    <w:pPr>
      <w:autoSpaceDE w:val="0"/>
      <w:autoSpaceDN w:val="0"/>
      <w:adjustRightInd w:val="0"/>
      <w:spacing w:after="0" w:line="240" w:lineRule="auto"/>
    </w:pPr>
    <w:rPr>
      <w:rFonts w:ascii="Arial" w:hAnsi="Arial" w:cs="Arial"/>
      <w:color w:val="000000"/>
      <w:sz w:val="24"/>
      <w:szCs w:val="24"/>
    </w:rPr>
  </w:style>
  <w:style w:type="character" w:customStyle="1" w:styleId="highlight">
    <w:name w:val="highlight"/>
    <w:basedOn w:val="DefaultParagraphFont"/>
    <w:rsid w:val="00BA2E13"/>
  </w:style>
  <w:style w:type="paragraph" w:customStyle="1" w:styleId="fignum1">
    <w:name w:val="fignum"/>
    <w:basedOn w:val="Normal"/>
    <w:link w:val="fignumChar1"/>
    <w:rsid w:val="00BA2E13"/>
    <w:pPr>
      <w:ind w:left="0" w:right="0"/>
      <w:jc w:val="left"/>
    </w:pPr>
    <w:rPr>
      <w:smallCaps/>
      <w:noProof w:val="0"/>
    </w:rPr>
  </w:style>
  <w:style w:type="paragraph" w:customStyle="1" w:styleId="figtitle0">
    <w:name w:val="figtitle"/>
    <w:basedOn w:val="Normal"/>
    <w:link w:val="figtitleChar0"/>
    <w:rsid w:val="00BA2E13"/>
    <w:pPr>
      <w:ind w:left="0" w:right="0"/>
      <w:jc w:val="left"/>
    </w:pPr>
    <w:rPr>
      <w:b/>
      <w:noProof w:val="0"/>
    </w:rPr>
  </w:style>
  <w:style w:type="character" w:customStyle="1" w:styleId="fignumChar1">
    <w:name w:val="fignum Char"/>
    <w:basedOn w:val="DefaultParagraphFont"/>
    <w:link w:val="fignum1"/>
    <w:rsid w:val="00BA2E13"/>
    <w:rPr>
      <w:smallCaps/>
    </w:rPr>
  </w:style>
  <w:style w:type="paragraph" w:customStyle="1" w:styleId="source0">
    <w:name w:val="source"/>
    <w:basedOn w:val="Normal"/>
    <w:link w:val="sourceChar0"/>
    <w:rsid w:val="00BA2E13"/>
    <w:pPr>
      <w:spacing w:after="120"/>
      <w:ind w:left="0" w:right="0"/>
      <w:jc w:val="left"/>
    </w:pPr>
    <w:rPr>
      <w:smallCaps/>
      <w:noProof w:val="0"/>
      <w:sz w:val="21"/>
      <w:szCs w:val="21"/>
    </w:rPr>
  </w:style>
  <w:style w:type="character" w:customStyle="1" w:styleId="figtitleChar0">
    <w:name w:val="figtitle Char"/>
    <w:basedOn w:val="DefaultParagraphFont"/>
    <w:link w:val="figtitle0"/>
    <w:rsid w:val="00BA2E13"/>
    <w:rPr>
      <w:b/>
    </w:rPr>
  </w:style>
  <w:style w:type="character" w:customStyle="1" w:styleId="sourceChar0">
    <w:name w:val="source Char"/>
    <w:basedOn w:val="DefaultParagraphFont"/>
    <w:link w:val="source0"/>
    <w:rsid w:val="00BA2E13"/>
    <w:rPr>
      <w:smallCaps/>
      <w:sz w:val="21"/>
      <w:szCs w:val="21"/>
    </w:rPr>
  </w:style>
  <w:style w:type="character" w:customStyle="1" w:styleId="cit-auth">
    <w:name w:val="cit-auth"/>
    <w:basedOn w:val="DefaultParagraphFont"/>
    <w:rsid w:val="00BA2E13"/>
  </w:style>
  <w:style w:type="character" w:customStyle="1" w:styleId="cit-name-surname">
    <w:name w:val="cit-name-surname"/>
    <w:basedOn w:val="DefaultParagraphFont"/>
    <w:rsid w:val="00BA2E13"/>
  </w:style>
  <w:style w:type="character" w:customStyle="1" w:styleId="cit-name-given-names">
    <w:name w:val="cit-name-given-names"/>
    <w:basedOn w:val="DefaultParagraphFont"/>
    <w:rsid w:val="00BA2E13"/>
  </w:style>
  <w:style w:type="character" w:styleId="HTMLCite">
    <w:name w:val="HTML Cite"/>
    <w:basedOn w:val="DefaultParagraphFont"/>
    <w:uiPriority w:val="99"/>
    <w:semiHidden/>
    <w:unhideWhenUsed/>
    <w:rsid w:val="00BA2E13"/>
    <w:rPr>
      <w:i/>
      <w:iCs/>
    </w:rPr>
  </w:style>
  <w:style w:type="character" w:customStyle="1" w:styleId="cit-article-title">
    <w:name w:val="cit-article-title"/>
    <w:basedOn w:val="DefaultParagraphFont"/>
    <w:rsid w:val="00BA2E13"/>
  </w:style>
  <w:style w:type="character" w:customStyle="1" w:styleId="cit-pub-date">
    <w:name w:val="cit-pub-date"/>
    <w:basedOn w:val="DefaultParagraphFont"/>
    <w:rsid w:val="00BA2E13"/>
  </w:style>
  <w:style w:type="character" w:customStyle="1" w:styleId="cit-vol">
    <w:name w:val="cit-vol"/>
    <w:basedOn w:val="DefaultParagraphFont"/>
    <w:rsid w:val="00BA2E13"/>
  </w:style>
  <w:style w:type="character" w:customStyle="1" w:styleId="cit-issue">
    <w:name w:val="cit-issue"/>
    <w:basedOn w:val="DefaultParagraphFont"/>
    <w:rsid w:val="00BA2E13"/>
  </w:style>
  <w:style w:type="character" w:customStyle="1" w:styleId="cit-pub-id">
    <w:name w:val="cit-pub-id"/>
    <w:basedOn w:val="DefaultParagraphFont"/>
    <w:rsid w:val="00BA2E13"/>
  </w:style>
  <w:style w:type="character" w:customStyle="1" w:styleId="cit-pub-id-scheme-pmid">
    <w:name w:val="cit-pub-id-scheme-pmid"/>
    <w:basedOn w:val="DefaultParagraphFont"/>
    <w:rsid w:val="00BA2E13"/>
  </w:style>
  <w:style w:type="character" w:customStyle="1" w:styleId="cit-etal">
    <w:name w:val="cit-etal"/>
    <w:basedOn w:val="DefaultParagraphFont"/>
    <w:rsid w:val="00BA2E13"/>
  </w:style>
  <w:style w:type="character" w:customStyle="1" w:styleId="Mention1">
    <w:name w:val="Mention1"/>
    <w:basedOn w:val="DefaultParagraphFont"/>
    <w:uiPriority w:val="99"/>
    <w:semiHidden/>
    <w:unhideWhenUsed/>
    <w:rsid w:val="00367354"/>
    <w:rPr>
      <w:color w:val="2B579A"/>
      <w:shd w:val="clear" w:color="auto" w:fill="E6E6E6"/>
    </w:rPr>
  </w:style>
  <w:style w:type="character" w:styleId="SubtleEmphasis">
    <w:name w:val="Subtle Emphasis"/>
    <w:uiPriority w:val="19"/>
    <w:qFormat/>
    <w:rsid w:val="00367354"/>
    <w:rPr>
      <w:rFonts w:asciiTheme="minorHAnsi" w:hAnsiTheme="minorHAnsi"/>
      <w:b/>
      <w:i w:val="0"/>
      <w:iCs/>
      <w:color w:val="404040" w:themeColor="text1" w:themeTint="BF"/>
      <w:sz w:val="22"/>
    </w:rPr>
  </w:style>
  <w:style w:type="character" w:styleId="PlaceholderText">
    <w:name w:val="Placeholder Text"/>
    <w:basedOn w:val="DefaultParagraphFont"/>
    <w:uiPriority w:val="99"/>
    <w:semiHidden/>
    <w:rsid w:val="00367354"/>
    <w:rPr>
      <w:color w:val="808080"/>
    </w:rPr>
  </w:style>
  <w:style w:type="character" w:customStyle="1" w:styleId="Hyperlink1">
    <w:name w:val="Hyperlink1"/>
    <w:basedOn w:val="DefaultParagraphFont"/>
    <w:unhideWhenUsed/>
    <w:rsid w:val="00367354"/>
    <w:rPr>
      <w:color w:val="0563C1"/>
      <w:u w:val="single"/>
    </w:rPr>
  </w:style>
  <w:style w:type="character" w:customStyle="1" w:styleId="print-only">
    <w:name w:val="print-only"/>
    <w:basedOn w:val="DefaultParagraphFont"/>
    <w:rsid w:val="00AA055A"/>
  </w:style>
  <w:style w:type="character" w:customStyle="1" w:styleId="Heading5Char">
    <w:name w:val="Heading 5 Char"/>
    <w:basedOn w:val="DefaultParagraphFont"/>
    <w:link w:val="Heading5"/>
    <w:uiPriority w:val="9"/>
    <w:rsid w:val="004D187E"/>
    <w:rPr>
      <w:b/>
      <w:noProof/>
      <w:color w:val="203864"/>
    </w:rPr>
  </w:style>
  <w:style w:type="character" w:customStyle="1" w:styleId="label">
    <w:name w:val="label"/>
    <w:basedOn w:val="DefaultParagraphFont"/>
    <w:rsid w:val="00197870"/>
  </w:style>
  <w:style w:type="character" w:customStyle="1" w:styleId="mixed-citation">
    <w:name w:val="mixed-citation"/>
    <w:basedOn w:val="DefaultParagraphFont"/>
    <w:rsid w:val="00197870"/>
  </w:style>
  <w:style w:type="paragraph" w:customStyle="1" w:styleId="Figtitle1">
    <w:name w:val="Figtitle"/>
    <w:basedOn w:val="figtitle0"/>
    <w:link w:val="FigtitleChar1"/>
    <w:rsid w:val="00197870"/>
    <w:pPr>
      <w:jc w:val="both"/>
    </w:pPr>
  </w:style>
  <w:style w:type="character" w:customStyle="1" w:styleId="FigtitleChar1">
    <w:name w:val="Figtitle Char"/>
    <w:basedOn w:val="figtitleChar0"/>
    <w:link w:val="Figtitle1"/>
    <w:rsid w:val="00197870"/>
    <w:rPr>
      <w:b/>
    </w:rPr>
  </w:style>
  <w:style w:type="paragraph" w:customStyle="1" w:styleId="CM20">
    <w:name w:val="CM20"/>
    <w:basedOn w:val="Normal"/>
    <w:next w:val="Normal"/>
    <w:uiPriority w:val="99"/>
    <w:rsid w:val="00197870"/>
    <w:pPr>
      <w:autoSpaceDE w:val="0"/>
      <w:autoSpaceDN w:val="0"/>
      <w:adjustRightInd w:val="0"/>
      <w:spacing w:before="0" w:after="0" w:line="240" w:lineRule="auto"/>
      <w:ind w:left="0" w:right="0"/>
    </w:pPr>
    <w:rPr>
      <w:rFonts w:ascii="Adobe Caslon Pro" w:hAnsi="Adobe Caslon Pro"/>
      <w:noProof w:val="0"/>
      <w:sz w:val="24"/>
      <w:szCs w:val="24"/>
    </w:rPr>
  </w:style>
  <w:style w:type="character" w:customStyle="1" w:styleId="footnote0020textchar">
    <w:name w:val="footnote_0020text__char"/>
    <w:basedOn w:val="DefaultParagraphFont"/>
    <w:rsid w:val="00197870"/>
  </w:style>
  <w:style w:type="character" w:customStyle="1" w:styleId="hyperlinkchar">
    <w:name w:val="hyperlink__char"/>
    <w:basedOn w:val="DefaultParagraphFont"/>
    <w:rsid w:val="00197870"/>
  </w:style>
  <w:style w:type="paragraph" w:customStyle="1" w:styleId="Style1">
    <w:name w:val="Style1"/>
    <w:basedOn w:val="Heading2"/>
    <w:link w:val="Style1Char"/>
    <w:qFormat/>
    <w:rsid w:val="00197870"/>
    <w:pPr>
      <w:ind w:left="0" w:right="0"/>
    </w:pPr>
    <w:rPr>
      <w:sz w:val="36"/>
      <w:szCs w:val="36"/>
    </w:rPr>
  </w:style>
  <w:style w:type="character" w:customStyle="1" w:styleId="Style1Char">
    <w:name w:val="Style1 Char"/>
    <w:basedOn w:val="Heading2Char"/>
    <w:link w:val="Style1"/>
    <w:rsid w:val="00197870"/>
    <w:rPr>
      <w:b/>
      <w:noProof/>
      <w:sz w:val="36"/>
      <w:szCs w:val="36"/>
    </w:rPr>
  </w:style>
  <w:style w:type="paragraph" w:styleId="BodyText">
    <w:name w:val="Body Text"/>
    <w:basedOn w:val="Normal"/>
    <w:link w:val="BodyTextChar"/>
    <w:uiPriority w:val="99"/>
    <w:unhideWhenUsed/>
    <w:rsid w:val="000902A4"/>
    <w:pPr>
      <w:spacing w:after="120"/>
      <w:ind w:left="0" w:right="0"/>
    </w:pPr>
    <w:rPr>
      <w:noProof w:val="0"/>
    </w:rPr>
  </w:style>
  <w:style w:type="character" w:customStyle="1" w:styleId="BodyTextChar">
    <w:name w:val="Body Text Char"/>
    <w:basedOn w:val="DefaultParagraphFont"/>
    <w:link w:val="BodyText"/>
    <w:uiPriority w:val="99"/>
    <w:rsid w:val="000902A4"/>
  </w:style>
  <w:style w:type="paragraph" w:styleId="BodyTextFirstIndent">
    <w:name w:val="Body Text First Indent"/>
    <w:basedOn w:val="BodyText"/>
    <w:link w:val="BodyTextFirstIndentChar"/>
    <w:uiPriority w:val="99"/>
    <w:unhideWhenUsed/>
    <w:rsid w:val="000902A4"/>
    <w:pPr>
      <w:autoSpaceDE w:val="0"/>
      <w:autoSpaceDN w:val="0"/>
      <w:spacing w:before="0" w:line="360" w:lineRule="auto"/>
      <w:ind w:firstLine="432"/>
      <w:jc w:val="left"/>
    </w:pPr>
    <w:rPr>
      <w:rFonts w:ascii="Times New Roman" w:eastAsia="Times New Roman" w:hAnsi="Times New Roman" w:cs="Times New Roman"/>
    </w:rPr>
  </w:style>
  <w:style w:type="character" w:customStyle="1" w:styleId="BodyTextFirstIndentChar">
    <w:name w:val="Body Text First Indent Char"/>
    <w:basedOn w:val="BodyTextChar"/>
    <w:link w:val="BodyTextFirstIndent"/>
    <w:uiPriority w:val="99"/>
    <w:rsid w:val="000902A4"/>
    <w:rPr>
      <w:rFonts w:ascii="Times New Roman" w:eastAsia="Times New Roman" w:hAnsi="Times New Roman" w:cs="Times New Roman"/>
    </w:rPr>
  </w:style>
  <w:style w:type="character" w:customStyle="1" w:styleId="pagefirst">
    <w:name w:val="pagefirst"/>
    <w:basedOn w:val="DefaultParagraphFont"/>
    <w:rsid w:val="000902A4"/>
  </w:style>
  <w:style w:type="character" w:customStyle="1" w:styleId="hlfld-fulltext">
    <w:name w:val="hlfld-fulltext"/>
    <w:basedOn w:val="DefaultParagraphFont"/>
    <w:rsid w:val="000902A4"/>
  </w:style>
  <w:style w:type="character" w:customStyle="1" w:styleId="button">
    <w:name w:val="button"/>
    <w:basedOn w:val="DefaultParagraphFont"/>
    <w:rsid w:val="000902A4"/>
  </w:style>
  <w:style w:type="character" w:customStyle="1" w:styleId="fieldset-legend">
    <w:name w:val="fieldset-legend"/>
    <w:basedOn w:val="DefaultParagraphFont"/>
    <w:rsid w:val="000902A4"/>
  </w:style>
  <w:style w:type="character" w:customStyle="1" w:styleId="date-display-single">
    <w:name w:val="date-display-single"/>
    <w:basedOn w:val="DefaultParagraphFont"/>
    <w:rsid w:val="000902A4"/>
  </w:style>
  <w:style w:type="character" w:customStyle="1" w:styleId="ref-journal">
    <w:name w:val="ref-journal"/>
    <w:basedOn w:val="DefaultParagraphFont"/>
    <w:rsid w:val="000902A4"/>
  </w:style>
  <w:style w:type="character" w:customStyle="1" w:styleId="ref-vol">
    <w:name w:val="ref-vol"/>
    <w:basedOn w:val="DefaultParagraphFont"/>
    <w:rsid w:val="000902A4"/>
  </w:style>
  <w:style w:type="character" w:customStyle="1" w:styleId="ProTextChar">
    <w:name w:val="ProText Char"/>
    <w:basedOn w:val="DefaultParagraphFont"/>
    <w:link w:val="ProText"/>
    <w:locked/>
    <w:rsid w:val="000902A4"/>
    <w:rPr>
      <w:rFonts w:ascii="Calibri" w:hAnsi="Calibri"/>
      <w:color w:val="000000"/>
    </w:rPr>
  </w:style>
  <w:style w:type="paragraph" w:customStyle="1" w:styleId="ProText">
    <w:name w:val="ProText"/>
    <w:basedOn w:val="Normal"/>
    <w:link w:val="ProTextChar"/>
    <w:rsid w:val="000902A4"/>
    <w:pPr>
      <w:autoSpaceDE w:val="0"/>
      <w:autoSpaceDN w:val="0"/>
      <w:spacing w:before="0" w:after="240" w:line="240" w:lineRule="auto"/>
      <w:ind w:left="0" w:right="0"/>
      <w:jc w:val="left"/>
    </w:pPr>
    <w:rPr>
      <w:rFonts w:ascii="Calibri" w:hAnsi="Calibri"/>
      <w:noProof w:val="0"/>
      <w:color w:val="000000"/>
    </w:rPr>
  </w:style>
  <w:style w:type="character" w:customStyle="1" w:styleId="bkciteavail">
    <w:name w:val="bk_cite_avail"/>
    <w:basedOn w:val="DefaultParagraphFont"/>
    <w:rsid w:val="000902A4"/>
  </w:style>
  <w:style w:type="paragraph" w:customStyle="1" w:styleId="msonormal0">
    <w:name w:val="msonormal"/>
    <w:basedOn w:val="Normal"/>
    <w:uiPriority w:val="99"/>
    <w:rsid w:val="006508EC"/>
    <w:pPr>
      <w:spacing w:before="100" w:beforeAutospacing="1" w:after="100" w:afterAutospacing="1" w:line="240" w:lineRule="auto"/>
      <w:ind w:left="0" w:right="0"/>
      <w:jc w:val="left"/>
    </w:pPr>
    <w:rPr>
      <w:rFonts w:ascii="Times New Roman" w:eastAsia="Times New Roman" w:hAnsi="Times New Roman" w:cs="Times New Roman"/>
      <w:noProof w:val="0"/>
      <w:color w:val="000000"/>
      <w:sz w:val="24"/>
      <w:szCs w:val="24"/>
    </w:rPr>
  </w:style>
  <w:style w:type="character" w:customStyle="1" w:styleId="Mention2">
    <w:name w:val="Mention2"/>
    <w:basedOn w:val="DefaultParagraphFont"/>
    <w:uiPriority w:val="99"/>
    <w:semiHidden/>
    <w:rsid w:val="006508EC"/>
    <w:rPr>
      <w:color w:val="2B579A"/>
      <w:shd w:val="clear" w:color="auto" w:fill="E6E6E6"/>
    </w:rPr>
  </w:style>
  <w:style w:type="table" w:customStyle="1" w:styleId="GridTable1Light-Accent11">
    <w:name w:val="Grid Table 1 Light - Accent 11"/>
    <w:basedOn w:val="TableNormal"/>
    <w:uiPriority w:val="46"/>
    <w:rsid w:val="006508EC"/>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GridTable2-Accent11">
    <w:name w:val="Grid Table 2 - Accent 11"/>
    <w:basedOn w:val="TableNormal"/>
    <w:uiPriority w:val="47"/>
    <w:rsid w:val="006508EC"/>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3-Accent11">
    <w:name w:val="Grid Table 3 - Accent 11"/>
    <w:basedOn w:val="TableNormal"/>
    <w:uiPriority w:val="48"/>
    <w:rsid w:val="006508EC"/>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GridTable2-Accent51">
    <w:name w:val="Grid Table 2 - Accent 51"/>
    <w:basedOn w:val="TableNormal"/>
    <w:uiPriority w:val="47"/>
    <w:rsid w:val="006508EC"/>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SHAFigureNumber">
    <w:name w:val="SHA Figure Number"/>
    <w:basedOn w:val="FigName"/>
    <w:link w:val="SHAFigureNumberChar"/>
    <w:qFormat/>
    <w:rsid w:val="00EF7361"/>
    <w:pPr>
      <w:jc w:val="center"/>
    </w:pPr>
  </w:style>
  <w:style w:type="paragraph" w:customStyle="1" w:styleId="SHAFigureNote">
    <w:name w:val="SHA Figure Note"/>
    <w:basedOn w:val="SHAFigureNumber"/>
    <w:link w:val="SHAFigureNoteChar"/>
    <w:qFormat/>
    <w:rsid w:val="00F6716B"/>
    <w:rPr>
      <w:b w:val="0"/>
      <w:sz w:val="20"/>
      <w:szCs w:val="20"/>
    </w:rPr>
  </w:style>
  <w:style w:type="character" w:customStyle="1" w:styleId="SHAFigureNumberChar">
    <w:name w:val="SHA Figure Number Char"/>
    <w:basedOn w:val="FigNameChar"/>
    <w:link w:val="SHAFigureNumber"/>
    <w:rsid w:val="00EF7361"/>
    <w:rPr>
      <w:rFonts w:ascii="Aileron" w:hAnsi="Aileron"/>
      <w:b/>
      <w:sz w:val="21"/>
      <w:szCs w:val="21"/>
    </w:rPr>
  </w:style>
  <w:style w:type="table" w:customStyle="1" w:styleId="GridTable3-Accent111">
    <w:name w:val="Grid Table 3 - Accent 111"/>
    <w:basedOn w:val="TableNormal"/>
    <w:uiPriority w:val="48"/>
    <w:rsid w:val="0044423B"/>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character" w:customStyle="1" w:styleId="SHAFigureNoteChar">
    <w:name w:val="SHA Figure Note Char"/>
    <w:basedOn w:val="SHAFigureNumberChar"/>
    <w:link w:val="SHAFigureNote"/>
    <w:rsid w:val="00F6716B"/>
    <w:rPr>
      <w:rFonts w:ascii="Aileron" w:hAnsi="Aileron"/>
      <w:b w:val="0"/>
      <w:sz w:val="20"/>
      <w:szCs w:val="20"/>
    </w:rPr>
  </w:style>
  <w:style w:type="paragraph" w:customStyle="1" w:styleId="Body1">
    <w:name w:val="Body1"/>
    <w:basedOn w:val="NoSpacing"/>
    <w:link w:val="Body1Char"/>
    <w:qFormat/>
    <w:rsid w:val="009646EB"/>
    <w:pPr>
      <w:spacing w:after="120"/>
      <w:jc w:val="left"/>
    </w:pPr>
    <w:rPr>
      <w:sz w:val="24"/>
      <w:szCs w:val="24"/>
    </w:rPr>
  </w:style>
  <w:style w:type="character" w:customStyle="1" w:styleId="Body1Char">
    <w:name w:val="Body1 Char"/>
    <w:basedOn w:val="NoSpacingChar"/>
    <w:link w:val="Body1"/>
    <w:rsid w:val="009646EB"/>
    <w:rPr>
      <w:rFonts w:ascii="Aileron" w:hAnsi="Aileron"/>
      <w:sz w:val="24"/>
      <w:szCs w:val="24"/>
    </w:rPr>
  </w:style>
  <w:style w:type="table" w:customStyle="1" w:styleId="TableGrid2">
    <w:name w:val="Table Grid2"/>
    <w:basedOn w:val="TableNormal"/>
    <w:next w:val="TableGrid"/>
    <w:rsid w:val="00840D6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11">
    <w:name w:val="Plain Table 3111"/>
    <w:basedOn w:val="TableNormal"/>
    <w:next w:val="PlainTable32"/>
    <w:uiPriority w:val="43"/>
    <w:rsid w:val="001B52C7"/>
    <w:pPr>
      <w:spacing w:before="120" w:after="0" w:line="240" w:lineRule="auto"/>
      <w:ind w:left="-360" w:right="-360"/>
      <w:jc w:val="both"/>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Heading6Char">
    <w:name w:val="Heading 6 Char"/>
    <w:basedOn w:val="DefaultParagraphFont"/>
    <w:link w:val="Heading6"/>
    <w:uiPriority w:val="9"/>
    <w:rsid w:val="00492AB1"/>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492AB1"/>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492AB1"/>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492AB1"/>
    <w:rPr>
      <w:rFonts w:asciiTheme="majorHAnsi" w:eastAsiaTheme="majorEastAsia" w:hAnsiTheme="majorHAnsi" w:cstheme="majorBidi"/>
      <w:i/>
      <w:iCs/>
      <w:spacing w:val="5"/>
      <w:sz w:val="20"/>
      <w:szCs w:val="20"/>
    </w:rPr>
  </w:style>
  <w:style w:type="paragraph" w:styleId="Quote">
    <w:name w:val="Quote"/>
    <w:basedOn w:val="Normal"/>
    <w:next w:val="Normal"/>
    <w:link w:val="QuoteChar"/>
    <w:uiPriority w:val="29"/>
    <w:qFormat/>
    <w:rsid w:val="00492AB1"/>
    <w:pPr>
      <w:spacing w:before="200" w:after="0" w:line="276" w:lineRule="auto"/>
      <w:ind w:left="360" w:right="360"/>
    </w:pPr>
    <w:rPr>
      <w:rFonts w:eastAsiaTheme="minorEastAsia"/>
      <w:i/>
      <w:iCs/>
      <w:noProof w:val="0"/>
    </w:rPr>
  </w:style>
  <w:style w:type="character" w:customStyle="1" w:styleId="QuoteChar">
    <w:name w:val="Quote Char"/>
    <w:basedOn w:val="DefaultParagraphFont"/>
    <w:link w:val="Quote"/>
    <w:uiPriority w:val="29"/>
    <w:rsid w:val="00492AB1"/>
    <w:rPr>
      <w:rFonts w:eastAsiaTheme="minorEastAsia"/>
      <w:i/>
      <w:iCs/>
    </w:rPr>
  </w:style>
  <w:style w:type="paragraph" w:styleId="IntenseQuote">
    <w:name w:val="Intense Quote"/>
    <w:basedOn w:val="Normal"/>
    <w:next w:val="Normal"/>
    <w:link w:val="IntenseQuoteChar"/>
    <w:uiPriority w:val="30"/>
    <w:qFormat/>
    <w:rsid w:val="00492AB1"/>
    <w:pPr>
      <w:pBdr>
        <w:bottom w:val="single" w:sz="4" w:space="1" w:color="auto"/>
      </w:pBdr>
      <w:spacing w:before="200" w:after="280" w:line="276" w:lineRule="auto"/>
      <w:ind w:left="1008" w:right="1152"/>
    </w:pPr>
    <w:rPr>
      <w:rFonts w:eastAsiaTheme="minorEastAsia"/>
      <w:b/>
      <w:bCs/>
      <w:i/>
      <w:iCs/>
      <w:noProof w:val="0"/>
    </w:rPr>
  </w:style>
  <w:style w:type="character" w:customStyle="1" w:styleId="IntenseQuoteChar">
    <w:name w:val="Intense Quote Char"/>
    <w:basedOn w:val="DefaultParagraphFont"/>
    <w:link w:val="IntenseQuote"/>
    <w:uiPriority w:val="30"/>
    <w:rsid w:val="00492AB1"/>
    <w:rPr>
      <w:rFonts w:eastAsiaTheme="minorEastAsia"/>
      <w:b/>
      <w:bCs/>
      <w:i/>
      <w:iCs/>
    </w:rPr>
  </w:style>
  <w:style w:type="character" w:styleId="IntenseEmphasis">
    <w:name w:val="Intense Emphasis"/>
    <w:uiPriority w:val="21"/>
    <w:qFormat/>
    <w:rsid w:val="00492AB1"/>
    <w:rPr>
      <w:b/>
      <w:bCs/>
    </w:rPr>
  </w:style>
  <w:style w:type="character" w:styleId="SubtleReference">
    <w:name w:val="Subtle Reference"/>
    <w:uiPriority w:val="31"/>
    <w:qFormat/>
    <w:rsid w:val="00492AB1"/>
    <w:rPr>
      <w:smallCaps/>
    </w:rPr>
  </w:style>
  <w:style w:type="character" w:styleId="IntenseReference">
    <w:name w:val="Intense Reference"/>
    <w:uiPriority w:val="32"/>
    <w:qFormat/>
    <w:rsid w:val="00492AB1"/>
    <w:rPr>
      <w:smallCaps/>
      <w:spacing w:val="5"/>
      <w:u w:val="single"/>
    </w:rPr>
  </w:style>
  <w:style w:type="character" w:styleId="BookTitle">
    <w:name w:val="Book Title"/>
    <w:uiPriority w:val="33"/>
    <w:qFormat/>
    <w:rsid w:val="00492AB1"/>
    <w:rPr>
      <w:i/>
      <w:iCs/>
      <w:smallCaps/>
      <w:spacing w:val="5"/>
    </w:rPr>
  </w:style>
  <w:style w:type="paragraph" w:styleId="TOCHeading">
    <w:name w:val="TOC Heading"/>
    <w:basedOn w:val="Heading1"/>
    <w:next w:val="Normal"/>
    <w:uiPriority w:val="39"/>
    <w:semiHidden/>
    <w:unhideWhenUsed/>
    <w:qFormat/>
    <w:rsid w:val="00492AB1"/>
    <w:pPr>
      <w:keepNext w:val="0"/>
      <w:keepLines w:val="0"/>
      <w:spacing w:before="160" w:after="120" w:line="276" w:lineRule="auto"/>
      <w:ind w:left="0" w:right="0"/>
      <w:outlineLvl w:val="9"/>
    </w:pPr>
    <w:rPr>
      <w:bCs/>
      <w:noProof w:val="0"/>
      <w:sz w:val="48"/>
      <w:lang w:bidi="en-US"/>
    </w:rPr>
  </w:style>
  <w:style w:type="character" w:customStyle="1" w:styleId="element-citation">
    <w:name w:val="element-citation"/>
    <w:basedOn w:val="DefaultParagraphFont"/>
    <w:rsid w:val="00492AB1"/>
  </w:style>
  <w:style w:type="character" w:customStyle="1" w:styleId="nowrap">
    <w:name w:val="nowrap"/>
    <w:basedOn w:val="DefaultParagraphFont"/>
    <w:rsid w:val="00492AB1"/>
  </w:style>
  <w:style w:type="paragraph" w:customStyle="1" w:styleId="REFERENCES">
    <w:name w:val="REFERENCES"/>
    <w:basedOn w:val="NoSpacing"/>
    <w:link w:val="REFERENCESChar"/>
    <w:qFormat/>
    <w:rsid w:val="00C97417"/>
    <w:pPr>
      <w:ind w:left="-360" w:right="-360"/>
      <w:jc w:val="left"/>
    </w:pPr>
    <w:rPr>
      <w:rFonts w:asciiTheme="minorHAnsi" w:hAnsiTheme="minorHAnsi"/>
      <w:sz w:val="22"/>
      <w:szCs w:val="22"/>
    </w:rPr>
  </w:style>
  <w:style w:type="character" w:customStyle="1" w:styleId="UnresolvedMention1">
    <w:name w:val="Unresolved Mention1"/>
    <w:basedOn w:val="DefaultParagraphFont"/>
    <w:uiPriority w:val="99"/>
    <w:semiHidden/>
    <w:unhideWhenUsed/>
    <w:rsid w:val="00636067"/>
    <w:rPr>
      <w:color w:val="808080"/>
      <w:shd w:val="clear" w:color="auto" w:fill="E6E6E6"/>
    </w:rPr>
  </w:style>
  <w:style w:type="character" w:customStyle="1" w:styleId="REFERENCESChar">
    <w:name w:val="REFERENCES Char"/>
    <w:basedOn w:val="NoSpacingChar"/>
    <w:link w:val="REFERENCES"/>
    <w:rsid w:val="00C97417"/>
    <w:rPr>
      <w:rFonts w:ascii="Aileron" w:hAnsi="Aileron"/>
      <w:sz w:val="21"/>
      <w:szCs w:val="21"/>
    </w:rPr>
  </w:style>
  <w:style w:type="numbering" w:customStyle="1" w:styleId="NoList1">
    <w:name w:val="No List1"/>
    <w:next w:val="NoList"/>
    <w:uiPriority w:val="99"/>
    <w:semiHidden/>
    <w:unhideWhenUsed/>
    <w:rsid w:val="005A0277"/>
  </w:style>
  <w:style w:type="table" w:customStyle="1" w:styleId="GridTable4-Accent11">
    <w:name w:val="Grid Table 4 - Accent 11"/>
    <w:basedOn w:val="TableNormal"/>
    <w:uiPriority w:val="49"/>
    <w:rsid w:val="005A0277"/>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Heading11">
    <w:name w:val="Heading 11"/>
    <w:basedOn w:val="Normal"/>
    <w:next w:val="Normal"/>
    <w:uiPriority w:val="9"/>
    <w:rsid w:val="005A0277"/>
    <w:pPr>
      <w:keepNext/>
      <w:keepLines/>
      <w:spacing w:before="240" w:after="0"/>
      <w:ind w:left="0" w:right="0"/>
      <w:outlineLvl w:val="0"/>
    </w:pPr>
    <w:rPr>
      <w:rFonts w:ascii="Aileron" w:eastAsia="Times New Roman" w:hAnsi="Aileron" w:cs="Times New Roman"/>
      <w:noProof w:val="0"/>
      <w:color w:val="0B5294"/>
      <w:sz w:val="32"/>
      <w:szCs w:val="32"/>
    </w:rPr>
  </w:style>
  <w:style w:type="paragraph" w:customStyle="1" w:styleId="Heading21">
    <w:name w:val="Heading 21"/>
    <w:basedOn w:val="Normal"/>
    <w:next w:val="Normal"/>
    <w:uiPriority w:val="9"/>
    <w:unhideWhenUsed/>
    <w:rsid w:val="005A0277"/>
    <w:pPr>
      <w:keepNext/>
      <w:keepLines/>
      <w:spacing w:before="40" w:after="0"/>
      <w:ind w:left="0" w:right="0"/>
      <w:outlineLvl w:val="1"/>
    </w:pPr>
    <w:rPr>
      <w:rFonts w:ascii="Aileron Bold" w:eastAsia="Times New Roman" w:hAnsi="Aileron Bold" w:cs="Times New Roman"/>
      <w:noProof w:val="0"/>
      <w:color w:val="0B5294"/>
      <w:sz w:val="32"/>
      <w:szCs w:val="26"/>
    </w:rPr>
  </w:style>
  <w:style w:type="paragraph" w:customStyle="1" w:styleId="Heading31">
    <w:name w:val="Heading 31"/>
    <w:basedOn w:val="Normal"/>
    <w:next w:val="Normal"/>
    <w:uiPriority w:val="9"/>
    <w:unhideWhenUsed/>
    <w:rsid w:val="005A0277"/>
    <w:pPr>
      <w:keepNext/>
      <w:keepLines/>
      <w:spacing w:before="40" w:after="0"/>
      <w:ind w:left="0" w:right="0"/>
      <w:outlineLvl w:val="2"/>
    </w:pPr>
    <w:rPr>
      <w:rFonts w:ascii="Aileron" w:eastAsia="Times New Roman" w:hAnsi="Aileron" w:cs="Times New Roman"/>
      <w:noProof w:val="0"/>
      <w:color w:val="073662"/>
      <w:sz w:val="24"/>
      <w:szCs w:val="24"/>
    </w:rPr>
  </w:style>
  <w:style w:type="paragraph" w:customStyle="1" w:styleId="Heading41">
    <w:name w:val="Heading 41"/>
    <w:basedOn w:val="Normal"/>
    <w:next w:val="Normal"/>
    <w:uiPriority w:val="9"/>
    <w:unhideWhenUsed/>
    <w:qFormat/>
    <w:rsid w:val="005A0277"/>
    <w:pPr>
      <w:keepNext/>
      <w:keepLines/>
      <w:spacing w:before="40" w:after="0"/>
      <w:ind w:left="0" w:right="0"/>
      <w:outlineLvl w:val="3"/>
    </w:pPr>
    <w:rPr>
      <w:rFonts w:ascii="Aileron Bold" w:eastAsia="Times New Roman" w:hAnsi="Aileron Bold" w:cs="Times New Roman"/>
      <w:b/>
      <w:iCs/>
      <w:noProof w:val="0"/>
      <w:color w:val="0F6FC6"/>
      <w:sz w:val="26"/>
    </w:rPr>
  </w:style>
  <w:style w:type="paragraph" w:customStyle="1" w:styleId="Heading51">
    <w:name w:val="Heading 51"/>
    <w:basedOn w:val="Normal"/>
    <w:next w:val="Normal"/>
    <w:uiPriority w:val="9"/>
    <w:unhideWhenUsed/>
    <w:qFormat/>
    <w:rsid w:val="005A0277"/>
    <w:pPr>
      <w:keepNext/>
      <w:keepLines/>
      <w:spacing w:before="40" w:after="0"/>
      <w:ind w:left="0" w:right="0"/>
      <w:outlineLvl w:val="4"/>
    </w:pPr>
    <w:rPr>
      <w:rFonts w:ascii="Aileron" w:eastAsia="Times New Roman" w:hAnsi="Aileron" w:cs="Times New Roman"/>
      <w:noProof w:val="0"/>
      <w:color w:val="0B5294"/>
      <w:sz w:val="23"/>
    </w:rPr>
  </w:style>
  <w:style w:type="paragraph" w:customStyle="1" w:styleId="Heading61">
    <w:name w:val="Heading 61"/>
    <w:basedOn w:val="Normal"/>
    <w:next w:val="Normal"/>
    <w:uiPriority w:val="9"/>
    <w:unhideWhenUsed/>
    <w:qFormat/>
    <w:rsid w:val="005A0277"/>
    <w:pPr>
      <w:keepNext/>
      <w:keepLines/>
      <w:spacing w:before="40" w:after="0"/>
      <w:ind w:left="0" w:right="0"/>
      <w:outlineLvl w:val="5"/>
    </w:pPr>
    <w:rPr>
      <w:rFonts w:ascii="Aileron" w:eastAsia="Times New Roman" w:hAnsi="Aileron" w:cs="Times New Roman"/>
      <w:b/>
      <w:noProof w:val="0"/>
      <w:color w:val="073662"/>
      <w:sz w:val="24"/>
    </w:rPr>
  </w:style>
  <w:style w:type="numbering" w:customStyle="1" w:styleId="NoList11">
    <w:name w:val="No List11"/>
    <w:next w:val="NoList"/>
    <w:uiPriority w:val="99"/>
    <w:semiHidden/>
    <w:unhideWhenUsed/>
    <w:rsid w:val="005A0277"/>
  </w:style>
  <w:style w:type="paragraph" w:customStyle="1" w:styleId="Title1">
    <w:name w:val="Title1"/>
    <w:basedOn w:val="Normal"/>
    <w:next w:val="Normal"/>
    <w:uiPriority w:val="10"/>
    <w:qFormat/>
    <w:rsid w:val="005A0277"/>
    <w:pPr>
      <w:spacing w:before="0" w:after="0" w:line="240" w:lineRule="auto"/>
      <w:ind w:left="0" w:right="0"/>
      <w:contextualSpacing/>
    </w:pPr>
    <w:rPr>
      <w:rFonts w:ascii="Arial" w:eastAsia="Times New Roman" w:hAnsi="Arial" w:cs="Times New Roman"/>
      <w:noProof w:val="0"/>
      <w:spacing w:val="-10"/>
      <w:kern w:val="28"/>
      <w:sz w:val="44"/>
      <w:szCs w:val="56"/>
    </w:rPr>
  </w:style>
  <w:style w:type="paragraph" w:customStyle="1" w:styleId="Subtitle1">
    <w:name w:val="Subtitle1"/>
    <w:basedOn w:val="Normal"/>
    <w:next w:val="Normal"/>
    <w:uiPriority w:val="11"/>
    <w:qFormat/>
    <w:rsid w:val="005A0277"/>
    <w:pPr>
      <w:numPr>
        <w:ilvl w:val="1"/>
      </w:numPr>
      <w:spacing w:before="0"/>
      <w:ind w:left="-360" w:right="0"/>
    </w:pPr>
    <w:rPr>
      <w:rFonts w:ascii="Times New Roman" w:eastAsia="Times New Roman" w:hAnsi="Times New Roman"/>
      <w:noProof w:val="0"/>
      <w:color w:val="5A5A5A"/>
      <w:spacing w:val="15"/>
      <w:sz w:val="23"/>
    </w:rPr>
  </w:style>
  <w:style w:type="table" w:customStyle="1" w:styleId="TableGrid3">
    <w:name w:val="Table Grid3"/>
    <w:basedOn w:val="TableNormal"/>
    <w:next w:val="TableGrid"/>
    <w:uiPriority w:val="39"/>
    <w:rsid w:val="005A0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1">
    <w:name w:val="Grid Table 1 Light - Accent 111"/>
    <w:basedOn w:val="TableNormal"/>
    <w:uiPriority w:val="46"/>
    <w:rsid w:val="005A0277"/>
    <w:pPr>
      <w:spacing w:after="0" w:line="240" w:lineRule="auto"/>
    </w:pPr>
    <w:tblPr>
      <w:tblStyleRowBandSize w:val="1"/>
      <w:tblStyleColBandSize w:val="1"/>
      <w:tblBorders>
        <w:top w:val="single" w:sz="4" w:space="0" w:color="90C5F6"/>
        <w:left w:val="single" w:sz="4" w:space="0" w:color="90C5F6"/>
        <w:bottom w:val="single" w:sz="4" w:space="0" w:color="90C5F6"/>
        <w:right w:val="single" w:sz="4" w:space="0" w:color="90C5F6"/>
        <w:insideH w:val="single" w:sz="4" w:space="0" w:color="90C5F6"/>
        <w:insideV w:val="single" w:sz="4" w:space="0" w:color="90C5F6"/>
      </w:tblBorders>
    </w:tblPr>
    <w:tblStylePr w:type="firstRow">
      <w:rPr>
        <w:b/>
        <w:bCs/>
      </w:rPr>
      <w:tblPr/>
      <w:tcPr>
        <w:tcBorders>
          <w:bottom w:val="single" w:sz="12" w:space="0" w:color="59A9F2"/>
        </w:tcBorders>
      </w:tcPr>
    </w:tblStylePr>
    <w:tblStylePr w:type="lastRow">
      <w:rPr>
        <w:b/>
        <w:bCs/>
      </w:rPr>
      <w:tblPr/>
      <w:tcPr>
        <w:tcBorders>
          <w:top w:val="double" w:sz="2" w:space="0" w:color="59A9F2"/>
        </w:tcBorders>
      </w:tcPr>
    </w:tblStylePr>
    <w:tblStylePr w:type="firstCol">
      <w:rPr>
        <w:b/>
        <w:bCs/>
      </w:rPr>
    </w:tblStylePr>
    <w:tblStylePr w:type="lastCol">
      <w:rPr>
        <w:b/>
        <w:bCs/>
      </w:rPr>
    </w:tblStylePr>
  </w:style>
  <w:style w:type="table" w:customStyle="1" w:styleId="GridTable2-Accent111">
    <w:name w:val="Grid Table 2 - Accent 111"/>
    <w:basedOn w:val="TableNormal"/>
    <w:uiPriority w:val="47"/>
    <w:rsid w:val="005A0277"/>
    <w:pPr>
      <w:spacing w:after="0" w:line="240" w:lineRule="auto"/>
    </w:pPr>
    <w:tblPr>
      <w:tblStyleRowBandSize w:val="1"/>
      <w:tblStyleColBandSize w:val="1"/>
      <w:tblBorders>
        <w:top w:val="single" w:sz="2" w:space="0" w:color="59A9F2"/>
        <w:bottom w:val="single" w:sz="2" w:space="0" w:color="59A9F2"/>
        <w:insideH w:val="single" w:sz="2" w:space="0" w:color="59A9F2"/>
        <w:insideV w:val="single" w:sz="2" w:space="0" w:color="59A9F2"/>
      </w:tblBorders>
    </w:tblPr>
    <w:tblStylePr w:type="firstRow">
      <w:rPr>
        <w:b/>
        <w:bCs/>
      </w:rPr>
      <w:tblPr/>
      <w:tcPr>
        <w:tcBorders>
          <w:top w:val="nil"/>
          <w:bottom w:val="single" w:sz="12" w:space="0" w:color="59A9F2"/>
          <w:insideH w:val="nil"/>
          <w:insideV w:val="nil"/>
        </w:tcBorders>
        <w:shd w:val="clear" w:color="auto" w:fill="FFFFFF"/>
      </w:tcPr>
    </w:tblStylePr>
    <w:tblStylePr w:type="lastRow">
      <w:rPr>
        <w:b/>
        <w:bCs/>
      </w:rPr>
      <w:tblPr/>
      <w:tcPr>
        <w:tcBorders>
          <w:top w:val="double" w:sz="2" w:space="0" w:color="59A9F2"/>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7E2FA"/>
      </w:tcPr>
    </w:tblStylePr>
    <w:tblStylePr w:type="band1Horz">
      <w:tblPr/>
      <w:tcPr>
        <w:shd w:val="clear" w:color="auto" w:fill="C7E2FA"/>
      </w:tcPr>
    </w:tblStylePr>
  </w:style>
  <w:style w:type="table" w:customStyle="1" w:styleId="GridTable4-Accent111">
    <w:name w:val="Grid Table 4 - Accent 111"/>
    <w:basedOn w:val="TableNormal"/>
    <w:uiPriority w:val="49"/>
    <w:rsid w:val="005A0277"/>
    <w:pPr>
      <w:spacing w:after="0" w:line="240" w:lineRule="auto"/>
    </w:pPr>
    <w:tblPr>
      <w:tblStyleRowBandSize w:val="1"/>
      <w:tblStyleColBandSize w:val="1"/>
      <w:tblBorders>
        <w:top w:val="single" w:sz="4" w:space="0" w:color="59A9F2"/>
        <w:left w:val="single" w:sz="4" w:space="0" w:color="59A9F2"/>
        <w:bottom w:val="single" w:sz="4" w:space="0" w:color="59A9F2"/>
        <w:right w:val="single" w:sz="4" w:space="0" w:color="59A9F2"/>
        <w:insideH w:val="single" w:sz="4" w:space="0" w:color="59A9F2"/>
        <w:insideV w:val="single" w:sz="4" w:space="0" w:color="59A9F2"/>
      </w:tblBorders>
    </w:tblPr>
    <w:tblStylePr w:type="firstRow">
      <w:rPr>
        <w:b/>
        <w:bCs/>
        <w:color w:val="FFFFFF"/>
      </w:rPr>
      <w:tblPr/>
      <w:tcPr>
        <w:tcBorders>
          <w:top w:val="single" w:sz="4" w:space="0" w:color="0F6FC6"/>
          <w:left w:val="single" w:sz="4" w:space="0" w:color="0F6FC6"/>
          <w:bottom w:val="single" w:sz="4" w:space="0" w:color="0F6FC6"/>
          <w:right w:val="single" w:sz="4" w:space="0" w:color="0F6FC6"/>
          <w:insideH w:val="nil"/>
          <w:insideV w:val="nil"/>
        </w:tcBorders>
        <w:shd w:val="clear" w:color="auto" w:fill="0F6FC6"/>
      </w:tcPr>
    </w:tblStylePr>
    <w:tblStylePr w:type="lastRow">
      <w:rPr>
        <w:b/>
        <w:bCs/>
      </w:rPr>
      <w:tblPr/>
      <w:tcPr>
        <w:tcBorders>
          <w:top w:val="double" w:sz="4" w:space="0" w:color="0F6FC6"/>
        </w:tcBorders>
      </w:tcPr>
    </w:tblStylePr>
    <w:tblStylePr w:type="firstCol">
      <w:rPr>
        <w:b/>
        <w:bCs/>
      </w:rPr>
    </w:tblStylePr>
    <w:tblStylePr w:type="lastCol">
      <w:rPr>
        <w:b/>
        <w:bCs/>
      </w:rPr>
    </w:tblStylePr>
    <w:tblStylePr w:type="band1Vert">
      <w:tblPr/>
      <w:tcPr>
        <w:shd w:val="clear" w:color="auto" w:fill="C7E2FA"/>
      </w:tcPr>
    </w:tblStylePr>
    <w:tblStylePr w:type="band1Horz">
      <w:tblPr/>
      <w:tcPr>
        <w:shd w:val="clear" w:color="auto" w:fill="C7E2FA"/>
      </w:tcPr>
    </w:tblStylePr>
  </w:style>
  <w:style w:type="character" w:customStyle="1" w:styleId="TitleChar1">
    <w:name w:val="Title Char1"/>
    <w:basedOn w:val="DefaultParagraphFont"/>
    <w:uiPriority w:val="10"/>
    <w:rsid w:val="005A0277"/>
    <w:rPr>
      <w:rFonts w:ascii="Calibri Light" w:eastAsia="Times New Roman" w:hAnsi="Calibri Light" w:cs="Times New Roman"/>
      <w:spacing w:val="-10"/>
      <w:kern w:val="28"/>
      <w:sz w:val="56"/>
      <w:szCs w:val="56"/>
    </w:rPr>
  </w:style>
  <w:style w:type="character" w:customStyle="1" w:styleId="SubtitleChar1">
    <w:name w:val="Subtitle Char1"/>
    <w:basedOn w:val="DefaultParagraphFont"/>
    <w:uiPriority w:val="11"/>
    <w:rsid w:val="005A0277"/>
    <w:rPr>
      <w:rFonts w:eastAsia="Times New Roman"/>
      <w:color w:val="5A5A5A"/>
      <w:spacing w:val="15"/>
    </w:rPr>
  </w:style>
  <w:style w:type="character" w:customStyle="1" w:styleId="Heading1Char1">
    <w:name w:val="Heading 1 Char1"/>
    <w:basedOn w:val="DefaultParagraphFont"/>
    <w:uiPriority w:val="9"/>
    <w:rsid w:val="005A0277"/>
    <w:rPr>
      <w:rFonts w:ascii="Calibri Light" w:eastAsia="Times New Roman" w:hAnsi="Calibri Light" w:cs="Times New Roman"/>
      <w:color w:val="2E74B5"/>
      <w:sz w:val="32"/>
      <w:szCs w:val="32"/>
    </w:rPr>
  </w:style>
  <w:style w:type="character" w:customStyle="1" w:styleId="Heading2Char1">
    <w:name w:val="Heading 2 Char1"/>
    <w:basedOn w:val="DefaultParagraphFont"/>
    <w:uiPriority w:val="9"/>
    <w:semiHidden/>
    <w:rsid w:val="005A0277"/>
    <w:rPr>
      <w:rFonts w:ascii="Calibri Light" w:eastAsia="Times New Roman" w:hAnsi="Calibri Light" w:cs="Times New Roman"/>
      <w:color w:val="2E74B5"/>
      <w:sz w:val="26"/>
      <w:szCs w:val="26"/>
    </w:rPr>
  </w:style>
  <w:style w:type="character" w:customStyle="1" w:styleId="Heading3Char1">
    <w:name w:val="Heading 3 Char1"/>
    <w:basedOn w:val="DefaultParagraphFont"/>
    <w:uiPriority w:val="9"/>
    <w:semiHidden/>
    <w:rsid w:val="005A0277"/>
    <w:rPr>
      <w:rFonts w:ascii="Calibri Light" w:eastAsia="Times New Roman" w:hAnsi="Calibri Light" w:cs="Times New Roman"/>
      <w:color w:val="1F4D78"/>
      <w:sz w:val="24"/>
      <w:szCs w:val="24"/>
    </w:rPr>
  </w:style>
  <w:style w:type="character" w:customStyle="1" w:styleId="Heading4Char1">
    <w:name w:val="Heading 4 Char1"/>
    <w:basedOn w:val="DefaultParagraphFont"/>
    <w:uiPriority w:val="9"/>
    <w:semiHidden/>
    <w:rsid w:val="005A0277"/>
    <w:rPr>
      <w:rFonts w:ascii="Calibri Light" w:eastAsia="Times New Roman" w:hAnsi="Calibri Light" w:cs="Times New Roman"/>
      <w:i/>
      <w:iCs/>
      <w:color w:val="2E74B5"/>
    </w:rPr>
  </w:style>
  <w:style w:type="character" w:customStyle="1" w:styleId="Heading5Char1">
    <w:name w:val="Heading 5 Char1"/>
    <w:basedOn w:val="DefaultParagraphFont"/>
    <w:uiPriority w:val="9"/>
    <w:semiHidden/>
    <w:rsid w:val="005A0277"/>
    <w:rPr>
      <w:rFonts w:ascii="Calibri Light" w:eastAsia="Times New Roman" w:hAnsi="Calibri Light" w:cs="Times New Roman"/>
      <w:color w:val="2E74B5"/>
    </w:rPr>
  </w:style>
  <w:style w:type="character" w:customStyle="1" w:styleId="Heading6Char1">
    <w:name w:val="Heading 6 Char1"/>
    <w:basedOn w:val="DefaultParagraphFont"/>
    <w:uiPriority w:val="9"/>
    <w:semiHidden/>
    <w:rsid w:val="005A0277"/>
    <w:rPr>
      <w:rFonts w:ascii="Calibri Light" w:eastAsia="Times New Roman" w:hAnsi="Calibri Light" w:cs="Times New Roman"/>
      <w:color w:val="1F4D78"/>
    </w:rPr>
  </w:style>
  <w:style w:type="paragraph" w:customStyle="1" w:styleId="ColorfulList-Accent11">
    <w:name w:val="Colorful List - Accent 11"/>
    <w:basedOn w:val="Normal"/>
    <w:qFormat/>
    <w:rsid w:val="005A0277"/>
    <w:pPr>
      <w:spacing w:before="0" w:after="0" w:line="240" w:lineRule="auto"/>
      <w:ind w:left="720" w:right="0"/>
      <w:contextualSpacing/>
      <w:jc w:val="left"/>
    </w:pPr>
    <w:rPr>
      <w:rFonts w:ascii="Calibri" w:eastAsia="Calibri" w:hAnsi="Calibri" w:cs="Times New Roman"/>
      <w:noProof w:val="0"/>
    </w:rPr>
  </w:style>
  <w:style w:type="paragraph" w:customStyle="1" w:styleId="Heading71">
    <w:name w:val="Heading 71"/>
    <w:basedOn w:val="Normal"/>
    <w:next w:val="Normal"/>
    <w:uiPriority w:val="9"/>
    <w:semiHidden/>
    <w:unhideWhenUsed/>
    <w:qFormat/>
    <w:rsid w:val="005A0277"/>
    <w:pPr>
      <w:spacing w:before="280" w:after="0" w:line="360" w:lineRule="auto"/>
      <w:ind w:left="0" w:right="0"/>
      <w:jc w:val="left"/>
      <w:outlineLvl w:val="6"/>
    </w:pPr>
    <w:rPr>
      <w:rFonts w:ascii="Cambria" w:eastAsia="Times New Roman" w:hAnsi="Cambria" w:cs="Times New Roman"/>
      <w:b/>
      <w:bCs/>
      <w:i/>
      <w:iCs/>
      <w:noProof w:val="0"/>
      <w:sz w:val="20"/>
      <w:szCs w:val="20"/>
    </w:rPr>
  </w:style>
  <w:style w:type="paragraph" w:customStyle="1" w:styleId="Heading81">
    <w:name w:val="Heading 81"/>
    <w:basedOn w:val="Normal"/>
    <w:next w:val="Normal"/>
    <w:uiPriority w:val="9"/>
    <w:semiHidden/>
    <w:unhideWhenUsed/>
    <w:qFormat/>
    <w:rsid w:val="005A0277"/>
    <w:pPr>
      <w:spacing w:before="280" w:after="0" w:line="360" w:lineRule="auto"/>
      <w:ind w:left="0" w:right="0"/>
      <w:jc w:val="left"/>
      <w:outlineLvl w:val="7"/>
    </w:pPr>
    <w:rPr>
      <w:rFonts w:ascii="Cambria" w:eastAsia="Times New Roman" w:hAnsi="Cambria" w:cs="Times New Roman"/>
      <w:b/>
      <w:bCs/>
      <w:i/>
      <w:iCs/>
      <w:noProof w:val="0"/>
      <w:sz w:val="18"/>
      <w:szCs w:val="18"/>
    </w:rPr>
  </w:style>
  <w:style w:type="paragraph" w:customStyle="1" w:styleId="Heading91">
    <w:name w:val="Heading 91"/>
    <w:basedOn w:val="Normal"/>
    <w:next w:val="Normal"/>
    <w:uiPriority w:val="9"/>
    <w:semiHidden/>
    <w:unhideWhenUsed/>
    <w:qFormat/>
    <w:rsid w:val="005A0277"/>
    <w:pPr>
      <w:spacing w:before="280" w:after="0" w:line="360" w:lineRule="auto"/>
      <w:ind w:left="0" w:right="0"/>
      <w:jc w:val="left"/>
      <w:outlineLvl w:val="8"/>
    </w:pPr>
    <w:rPr>
      <w:rFonts w:ascii="Cambria" w:eastAsia="Times New Roman" w:hAnsi="Cambria" w:cs="Times New Roman"/>
      <w:i/>
      <w:iCs/>
      <w:noProof w:val="0"/>
      <w:sz w:val="18"/>
      <w:szCs w:val="18"/>
    </w:rPr>
  </w:style>
  <w:style w:type="numbering" w:customStyle="1" w:styleId="NoList2">
    <w:name w:val="No List2"/>
    <w:next w:val="NoList"/>
    <w:uiPriority w:val="99"/>
    <w:semiHidden/>
    <w:unhideWhenUsed/>
    <w:rsid w:val="005A0277"/>
  </w:style>
  <w:style w:type="table" w:customStyle="1" w:styleId="LightShading-Accent11">
    <w:name w:val="Light Shading - Accent 11"/>
    <w:basedOn w:val="TableNormal"/>
    <w:next w:val="LightShading-Accent1"/>
    <w:uiPriority w:val="60"/>
    <w:rsid w:val="005A0277"/>
    <w:pPr>
      <w:spacing w:before="100" w:after="100" w:line="480" w:lineRule="auto"/>
      <w:ind w:firstLine="360"/>
    </w:pPr>
    <w:rPr>
      <w:rFonts w:eastAsia="Times New Roman"/>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Quote1">
    <w:name w:val="Quote1"/>
    <w:basedOn w:val="Normal"/>
    <w:next w:val="Normal"/>
    <w:uiPriority w:val="29"/>
    <w:qFormat/>
    <w:rsid w:val="005A0277"/>
    <w:pPr>
      <w:spacing w:line="240" w:lineRule="auto"/>
      <w:ind w:left="0" w:right="0"/>
      <w:jc w:val="left"/>
    </w:pPr>
    <w:rPr>
      <w:rFonts w:eastAsia="Times New Roman"/>
      <w:noProof w:val="0"/>
      <w:color w:val="5A5A5A"/>
    </w:rPr>
  </w:style>
  <w:style w:type="paragraph" w:customStyle="1" w:styleId="IntenseQuote1">
    <w:name w:val="Intense Quote1"/>
    <w:basedOn w:val="Normal"/>
    <w:next w:val="Normal"/>
    <w:uiPriority w:val="30"/>
    <w:qFormat/>
    <w:rsid w:val="005A0277"/>
    <w:pPr>
      <w:spacing w:before="320" w:after="480" w:line="240" w:lineRule="auto"/>
      <w:ind w:left="720" w:right="720"/>
      <w:jc w:val="center"/>
    </w:pPr>
    <w:rPr>
      <w:rFonts w:ascii="Cambria" w:eastAsia="Times New Roman" w:hAnsi="Cambria" w:cs="Times New Roman"/>
      <w:i/>
      <w:iCs/>
      <w:noProof w:val="0"/>
      <w:sz w:val="20"/>
      <w:szCs w:val="20"/>
    </w:rPr>
  </w:style>
  <w:style w:type="character" w:customStyle="1" w:styleId="SubtleEmphasis1">
    <w:name w:val="Subtle Emphasis1"/>
    <w:uiPriority w:val="19"/>
    <w:qFormat/>
    <w:rsid w:val="005A0277"/>
    <w:rPr>
      <w:i/>
      <w:iCs/>
      <w:color w:val="5A5A5A"/>
    </w:rPr>
  </w:style>
  <w:style w:type="character" w:customStyle="1" w:styleId="BookTitle1">
    <w:name w:val="Book Title1"/>
    <w:uiPriority w:val="33"/>
    <w:qFormat/>
    <w:rsid w:val="005A0277"/>
    <w:rPr>
      <w:rFonts w:ascii="Cambria" w:eastAsia="Times New Roman" w:hAnsi="Cambria" w:cs="Times New Roman"/>
      <w:b/>
      <w:bCs/>
      <w:smallCaps/>
      <w:color w:val="auto"/>
      <w:u w:val="single"/>
    </w:rPr>
  </w:style>
  <w:style w:type="character" w:styleId="PageNumber">
    <w:name w:val="page number"/>
    <w:basedOn w:val="DefaultParagraphFont"/>
    <w:uiPriority w:val="99"/>
    <w:semiHidden/>
    <w:unhideWhenUsed/>
    <w:rsid w:val="005A0277"/>
  </w:style>
  <w:style w:type="paragraph" w:customStyle="1" w:styleId="CM13">
    <w:name w:val="CM13"/>
    <w:basedOn w:val="Normal"/>
    <w:next w:val="Normal"/>
    <w:uiPriority w:val="99"/>
    <w:rsid w:val="005A0277"/>
    <w:pPr>
      <w:widowControl w:val="0"/>
      <w:autoSpaceDE w:val="0"/>
      <w:autoSpaceDN w:val="0"/>
      <w:adjustRightInd w:val="0"/>
      <w:spacing w:before="0" w:after="0" w:line="240" w:lineRule="auto"/>
      <w:ind w:left="0" w:right="0"/>
      <w:jc w:val="left"/>
    </w:pPr>
    <w:rPr>
      <w:rFonts w:ascii="DINMittelschrift" w:eastAsia="Times New Roman" w:hAnsi="DINMittelschrift" w:cs="Times New Roman"/>
      <w:noProof w:val="0"/>
      <w:sz w:val="24"/>
      <w:szCs w:val="24"/>
    </w:rPr>
  </w:style>
  <w:style w:type="table" w:customStyle="1" w:styleId="LightShading-Accent12">
    <w:name w:val="Light Shading - Accent 12"/>
    <w:basedOn w:val="TableNormal"/>
    <w:next w:val="LightShading-Accent1"/>
    <w:uiPriority w:val="60"/>
    <w:rsid w:val="005A0277"/>
    <w:pPr>
      <w:spacing w:after="0" w:line="240" w:lineRule="auto"/>
    </w:pPr>
    <w:rPr>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character" w:customStyle="1" w:styleId="Heading7Char1">
    <w:name w:val="Heading 7 Char1"/>
    <w:basedOn w:val="DefaultParagraphFont"/>
    <w:uiPriority w:val="9"/>
    <w:semiHidden/>
    <w:rsid w:val="005A0277"/>
    <w:rPr>
      <w:rFonts w:ascii="Calibri Light" w:eastAsia="Times New Roman" w:hAnsi="Calibri Light" w:cs="Times New Roman"/>
      <w:i/>
      <w:iCs/>
      <w:color w:val="404040"/>
    </w:rPr>
  </w:style>
  <w:style w:type="character" w:customStyle="1" w:styleId="Heading8Char1">
    <w:name w:val="Heading 8 Char1"/>
    <w:basedOn w:val="DefaultParagraphFont"/>
    <w:uiPriority w:val="9"/>
    <w:semiHidden/>
    <w:rsid w:val="005A0277"/>
    <w:rPr>
      <w:rFonts w:ascii="Calibri Light" w:eastAsia="Times New Roman" w:hAnsi="Calibri Light" w:cs="Times New Roman"/>
      <w:color w:val="404040"/>
      <w:sz w:val="20"/>
      <w:szCs w:val="20"/>
    </w:rPr>
  </w:style>
  <w:style w:type="character" w:customStyle="1" w:styleId="Heading9Char1">
    <w:name w:val="Heading 9 Char1"/>
    <w:basedOn w:val="DefaultParagraphFont"/>
    <w:uiPriority w:val="9"/>
    <w:semiHidden/>
    <w:rsid w:val="005A0277"/>
    <w:rPr>
      <w:rFonts w:ascii="Calibri Light" w:eastAsia="Times New Roman" w:hAnsi="Calibri Light" w:cs="Times New Roman"/>
      <w:i/>
      <w:iCs/>
      <w:color w:val="404040"/>
      <w:sz w:val="20"/>
      <w:szCs w:val="20"/>
    </w:rPr>
  </w:style>
  <w:style w:type="character" w:customStyle="1" w:styleId="QuoteChar1">
    <w:name w:val="Quote Char1"/>
    <w:basedOn w:val="DefaultParagraphFont"/>
    <w:uiPriority w:val="29"/>
    <w:rsid w:val="005A0277"/>
    <w:rPr>
      <w:i/>
      <w:iCs/>
      <w:color w:val="000000"/>
    </w:rPr>
  </w:style>
  <w:style w:type="character" w:customStyle="1" w:styleId="IntenseQuoteChar1">
    <w:name w:val="Intense Quote Char1"/>
    <w:basedOn w:val="DefaultParagraphFont"/>
    <w:uiPriority w:val="30"/>
    <w:rsid w:val="005A0277"/>
    <w:rPr>
      <w:b/>
      <w:bCs/>
      <w:i/>
      <w:iCs/>
      <w:color w:val="5B9BD5"/>
    </w:rPr>
  </w:style>
  <w:style w:type="table" w:styleId="LightShading-Accent1">
    <w:name w:val="Light Shading Accent 1"/>
    <w:basedOn w:val="TableNormal"/>
    <w:uiPriority w:val="60"/>
    <w:rsid w:val="005A0277"/>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GridTable4-Accent112">
    <w:name w:val="Grid Table 4 - Accent 112"/>
    <w:basedOn w:val="TableNormal"/>
    <w:uiPriority w:val="49"/>
    <w:rsid w:val="005A0277"/>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UnresolvedMention2">
    <w:name w:val="Unresolved Mention2"/>
    <w:basedOn w:val="DefaultParagraphFont"/>
    <w:uiPriority w:val="99"/>
    <w:semiHidden/>
    <w:unhideWhenUsed/>
    <w:rsid w:val="006A1740"/>
    <w:rPr>
      <w:color w:val="808080"/>
      <w:shd w:val="clear" w:color="auto" w:fill="E6E6E6"/>
    </w:rPr>
  </w:style>
  <w:style w:type="character" w:customStyle="1" w:styleId="UnresolvedMention">
    <w:name w:val="Unresolved Mention"/>
    <w:basedOn w:val="DefaultParagraphFont"/>
    <w:uiPriority w:val="99"/>
    <w:semiHidden/>
    <w:unhideWhenUsed/>
    <w:rsid w:val="005B3F14"/>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6D41"/>
    <w:pPr>
      <w:spacing w:before="120"/>
      <w:ind w:left="-360" w:right="2880"/>
      <w:jc w:val="both"/>
    </w:pPr>
    <w:rPr>
      <w:noProof/>
    </w:rPr>
  </w:style>
  <w:style w:type="paragraph" w:styleId="Heading1">
    <w:name w:val="heading 1"/>
    <w:aliases w:val="SHA HEADING 1"/>
    <w:basedOn w:val="Normal"/>
    <w:next w:val="Normal"/>
    <w:link w:val="Heading1Char"/>
    <w:uiPriority w:val="9"/>
    <w:qFormat/>
    <w:rsid w:val="00EF7361"/>
    <w:pPr>
      <w:keepNext/>
      <w:keepLines/>
      <w:spacing w:before="360" w:after="240"/>
      <w:ind w:right="-360"/>
      <w:jc w:val="left"/>
      <w:outlineLvl w:val="0"/>
    </w:pPr>
    <w:rPr>
      <w:rFonts w:eastAsiaTheme="majorEastAsia" w:cstheme="majorBidi"/>
      <w:b/>
      <w:sz w:val="40"/>
      <w:szCs w:val="40"/>
    </w:rPr>
  </w:style>
  <w:style w:type="paragraph" w:styleId="Heading2">
    <w:name w:val="heading 2"/>
    <w:basedOn w:val="Normal"/>
    <w:next w:val="Normal"/>
    <w:link w:val="Heading2Char"/>
    <w:uiPriority w:val="9"/>
    <w:unhideWhenUsed/>
    <w:qFormat/>
    <w:rsid w:val="00EF7361"/>
    <w:pPr>
      <w:spacing w:before="360"/>
      <w:outlineLvl w:val="1"/>
    </w:pPr>
    <w:rPr>
      <w:b/>
      <w:sz w:val="30"/>
      <w:szCs w:val="30"/>
    </w:rPr>
  </w:style>
  <w:style w:type="paragraph" w:styleId="Heading3">
    <w:name w:val="heading 3"/>
    <w:basedOn w:val="Normal"/>
    <w:next w:val="Normal"/>
    <w:link w:val="Heading3Char"/>
    <w:uiPriority w:val="9"/>
    <w:unhideWhenUsed/>
    <w:qFormat/>
    <w:rsid w:val="007D7811"/>
    <w:pPr>
      <w:keepNext/>
      <w:keepLines/>
      <w:spacing w:before="240" w:after="0"/>
      <w:ind w:right="-360"/>
      <w:jc w:val="left"/>
      <w:outlineLvl w:val="2"/>
    </w:pPr>
    <w:rPr>
      <w:rFonts w:eastAsiaTheme="majorEastAsia" w:cstheme="majorBidi"/>
      <w:color w:val="203864"/>
      <w:sz w:val="26"/>
      <w:szCs w:val="26"/>
    </w:rPr>
  </w:style>
  <w:style w:type="paragraph" w:styleId="Heading4">
    <w:name w:val="heading 4"/>
    <w:basedOn w:val="Heading2"/>
    <w:next w:val="Normal"/>
    <w:link w:val="Heading4Char"/>
    <w:uiPriority w:val="9"/>
    <w:unhideWhenUsed/>
    <w:qFormat/>
    <w:rsid w:val="00EF7361"/>
    <w:pPr>
      <w:spacing w:before="240"/>
      <w:ind w:right="-360"/>
      <w:outlineLvl w:val="3"/>
    </w:pPr>
    <w:rPr>
      <w:sz w:val="24"/>
      <w:szCs w:val="24"/>
    </w:rPr>
  </w:style>
  <w:style w:type="paragraph" w:styleId="Heading5">
    <w:name w:val="heading 5"/>
    <w:basedOn w:val="Normal"/>
    <w:next w:val="Normal"/>
    <w:link w:val="Heading5Char"/>
    <w:uiPriority w:val="9"/>
    <w:unhideWhenUsed/>
    <w:qFormat/>
    <w:rsid w:val="004D187E"/>
    <w:pPr>
      <w:ind w:right="-360"/>
      <w:outlineLvl w:val="4"/>
    </w:pPr>
    <w:rPr>
      <w:b/>
      <w:color w:val="203864"/>
    </w:rPr>
  </w:style>
  <w:style w:type="paragraph" w:styleId="Heading6">
    <w:name w:val="heading 6"/>
    <w:basedOn w:val="Normal"/>
    <w:next w:val="Normal"/>
    <w:link w:val="Heading6Char"/>
    <w:uiPriority w:val="9"/>
    <w:unhideWhenUsed/>
    <w:qFormat/>
    <w:rsid w:val="00492AB1"/>
    <w:pPr>
      <w:spacing w:after="0" w:line="271" w:lineRule="auto"/>
      <w:ind w:left="0" w:right="0"/>
      <w:outlineLvl w:val="5"/>
    </w:pPr>
    <w:rPr>
      <w:rFonts w:asciiTheme="majorHAnsi" w:eastAsiaTheme="majorEastAsia" w:hAnsiTheme="majorHAnsi" w:cstheme="majorBidi"/>
      <w:b/>
      <w:bCs/>
      <w:i/>
      <w:iCs/>
      <w:noProof w:val="0"/>
      <w:color w:val="7F7F7F" w:themeColor="text1" w:themeTint="80"/>
    </w:rPr>
  </w:style>
  <w:style w:type="paragraph" w:styleId="Heading7">
    <w:name w:val="heading 7"/>
    <w:basedOn w:val="Normal"/>
    <w:next w:val="Normal"/>
    <w:link w:val="Heading7Char"/>
    <w:uiPriority w:val="9"/>
    <w:semiHidden/>
    <w:unhideWhenUsed/>
    <w:qFormat/>
    <w:rsid w:val="00492AB1"/>
    <w:pPr>
      <w:spacing w:after="0" w:line="276" w:lineRule="auto"/>
      <w:ind w:left="0" w:right="0"/>
      <w:outlineLvl w:val="6"/>
    </w:pPr>
    <w:rPr>
      <w:rFonts w:asciiTheme="majorHAnsi" w:eastAsiaTheme="majorEastAsia" w:hAnsiTheme="majorHAnsi" w:cstheme="majorBidi"/>
      <w:i/>
      <w:iCs/>
      <w:noProof w:val="0"/>
    </w:rPr>
  </w:style>
  <w:style w:type="paragraph" w:styleId="Heading8">
    <w:name w:val="heading 8"/>
    <w:basedOn w:val="Normal"/>
    <w:next w:val="Normal"/>
    <w:link w:val="Heading8Char"/>
    <w:uiPriority w:val="9"/>
    <w:semiHidden/>
    <w:unhideWhenUsed/>
    <w:qFormat/>
    <w:rsid w:val="00492AB1"/>
    <w:pPr>
      <w:spacing w:after="0" w:line="276" w:lineRule="auto"/>
      <w:ind w:left="0" w:right="0"/>
      <w:outlineLvl w:val="7"/>
    </w:pPr>
    <w:rPr>
      <w:rFonts w:asciiTheme="majorHAnsi" w:eastAsiaTheme="majorEastAsia" w:hAnsiTheme="majorHAnsi" w:cstheme="majorBidi"/>
      <w:noProof w:val="0"/>
      <w:sz w:val="20"/>
      <w:szCs w:val="20"/>
    </w:rPr>
  </w:style>
  <w:style w:type="paragraph" w:styleId="Heading9">
    <w:name w:val="heading 9"/>
    <w:basedOn w:val="Normal"/>
    <w:next w:val="Normal"/>
    <w:link w:val="Heading9Char"/>
    <w:uiPriority w:val="9"/>
    <w:semiHidden/>
    <w:unhideWhenUsed/>
    <w:qFormat/>
    <w:rsid w:val="00492AB1"/>
    <w:pPr>
      <w:spacing w:after="0" w:line="276" w:lineRule="auto"/>
      <w:ind w:left="0" w:right="0"/>
      <w:outlineLvl w:val="8"/>
    </w:pPr>
    <w:rPr>
      <w:rFonts w:asciiTheme="majorHAnsi" w:eastAsiaTheme="majorEastAsia" w:hAnsiTheme="majorHAnsi" w:cstheme="majorBidi"/>
      <w:i/>
      <w:iCs/>
      <w:noProof w:val="0"/>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rialHermann">
    <w:name w:val="Memorial Hermann"/>
    <w:basedOn w:val="Heading1"/>
    <w:rsid w:val="001503C2"/>
    <w:pPr>
      <w:spacing w:before="0" w:line="240" w:lineRule="auto"/>
    </w:pPr>
    <w:rPr>
      <w:b w:val="0"/>
      <w:color w:val="195974"/>
    </w:rPr>
  </w:style>
  <w:style w:type="character" w:customStyle="1" w:styleId="Heading1Char">
    <w:name w:val="Heading 1 Char"/>
    <w:aliases w:val="SHA HEADING 1 Char"/>
    <w:basedOn w:val="DefaultParagraphFont"/>
    <w:link w:val="Heading1"/>
    <w:uiPriority w:val="9"/>
    <w:rsid w:val="00EF7361"/>
    <w:rPr>
      <w:rFonts w:eastAsiaTheme="majorEastAsia" w:cstheme="majorBidi"/>
      <w:b/>
      <w:noProof/>
      <w:sz w:val="40"/>
      <w:szCs w:val="40"/>
    </w:rPr>
  </w:style>
  <w:style w:type="paragraph" w:customStyle="1" w:styleId="SHA">
    <w:name w:val="SHA"/>
    <w:basedOn w:val="Normal"/>
    <w:link w:val="SHAChar"/>
    <w:autoRedefine/>
    <w:qFormat/>
    <w:rsid w:val="00EF6249"/>
    <w:rPr>
      <w:rFonts w:ascii="Aileron Heavy" w:hAnsi="Aileron Heavy"/>
      <w:b/>
      <w:sz w:val="32"/>
      <w:szCs w:val="32"/>
    </w:rPr>
  </w:style>
  <w:style w:type="character" w:customStyle="1" w:styleId="SHAChar">
    <w:name w:val="SHA Char"/>
    <w:basedOn w:val="DefaultParagraphFont"/>
    <w:link w:val="SHA"/>
    <w:rsid w:val="00EF6249"/>
    <w:rPr>
      <w:rFonts w:ascii="Aileron Heavy" w:hAnsi="Aileron Heavy"/>
      <w:b/>
      <w:sz w:val="32"/>
      <w:szCs w:val="32"/>
    </w:rPr>
  </w:style>
  <w:style w:type="paragraph" w:styleId="Title">
    <w:name w:val="Title"/>
    <w:basedOn w:val="Normal"/>
    <w:next w:val="Normal"/>
    <w:link w:val="TitleChar"/>
    <w:uiPriority w:val="10"/>
    <w:qFormat/>
    <w:rsid w:val="006E3904"/>
    <w:pPr>
      <w:spacing w:before="360" w:after="0" w:line="240" w:lineRule="auto"/>
      <w:ind w:right="2160"/>
    </w:pPr>
    <w:rPr>
      <w:rFonts w:eastAsiaTheme="majorEastAsia" w:cstheme="majorBidi"/>
      <w:spacing w:val="-10"/>
      <w:kern w:val="28"/>
      <w:sz w:val="60"/>
      <w:szCs w:val="60"/>
    </w:rPr>
  </w:style>
  <w:style w:type="character" w:customStyle="1" w:styleId="TitleChar">
    <w:name w:val="Title Char"/>
    <w:basedOn w:val="DefaultParagraphFont"/>
    <w:link w:val="Title"/>
    <w:uiPriority w:val="10"/>
    <w:rsid w:val="006E3904"/>
    <w:rPr>
      <w:rFonts w:eastAsiaTheme="majorEastAsia" w:cstheme="majorBidi"/>
      <w:noProof/>
      <w:spacing w:val="-10"/>
      <w:kern w:val="28"/>
      <w:sz w:val="60"/>
      <w:szCs w:val="60"/>
    </w:rPr>
  </w:style>
  <w:style w:type="character" w:customStyle="1" w:styleId="Heading2Char">
    <w:name w:val="Heading 2 Char"/>
    <w:basedOn w:val="DefaultParagraphFont"/>
    <w:link w:val="Heading2"/>
    <w:uiPriority w:val="9"/>
    <w:rsid w:val="00EF7361"/>
    <w:rPr>
      <w:b/>
      <w:noProof/>
      <w:sz w:val="30"/>
      <w:szCs w:val="30"/>
    </w:rPr>
  </w:style>
  <w:style w:type="paragraph" w:styleId="Header">
    <w:name w:val="header"/>
    <w:basedOn w:val="Normal"/>
    <w:link w:val="HeaderChar"/>
    <w:uiPriority w:val="99"/>
    <w:unhideWhenUsed/>
    <w:rsid w:val="00195F02"/>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195F02"/>
    <w:rPr>
      <w:rFonts w:ascii="Aileron" w:hAnsi="Aileron"/>
    </w:rPr>
  </w:style>
  <w:style w:type="paragraph" w:styleId="Footer">
    <w:name w:val="footer"/>
    <w:basedOn w:val="Normal"/>
    <w:link w:val="FooterChar"/>
    <w:uiPriority w:val="99"/>
    <w:unhideWhenUsed/>
    <w:rsid w:val="00195F02"/>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195F02"/>
    <w:rPr>
      <w:rFonts w:ascii="Aileron" w:hAnsi="Aileron"/>
    </w:rPr>
  </w:style>
  <w:style w:type="paragraph" w:styleId="NoSpacing">
    <w:name w:val="No Spacing"/>
    <w:link w:val="NoSpacingChar"/>
    <w:uiPriority w:val="1"/>
    <w:qFormat/>
    <w:rsid w:val="00561BF0"/>
    <w:pPr>
      <w:spacing w:after="0" w:line="240" w:lineRule="auto"/>
      <w:jc w:val="both"/>
    </w:pPr>
    <w:rPr>
      <w:rFonts w:ascii="Aileron" w:hAnsi="Aileron"/>
      <w:sz w:val="21"/>
      <w:szCs w:val="21"/>
    </w:rPr>
  </w:style>
  <w:style w:type="paragraph" w:customStyle="1" w:styleId="Chapter">
    <w:name w:val="Chapter"/>
    <w:basedOn w:val="NoSpacing"/>
    <w:link w:val="ChapterChar"/>
    <w:qFormat/>
    <w:rsid w:val="00FC64DD"/>
    <w:pPr>
      <w:ind w:left="-360"/>
    </w:pPr>
    <w:rPr>
      <w:rFonts w:asciiTheme="minorHAnsi" w:hAnsiTheme="minorHAnsi"/>
      <w:b/>
      <w:sz w:val="60"/>
      <w:szCs w:val="60"/>
    </w:rPr>
  </w:style>
  <w:style w:type="paragraph" w:customStyle="1" w:styleId="ChapterName">
    <w:name w:val="Chapter Name"/>
    <w:basedOn w:val="NoSpacing"/>
    <w:link w:val="ChapterNameChar"/>
    <w:qFormat/>
    <w:rsid w:val="00E36D41"/>
    <w:pPr>
      <w:ind w:firstLine="720"/>
    </w:pPr>
    <w:rPr>
      <w:rFonts w:asciiTheme="minorHAnsi" w:hAnsiTheme="minorHAnsi"/>
      <w:sz w:val="68"/>
      <w:szCs w:val="68"/>
    </w:rPr>
  </w:style>
  <w:style w:type="character" w:customStyle="1" w:styleId="NoSpacingChar">
    <w:name w:val="No Spacing Char"/>
    <w:basedOn w:val="DefaultParagraphFont"/>
    <w:link w:val="NoSpacing"/>
    <w:uiPriority w:val="1"/>
    <w:rsid w:val="000B4605"/>
    <w:rPr>
      <w:rFonts w:ascii="Aileron" w:hAnsi="Aileron"/>
      <w:sz w:val="21"/>
      <w:szCs w:val="21"/>
    </w:rPr>
  </w:style>
  <w:style w:type="character" w:customStyle="1" w:styleId="ChapterChar">
    <w:name w:val="Chapter Char"/>
    <w:basedOn w:val="NoSpacingChar"/>
    <w:link w:val="Chapter"/>
    <w:rsid w:val="00FC64DD"/>
    <w:rPr>
      <w:rFonts w:ascii="Aileron" w:hAnsi="Aileron"/>
      <w:b/>
      <w:sz w:val="60"/>
      <w:szCs w:val="60"/>
    </w:rPr>
  </w:style>
  <w:style w:type="paragraph" w:styleId="ListParagraph">
    <w:name w:val="List Paragraph"/>
    <w:basedOn w:val="Normal"/>
    <w:uiPriority w:val="34"/>
    <w:qFormat/>
    <w:rsid w:val="002C6F32"/>
    <w:pPr>
      <w:ind w:left="720"/>
      <w:contextualSpacing/>
    </w:pPr>
  </w:style>
  <w:style w:type="character" w:customStyle="1" w:styleId="ChapterNameChar">
    <w:name w:val="Chapter Name Char"/>
    <w:basedOn w:val="NoSpacingChar"/>
    <w:link w:val="ChapterName"/>
    <w:rsid w:val="00E36D41"/>
    <w:rPr>
      <w:rFonts w:ascii="Aileron" w:hAnsi="Aileron"/>
      <w:sz w:val="68"/>
      <w:szCs w:val="68"/>
    </w:rPr>
  </w:style>
  <w:style w:type="paragraph" w:styleId="NormalWeb">
    <w:name w:val="Normal (Web)"/>
    <w:basedOn w:val="Normal"/>
    <w:uiPriority w:val="99"/>
    <w:rsid w:val="00033EA5"/>
    <w:pPr>
      <w:spacing w:before="100" w:beforeAutospacing="1" w:after="100" w:afterAutospacing="1" w:line="240" w:lineRule="auto"/>
      <w:jc w:val="left"/>
    </w:pPr>
    <w:rPr>
      <w:rFonts w:ascii="Times New Roman" w:eastAsia="Times New Roman" w:hAnsi="Times New Roman" w:cs="Times New Roman"/>
      <w:color w:val="000000"/>
      <w:sz w:val="24"/>
      <w:szCs w:val="24"/>
    </w:rPr>
  </w:style>
  <w:style w:type="character" w:customStyle="1" w:styleId="Heading3Char">
    <w:name w:val="Heading 3 Char"/>
    <w:basedOn w:val="DefaultParagraphFont"/>
    <w:link w:val="Heading3"/>
    <w:uiPriority w:val="9"/>
    <w:rsid w:val="007D7811"/>
    <w:rPr>
      <w:rFonts w:eastAsiaTheme="majorEastAsia" w:cstheme="majorBidi"/>
      <w:noProof/>
      <w:color w:val="203864"/>
      <w:sz w:val="26"/>
      <w:szCs w:val="26"/>
    </w:rPr>
  </w:style>
  <w:style w:type="paragraph" w:styleId="BalloonText">
    <w:name w:val="Balloon Text"/>
    <w:basedOn w:val="Normal"/>
    <w:link w:val="BalloonTextChar"/>
    <w:uiPriority w:val="99"/>
    <w:semiHidden/>
    <w:unhideWhenUsed/>
    <w:rsid w:val="006165F4"/>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65F4"/>
    <w:rPr>
      <w:rFonts w:ascii="Tahoma" w:hAnsi="Tahoma" w:cs="Tahoma"/>
      <w:sz w:val="16"/>
      <w:szCs w:val="16"/>
    </w:rPr>
  </w:style>
  <w:style w:type="character" w:styleId="CommentReference">
    <w:name w:val="annotation reference"/>
    <w:basedOn w:val="DefaultParagraphFont"/>
    <w:uiPriority w:val="99"/>
    <w:unhideWhenUsed/>
    <w:rsid w:val="00746EAF"/>
    <w:rPr>
      <w:sz w:val="16"/>
      <w:szCs w:val="16"/>
    </w:rPr>
  </w:style>
  <w:style w:type="paragraph" w:styleId="CommentText">
    <w:name w:val="annotation text"/>
    <w:basedOn w:val="Normal"/>
    <w:link w:val="CommentTextChar"/>
    <w:unhideWhenUsed/>
    <w:rsid w:val="00746EAF"/>
    <w:pPr>
      <w:spacing w:line="240" w:lineRule="auto"/>
    </w:pPr>
    <w:rPr>
      <w:sz w:val="20"/>
      <w:szCs w:val="20"/>
    </w:rPr>
  </w:style>
  <w:style w:type="character" w:customStyle="1" w:styleId="CommentTextChar">
    <w:name w:val="Comment Text Char"/>
    <w:basedOn w:val="DefaultParagraphFont"/>
    <w:link w:val="CommentText"/>
    <w:rsid w:val="00746EAF"/>
    <w:rPr>
      <w:rFonts w:ascii="Aileron" w:hAnsi="Aileron"/>
      <w:sz w:val="20"/>
      <w:szCs w:val="20"/>
    </w:rPr>
  </w:style>
  <w:style w:type="paragraph" w:styleId="CommentSubject">
    <w:name w:val="annotation subject"/>
    <w:basedOn w:val="CommentText"/>
    <w:next w:val="CommentText"/>
    <w:link w:val="CommentSubjectChar"/>
    <w:uiPriority w:val="99"/>
    <w:semiHidden/>
    <w:unhideWhenUsed/>
    <w:rsid w:val="00746EAF"/>
    <w:rPr>
      <w:b/>
      <w:bCs/>
    </w:rPr>
  </w:style>
  <w:style w:type="character" w:customStyle="1" w:styleId="CommentSubjectChar">
    <w:name w:val="Comment Subject Char"/>
    <w:basedOn w:val="CommentTextChar"/>
    <w:link w:val="CommentSubject"/>
    <w:uiPriority w:val="99"/>
    <w:semiHidden/>
    <w:rsid w:val="00746EAF"/>
    <w:rPr>
      <w:rFonts w:ascii="Aileron" w:hAnsi="Aileron"/>
      <w:b/>
      <w:bCs/>
      <w:sz w:val="20"/>
      <w:szCs w:val="20"/>
    </w:rPr>
  </w:style>
  <w:style w:type="paragraph" w:styleId="FootnoteText">
    <w:name w:val="footnote text"/>
    <w:basedOn w:val="Normal"/>
    <w:link w:val="FootnoteTextChar"/>
    <w:uiPriority w:val="99"/>
    <w:unhideWhenUsed/>
    <w:rsid w:val="00C9671C"/>
    <w:pPr>
      <w:spacing w:before="0" w:after="0" w:line="240" w:lineRule="auto"/>
    </w:pPr>
    <w:rPr>
      <w:sz w:val="20"/>
      <w:szCs w:val="20"/>
    </w:rPr>
  </w:style>
  <w:style w:type="character" w:customStyle="1" w:styleId="FootnoteTextChar">
    <w:name w:val="Footnote Text Char"/>
    <w:basedOn w:val="DefaultParagraphFont"/>
    <w:link w:val="FootnoteText"/>
    <w:uiPriority w:val="99"/>
    <w:rsid w:val="00C9671C"/>
    <w:rPr>
      <w:noProof/>
      <w:sz w:val="20"/>
      <w:szCs w:val="20"/>
    </w:rPr>
  </w:style>
  <w:style w:type="character" w:styleId="FootnoteReference">
    <w:name w:val="footnote reference"/>
    <w:basedOn w:val="DefaultParagraphFont"/>
    <w:uiPriority w:val="99"/>
    <w:unhideWhenUsed/>
    <w:rsid w:val="00C9671C"/>
    <w:rPr>
      <w:vertAlign w:val="superscript"/>
    </w:rPr>
  </w:style>
  <w:style w:type="paragraph" w:customStyle="1" w:styleId="Fignum">
    <w:name w:val="Fignum"/>
    <w:basedOn w:val="NoSpacing"/>
    <w:link w:val="FignumChar"/>
    <w:rsid w:val="00C9671C"/>
    <w:pPr>
      <w:spacing w:before="120" w:after="160"/>
      <w:ind w:left="-360" w:right="-360"/>
    </w:pPr>
    <w:rPr>
      <w:rFonts w:asciiTheme="minorHAnsi" w:hAnsiTheme="minorHAnsi"/>
      <w:smallCaps/>
      <w:sz w:val="22"/>
      <w:szCs w:val="22"/>
    </w:rPr>
  </w:style>
  <w:style w:type="paragraph" w:customStyle="1" w:styleId="FigName">
    <w:name w:val="FigName"/>
    <w:basedOn w:val="NoSpacing"/>
    <w:link w:val="FigNameChar"/>
    <w:rsid w:val="00C9671C"/>
    <w:pPr>
      <w:spacing w:before="120" w:after="160"/>
      <w:ind w:left="-360" w:right="-360"/>
    </w:pPr>
    <w:rPr>
      <w:rFonts w:asciiTheme="minorHAnsi" w:hAnsiTheme="minorHAnsi"/>
      <w:b/>
      <w:sz w:val="22"/>
      <w:szCs w:val="22"/>
    </w:rPr>
  </w:style>
  <w:style w:type="character" w:customStyle="1" w:styleId="FignumChar">
    <w:name w:val="Fignum Char"/>
    <w:basedOn w:val="NoSpacingChar"/>
    <w:link w:val="Fignum"/>
    <w:rsid w:val="00C9671C"/>
    <w:rPr>
      <w:rFonts w:ascii="Aileron" w:hAnsi="Aileron"/>
      <w:smallCaps/>
      <w:sz w:val="21"/>
      <w:szCs w:val="21"/>
    </w:rPr>
  </w:style>
  <w:style w:type="character" w:customStyle="1" w:styleId="FigNameChar">
    <w:name w:val="FigName Char"/>
    <w:basedOn w:val="NoSpacingChar"/>
    <w:link w:val="FigName"/>
    <w:rsid w:val="00C9671C"/>
    <w:rPr>
      <w:rFonts w:ascii="Aileron" w:hAnsi="Aileron"/>
      <w:b/>
      <w:sz w:val="21"/>
      <w:szCs w:val="21"/>
    </w:rPr>
  </w:style>
  <w:style w:type="character" w:customStyle="1" w:styleId="Heading4Char">
    <w:name w:val="Heading 4 Char"/>
    <w:basedOn w:val="DefaultParagraphFont"/>
    <w:link w:val="Heading4"/>
    <w:uiPriority w:val="9"/>
    <w:rsid w:val="00EF7361"/>
    <w:rPr>
      <w:b/>
      <w:noProof/>
      <w:sz w:val="24"/>
      <w:szCs w:val="24"/>
    </w:rPr>
  </w:style>
  <w:style w:type="paragraph" w:styleId="EndnoteText">
    <w:name w:val="endnote text"/>
    <w:basedOn w:val="Normal"/>
    <w:link w:val="EndnoteTextChar"/>
    <w:uiPriority w:val="99"/>
    <w:unhideWhenUsed/>
    <w:rsid w:val="00FB3359"/>
    <w:pPr>
      <w:spacing w:before="0" w:after="0" w:line="240" w:lineRule="auto"/>
    </w:pPr>
    <w:rPr>
      <w:sz w:val="20"/>
      <w:szCs w:val="20"/>
    </w:rPr>
  </w:style>
  <w:style w:type="character" w:customStyle="1" w:styleId="EndnoteTextChar">
    <w:name w:val="Endnote Text Char"/>
    <w:basedOn w:val="DefaultParagraphFont"/>
    <w:link w:val="EndnoteText"/>
    <w:uiPriority w:val="99"/>
    <w:rsid w:val="00FB3359"/>
    <w:rPr>
      <w:noProof/>
      <w:sz w:val="20"/>
      <w:szCs w:val="20"/>
    </w:rPr>
  </w:style>
  <w:style w:type="character" w:styleId="EndnoteReference">
    <w:name w:val="endnote reference"/>
    <w:basedOn w:val="DefaultParagraphFont"/>
    <w:uiPriority w:val="99"/>
    <w:unhideWhenUsed/>
    <w:rsid w:val="00FB3359"/>
    <w:rPr>
      <w:vertAlign w:val="superscript"/>
    </w:rPr>
  </w:style>
  <w:style w:type="paragraph" w:styleId="Revision">
    <w:name w:val="Revision"/>
    <w:hidden/>
    <w:uiPriority w:val="99"/>
    <w:semiHidden/>
    <w:rsid w:val="000F3675"/>
    <w:pPr>
      <w:spacing w:after="0" w:line="240" w:lineRule="auto"/>
    </w:pPr>
    <w:rPr>
      <w:noProof/>
    </w:rPr>
  </w:style>
  <w:style w:type="character" w:styleId="Hyperlink">
    <w:name w:val="Hyperlink"/>
    <w:uiPriority w:val="99"/>
    <w:unhideWhenUsed/>
    <w:rsid w:val="001E2DF1"/>
    <w:rPr>
      <w:rFonts w:cstheme="minorHAnsi"/>
      <w:color w:val="303030"/>
      <w:shd w:val="clear" w:color="auto" w:fill="FFFFFF"/>
    </w:rPr>
  </w:style>
  <w:style w:type="table" w:styleId="TableGrid">
    <w:name w:val="Table Grid"/>
    <w:basedOn w:val="TableNormal"/>
    <w:rsid w:val="00EF0801"/>
    <w:pPr>
      <w:spacing w:before="120" w:after="0" w:line="240" w:lineRule="auto"/>
      <w:ind w:left="-360" w:right="-3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qFormat/>
    <w:rsid w:val="00EF0801"/>
    <w:pPr>
      <w:spacing w:before="0" w:after="200" w:line="240" w:lineRule="auto"/>
      <w:ind w:left="0" w:right="0"/>
    </w:pPr>
    <w:rPr>
      <w:rFonts w:cstheme="minorHAnsi"/>
      <w:iCs/>
      <w:smallCaps/>
      <w:color w:val="000000" w:themeColor="text1"/>
      <w:sz w:val="20"/>
      <w:szCs w:val="18"/>
    </w:rPr>
  </w:style>
  <w:style w:type="character" w:customStyle="1" w:styleId="apple-converted-space">
    <w:name w:val="apple-converted-space"/>
    <w:basedOn w:val="DefaultParagraphFont"/>
    <w:rsid w:val="00EF0801"/>
  </w:style>
  <w:style w:type="character" w:styleId="FollowedHyperlink">
    <w:name w:val="FollowedHyperlink"/>
    <w:basedOn w:val="DefaultParagraphFont"/>
    <w:uiPriority w:val="99"/>
    <w:semiHidden/>
    <w:unhideWhenUsed/>
    <w:rsid w:val="00EF0801"/>
    <w:rPr>
      <w:color w:val="954F72" w:themeColor="followedHyperlink"/>
      <w:u w:val="single"/>
    </w:rPr>
  </w:style>
  <w:style w:type="table" w:customStyle="1" w:styleId="PlainTable31">
    <w:name w:val="Plain Table 31"/>
    <w:basedOn w:val="TableNormal"/>
    <w:next w:val="PlainTable32"/>
    <w:uiPriority w:val="43"/>
    <w:rsid w:val="00EF0801"/>
    <w:pPr>
      <w:spacing w:before="120" w:after="0" w:line="240" w:lineRule="auto"/>
      <w:ind w:left="-360" w:right="-360"/>
      <w:jc w:val="both"/>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32">
    <w:name w:val="Plain Table 32"/>
    <w:basedOn w:val="TableNormal"/>
    <w:uiPriority w:val="43"/>
    <w:rsid w:val="00EF0801"/>
    <w:pPr>
      <w:spacing w:before="120" w:after="0" w:line="240" w:lineRule="auto"/>
      <w:ind w:left="-360" w:right="-360"/>
      <w:jc w:val="both"/>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Subtitle">
    <w:name w:val="Subtitle"/>
    <w:aliases w:val="FigNum"/>
    <w:basedOn w:val="Normal"/>
    <w:next w:val="Normal"/>
    <w:link w:val="SubtitleChar"/>
    <w:uiPriority w:val="11"/>
    <w:qFormat/>
    <w:rsid w:val="00EF0801"/>
    <w:pPr>
      <w:numPr>
        <w:ilvl w:val="1"/>
      </w:numPr>
      <w:ind w:left="-360" w:right="0"/>
    </w:pPr>
    <w:rPr>
      <w:rFonts w:eastAsiaTheme="minorEastAsia" w:cstheme="minorHAnsi"/>
      <w:b/>
      <w:color w:val="000000" w:themeColor="text1"/>
    </w:rPr>
  </w:style>
  <w:style w:type="character" w:customStyle="1" w:styleId="SubtitleChar">
    <w:name w:val="Subtitle Char"/>
    <w:aliases w:val="FigNum Char"/>
    <w:basedOn w:val="DefaultParagraphFont"/>
    <w:link w:val="Subtitle"/>
    <w:uiPriority w:val="11"/>
    <w:rsid w:val="00EF0801"/>
    <w:rPr>
      <w:rFonts w:eastAsiaTheme="minorEastAsia" w:cstheme="minorHAnsi"/>
      <w:b/>
      <w:noProof/>
      <w:color w:val="000000" w:themeColor="text1"/>
    </w:rPr>
  </w:style>
  <w:style w:type="character" w:styleId="Strong">
    <w:name w:val="Strong"/>
    <w:uiPriority w:val="22"/>
    <w:qFormat/>
    <w:rsid w:val="00EF0801"/>
    <w:rPr>
      <w:smallCaps/>
    </w:rPr>
  </w:style>
  <w:style w:type="paragraph" w:customStyle="1" w:styleId="FigureorTable">
    <w:name w:val="Figure or Table"/>
    <w:basedOn w:val="FigTitle"/>
    <w:link w:val="FigureorTableChar"/>
    <w:rsid w:val="00EF0801"/>
    <w:rPr>
      <w:b w:val="0"/>
    </w:rPr>
  </w:style>
  <w:style w:type="paragraph" w:customStyle="1" w:styleId="FigTitle">
    <w:name w:val="FigTitle"/>
    <w:basedOn w:val="Subtitle"/>
    <w:link w:val="FigTitleChar"/>
    <w:rsid w:val="00EF0801"/>
  </w:style>
  <w:style w:type="character" w:customStyle="1" w:styleId="FigureorTableChar">
    <w:name w:val="Figure or Table Char"/>
    <w:basedOn w:val="SubtitleChar"/>
    <w:link w:val="FigureorTable"/>
    <w:rsid w:val="00EF0801"/>
    <w:rPr>
      <w:rFonts w:eastAsiaTheme="minorEastAsia" w:cstheme="minorHAnsi"/>
      <w:b w:val="0"/>
      <w:noProof/>
      <w:color w:val="000000" w:themeColor="text1"/>
    </w:rPr>
  </w:style>
  <w:style w:type="paragraph" w:customStyle="1" w:styleId="Source">
    <w:name w:val="Source"/>
    <w:basedOn w:val="Caption"/>
    <w:link w:val="SourceChar"/>
    <w:rsid w:val="00EF0801"/>
  </w:style>
  <w:style w:type="character" w:customStyle="1" w:styleId="FigTitleChar">
    <w:name w:val="FigTitle Char"/>
    <w:basedOn w:val="SubtitleChar"/>
    <w:link w:val="FigTitle"/>
    <w:rsid w:val="00EF0801"/>
    <w:rPr>
      <w:rFonts w:eastAsiaTheme="minorEastAsia" w:cstheme="minorHAnsi"/>
      <w:b/>
      <w:noProof/>
      <w:color w:val="000000" w:themeColor="text1"/>
    </w:rPr>
  </w:style>
  <w:style w:type="table" w:customStyle="1" w:styleId="TableGrid1">
    <w:name w:val="Table Grid1"/>
    <w:basedOn w:val="TableNormal"/>
    <w:next w:val="TableGrid"/>
    <w:uiPriority w:val="39"/>
    <w:rsid w:val="00EF0801"/>
    <w:pPr>
      <w:spacing w:before="120" w:after="0" w:line="240" w:lineRule="auto"/>
      <w:ind w:left="-360" w:right="-3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tionChar">
    <w:name w:val="Caption Char"/>
    <w:basedOn w:val="DefaultParagraphFont"/>
    <w:link w:val="Caption"/>
    <w:uiPriority w:val="35"/>
    <w:rsid w:val="00EF0801"/>
    <w:rPr>
      <w:rFonts w:cstheme="minorHAnsi"/>
      <w:iCs/>
      <w:smallCaps/>
      <w:noProof/>
      <w:color w:val="000000" w:themeColor="text1"/>
      <w:sz w:val="20"/>
      <w:szCs w:val="18"/>
    </w:rPr>
  </w:style>
  <w:style w:type="character" w:customStyle="1" w:styleId="SourceChar">
    <w:name w:val="Source Char"/>
    <w:basedOn w:val="CaptionChar"/>
    <w:link w:val="Source"/>
    <w:rsid w:val="00EF0801"/>
    <w:rPr>
      <w:rFonts w:cstheme="minorHAnsi"/>
      <w:iCs/>
      <w:smallCaps/>
      <w:noProof/>
      <w:color w:val="000000" w:themeColor="text1"/>
      <w:sz w:val="20"/>
      <w:szCs w:val="18"/>
    </w:rPr>
  </w:style>
  <w:style w:type="table" w:customStyle="1" w:styleId="PlainTable311">
    <w:name w:val="Plain Table 311"/>
    <w:basedOn w:val="TableNormal"/>
    <w:next w:val="PlainTable32"/>
    <w:uiPriority w:val="43"/>
    <w:rsid w:val="00EF0801"/>
    <w:pPr>
      <w:spacing w:before="120" w:after="0" w:line="240" w:lineRule="auto"/>
      <w:ind w:left="-360" w:right="-360"/>
      <w:jc w:val="both"/>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customStyle="1" w:styleId="fIGnUM0">
    <w:name w:val="fIG nUM"/>
    <w:basedOn w:val="FigureorTable"/>
    <w:link w:val="fIGnUMChar0"/>
    <w:qFormat/>
    <w:rsid w:val="00EF0801"/>
  </w:style>
  <w:style w:type="character" w:customStyle="1" w:styleId="fIGnUMChar0">
    <w:name w:val="fIG nUM Char"/>
    <w:basedOn w:val="FigTitleChar"/>
    <w:link w:val="fIGnUM0"/>
    <w:rsid w:val="00EF0801"/>
    <w:rPr>
      <w:rFonts w:eastAsiaTheme="minorEastAsia" w:cstheme="minorHAnsi"/>
      <w:b w:val="0"/>
      <w:noProof/>
      <w:color w:val="000000" w:themeColor="text1"/>
    </w:rPr>
  </w:style>
  <w:style w:type="paragraph" w:customStyle="1" w:styleId="Normal1">
    <w:name w:val="Normal1"/>
    <w:rsid w:val="00EF0801"/>
    <w:pPr>
      <w:widowControl w:val="0"/>
      <w:pBdr>
        <w:top w:val="nil"/>
        <w:left w:val="nil"/>
        <w:bottom w:val="nil"/>
        <w:right w:val="nil"/>
        <w:between w:val="nil"/>
        <w:bar w:val="nil"/>
      </w:pBdr>
      <w:spacing w:after="200" w:line="276" w:lineRule="auto"/>
    </w:pPr>
    <w:rPr>
      <w:rFonts w:ascii="Calibri" w:eastAsia="Calibri" w:hAnsi="Calibri" w:cs="Calibri"/>
      <w:color w:val="000000"/>
      <w:u w:color="000000"/>
      <w:bdr w:val="nil"/>
    </w:rPr>
  </w:style>
  <w:style w:type="character" w:customStyle="1" w:styleId="sr-only">
    <w:name w:val="sr-only"/>
    <w:basedOn w:val="DefaultParagraphFont"/>
    <w:rsid w:val="00EF0801"/>
  </w:style>
  <w:style w:type="character" w:customStyle="1" w:styleId="text">
    <w:name w:val="text"/>
    <w:basedOn w:val="DefaultParagraphFont"/>
    <w:rsid w:val="00EF0801"/>
  </w:style>
  <w:style w:type="character" w:customStyle="1" w:styleId="author-ref">
    <w:name w:val="author-ref"/>
    <w:basedOn w:val="DefaultParagraphFont"/>
    <w:rsid w:val="00EF0801"/>
  </w:style>
  <w:style w:type="paragraph" w:styleId="HTMLPreformatted">
    <w:name w:val="HTML Preformatted"/>
    <w:basedOn w:val="Normal"/>
    <w:link w:val="HTMLPreformattedChar"/>
    <w:uiPriority w:val="99"/>
    <w:unhideWhenUsed/>
    <w:rsid w:val="00BA2E13"/>
    <w:pPr>
      <w:spacing w:before="0" w:after="0" w:line="240" w:lineRule="auto"/>
      <w:ind w:left="0" w:right="0"/>
      <w:jc w:val="left"/>
    </w:pPr>
    <w:rPr>
      <w:rFonts w:ascii="Consolas" w:hAnsi="Consolas" w:cs="Consolas"/>
      <w:noProof w:val="0"/>
      <w:sz w:val="20"/>
      <w:szCs w:val="20"/>
    </w:rPr>
  </w:style>
  <w:style w:type="character" w:customStyle="1" w:styleId="HTMLPreformattedChar">
    <w:name w:val="HTML Preformatted Char"/>
    <w:basedOn w:val="DefaultParagraphFont"/>
    <w:link w:val="HTMLPreformatted"/>
    <w:uiPriority w:val="99"/>
    <w:rsid w:val="00BA2E13"/>
    <w:rPr>
      <w:rFonts w:ascii="Consolas" w:hAnsi="Consolas" w:cs="Consolas"/>
      <w:sz w:val="20"/>
      <w:szCs w:val="20"/>
    </w:rPr>
  </w:style>
  <w:style w:type="character" w:styleId="Emphasis">
    <w:name w:val="Emphasis"/>
    <w:basedOn w:val="DefaultParagraphFont"/>
    <w:uiPriority w:val="20"/>
    <w:qFormat/>
    <w:rsid w:val="00BA2E13"/>
    <w:rPr>
      <w:i/>
      <w:iCs/>
    </w:rPr>
  </w:style>
  <w:style w:type="character" w:customStyle="1" w:styleId="A15">
    <w:name w:val="A15"/>
    <w:uiPriority w:val="99"/>
    <w:rsid w:val="00BA2E13"/>
    <w:rPr>
      <w:rFonts w:cs="TradeGothic Light"/>
      <w:color w:val="000000"/>
      <w:sz w:val="16"/>
      <w:szCs w:val="16"/>
    </w:rPr>
  </w:style>
  <w:style w:type="character" w:customStyle="1" w:styleId="wi-fullname">
    <w:name w:val="wi-fullname"/>
    <w:basedOn w:val="DefaultParagraphFont"/>
    <w:rsid w:val="00BA2E13"/>
  </w:style>
  <w:style w:type="character" w:customStyle="1" w:styleId="meta-citation-journal-name">
    <w:name w:val="meta-citation-journal-name"/>
    <w:basedOn w:val="DefaultParagraphFont"/>
    <w:rsid w:val="00BA2E13"/>
  </w:style>
  <w:style w:type="character" w:customStyle="1" w:styleId="meta-citation">
    <w:name w:val="meta-citation"/>
    <w:basedOn w:val="DefaultParagraphFont"/>
    <w:rsid w:val="00BA2E13"/>
  </w:style>
  <w:style w:type="character" w:customStyle="1" w:styleId="ms-rtefontface-5">
    <w:name w:val="ms-rtefontface-5"/>
    <w:basedOn w:val="DefaultParagraphFont"/>
    <w:rsid w:val="00BA2E13"/>
  </w:style>
  <w:style w:type="paragraph" w:customStyle="1" w:styleId="Default">
    <w:name w:val="Default"/>
    <w:rsid w:val="00BA2E13"/>
    <w:pPr>
      <w:autoSpaceDE w:val="0"/>
      <w:autoSpaceDN w:val="0"/>
      <w:adjustRightInd w:val="0"/>
      <w:spacing w:after="0" w:line="240" w:lineRule="auto"/>
    </w:pPr>
    <w:rPr>
      <w:rFonts w:ascii="Arial" w:hAnsi="Arial" w:cs="Arial"/>
      <w:color w:val="000000"/>
      <w:sz w:val="24"/>
      <w:szCs w:val="24"/>
    </w:rPr>
  </w:style>
  <w:style w:type="character" w:customStyle="1" w:styleId="highlight">
    <w:name w:val="highlight"/>
    <w:basedOn w:val="DefaultParagraphFont"/>
    <w:rsid w:val="00BA2E13"/>
  </w:style>
  <w:style w:type="paragraph" w:customStyle="1" w:styleId="fignum1">
    <w:name w:val="fignum"/>
    <w:basedOn w:val="Normal"/>
    <w:link w:val="fignumChar1"/>
    <w:rsid w:val="00BA2E13"/>
    <w:pPr>
      <w:ind w:left="0" w:right="0"/>
      <w:jc w:val="left"/>
    </w:pPr>
    <w:rPr>
      <w:smallCaps/>
      <w:noProof w:val="0"/>
    </w:rPr>
  </w:style>
  <w:style w:type="paragraph" w:customStyle="1" w:styleId="figtitle0">
    <w:name w:val="figtitle"/>
    <w:basedOn w:val="Normal"/>
    <w:link w:val="figtitleChar0"/>
    <w:rsid w:val="00BA2E13"/>
    <w:pPr>
      <w:ind w:left="0" w:right="0"/>
      <w:jc w:val="left"/>
    </w:pPr>
    <w:rPr>
      <w:b/>
      <w:noProof w:val="0"/>
    </w:rPr>
  </w:style>
  <w:style w:type="character" w:customStyle="1" w:styleId="fignumChar1">
    <w:name w:val="fignum Char"/>
    <w:basedOn w:val="DefaultParagraphFont"/>
    <w:link w:val="fignum1"/>
    <w:rsid w:val="00BA2E13"/>
    <w:rPr>
      <w:smallCaps/>
    </w:rPr>
  </w:style>
  <w:style w:type="paragraph" w:customStyle="1" w:styleId="source0">
    <w:name w:val="source"/>
    <w:basedOn w:val="Normal"/>
    <w:link w:val="sourceChar0"/>
    <w:rsid w:val="00BA2E13"/>
    <w:pPr>
      <w:spacing w:after="120"/>
      <w:ind w:left="0" w:right="0"/>
      <w:jc w:val="left"/>
    </w:pPr>
    <w:rPr>
      <w:smallCaps/>
      <w:noProof w:val="0"/>
      <w:sz w:val="21"/>
      <w:szCs w:val="21"/>
    </w:rPr>
  </w:style>
  <w:style w:type="character" w:customStyle="1" w:styleId="figtitleChar0">
    <w:name w:val="figtitle Char"/>
    <w:basedOn w:val="DefaultParagraphFont"/>
    <w:link w:val="figtitle0"/>
    <w:rsid w:val="00BA2E13"/>
    <w:rPr>
      <w:b/>
    </w:rPr>
  </w:style>
  <w:style w:type="character" w:customStyle="1" w:styleId="sourceChar0">
    <w:name w:val="source Char"/>
    <w:basedOn w:val="DefaultParagraphFont"/>
    <w:link w:val="source0"/>
    <w:rsid w:val="00BA2E13"/>
    <w:rPr>
      <w:smallCaps/>
      <w:sz w:val="21"/>
      <w:szCs w:val="21"/>
    </w:rPr>
  </w:style>
  <w:style w:type="character" w:customStyle="1" w:styleId="cit-auth">
    <w:name w:val="cit-auth"/>
    <w:basedOn w:val="DefaultParagraphFont"/>
    <w:rsid w:val="00BA2E13"/>
  </w:style>
  <w:style w:type="character" w:customStyle="1" w:styleId="cit-name-surname">
    <w:name w:val="cit-name-surname"/>
    <w:basedOn w:val="DefaultParagraphFont"/>
    <w:rsid w:val="00BA2E13"/>
  </w:style>
  <w:style w:type="character" w:customStyle="1" w:styleId="cit-name-given-names">
    <w:name w:val="cit-name-given-names"/>
    <w:basedOn w:val="DefaultParagraphFont"/>
    <w:rsid w:val="00BA2E13"/>
  </w:style>
  <w:style w:type="character" w:styleId="HTMLCite">
    <w:name w:val="HTML Cite"/>
    <w:basedOn w:val="DefaultParagraphFont"/>
    <w:uiPriority w:val="99"/>
    <w:semiHidden/>
    <w:unhideWhenUsed/>
    <w:rsid w:val="00BA2E13"/>
    <w:rPr>
      <w:i/>
      <w:iCs/>
    </w:rPr>
  </w:style>
  <w:style w:type="character" w:customStyle="1" w:styleId="cit-article-title">
    <w:name w:val="cit-article-title"/>
    <w:basedOn w:val="DefaultParagraphFont"/>
    <w:rsid w:val="00BA2E13"/>
  </w:style>
  <w:style w:type="character" w:customStyle="1" w:styleId="cit-pub-date">
    <w:name w:val="cit-pub-date"/>
    <w:basedOn w:val="DefaultParagraphFont"/>
    <w:rsid w:val="00BA2E13"/>
  </w:style>
  <w:style w:type="character" w:customStyle="1" w:styleId="cit-vol">
    <w:name w:val="cit-vol"/>
    <w:basedOn w:val="DefaultParagraphFont"/>
    <w:rsid w:val="00BA2E13"/>
  </w:style>
  <w:style w:type="character" w:customStyle="1" w:styleId="cit-issue">
    <w:name w:val="cit-issue"/>
    <w:basedOn w:val="DefaultParagraphFont"/>
    <w:rsid w:val="00BA2E13"/>
  </w:style>
  <w:style w:type="character" w:customStyle="1" w:styleId="cit-pub-id">
    <w:name w:val="cit-pub-id"/>
    <w:basedOn w:val="DefaultParagraphFont"/>
    <w:rsid w:val="00BA2E13"/>
  </w:style>
  <w:style w:type="character" w:customStyle="1" w:styleId="cit-pub-id-scheme-pmid">
    <w:name w:val="cit-pub-id-scheme-pmid"/>
    <w:basedOn w:val="DefaultParagraphFont"/>
    <w:rsid w:val="00BA2E13"/>
  </w:style>
  <w:style w:type="character" w:customStyle="1" w:styleId="cit-etal">
    <w:name w:val="cit-etal"/>
    <w:basedOn w:val="DefaultParagraphFont"/>
    <w:rsid w:val="00BA2E13"/>
  </w:style>
  <w:style w:type="character" w:customStyle="1" w:styleId="Mention1">
    <w:name w:val="Mention1"/>
    <w:basedOn w:val="DefaultParagraphFont"/>
    <w:uiPriority w:val="99"/>
    <w:semiHidden/>
    <w:unhideWhenUsed/>
    <w:rsid w:val="00367354"/>
    <w:rPr>
      <w:color w:val="2B579A"/>
      <w:shd w:val="clear" w:color="auto" w:fill="E6E6E6"/>
    </w:rPr>
  </w:style>
  <w:style w:type="character" w:styleId="SubtleEmphasis">
    <w:name w:val="Subtle Emphasis"/>
    <w:uiPriority w:val="19"/>
    <w:qFormat/>
    <w:rsid w:val="00367354"/>
    <w:rPr>
      <w:rFonts w:asciiTheme="minorHAnsi" w:hAnsiTheme="minorHAnsi"/>
      <w:b/>
      <w:i w:val="0"/>
      <w:iCs/>
      <w:color w:val="404040" w:themeColor="text1" w:themeTint="BF"/>
      <w:sz w:val="22"/>
    </w:rPr>
  </w:style>
  <w:style w:type="character" w:styleId="PlaceholderText">
    <w:name w:val="Placeholder Text"/>
    <w:basedOn w:val="DefaultParagraphFont"/>
    <w:uiPriority w:val="99"/>
    <w:semiHidden/>
    <w:rsid w:val="00367354"/>
    <w:rPr>
      <w:color w:val="808080"/>
    </w:rPr>
  </w:style>
  <w:style w:type="character" w:customStyle="1" w:styleId="Hyperlink1">
    <w:name w:val="Hyperlink1"/>
    <w:basedOn w:val="DefaultParagraphFont"/>
    <w:unhideWhenUsed/>
    <w:rsid w:val="00367354"/>
    <w:rPr>
      <w:color w:val="0563C1"/>
      <w:u w:val="single"/>
    </w:rPr>
  </w:style>
  <w:style w:type="character" w:customStyle="1" w:styleId="print-only">
    <w:name w:val="print-only"/>
    <w:basedOn w:val="DefaultParagraphFont"/>
    <w:rsid w:val="00AA055A"/>
  </w:style>
  <w:style w:type="character" w:customStyle="1" w:styleId="Heading5Char">
    <w:name w:val="Heading 5 Char"/>
    <w:basedOn w:val="DefaultParagraphFont"/>
    <w:link w:val="Heading5"/>
    <w:uiPriority w:val="9"/>
    <w:rsid w:val="004D187E"/>
    <w:rPr>
      <w:b/>
      <w:noProof/>
      <w:color w:val="203864"/>
    </w:rPr>
  </w:style>
  <w:style w:type="character" w:customStyle="1" w:styleId="label">
    <w:name w:val="label"/>
    <w:basedOn w:val="DefaultParagraphFont"/>
    <w:rsid w:val="00197870"/>
  </w:style>
  <w:style w:type="character" w:customStyle="1" w:styleId="mixed-citation">
    <w:name w:val="mixed-citation"/>
    <w:basedOn w:val="DefaultParagraphFont"/>
    <w:rsid w:val="00197870"/>
  </w:style>
  <w:style w:type="paragraph" w:customStyle="1" w:styleId="Figtitle1">
    <w:name w:val="Figtitle"/>
    <w:basedOn w:val="figtitle0"/>
    <w:link w:val="FigtitleChar1"/>
    <w:rsid w:val="00197870"/>
    <w:pPr>
      <w:jc w:val="both"/>
    </w:pPr>
  </w:style>
  <w:style w:type="character" w:customStyle="1" w:styleId="FigtitleChar1">
    <w:name w:val="Figtitle Char"/>
    <w:basedOn w:val="figtitleChar0"/>
    <w:link w:val="Figtitle1"/>
    <w:rsid w:val="00197870"/>
    <w:rPr>
      <w:b/>
    </w:rPr>
  </w:style>
  <w:style w:type="paragraph" w:customStyle="1" w:styleId="CM20">
    <w:name w:val="CM20"/>
    <w:basedOn w:val="Normal"/>
    <w:next w:val="Normal"/>
    <w:uiPriority w:val="99"/>
    <w:rsid w:val="00197870"/>
    <w:pPr>
      <w:autoSpaceDE w:val="0"/>
      <w:autoSpaceDN w:val="0"/>
      <w:adjustRightInd w:val="0"/>
      <w:spacing w:before="0" w:after="0" w:line="240" w:lineRule="auto"/>
      <w:ind w:left="0" w:right="0"/>
    </w:pPr>
    <w:rPr>
      <w:rFonts w:ascii="Adobe Caslon Pro" w:hAnsi="Adobe Caslon Pro"/>
      <w:noProof w:val="0"/>
      <w:sz w:val="24"/>
      <w:szCs w:val="24"/>
    </w:rPr>
  </w:style>
  <w:style w:type="character" w:customStyle="1" w:styleId="footnote0020textchar">
    <w:name w:val="footnote_0020text__char"/>
    <w:basedOn w:val="DefaultParagraphFont"/>
    <w:rsid w:val="00197870"/>
  </w:style>
  <w:style w:type="character" w:customStyle="1" w:styleId="hyperlinkchar">
    <w:name w:val="hyperlink__char"/>
    <w:basedOn w:val="DefaultParagraphFont"/>
    <w:rsid w:val="00197870"/>
  </w:style>
  <w:style w:type="paragraph" w:customStyle="1" w:styleId="Style1">
    <w:name w:val="Style1"/>
    <w:basedOn w:val="Heading2"/>
    <w:link w:val="Style1Char"/>
    <w:qFormat/>
    <w:rsid w:val="00197870"/>
    <w:pPr>
      <w:ind w:left="0" w:right="0"/>
    </w:pPr>
    <w:rPr>
      <w:sz w:val="36"/>
      <w:szCs w:val="36"/>
    </w:rPr>
  </w:style>
  <w:style w:type="character" w:customStyle="1" w:styleId="Style1Char">
    <w:name w:val="Style1 Char"/>
    <w:basedOn w:val="Heading2Char"/>
    <w:link w:val="Style1"/>
    <w:rsid w:val="00197870"/>
    <w:rPr>
      <w:b/>
      <w:noProof/>
      <w:sz w:val="36"/>
      <w:szCs w:val="36"/>
    </w:rPr>
  </w:style>
  <w:style w:type="paragraph" w:styleId="BodyText">
    <w:name w:val="Body Text"/>
    <w:basedOn w:val="Normal"/>
    <w:link w:val="BodyTextChar"/>
    <w:uiPriority w:val="99"/>
    <w:unhideWhenUsed/>
    <w:rsid w:val="000902A4"/>
    <w:pPr>
      <w:spacing w:after="120"/>
      <w:ind w:left="0" w:right="0"/>
    </w:pPr>
    <w:rPr>
      <w:noProof w:val="0"/>
    </w:rPr>
  </w:style>
  <w:style w:type="character" w:customStyle="1" w:styleId="BodyTextChar">
    <w:name w:val="Body Text Char"/>
    <w:basedOn w:val="DefaultParagraphFont"/>
    <w:link w:val="BodyText"/>
    <w:uiPriority w:val="99"/>
    <w:rsid w:val="000902A4"/>
  </w:style>
  <w:style w:type="paragraph" w:styleId="BodyTextFirstIndent">
    <w:name w:val="Body Text First Indent"/>
    <w:basedOn w:val="BodyText"/>
    <w:link w:val="BodyTextFirstIndentChar"/>
    <w:uiPriority w:val="99"/>
    <w:unhideWhenUsed/>
    <w:rsid w:val="000902A4"/>
    <w:pPr>
      <w:autoSpaceDE w:val="0"/>
      <w:autoSpaceDN w:val="0"/>
      <w:spacing w:before="0" w:line="360" w:lineRule="auto"/>
      <w:ind w:firstLine="432"/>
      <w:jc w:val="left"/>
    </w:pPr>
    <w:rPr>
      <w:rFonts w:ascii="Times New Roman" w:eastAsia="Times New Roman" w:hAnsi="Times New Roman" w:cs="Times New Roman"/>
    </w:rPr>
  </w:style>
  <w:style w:type="character" w:customStyle="1" w:styleId="BodyTextFirstIndentChar">
    <w:name w:val="Body Text First Indent Char"/>
    <w:basedOn w:val="BodyTextChar"/>
    <w:link w:val="BodyTextFirstIndent"/>
    <w:uiPriority w:val="99"/>
    <w:rsid w:val="000902A4"/>
    <w:rPr>
      <w:rFonts w:ascii="Times New Roman" w:eastAsia="Times New Roman" w:hAnsi="Times New Roman" w:cs="Times New Roman"/>
    </w:rPr>
  </w:style>
  <w:style w:type="character" w:customStyle="1" w:styleId="pagefirst">
    <w:name w:val="pagefirst"/>
    <w:basedOn w:val="DefaultParagraphFont"/>
    <w:rsid w:val="000902A4"/>
  </w:style>
  <w:style w:type="character" w:customStyle="1" w:styleId="hlfld-fulltext">
    <w:name w:val="hlfld-fulltext"/>
    <w:basedOn w:val="DefaultParagraphFont"/>
    <w:rsid w:val="000902A4"/>
  </w:style>
  <w:style w:type="character" w:customStyle="1" w:styleId="button">
    <w:name w:val="button"/>
    <w:basedOn w:val="DefaultParagraphFont"/>
    <w:rsid w:val="000902A4"/>
  </w:style>
  <w:style w:type="character" w:customStyle="1" w:styleId="fieldset-legend">
    <w:name w:val="fieldset-legend"/>
    <w:basedOn w:val="DefaultParagraphFont"/>
    <w:rsid w:val="000902A4"/>
  </w:style>
  <w:style w:type="character" w:customStyle="1" w:styleId="date-display-single">
    <w:name w:val="date-display-single"/>
    <w:basedOn w:val="DefaultParagraphFont"/>
    <w:rsid w:val="000902A4"/>
  </w:style>
  <w:style w:type="character" w:customStyle="1" w:styleId="ref-journal">
    <w:name w:val="ref-journal"/>
    <w:basedOn w:val="DefaultParagraphFont"/>
    <w:rsid w:val="000902A4"/>
  </w:style>
  <w:style w:type="character" w:customStyle="1" w:styleId="ref-vol">
    <w:name w:val="ref-vol"/>
    <w:basedOn w:val="DefaultParagraphFont"/>
    <w:rsid w:val="000902A4"/>
  </w:style>
  <w:style w:type="character" w:customStyle="1" w:styleId="ProTextChar">
    <w:name w:val="ProText Char"/>
    <w:basedOn w:val="DefaultParagraphFont"/>
    <w:link w:val="ProText"/>
    <w:locked/>
    <w:rsid w:val="000902A4"/>
    <w:rPr>
      <w:rFonts w:ascii="Calibri" w:hAnsi="Calibri"/>
      <w:color w:val="000000"/>
    </w:rPr>
  </w:style>
  <w:style w:type="paragraph" w:customStyle="1" w:styleId="ProText">
    <w:name w:val="ProText"/>
    <w:basedOn w:val="Normal"/>
    <w:link w:val="ProTextChar"/>
    <w:rsid w:val="000902A4"/>
    <w:pPr>
      <w:autoSpaceDE w:val="0"/>
      <w:autoSpaceDN w:val="0"/>
      <w:spacing w:before="0" w:after="240" w:line="240" w:lineRule="auto"/>
      <w:ind w:left="0" w:right="0"/>
      <w:jc w:val="left"/>
    </w:pPr>
    <w:rPr>
      <w:rFonts w:ascii="Calibri" w:hAnsi="Calibri"/>
      <w:noProof w:val="0"/>
      <w:color w:val="000000"/>
    </w:rPr>
  </w:style>
  <w:style w:type="character" w:customStyle="1" w:styleId="bkciteavail">
    <w:name w:val="bk_cite_avail"/>
    <w:basedOn w:val="DefaultParagraphFont"/>
    <w:rsid w:val="000902A4"/>
  </w:style>
  <w:style w:type="paragraph" w:customStyle="1" w:styleId="msonormal0">
    <w:name w:val="msonormal"/>
    <w:basedOn w:val="Normal"/>
    <w:uiPriority w:val="99"/>
    <w:rsid w:val="006508EC"/>
    <w:pPr>
      <w:spacing w:before="100" w:beforeAutospacing="1" w:after="100" w:afterAutospacing="1" w:line="240" w:lineRule="auto"/>
      <w:ind w:left="0" w:right="0"/>
      <w:jc w:val="left"/>
    </w:pPr>
    <w:rPr>
      <w:rFonts w:ascii="Times New Roman" w:eastAsia="Times New Roman" w:hAnsi="Times New Roman" w:cs="Times New Roman"/>
      <w:noProof w:val="0"/>
      <w:color w:val="000000"/>
      <w:sz w:val="24"/>
      <w:szCs w:val="24"/>
    </w:rPr>
  </w:style>
  <w:style w:type="character" w:customStyle="1" w:styleId="Mention2">
    <w:name w:val="Mention2"/>
    <w:basedOn w:val="DefaultParagraphFont"/>
    <w:uiPriority w:val="99"/>
    <w:semiHidden/>
    <w:rsid w:val="006508EC"/>
    <w:rPr>
      <w:color w:val="2B579A"/>
      <w:shd w:val="clear" w:color="auto" w:fill="E6E6E6"/>
    </w:rPr>
  </w:style>
  <w:style w:type="table" w:customStyle="1" w:styleId="GridTable1Light-Accent11">
    <w:name w:val="Grid Table 1 Light - Accent 11"/>
    <w:basedOn w:val="TableNormal"/>
    <w:uiPriority w:val="46"/>
    <w:rsid w:val="006508EC"/>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GridTable2-Accent11">
    <w:name w:val="Grid Table 2 - Accent 11"/>
    <w:basedOn w:val="TableNormal"/>
    <w:uiPriority w:val="47"/>
    <w:rsid w:val="006508EC"/>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3-Accent11">
    <w:name w:val="Grid Table 3 - Accent 11"/>
    <w:basedOn w:val="TableNormal"/>
    <w:uiPriority w:val="48"/>
    <w:rsid w:val="006508EC"/>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GridTable2-Accent51">
    <w:name w:val="Grid Table 2 - Accent 51"/>
    <w:basedOn w:val="TableNormal"/>
    <w:uiPriority w:val="47"/>
    <w:rsid w:val="006508EC"/>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SHAFigureNumber">
    <w:name w:val="SHA Figure Number"/>
    <w:basedOn w:val="FigName"/>
    <w:link w:val="SHAFigureNumberChar"/>
    <w:qFormat/>
    <w:rsid w:val="00EF7361"/>
    <w:pPr>
      <w:jc w:val="center"/>
    </w:pPr>
  </w:style>
  <w:style w:type="paragraph" w:customStyle="1" w:styleId="SHAFigureNote">
    <w:name w:val="SHA Figure Note"/>
    <w:basedOn w:val="SHAFigureNumber"/>
    <w:link w:val="SHAFigureNoteChar"/>
    <w:qFormat/>
    <w:rsid w:val="00F6716B"/>
    <w:rPr>
      <w:b w:val="0"/>
      <w:sz w:val="20"/>
      <w:szCs w:val="20"/>
    </w:rPr>
  </w:style>
  <w:style w:type="character" w:customStyle="1" w:styleId="SHAFigureNumberChar">
    <w:name w:val="SHA Figure Number Char"/>
    <w:basedOn w:val="FigNameChar"/>
    <w:link w:val="SHAFigureNumber"/>
    <w:rsid w:val="00EF7361"/>
    <w:rPr>
      <w:rFonts w:ascii="Aileron" w:hAnsi="Aileron"/>
      <w:b/>
      <w:sz w:val="21"/>
      <w:szCs w:val="21"/>
    </w:rPr>
  </w:style>
  <w:style w:type="table" w:customStyle="1" w:styleId="GridTable3-Accent111">
    <w:name w:val="Grid Table 3 - Accent 111"/>
    <w:basedOn w:val="TableNormal"/>
    <w:uiPriority w:val="48"/>
    <w:rsid w:val="0044423B"/>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character" w:customStyle="1" w:styleId="SHAFigureNoteChar">
    <w:name w:val="SHA Figure Note Char"/>
    <w:basedOn w:val="SHAFigureNumberChar"/>
    <w:link w:val="SHAFigureNote"/>
    <w:rsid w:val="00F6716B"/>
    <w:rPr>
      <w:rFonts w:ascii="Aileron" w:hAnsi="Aileron"/>
      <w:b w:val="0"/>
      <w:sz w:val="20"/>
      <w:szCs w:val="20"/>
    </w:rPr>
  </w:style>
  <w:style w:type="paragraph" w:customStyle="1" w:styleId="Body1">
    <w:name w:val="Body1"/>
    <w:basedOn w:val="NoSpacing"/>
    <w:link w:val="Body1Char"/>
    <w:qFormat/>
    <w:rsid w:val="009646EB"/>
    <w:pPr>
      <w:spacing w:after="120"/>
      <w:jc w:val="left"/>
    </w:pPr>
    <w:rPr>
      <w:sz w:val="24"/>
      <w:szCs w:val="24"/>
    </w:rPr>
  </w:style>
  <w:style w:type="character" w:customStyle="1" w:styleId="Body1Char">
    <w:name w:val="Body1 Char"/>
    <w:basedOn w:val="NoSpacingChar"/>
    <w:link w:val="Body1"/>
    <w:rsid w:val="009646EB"/>
    <w:rPr>
      <w:rFonts w:ascii="Aileron" w:hAnsi="Aileron"/>
      <w:sz w:val="24"/>
      <w:szCs w:val="24"/>
    </w:rPr>
  </w:style>
  <w:style w:type="table" w:customStyle="1" w:styleId="TableGrid2">
    <w:name w:val="Table Grid2"/>
    <w:basedOn w:val="TableNormal"/>
    <w:next w:val="TableGrid"/>
    <w:rsid w:val="00840D6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11">
    <w:name w:val="Plain Table 3111"/>
    <w:basedOn w:val="TableNormal"/>
    <w:next w:val="PlainTable32"/>
    <w:uiPriority w:val="43"/>
    <w:rsid w:val="001B52C7"/>
    <w:pPr>
      <w:spacing w:before="120" w:after="0" w:line="240" w:lineRule="auto"/>
      <w:ind w:left="-360" w:right="-360"/>
      <w:jc w:val="both"/>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Heading6Char">
    <w:name w:val="Heading 6 Char"/>
    <w:basedOn w:val="DefaultParagraphFont"/>
    <w:link w:val="Heading6"/>
    <w:uiPriority w:val="9"/>
    <w:rsid w:val="00492AB1"/>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492AB1"/>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492AB1"/>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492AB1"/>
    <w:rPr>
      <w:rFonts w:asciiTheme="majorHAnsi" w:eastAsiaTheme="majorEastAsia" w:hAnsiTheme="majorHAnsi" w:cstheme="majorBidi"/>
      <w:i/>
      <w:iCs/>
      <w:spacing w:val="5"/>
      <w:sz w:val="20"/>
      <w:szCs w:val="20"/>
    </w:rPr>
  </w:style>
  <w:style w:type="paragraph" w:styleId="Quote">
    <w:name w:val="Quote"/>
    <w:basedOn w:val="Normal"/>
    <w:next w:val="Normal"/>
    <w:link w:val="QuoteChar"/>
    <w:uiPriority w:val="29"/>
    <w:qFormat/>
    <w:rsid w:val="00492AB1"/>
    <w:pPr>
      <w:spacing w:before="200" w:after="0" w:line="276" w:lineRule="auto"/>
      <w:ind w:left="360" w:right="360"/>
    </w:pPr>
    <w:rPr>
      <w:rFonts w:eastAsiaTheme="minorEastAsia"/>
      <w:i/>
      <w:iCs/>
      <w:noProof w:val="0"/>
    </w:rPr>
  </w:style>
  <w:style w:type="character" w:customStyle="1" w:styleId="QuoteChar">
    <w:name w:val="Quote Char"/>
    <w:basedOn w:val="DefaultParagraphFont"/>
    <w:link w:val="Quote"/>
    <w:uiPriority w:val="29"/>
    <w:rsid w:val="00492AB1"/>
    <w:rPr>
      <w:rFonts w:eastAsiaTheme="minorEastAsia"/>
      <w:i/>
      <w:iCs/>
    </w:rPr>
  </w:style>
  <w:style w:type="paragraph" w:styleId="IntenseQuote">
    <w:name w:val="Intense Quote"/>
    <w:basedOn w:val="Normal"/>
    <w:next w:val="Normal"/>
    <w:link w:val="IntenseQuoteChar"/>
    <w:uiPriority w:val="30"/>
    <w:qFormat/>
    <w:rsid w:val="00492AB1"/>
    <w:pPr>
      <w:pBdr>
        <w:bottom w:val="single" w:sz="4" w:space="1" w:color="auto"/>
      </w:pBdr>
      <w:spacing w:before="200" w:after="280" w:line="276" w:lineRule="auto"/>
      <w:ind w:left="1008" w:right="1152"/>
    </w:pPr>
    <w:rPr>
      <w:rFonts w:eastAsiaTheme="minorEastAsia"/>
      <w:b/>
      <w:bCs/>
      <w:i/>
      <w:iCs/>
      <w:noProof w:val="0"/>
    </w:rPr>
  </w:style>
  <w:style w:type="character" w:customStyle="1" w:styleId="IntenseQuoteChar">
    <w:name w:val="Intense Quote Char"/>
    <w:basedOn w:val="DefaultParagraphFont"/>
    <w:link w:val="IntenseQuote"/>
    <w:uiPriority w:val="30"/>
    <w:rsid w:val="00492AB1"/>
    <w:rPr>
      <w:rFonts w:eastAsiaTheme="minorEastAsia"/>
      <w:b/>
      <w:bCs/>
      <w:i/>
      <w:iCs/>
    </w:rPr>
  </w:style>
  <w:style w:type="character" w:styleId="IntenseEmphasis">
    <w:name w:val="Intense Emphasis"/>
    <w:uiPriority w:val="21"/>
    <w:qFormat/>
    <w:rsid w:val="00492AB1"/>
    <w:rPr>
      <w:b/>
      <w:bCs/>
    </w:rPr>
  </w:style>
  <w:style w:type="character" w:styleId="SubtleReference">
    <w:name w:val="Subtle Reference"/>
    <w:uiPriority w:val="31"/>
    <w:qFormat/>
    <w:rsid w:val="00492AB1"/>
    <w:rPr>
      <w:smallCaps/>
    </w:rPr>
  </w:style>
  <w:style w:type="character" w:styleId="IntenseReference">
    <w:name w:val="Intense Reference"/>
    <w:uiPriority w:val="32"/>
    <w:qFormat/>
    <w:rsid w:val="00492AB1"/>
    <w:rPr>
      <w:smallCaps/>
      <w:spacing w:val="5"/>
      <w:u w:val="single"/>
    </w:rPr>
  </w:style>
  <w:style w:type="character" w:styleId="BookTitle">
    <w:name w:val="Book Title"/>
    <w:uiPriority w:val="33"/>
    <w:qFormat/>
    <w:rsid w:val="00492AB1"/>
    <w:rPr>
      <w:i/>
      <w:iCs/>
      <w:smallCaps/>
      <w:spacing w:val="5"/>
    </w:rPr>
  </w:style>
  <w:style w:type="paragraph" w:styleId="TOCHeading">
    <w:name w:val="TOC Heading"/>
    <w:basedOn w:val="Heading1"/>
    <w:next w:val="Normal"/>
    <w:uiPriority w:val="39"/>
    <w:semiHidden/>
    <w:unhideWhenUsed/>
    <w:qFormat/>
    <w:rsid w:val="00492AB1"/>
    <w:pPr>
      <w:keepNext w:val="0"/>
      <w:keepLines w:val="0"/>
      <w:spacing w:before="160" w:after="120" w:line="276" w:lineRule="auto"/>
      <w:ind w:left="0" w:right="0"/>
      <w:outlineLvl w:val="9"/>
    </w:pPr>
    <w:rPr>
      <w:bCs/>
      <w:noProof w:val="0"/>
      <w:sz w:val="48"/>
      <w:lang w:bidi="en-US"/>
    </w:rPr>
  </w:style>
  <w:style w:type="character" w:customStyle="1" w:styleId="element-citation">
    <w:name w:val="element-citation"/>
    <w:basedOn w:val="DefaultParagraphFont"/>
    <w:rsid w:val="00492AB1"/>
  </w:style>
  <w:style w:type="character" w:customStyle="1" w:styleId="nowrap">
    <w:name w:val="nowrap"/>
    <w:basedOn w:val="DefaultParagraphFont"/>
    <w:rsid w:val="00492AB1"/>
  </w:style>
  <w:style w:type="paragraph" w:customStyle="1" w:styleId="REFERENCES">
    <w:name w:val="REFERENCES"/>
    <w:basedOn w:val="NoSpacing"/>
    <w:link w:val="REFERENCESChar"/>
    <w:qFormat/>
    <w:rsid w:val="00C97417"/>
    <w:pPr>
      <w:ind w:left="-360" w:right="-360"/>
      <w:jc w:val="left"/>
    </w:pPr>
    <w:rPr>
      <w:rFonts w:asciiTheme="minorHAnsi" w:hAnsiTheme="minorHAnsi"/>
      <w:sz w:val="22"/>
      <w:szCs w:val="22"/>
    </w:rPr>
  </w:style>
  <w:style w:type="character" w:customStyle="1" w:styleId="UnresolvedMention1">
    <w:name w:val="Unresolved Mention1"/>
    <w:basedOn w:val="DefaultParagraphFont"/>
    <w:uiPriority w:val="99"/>
    <w:semiHidden/>
    <w:unhideWhenUsed/>
    <w:rsid w:val="00636067"/>
    <w:rPr>
      <w:color w:val="808080"/>
      <w:shd w:val="clear" w:color="auto" w:fill="E6E6E6"/>
    </w:rPr>
  </w:style>
  <w:style w:type="character" w:customStyle="1" w:styleId="REFERENCESChar">
    <w:name w:val="REFERENCES Char"/>
    <w:basedOn w:val="NoSpacingChar"/>
    <w:link w:val="REFERENCES"/>
    <w:rsid w:val="00C97417"/>
    <w:rPr>
      <w:rFonts w:ascii="Aileron" w:hAnsi="Aileron"/>
      <w:sz w:val="21"/>
      <w:szCs w:val="21"/>
    </w:rPr>
  </w:style>
  <w:style w:type="numbering" w:customStyle="1" w:styleId="NoList1">
    <w:name w:val="No List1"/>
    <w:next w:val="NoList"/>
    <w:uiPriority w:val="99"/>
    <w:semiHidden/>
    <w:unhideWhenUsed/>
    <w:rsid w:val="005A0277"/>
  </w:style>
  <w:style w:type="table" w:customStyle="1" w:styleId="GridTable4-Accent11">
    <w:name w:val="Grid Table 4 - Accent 11"/>
    <w:basedOn w:val="TableNormal"/>
    <w:uiPriority w:val="49"/>
    <w:rsid w:val="005A0277"/>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Heading11">
    <w:name w:val="Heading 11"/>
    <w:basedOn w:val="Normal"/>
    <w:next w:val="Normal"/>
    <w:uiPriority w:val="9"/>
    <w:rsid w:val="005A0277"/>
    <w:pPr>
      <w:keepNext/>
      <w:keepLines/>
      <w:spacing w:before="240" w:after="0"/>
      <w:ind w:left="0" w:right="0"/>
      <w:outlineLvl w:val="0"/>
    </w:pPr>
    <w:rPr>
      <w:rFonts w:ascii="Aileron" w:eastAsia="Times New Roman" w:hAnsi="Aileron" w:cs="Times New Roman"/>
      <w:noProof w:val="0"/>
      <w:color w:val="0B5294"/>
      <w:sz w:val="32"/>
      <w:szCs w:val="32"/>
    </w:rPr>
  </w:style>
  <w:style w:type="paragraph" w:customStyle="1" w:styleId="Heading21">
    <w:name w:val="Heading 21"/>
    <w:basedOn w:val="Normal"/>
    <w:next w:val="Normal"/>
    <w:uiPriority w:val="9"/>
    <w:unhideWhenUsed/>
    <w:rsid w:val="005A0277"/>
    <w:pPr>
      <w:keepNext/>
      <w:keepLines/>
      <w:spacing w:before="40" w:after="0"/>
      <w:ind w:left="0" w:right="0"/>
      <w:outlineLvl w:val="1"/>
    </w:pPr>
    <w:rPr>
      <w:rFonts w:ascii="Aileron Bold" w:eastAsia="Times New Roman" w:hAnsi="Aileron Bold" w:cs="Times New Roman"/>
      <w:noProof w:val="0"/>
      <w:color w:val="0B5294"/>
      <w:sz w:val="32"/>
      <w:szCs w:val="26"/>
    </w:rPr>
  </w:style>
  <w:style w:type="paragraph" w:customStyle="1" w:styleId="Heading31">
    <w:name w:val="Heading 31"/>
    <w:basedOn w:val="Normal"/>
    <w:next w:val="Normal"/>
    <w:uiPriority w:val="9"/>
    <w:unhideWhenUsed/>
    <w:rsid w:val="005A0277"/>
    <w:pPr>
      <w:keepNext/>
      <w:keepLines/>
      <w:spacing w:before="40" w:after="0"/>
      <w:ind w:left="0" w:right="0"/>
      <w:outlineLvl w:val="2"/>
    </w:pPr>
    <w:rPr>
      <w:rFonts w:ascii="Aileron" w:eastAsia="Times New Roman" w:hAnsi="Aileron" w:cs="Times New Roman"/>
      <w:noProof w:val="0"/>
      <w:color w:val="073662"/>
      <w:sz w:val="24"/>
      <w:szCs w:val="24"/>
    </w:rPr>
  </w:style>
  <w:style w:type="paragraph" w:customStyle="1" w:styleId="Heading41">
    <w:name w:val="Heading 41"/>
    <w:basedOn w:val="Normal"/>
    <w:next w:val="Normal"/>
    <w:uiPriority w:val="9"/>
    <w:unhideWhenUsed/>
    <w:qFormat/>
    <w:rsid w:val="005A0277"/>
    <w:pPr>
      <w:keepNext/>
      <w:keepLines/>
      <w:spacing w:before="40" w:after="0"/>
      <w:ind w:left="0" w:right="0"/>
      <w:outlineLvl w:val="3"/>
    </w:pPr>
    <w:rPr>
      <w:rFonts w:ascii="Aileron Bold" w:eastAsia="Times New Roman" w:hAnsi="Aileron Bold" w:cs="Times New Roman"/>
      <w:b/>
      <w:iCs/>
      <w:noProof w:val="0"/>
      <w:color w:val="0F6FC6"/>
      <w:sz w:val="26"/>
    </w:rPr>
  </w:style>
  <w:style w:type="paragraph" w:customStyle="1" w:styleId="Heading51">
    <w:name w:val="Heading 51"/>
    <w:basedOn w:val="Normal"/>
    <w:next w:val="Normal"/>
    <w:uiPriority w:val="9"/>
    <w:unhideWhenUsed/>
    <w:qFormat/>
    <w:rsid w:val="005A0277"/>
    <w:pPr>
      <w:keepNext/>
      <w:keepLines/>
      <w:spacing w:before="40" w:after="0"/>
      <w:ind w:left="0" w:right="0"/>
      <w:outlineLvl w:val="4"/>
    </w:pPr>
    <w:rPr>
      <w:rFonts w:ascii="Aileron" w:eastAsia="Times New Roman" w:hAnsi="Aileron" w:cs="Times New Roman"/>
      <w:noProof w:val="0"/>
      <w:color w:val="0B5294"/>
      <w:sz w:val="23"/>
    </w:rPr>
  </w:style>
  <w:style w:type="paragraph" w:customStyle="1" w:styleId="Heading61">
    <w:name w:val="Heading 61"/>
    <w:basedOn w:val="Normal"/>
    <w:next w:val="Normal"/>
    <w:uiPriority w:val="9"/>
    <w:unhideWhenUsed/>
    <w:qFormat/>
    <w:rsid w:val="005A0277"/>
    <w:pPr>
      <w:keepNext/>
      <w:keepLines/>
      <w:spacing w:before="40" w:after="0"/>
      <w:ind w:left="0" w:right="0"/>
      <w:outlineLvl w:val="5"/>
    </w:pPr>
    <w:rPr>
      <w:rFonts w:ascii="Aileron" w:eastAsia="Times New Roman" w:hAnsi="Aileron" w:cs="Times New Roman"/>
      <w:b/>
      <w:noProof w:val="0"/>
      <w:color w:val="073662"/>
      <w:sz w:val="24"/>
    </w:rPr>
  </w:style>
  <w:style w:type="numbering" w:customStyle="1" w:styleId="NoList11">
    <w:name w:val="No List11"/>
    <w:next w:val="NoList"/>
    <w:uiPriority w:val="99"/>
    <w:semiHidden/>
    <w:unhideWhenUsed/>
    <w:rsid w:val="005A0277"/>
  </w:style>
  <w:style w:type="paragraph" w:customStyle="1" w:styleId="Title1">
    <w:name w:val="Title1"/>
    <w:basedOn w:val="Normal"/>
    <w:next w:val="Normal"/>
    <w:uiPriority w:val="10"/>
    <w:qFormat/>
    <w:rsid w:val="005A0277"/>
    <w:pPr>
      <w:spacing w:before="0" w:after="0" w:line="240" w:lineRule="auto"/>
      <w:ind w:left="0" w:right="0"/>
      <w:contextualSpacing/>
    </w:pPr>
    <w:rPr>
      <w:rFonts w:ascii="Arial" w:eastAsia="Times New Roman" w:hAnsi="Arial" w:cs="Times New Roman"/>
      <w:noProof w:val="0"/>
      <w:spacing w:val="-10"/>
      <w:kern w:val="28"/>
      <w:sz w:val="44"/>
      <w:szCs w:val="56"/>
    </w:rPr>
  </w:style>
  <w:style w:type="paragraph" w:customStyle="1" w:styleId="Subtitle1">
    <w:name w:val="Subtitle1"/>
    <w:basedOn w:val="Normal"/>
    <w:next w:val="Normal"/>
    <w:uiPriority w:val="11"/>
    <w:qFormat/>
    <w:rsid w:val="005A0277"/>
    <w:pPr>
      <w:numPr>
        <w:ilvl w:val="1"/>
      </w:numPr>
      <w:spacing w:before="0"/>
      <w:ind w:left="-360" w:right="0"/>
    </w:pPr>
    <w:rPr>
      <w:rFonts w:ascii="Times New Roman" w:eastAsia="Times New Roman" w:hAnsi="Times New Roman"/>
      <w:noProof w:val="0"/>
      <w:color w:val="5A5A5A"/>
      <w:spacing w:val="15"/>
      <w:sz w:val="23"/>
    </w:rPr>
  </w:style>
  <w:style w:type="table" w:customStyle="1" w:styleId="TableGrid3">
    <w:name w:val="Table Grid3"/>
    <w:basedOn w:val="TableNormal"/>
    <w:next w:val="TableGrid"/>
    <w:uiPriority w:val="39"/>
    <w:rsid w:val="005A0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1">
    <w:name w:val="Grid Table 1 Light - Accent 111"/>
    <w:basedOn w:val="TableNormal"/>
    <w:uiPriority w:val="46"/>
    <w:rsid w:val="005A0277"/>
    <w:pPr>
      <w:spacing w:after="0" w:line="240" w:lineRule="auto"/>
    </w:pPr>
    <w:tblPr>
      <w:tblStyleRowBandSize w:val="1"/>
      <w:tblStyleColBandSize w:val="1"/>
      <w:tblBorders>
        <w:top w:val="single" w:sz="4" w:space="0" w:color="90C5F6"/>
        <w:left w:val="single" w:sz="4" w:space="0" w:color="90C5F6"/>
        <w:bottom w:val="single" w:sz="4" w:space="0" w:color="90C5F6"/>
        <w:right w:val="single" w:sz="4" w:space="0" w:color="90C5F6"/>
        <w:insideH w:val="single" w:sz="4" w:space="0" w:color="90C5F6"/>
        <w:insideV w:val="single" w:sz="4" w:space="0" w:color="90C5F6"/>
      </w:tblBorders>
    </w:tblPr>
    <w:tblStylePr w:type="firstRow">
      <w:rPr>
        <w:b/>
        <w:bCs/>
      </w:rPr>
      <w:tblPr/>
      <w:tcPr>
        <w:tcBorders>
          <w:bottom w:val="single" w:sz="12" w:space="0" w:color="59A9F2"/>
        </w:tcBorders>
      </w:tcPr>
    </w:tblStylePr>
    <w:tblStylePr w:type="lastRow">
      <w:rPr>
        <w:b/>
        <w:bCs/>
      </w:rPr>
      <w:tblPr/>
      <w:tcPr>
        <w:tcBorders>
          <w:top w:val="double" w:sz="2" w:space="0" w:color="59A9F2"/>
        </w:tcBorders>
      </w:tcPr>
    </w:tblStylePr>
    <w:tblStylePr w:type="firstCol">
      <w:rPr>
        <w:b/>
        <w:bCs/>
      </w:rPr>
    </w:tblStylePr>
    <w:tblStylePr w:type="lastCol">
      <w:rPr>
        <w:b/>
        <w:bCs/>
      </w:rPr>
    </w:tblStylePr>
  </w:style>
  <w:style w:type="table" w:customStyle="1" w:styleId="GridTable2-Accent111">
    <w:name w:val="Grid Table 2 - Accent 111"/>
    <w:basedOn w:val="TableNormal"/>
    <w:uiPriority w:val="47"/>
    <w:rsid w:val="005A0277"/>
    <w:pPr>
      <w:spacing w:after="0" w:line="240" w:lineRule="auto"/>
    </w:pPr>
    <w:tblPr>
      <w:tblStyleRowBandSize w:val="1"/>
      <w:tblStyleColBandSize w:val="1"/>
      <w:tblBorders>
        <w:top w:val="single" w:sz="2" w:space="0" w:color="59A9F2"/>
        <w:bottom w:val="single" w:sz="2" w:space="0" w:color="59A9F2"/>
        <w:insideH w:val="single" w:sz="2" w:space="0" w:color="59A9F2"/>
        <w:insideV w:val="single" w:sz="2" w:space="0" w:color="59A9F2"/>
      </w:tblBorders>
    </w:tblPr>
    <w:tblStylePr w:type="firstRow">
      <w:rPr>
        <w:b/>
        <w:bCs/>
      </w:rPr>
      <w:tblPr/>
      <w:tcPr>
        <w:tcBorders>
          <w:top w:val="nil"/>
          <w:bottom w:val="single" w:sz="12" w:space="0" w:color="59A9F2"/>
          <w:insideH w:val="nil"/>
          <w:insideV w:val="nil"/>
        </w:tcBorders>
        <w:shd w:val="clear" w:color="auto" w:fill="FFFFFF"/>
      </w:tcPr>
    </w:tblStylePr>
    <w:tblStylePr w:type="lastRow">
      <w:rPr>
        <w:b/>
        <w:bCs/>
      </w:rPr>
      <w:tblPr/>
      <w:tcPr>
        <w:tcBorders>
          <w:top w:val="double" w:sz="2" w:space="0" w:color="59A9F2"/>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7E2FA"/>
      </w:tcPr>
    </w:tblStylePr>
    <w:tblStylePr w:type="band1Horz">
      <w:tblPr/>
      <w:tcPr>
        <w:shd w:val="clear" w:color="auto" w:fill="C7E2FA"/>
      </w:tcPr>
    </w:tblStylePr>
  </w:style>
  <w:style w:type="table" w:customStyle="1" w:styleId="GridTable4-Accent111">
    <w:name w:val="Grid Table 4 - Accent 111"/>
    <w:basedOn w:val="TableNormal"/>
    <w:uiPriority w:val="49"/>
    <w:rsid w:val="005A0277"/>
    <w:pPr>
      <w:spacing w:after="0" w:line="240" w:lineRule="auto"/>
    </w:pPr>
    <w:tblPr>
      <w:tblStyleRowBandSize w:val="1"/>
      <w:tblStyleColBandSize w:val="1"/>
      <w:tblBorders>
        <w:top w:val="single" w:sz="4" w:space="0" w:color="59A9F2"/>
        <w:left w:val="single" w:sz="4" w:space="0" w:color="59A9F2"/>
        <w:bottom w:val="single" w:sz="4" w:space="0" w:color="59A9F2"/>
        <w:right w:val="single" w:sz="4" w:space="0" w:color="59A9F2"/>
        <w:insideH w:val="single" w:sz="4" w:space="0" w:color="59A9F2"/>
        <w:insideV w:val="single" w:sz="4" w:space="0" w:color="59A9F2"/>
      </w:tblBorders>
    </w:tblPr>
    <w:tblStylePr w:type="firstRow">
      <w:rPr>
        <w:b/>
        <w:bCs/>
        <w:color w:val="FFFFFF"/>
      </w:rPr>
      <w:tblPr/>
      <w:tcPr>
        <w:tcBorders>
          <w:top w:val="single" w:sz="4" w:space="0" w:color="0F6FC6"/>
          <w:left w:val="single" w:sz="4" w:space="0" w:color="0F6FC6"/>
          <w:bottom w:val="single" w:sz="4" w:space="0" w:color="0F6FC6"/>
          <w:right w:val="single" w:sz="4" w:space="0" w:color="0F6FC6"/>
          <w:insideH w:val="nil"/>
          <w:insideV w:val="nil"/>
        </w:tcBorders>
        <w:shd w:val="clear" w:color="auto" w:fill="0F6FC6"/>
      </w:tcPr>
    </w:tblStylePr>
    <w:tblStylePr w:type="lastRow">
      <w:rPr>
        <w:b/>
        <w:bCs/>
      </w:rPr>
      <w:tblPr/>
      <w:tcPr>
        <w:tcBorders>
          <w:top w:val="double" w:sz="4" w:space="0" w:color="0F6FC6"/>
        </w:tcBorders>
      </w:tcPr>
    </w:tblStylePr>
    <w:tblStylePr w:type="firstCol">
      <w:rPr>
        <w:b/>
        <w:bCs/>
      </w:rPr>
    </w:tblStylePr>
    <w:tblStylePr w:type="lastCol">
      <w:rPr>
        <w:b/>
        <w:bCs/>
      </w:rPr>
    </w:tblStylePr>
    <w:tblStylePr w:type="band1Vert">
      <w:tblPr/>
      <w:tcPr>
        <w:shd w:val="clear" w:color="auto" w:fill="C7E2FA"/>
      </w:tcPr>
    </w:tblStylePr>
    <w:tblStylePr w:type="band1Horz">
      <w:tblPr/>
      <w:tcPr>
        <w:shd w:val="clear" w:color="auto" w:fill="C7E2FA"/>
      </w:tcPr>
    </w:tblStylePr>
  </w:style>
  <w:style w:type="character" w:customStyle="1" w:styleId="TitleChar1">
    <w:name w:val="Title Char1"/>
    <w:basedOn w:val="DefaultParagraphFont"/>
    <w:uiPriority w:val="10"/>
    <w:rsid w:val="005A0277"/>
    <w:rPr>
      <w:rFonts w:ascii="Calibri Light" w:eastAsia="Times New Roman" w:hAnsi="Calibri Light" w:cs="Times New Roman"/>
      <w:spacing w:val="-10"/>
      <w:kern w:val="28"/>
      <w:sz w:val="56"/>
      <w:szCs w:val="56"/>
    </w:rPr>
  </w:style>
  <w:style w:type="character" w:customStyle="1" w:styleId="SubtitleChar1">
    <w:name w:val="Subtitle Char1"/>
    <w:basedOn w:val="DefaultParagraphFont"/>
    <w:uiPriority w:val="11"/>
    <w:rsid w:val="005A0277"/>
    <w:rPr>
      <w:rFonts w:eastAsia="Times New Roman"/>
      <w:color w:val="5A5A5A"/>
      <w:spacing w:val="15"/>
    </w:rPr>
  </w:style>
  <w:style w:type="character" w:customStyle="1" w:styleId="Heading1Char1">
    <w:name w:val="Heading 1 Char1"/>
    <w:basedOn w:val="DefaultParagraphFont"/>
    <w:uiPriority w:val="9"/>
    <w:rsid w:val="005A0277"/>
    <w:rPr>
      <w:rFonts w:ascii="Calibri Light" w:eastAsia="Times New Roman" w:hAnsi="Calibri Light" w:cs="Times New Roman"/>
      <w:color w:val="2E74B5"/>
      <w:sz w:val="32"/>
      <w:szCs w:val="32"/>
    </w:rPr>
  </w:style>
  <w:style w:type="character" w:customStyle="1" w:styleId="Heading2Char1">
    <w:name w:val="Heading 2 Char1"/>
    <w:basedOn w:val="DefaultParagraphFont"/>
    <w:uiPriority w:val="9"/>
    <w:semiHidden/>
    <w:rsid w:val="005A0277"/>
    <w:rPr>
      <w:rFonts w:ascii="Calibri Light" w:eastAsia="Times New Roman" w:hAnsi="Calibri Light" w:cs="Times New Roman"/>
      <w:color w:val="2E74B5"/>
      <w:sz w:val="26"/>
      <w:szCs w:val="26"/>
    </w:rPr>
  </w:style>
  <w:style w:type="character" w:customStyle="1" w:styleId="Heading3Char1">
    <w:name w:val="Heading 3 Char1"/>
    <w:basedOn w:val="DefaultParagraphFont"/>
    <w:uiPriority w:val="9"/>
    <w:semiHidden/>
    <w:rsid w:val="005A0277"/>
    <w:rPr>
      <w:rFonts w:ascii="Calibri Light" w:eastAsia="Times New Roman" w:hAnsi="Calibri Light" w:cs="Times New Roman"/>
      <w:color w:val="1F4D78"/>
      <w:sz w:val="24"/>
      <w:szCs w:val="24"/>
    </w:rPr>
  </w:style>
  <w:style w:type="character" w:customStyle="1" w:styleId="Heading4Char1">
    <w:name w:val="Heading 4 Char1"/>
    <w:basedOn w:val="DefaultParagraphFont"/>
    <w:uiPriority w:val="9"/>
    <w:semiHidden/>
    <w:rsid w:val="005A0277"/>
    <w:rPr>
      <w:rFonts w:ascii="Calibri Light" w:eastAsia="Times New Roman" w:hAnsi="Calibri Light" w:cs="Times New Roman"/>
      <w:i/>
      <w:iCs/>
      <w:color w:val="2E74B5"/>
    </w:rPr>
  </w:style>
  <w:style w:type="character" w:customStyle="1" w:styleId="Heading5Char1">
    <w:name w:val="Heading 5 Char1"/>
    <w:basedOn w:val="DefaultParagraphFont"/>
    <w:uiPriority w:val="9"/>
    <w:semiHidden/>
    <w:rsid w:val="005A0277"/>
    <w:rPr>
      <w:rFonts w:ascii="Calibri Light" w:eastAsia="Times New Roman" w:hAnsi="Calibri Light" w:cs="Times New Roman"/>
      <w:color w:val="2E74B5"/>
    </w:rPr>
  </w:style>
  <w:style w:type="character" w:customStyle="1" w:styleId="Heading6Char1">
    <w:name w:val="Heading 6 Char1"/>
    <w:basedOn w:val="DefaultParagraphFont"/>
    <w:uiPriority w:val="9"/>
    <w:semiHidden/>
    <w:rsid w:val="005A0277"/>
    <w:rPr>
      <w:rFonts w:ascii="Calibri Light" w:eastAsia="Times New Roman" w:hAnsi="Calibri Light" w:cs="Times New Roman"/>
      <w:color w:val="1F4D78"/>
    </w:rPr>
  </w:style>
  <w:style w:type="paragraph" w:customStyle="1" w:styleId="ColorfulList-Accent11">
    <w:name w:val="Colorful List - Accent 11"/>
    <w:basedOn w:val="Normal"/>
    <w:qFormat/>
    <w:rsid w:val="005A0277"/>
    <w:pPr>
      <w:spacing w:before="0" w:after="0" w:line="240" w:lineRule="auto"/>
      <w:ind w:left="720" w:right="0"/>
      <w:contextualSpacing/>
      <w:jc w:val="left"/>
    </w:pPr>
    <w:rPr>
      <w:rFonts w:ascii="Calibri" w:eastAsia="Calibri" w:hAnsi="Calibri" w:cs="Times New Roman"/>
      <w:noProof w:val="0"/>
    </w:rPr>
  </w:style>
  <w:style w:type="paragraph" w:customStyle="1" w:styleId="Heading71">
    <w:name w:val="Heading 71"/>
    <w:basedOn w:val="Normal"/>
    <w:next w:val="Normal"/>
    <w:uiPriority w:val="9"/>
    <w:semiHidden/>
    <w:unhideWhenUsed/>
    <w:qFormat/>
    <w:rsid w:val="005A0277"/>
    <w:pPr>
      <w:spacing w:before="280" w:after="0" w:line="360" w:lineRule="auto"/>
      <w:ind w:left="0" w:right="0"/>
      <w:jc w:val="left"/>
      <w:outlineLvl w:val="6"/>
    </w:pPr>
    <w:rPr>
      <w:rFonts w:ascii="Cambria" w:eastAsia="Times New Roman" w:hAnsi="Cambria" w:cs="Times New Roman"/>
      <w:b/>
      <w:bCs/>
      <w:i/>
      <w:iCs/>
      <w:noProof w:val="0"/>
      <w:sz w:val="20"/>
      <w:szCs w:val="20"/>
    </w:rPr>
  </w:style>
  <w:style w:type="paragraph" w:customStyle="1" w:styleId="Heading81">
    <w:name w:val="Heading 81"/>
    <w:basedOn w:val="Normal"/>
    <w:next w:val="Normal"/>
    <w:uiPriority w:val="9"/>
    <w:semiHidden/>
    <w:unhideWhenUsed/>
    <w:qFormat/>
    <w:rsid w:val="005A0277"/>
    <w:pPr>
      <w:spacing w:before="280" w:after="0" w:line="360" w:lineRule="auto"/>
      <w:ind w:left="0" w:right="0"/>
      <w:jc w:val="left"/>
      <w:outlineLvl w:val="7"/>
    </w:pPr>
    <w:rPr>
      <w:rFonts w:ascii="Cambria" w:eastAsia="Times New Roman" w:hAnsi="Cambria" w:cs="Times New Roman"/>
      <w:b/>
      <w:bCs/>
      <w:i/>
      <w:iCs/>
      <w:noProof w:val="0"/>
      <w:sz w:val="18"/>
      <w:szCs w:val="18"/>
    </w:rPr>
  </w:style>
  <w:style w:type="paragraph" w:customStyle="1" w:styleId="Heading91">
    <w:name w:val="Heading 91"/>
    <w:basedOn w:val="Normal"/>
    <w:next w:val="Normal"/>
    <w:uiPriority w:val="9"/>
    <w:semiHidden/>
    <w:unhideWhenUsed/>
    <w:qFormat/>
    <w:rsid w:val="005A0277"/>
    <w:pPr>
      <w:spacing w:before="280" w:after="0" w:line="360" w:lineRule="auto"/>
      <w:ind w:left="0" w:right="0"/>
      <w:jc w:val="left"/>
      <w:outlineLvl w:val="8"/>
    </w:pPr>
    <w:rPr>
      <w:rFonts w:ascii="Cambria" w:eastAsia="Times New Roman" w:hAnsi="Cambria" w:cs="Times New Roman"/>
      <w:i/>
      <w:iCs/>
      <w:noProof w:val="0"/>
      <w:sz w:val="18"/>
      <w:szCs w:val="18"/>
    </w:rPr>
  </w:style>
  <w:style w:type="numbering" w:customStyle="1" w:styleId="NoList2">
    <w:name w:val="No List2"/>
    <w:next w:val="NoList"/>
    <w:uiPriority w:val="99"/>
    <w:semiHidden/>
    <w:unhideWhenUsed/>
    <w:rsid w:val="005A0277"/>
  </w:style>
  <w:style w:type="table" w:customStyle="1" w:styleId="LightShading-Accent11">
    <w:name w:val="Light Shading - Accent 11"/>
    <w:basedOn w:val="TableNormal"/>
    <w:next w:val="LightShading-Accent1"/>
    <w:uiPriority w:val="60"/>
    <w:rsid w:val="005A0277"/>
    <w:pPr>
      <w:spacing w:before="100" w:after="100" w:line="480" w:lineRule="auto"/>
      <w:ind w:firstLine="360"/>
    </w:pPr>
    <w:rPr>
      <w:rFonts w:eastAsia="Times New Roman"/>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Quote1">
    <w:name w:val="Quote1"/>
    <w:basedOn w:val="Normal"/>
    <w:next w:val="Normal"/>
    <w:uiPriority w:val="29"/>
    <w:qFormat/>
    <w:rsid w:val="005A0277"/>
    <w:pPr>
      <w:spacing w:line="240" w:lineRule="auto"/>
      <w:ind w:left="0" w:right="0"/>
      <w:jc w:val="left"/>
    </w:pPr>
    <w:rPr>
      <w:rFonts w:eastAsia="Times New Roman"/>
      <w:noProof w:val="0"/>
      <w:color w:val="5A5A5A"/>
    </w:rPr>
  </w:style>
  <w:style w:type="paragraph" w:customStyle="1" w:styleId="IntenseQuote1">
    <w:name w:val="Intense Quote1"/>
    <w:basedOn w:val="Normal"/>
    <w:next w:val="Normal"/>
    <w:uiPriority w:val="30"/>
    <w:qFormat/>
    <w:rsid w:val="005A0277"/>
    <w:pPr>
      <w:spacing w:before="320" w:after="480" w:line="240" w:lineRule="auto"/>
      <w:ind w:left="720" w:right="720"/>
      <w:jc w:val="center"/>
    </w:pPr>
    <w:rPr>
      <w:rFonts w:ascii="Cambria" w:eastAsia="Times New Roman" w:hAnsi="Cambria" w:cs="Times New Roman"/>
      <w:i/>
      <w:iCs/>
      <w:noProof w:val="0"/>
      <w:sz w:val="20"/>
      <w:szCs w:val="20"/>
    </w:rPr>
  </w:style>
  <w:style w:type="character" w:customStyle="1" w:styleId="SubtleEmphasis1">
    <w:name w:val="Subtle Emphasis1"/>
    <w:uiPriority w:val="19"/>
    <w:qFormat/>
    <w:rsid w:val="005A0277"/>
    <w:rPr>
      <w:i/>
      <w:iCs/>
      <w:color w:val="5A5A5A"/>
    </w:rPr>
  </w:style>
  <w:style w:type="character" w:customStyle="1" w:styleId="BookTitle1">
    <w:name w:val="Book Title1"/>
    <w:uiPriority w:val="33"/>
    <w:qFormat/>
    <w:rsid w:val="005A0277"/>
    <w:rPr>
      <w:rFonts w:ascii="Cambria" w:eastAsia="Times New Roman" w:hAnsi="Cambria" w:cs="Times New Roman"/>
      <w:b/>
      <w:bCs/>
      <w:smallCaps/>
      <w:color w:val="auto"/>
      <w:u w:val="single"/>
    </w:rPr>
  </w:style>
  <w:style w:type="character" w:styleId="PageNumber">
    <w:name w:val="page number"/>
    <w:basedOn w:val="DefaultParagraphFont"/>
    <w:uiPriority w:val="99"/>
    <w:semiHidden/>
    <w:unhideWhenUsed/>
    <w:rsid w:val="005A0277"/>
  </w:style>
  <w:style w:type="paragraph" w:customStyle="1" w:styleId="CM13">
    <w:name w:val="CM13"/>
    <w:basedOn w:val="Normal"/>
    <w:next w:val="Normal"/>
    <w:uiPriority w:val="99"/>
    <w:rsid w:val="005A0277"/>
    <w:pPr>
      <w:widowControl w:val="0"/>
      <w:autoSpaceDE w:val="0"/>
      <w:autoSpaceDN w:val="0"/>
      <w:adjustRightInd w:val="0"/>
      <w:spacing w:before="0" w:after="0" w:line="240" w:lineRule="auto"/>
      <w:ind w:left="0" w:right="0"/>
      <w:jc w:val="left"/>
    </w:pPr>
    <w:rPr>
      <w:rFonts w:ascii="DINMittelschrift" w:eastAsia="Times New Roman" w:hAnsi="DINMittelschrift" w:cs="Times New Roman"/>
      <w:noProof w:val="0"/>
      <w:sz w:val="24"/>
      <w:szCs w:val="24"/>
    </w:rPr>
  </w:style>
  <w:style w:type="table" w:customStyle="1" w:styleId="LightShading-Accent12">
    <w:name w:val="Light Shading - Accent 12"/>
    <w:basedOn w:val="TableNormal"/>
    <w:next w:val="LightShading-Accent1"/>
    <w:uiPriority w:val="60"/>
    <w:rsid w:val="005A0277"/>
    <w:pPr>
      <w:spacing w:after="0" w:line="240" w:lineRule="auto"/>
    </w:pPr>
    <w:rPr>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character" w:customStyle="1" w:styleId="Heading7Char1">
    <w:name w:val="Heading 7 Char1"/>
    <w:basedOn w:val="DefaultParagraphFont"/>
    <w:uiPriority w:val="9"/>
    <w:semiHidden/>
    <w:rsid w:val="005A0277"/>
    <w:rPr>
      <w:rFonts w:ascii="Calibri Light" w:eastAsia="Times New Roman" w:hAnsi="Calibri Light" w:cs="Times New Roman"/>
      <w:i/>
      <w:iCs/>
      <w:color w:val="404040"/>
    </w:rPr>
  </w:style>
  <w:style w:type="character" w:customStyle="1" w:styleId="Heading8Char1">
    <w:name w:val="Heading 8 Char1"/>
    <w:basedOn w:val="DefaultParagraphFont"/>
    <w:uiPriority w:val="9"/>
    <w:semiHidden/>
    <w:rsid w:val="005A0277"/>
    <w:rPr>
      <w:rFonts w:ascii="Calibri Light" w:eastAsia="Times New Roman" w:hAnsi="Calibri Light" w:cs="Times New Roman"/>
      <w:color w:val="404040"/>
      <w:sz w:val="20"/>
      <w:szCs w:val="20"/>
    </w:rPr>
  </w:style>
  <w:style w:type="character" w:customStyle="1" w:styleId="Heading9Char1">
    <w:name w:val="Heading 9 Char1"/>
    <w:basedOn w:val="DefaultParagraphFont"/>
    <w:uiPriority w:val="9"/>
    <w:semiHidden/>
    <w:rsid w:val="005A0277"/>
    <w:rPr>
      <w:rFonts w:ascii="Calibri Light" w:eastAsia="Times New Roman" w:hAnsi="Calibri Light" w:cs="Times New Roman"/>
      <w:i/>
      <w:iCs/>
      <w:color w:val="404040"/>
      <w:sz w:val="20"/>
      <w:szCs w:val="20"/>
    </w:rPr>
  </w:style>
  <w:style w:type="character" w:customStyle="1" w:styleId="QuoteChar1">
    <w:name w:val="Quote Char1"/>
    <w:basedOn w:val="DefaultParagraphFont"/>
    <w:uiPriority w:val="29"/>
    <w:rsid w:val="005A0277"/>
    <w:rPr>
      <w:i/>
      <w:iCs/>
      <w:color w:val="000000"/>
    </w:rPr>
  </w:style>
  <w:style w:type="character" w:customStyle="1" w:styleId="IntenseQuoteChar1">
    <w:name w:val="Intense Quote Char1"/>
    <w:basedOn w:val="DefaultParagraphFont"/>
    <w:uiPriority w:val="30"/>
    <w:rsid w:val="005A0277"/>
    <w:rPr>
      <w:b/>
      <w:bCs/>
      <w:i/>
      <w:iCs/>
      <w:color w:val="5B9BD5"/>
    </w:rPr>
  </w:style>
  <w:style w:type="table" w:styleId="LightShading-Accent1">
    <w:name w:val="Light Shading Accent 1"/>
    <w:basedOn w:val="TableNormal"/>
    <w:uiPriority w:val="60"/>
    <w:rsid w:val="005A0277"/>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GridTable4-Accent112">
    <w:name w:val="Grid Table 4 - Accent 112"/>
    <w:basedOn w:val="TableNormal"/>
    <w:uiPriority w:val="49"/>
    <w:rsid w:val="005A0277"/>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UnresolvedMention2">
    <w:name w:val="Unresolved Mention2"/>
    <w:basedOn w:val="DefaultParagraphFont"/>
    <w:uiPriority w:val="99"/>
    <w:semiHidden/>
    <w:unhideWhenUsed/>
    <w:rsid w:val="006A1740"/>
    <w:rPr>
      <w:color w:val="808080"/>
      <w:shd w:val="clear" w:color="auto" w:fill="E6E6E6"/>
    </w:rPr>
  </w:style>
  <w:style w:type="character" w:customStyle="1" w:styleId="UnresolvedMention">
    <w:name w:val="Unresolved Mention"/>
    <w:basedOn w:val="DefaultParagraphFont"/>
    <w:uiPriority w:val="99"/>
    <w:semiHidden/>
    <w:unhideWhenUsed/>
    <w:rsid w:val="005B3F1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687940">
      <w:bodyDiv w:val="1"/>
      <w:marLeft w:val="0"/>
      <w:marRight w:val="0"/>
      <w:marTop w:val="0"/>
      <w:marBottom w:val="0"/>
      <w:divBdr>
        <w:top w:val="none" w:sz="0" w:space="0" w:color="auto"/>
        <w:left w:val="none" w:sz="0" w:space="0" w:color="auto"/>
        <w:bottom w:val="none" w:sz="0" w:space="0" w:color="auto"/>
        <w:right w:val="none" w:sz="0" w:space="0" w:color="auto"/>
      </w:divBdr>
    </w:div>
    <w:div w:id="96758068">
      <w:bodyDiv w:val="1"/>
      <w:marLeft w:val="0"/>
      <w:marRight w:val="0"/>
      <w:marTop w:val="0"/>
      <w:marBottom w:val="0"/>
      <w:divBdr>
        <w:top w:val="none" w:sz="0" w:space="0" w:color="auto"/>
        <w:left w:val="none" w:sz="0" w:space="0" w:color="auto"/>
        <w:bottom w:val="none" w:sz="0" w:space="0" w:color="auto"/>
        <w:right w:val="none" w:sz="0" w:space="0" w:color="auto"/>
      </w:divBdr>
    </w:div>
    <w:div w:id="292563808">
      <w:bodyDiv w:val="1"/>
      <w:marLeft w:val="0"/>
      <w:marRight w:val="0"/>
      <w:marTop w:val="0"/>
      <w:marBottom w:val="0"/>
      <w:divBdr>
        <w:top w:val="none" w:sz="0" w:space="0" w:color="auto"/>
        <w:left w:val="none" w:sz="0" w:space="0" w:color="auto"/>
        <w:bottom w:val="none" w:sz="0" w:space="0" w:color="auto"/>
        <w:right w:val="none" w:sz="0" w:space="0" w:color="auto"/>
      </w:divBdr>
    </w:div>
    <w:div w:id="307058535">
      <w:bodyDiv w:val="1"/>
      <w:marLeft w:val="0"/>
      <w:marRight w:val="0"/>
      <w:marTop w:val="0"/>
      <w:marBottom w:val="0"/>
      <w:divBdr>
        <w:top w:val="none" w:sz="0" w:space="0" w:color="auto"/>
        <w:left w:val="none" w:sz="0" w:space="0" w:color="auto"/>
        <w:bottom w:val="none" w:sz="0" w:space="0" w:color="auto"/>
        <w:right w:val="none" w:sz="0" w:space="0" w:color="auto"/>
      </w:divBdr>
    </w:div>
    <w:div w:id="334193270">
      <w:bodyDiv w:val="1"/>
      <w:marLeft w:val="0"/>
      <w:marRight w:val="0"/>
      <w:marTop w:val="0"/>
      <w:marBottom w:val="0"/>
      <w:divBdr>
        <w:top w:val="none" w:sz="0" w:space="0" w:color="auto"/>
        <w:left w:val="none" w:sz="0" w:space="0" w:color="auto"/>
        <w:bottom w:val="none" w:sz="0" w:space="0" w:color="auto"/>
        <w:right w:val="none" w:sz="0" w:space="0" w:color="auto"/>
      </w:divBdr>
    </w:div>
    <w:div w:id="527643209">
      <w:bodyDiv w:val="1"/>
      <w:marLeft w:val="0"/>
      <w:marRight w:val="0"/>
      <w:marTop w:val="0"/>
      <w:marBottom w:val="0"/>
      <w:divBdr>
        <w:top w:val="none" w:sz="0" w:space="0" w:color="auto"/>
        <w:left w:val="none" w:sz="0" w:space="0" w:color="auto"/>
        <w:bottom w:val="none" w:sz="0" w:space="0" w:color="auto"/>
        <w:right w:val="none" w:sz="0" w:space="0" w:color="auto"/>
      </w:divBdr>
    </w:div>
    <w:div w:id="854076380">
      <w:bodyDiv w:val="1"/>
      <w:marLeft w:val="0"/>
      <w:marRight w:val="0"/>
      <w:marTop w:val="0"/>
      <w:marBottom w:val="0"/>
      <w:divBdr>
        <w:top w:val="none" w:sz="0" w:space="0" w:color="auto"/>
        <w:left w:val="none" w:sz="0" w:space="0" w:color="auto"/>
        <w:bottom w:val="none" w:sz="0" w:space="0" w:color="auto"/>
        <w:right w:val="none" w:sz="0" w:space="0" w:color="auto"/>
      </w:divBdr>
    </w:div>
    <w:div w:id="909390300">
      <w:bodyDiv w:val="1"/>
      <w:marLeft w:val="0"/>
      <w:marRight w:val="0"/>
      <w:marTop w:val="0"/>
      <w:marBottom w:val="0"/>
      <w:divBdr>
        <w:top w:val="none" w:sz="0" w:space="0" w:color="auto"/>
        <w:left w:val="none" w:sz="0" w:space="0" w:color="auto"/>
        <w:bottom w:val="none" w:sz="0" w:space="0" w:color="auto"/>
        <w:right w:val="none" w:sz="0" w:space="0" w:color="auto"/>
      </w:divBdr>
    </w:div>
    <w:div w:id="1045251880">
      <w:bodyDiv w:val="1"/>
      <w:marLeft w:val="0"/>
      <w:marRight w:val="0"/>
      <w:marTop w:val="0"/>
      <w:marBottom w:val="0"/>
      <w:divBdr>
        <w:top w:val="none" w:sz="0" w:space="0" w:color="auto"/>
        <w:left w:val="none" w:sz="0" w:space="0" w:color="auto"/>
        <w:bottom w:val="none" w:sz="0" w:space="0" w:color="auto"/>
        <w:right w:val="none" w:sz="0" w:space="0" w:color="auto"/>
      </w:divBdr>
    </w:div>
    <w:div w:id="1372413967">
      <w:bodyDiv w:val="1"/>
      <w:marLeft w:val="0"/>
      <w:marRight w:val="0"/>
      <w:marTop w:val="0"/>
      <w:marBottom w:val="0"/>
      <w:divBdr>
        <w:top w:val="none" w:sz="0" w:space="0" w:color="auto"/>
        <w:left w:val="none" w:sz="0" w:space="0" w:color="auto"/>
        <w:bottom w:val="none" w:sz="0" w:space="0" w:color="auto"/>
        <w:right w:val="none" w:sz="0" w:space="0" w:color="auto"/>
      </w:divBdr>
    </w:div>
    <w:div w:id="1398242743">
      <w:bodyDiv w:val="1"/>
      <w:marLeft w:val="0"/>
      <w:marRight w:val="0"/>
      <w:marTop w:val="0"/>
      <w:marBottom w:val="0"/>
      <w:divBdr>
        <w:top w:val="none" w:sz="0" w:space="0" w:color="auto"/>
        <w:left w:val="none" w:sz="0" w:space="0" w:color="auto"/>
        <w:bottom w:val="none" w:sz="0" w:space="0" w:color="auto"/>
        <w:right w:val="none" w:sz="0" w:space="0" w:color="auto"/>
      </w:divBdr>
    </w:div>
    <w:div w:id="1415128611">
      <w:bodyDiv w:val="1"/>
      <w:marLeft w:val="0"/>
      <w:marRight w:val="0"/>
      <w:marTop w:val="0"/>
      <w:marBottom w:val="0"/>
      <w:divBdr>
        <w:top w:val="none" w:sz="0" w:space="0" w:color="auto"/>
        <w:left w:val="none" w:sz="0" w:space="0" w:color="auto"/>
        <w:bottom w:val="none" w:sz="0" w:space="0" w:color="auto"/>
        <w:right w:val="none" w:sz="0" w:space="0" w:color="auto"/>
      </w:divBdr>
    </w:div>
    <w:div w:id="1420560347">
      <w:bodyDiv w:val="1"/>
      <w:marLeft w:val="0"/>
      <w:marRight w:val="0"/>
      <w:marTop w:val="0"/>
      <w:marBottom w:val="0"/>
      <w:divBdr>
        <w:top w:val="none" w:sz="0" w:space="0" w:color="auto"/>
        <w:left w:val="none" w:sz="0" w:space="0" w:color="auto"/>
        <w:bottom w:val="none" w:sz="0" w:space="0" w:color="auto"/>
        <w:right w:val="none" w:sz="0" w:space="0" w:color="auto"/>
      </w:divBdr>
    </w:div>
    <w:div w:id="1498837511">
      <w:bodyDiv w:val="1"/>
      <w:marLeft w:val="0"/>
      <w:marRight w:val="0"/>
      <w:marTop w:val="0"/>
      <w:marBottom w:val="0"/>
      <w:divBdr>
        <w:top w:val="none" w:sz="0" w:space="0" w:color="auto"/>
        <w:left w:val="none" w:sz="0" w:space="0" w:color="auto"/>
        <w:bottom w:val="none" w:sz="0" w:space="0" w:color="auto"/>
        <w:right w:val="none" w:sz="0" w:space="0" w:color="auto"/>
      </w:divBdr>
    </w:div>
    <w:div w:id="1575430149">
      <w:bodyDiv w:val="1"/>
      <w:marLeft w:val="0"/>
      <w:marRight w:val="0"/>
      <w:marTop w:val="0"/>
      <w:marBottom w:val="0"/>
      <w:divBdr>
        <w:top w:val="none" w:sz="0" w:space="0" w:color="auto"/>
        <w:left w:val="none" w:sz="0" w:space="0" w:color="auto"/>
        <w:bottom w:val="none" w:sz="0" w:space="0" w:color="auto"/>
        <w:right w:val="none" w:sz="0" w:space="0" w:color="auto"/>
      </w:divBdr>
    </w:div>
    <w:div w:id="1576937838">
      <w:bodyDiv w:val="1"/>
      <w:marLeft w:val="0"/>
      <w:marRight w:val="0"/>
      <w:marTop w:val="0"/>
      <w:marBottom w:val="0"/>
      <w:divBdr>
        <w:top w:val="none" w:sz="0" w:space="0" w:color="auto"/>
        <w:left w:val="none" w:sz="0" w:space="0" w:color="auto"/>
        <w:bottom w:val="none" w:sz="0" w:space="0" w:color="auto"/>
        <w:right w:val="none" w:sz="0" w:space="0" w:color="auto"/>
      </w:divBdr>
    </w:div>
    <w:div w:id="1601524420">
      <w:bodyDiv w:val="1"/>
      <w:marLeft w:val="0"/>
      <w:marRight w:val="0"/>
      <w:marTop w:val="0"/>
      <w:marBottom w:val="0"/>
      <w:divBdr>
        <w:top w:val="none" w:sz="0" w:space="0" w:color="auto"/>
        <w:left w:val="none" w:sz="0" w:space="0" w:color="auto"/>
        <w:bottom w:val="none" w:sz="0" w:space="0" w:color="auto"/>
        <w:right w:val="none" w:sz="0" w:space="0" w:color="auto"/>
      </w:divBdr>
    </w:div>
    <w:div w:id="1819152905">
      <w:bodyDiv w:val="1"/>
      <w:marLeft w:val="0"/>
      <w:marRight w:val="0"/>
      <w:marTop w:val="0"/>
      <w:marBottom w:val="0"/>
      <w:divBdr>
        <w:top w:val="none" w:sz="0" w:space="0" w:color="auto"/>
        <w:left w:val="none" w:sz="0" w:space="0" w:color="auto"/>
        <w:bottom w:val="none" w:sz="0" w:space="0" w:color="auto"/>
        <w:right w:val="none" w:sz="0" w:space="0" w:color="auto"/>
      </w:divBdr>
    </w:div>
    <w:div w:id="1898054132">
      <w:bodyDiv w:val="1"/>
      <w:marLeft w:val="0"/>
      <w:marRight w:val="0"/>
      <w:marTop w:val="0"/>
      <w:marBottom w:val="0"/>
      <w:divBdr>
        <w:top w:val="none" w:sz="0" w:space="0" w:color="auto"/>
        <w:left w:val="none" w:sz="0" w:space="0" w:color="auto"/>
        <w:bottom w:val="none" w:sz="0" w:space="0" w:color="auto"/>
        <w:right w:val="none" w:sz="0" w:space="0" w:color="auto"/>
      </w:divBdr>
    </w:div>
    <w:div w:id="1978685283">
      <w:bodyDiv w:val="1"/>
      <w:marLeft w:val="0"/>
      <w:marRight w:val="0"/>
      <w:marTop w:val="0"/>
      <w:marBottom w:val="0"/>
      <w:divBdr>
        <w:top w:val="none" w:sz="0" w:space="0" w:color="auto"/>
        <w:left w:val="none" w:sz="0" w:space="0" w:color="auto"/>
        <w:bottom w:val="none" w:sz="0" w:space="0" w:color="auto"/>
        <w:right w:val="none" w:sz="0" w:space="0" w:color="auto"/>
      </w:divBdr>
    </w:div>
    <w:div w:id="2117367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chart" Target="charts/chart15.xml"/><Relationship Id="rId3" Type="http://schemas.openxmlformats.org/officeDocument/2006/relationships/styles" Target="styles.xml"/><Relationship Id="rId21" Type="http://schemas.openxmlformats.org/officeDocument/2006/relationships/chart" Target="charts/chart10.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chart" Target="charts/chart14.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chart" Target="charts/chart9.xml"/><Relationship Id="rId29" Type="http://schemas.openxmlformats.org/officeDocument/2006/relationships/chart" Target="charts/chart1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chart" Target="charts/chart13.xm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hart" Target="charts/chart4.xml"/><Relationship Id="rId23" Type="http://schemas.openxmlformats.org/officeDocument/2006/relationships/chart" Target="charts/chart12.xml"/><Relationship Id="rId28" Type="http://schemas.openxmlformats.org/officeDocument/2006/relationships/chart" Target="charts/chart17.xml"/><Relationship Id="rId10" Type="http://schemas.openxmlformats.org/officeDocument/2006/relationships/image" Target="media/image2.jpeg"/><Relationship Id="rId19" Type="http://schemas.openxmlformats.org/officeDocument/2006/relationships/chart" Target="charts/chart8.xml"/><Relationship Id="rId31" Type="http://schemas.openxmlformats.org/officeDocument/2006/relationships/chart" Target="charts/chart20.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hart" Target="charts/chart3.xml"/><Relationship Id="rId22" Type="http://schemas.openxmlformats.org/officeDocument/2006/relationships/chart" Target="charts/chart11.xml"/><Relationship Id="rId27" Type="http://schemas.openxmlformats.org/officeDocument/2006/relationships/chart" Target="charts/chart16.xml"/><Relationship Id="rId30" Type="http://schemas.openxmlformats.org/officeDocument/2006/relationships/chart" Target="charts/chart19.xml"/></Relationships>
</file>

<file path=word/_rels/endnotes.xml.rels><?xml version="1.0" encoding="UTF-8" standalone="yes"?>
<Relationships xmlns="http://schemas.openxmlformats.org/package/2006/relationships"><Relationship Id="rId8" Type="http://schemas.openxmlformats.org/officeDocument/2006/relationships/hyperlink" Target="https://www.ncbi.nlm.nih.gov/pubmed/19477880" TargetMode="External"/><Relationship Id="rId13" Type="http://schemas.openxmlformats.org/officeDocument/2006/relationships/hyperlink" Target="https://www.cdc.gov/violenceprevention/pdf/NISVS-StateReportBook.pdf" TargetMode="External"/><Relationship Id="rId18" Type="http://schemas.openxmlformats.org/officeDocument/2006/relationships/hyperlink" Target="http://www.bjs.gov/content/pub/pdf/ndv0312.pdf" TargetMode="External"/><Relationship Id="rId3" Type="http://schemas.openxmlformats.org/officeDocument/2006/relationships/hyperlink" Target="http://www.mass.gov/eohhs/docs/dph/com-health/prev-wellness-advisory-board/2017/170308-pwtf-annual-report.pdf" TargetMode="External"/><Relationship Id="rId7" Type="http://schemas.openxmlformats.org/officeDocument/2006/relationships/hyperlink" Target="https://www.mentalhealth.org.uk/blog/mental-health-and-built-environment" TargetMode="External"/><Relationship Id="rId12" Type="http://schemas.openxmlformats.org/officeDocument/2006/relationships/hyperlink" Target="http://dvmedtraining.csw.fsu.edu/wp-content/uploads/2014/01/Conditions-and-Injuries-2014.pdf" TargetMode="External"/><Relationship Id="rId17" Type="http://schemas.openxmlformats.org/officeDocument/2006/relationships/hyperlink" Target="http://www.mass.gov/courts/docs/courts-and-judges/courts/district-court/2016-district-court-civil.pdf" TargetMode="External"/><Relationship Id="rId2" Type="http://schemas.openxmlformats.org/officeDocument/2006/relationships/hyperlink" Target="https://www.cdc.gov/steadi/index.html" TargetMode="External"/><Relationship Id="rId16" Type="http://schemas.openxmlformats.org/officeDocument/2006/relationships/hyperlink" Target="http://www.mass.gov/courts/docs/courts-and-judges/courts/boston-muncipal-court/2015caseloadstats.pdf" TargetMode="External"/><Relationship Id="rId1" Type="http://schemas.openxmlformats.org/officeDocument/2006/relationships/hyperlink" Target="https://www.cdc.gov/steadi/index.html" TargetMode="External"/><Relationship Id="rId6" Type="http://schemas.openxmlformats.org/officeDocument/2006/relationships/hyperlink" Target="https://www.bls.gov/iif/oshstate.htm" TargetMode="External"/><Relationship Id="rId11" Type="http://schemas.openxmlformats.org/officeDocument/2006/relationships/hyperlink" Target="http://www.acf.hhs.gov/cb/resource/child-maltreatment-2011" TargetMode="External"/><Relationship Id="rId5" Type="http://schemas.openxmlformats.org/officeDocument/2006/relationships/hyperlink" Target="https://www.cdc.gov/motorvehiclesafety/pedestrian_safety/index.html" TargetMode="External"/><Relationship Id="rId15" Type="http://schemas.openxmlformats.org/officeDocument/2006/relationships/hyperlink" Target="http://www.mass.gov/courts/docs/courts-and-judges/courts/district-court/dc-civilstats2015.pdf" TargetMode="External"/><Relationship Id="rId10" Type="http://schemas.openxmlformats.org/officeDocument/2006/relationships/hyperlink" Target="https://www.preventioninstitute.org/focus-areas/preventing-violence-and-reducing-injury/connecting-safety-to-chronic-disease" TargetMode="External"/><Relationship Id="rId19" Type="http://schemas.openxmlformats.org/officeDocument/2006/relationships/hyperlink" Target="http://www.cdc.gov/headsup/basics/concussion_whatis.html" TargetMode="External"/><Relationship Id="rId4" Type="http://schemas.openxmlformats.org/officeDocument/2006/relationships/hyperlink" Target="http://www.mass.gov/eohhs/gov/departments/dph/programs/community-health/prevention-and-wellness-fund/" TargetMode="External"/><Relationship Id="rId9" Type="http://schemas.openxmlformats.org/officeDocument/2006/relationships/hyperlink" Target="https://www.ncbi.nlm.nih.gov/pubmed/?term=Roustit%20C%5BAuthor%5D&amp;cauthor=true&amp;cauthor_uid=19477880" TargetMode="External"/><Relationship Id="rId14" Type="http://schemas.openxmlformats.org/officeDocument/2006/relationships/hyperlink" Target="http://www.janedoe.org/Learn_More"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hria-fs\Berkeley\Common\Research&amp;Eval%20Dept\R&amp;E%20ACTIVE%20PROJECTS\MA%20SHA\SHA%20Report\Chapter%205\Chloe\Ch%205%20Figures.xlsx"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oleObject" Target="file:///\\hria-fs\Berkeley\Common\Research&amp;Eval%20Dept\R&amp;E%20ACTIVE%20PROJECTS\MA%20SHA\SHA%20Report\Chapter%205\Chloe\Ch%205%20Figures.xlsx" TargetMode="External"/><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oleObject" Target="file:///\\hria-fs\Berkeley\Common\Research&amp;Eval%20Dept\R&amp;E%20ACTIVE%20PROJECTS\MA%20SHA\SHA%20Report\Chapter%205\Chloe\Ch%205%20Figures.xlsx" TargetMode="External"/><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oleObject" Target="file:///\\hria-fs\Berkeley\Common\Research&amp;Eval%20Dept\R&amp;E%20ACTIVE%20PROJECTS\MA%20SHA\SHA%20Report\Chapter%205\Chloe\Ch%205%20Figures.xlsx" TargetMode="External"/><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oleObject" Target="file:///\\hria-fs\Berkeley\Common\Research&amp;Eval%20Dept\R&amp;E%20ACTIVE%20PROJECTS\MA%20SHA\SHA%20Report\Chapter%205\Chloe\Ch%205%20Figures.xlsx" TargetMode="External"/><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oleObject" Target="file:///\\hria-fs\Berkeley\Common\Research&amp;Eval%20Dept\R&amp;E%20ACTIVE%20PROJECTS\MA%20SHA\SHA%20Report\Chapter%205\Chloe\Ch%205%20Figures.xlsx" TargetMode="External"/><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oleObject" Target="file:///\\hria-fs\Berkeley\Common\Research&amp;Eval%20Dept\R&amp;E%20ACTIVE%20PROJECTS\MA%20SHA\SHA%20Report\Chapter%205\Chloe\Ch%205%20Figures.xlsx" TargetMode="External"/><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2" Type="http://schemas.openxmlformats.org/officeDocument/2006/relationships/oleObject" Target="file:///\\hria-fs\Berkeley\Common\Research&amp;Eval%20Dept\R&amp;E%20ACTIVE%20PROJECTS\MA%20SHA\SHA%20Report\Chapter%205\Chloe\Ch%205%20Figures.xlsx" TargetMode="External"/><Relationship Id="rId1" Type="http://schemas.openxmlformats.org/officeDocument/2006/relationships/themeOverride" Target="../theme/themeOverride16.xml"/></Relationships>
</file>

<file path=word/charts/_rels/chart17.xml.rels><?xml version="1.0" encoding="UTF-8" standalone="yes"?>
<Relationships xmlns="http://schemas.openxmlformats.org/package/2006/relationships"><Relationship Id="rId2" Type="http://schemas.openxmlformats.org/officeDocument/2006/relationships/oleObject" Target="file:///\\hria-fs\Berkeley\Common\Research&amp;Eval%20Dept\R&amp;E%20ACTIVE%20PROJECTS\MA%20SHA\SHA%20Report\Chapter%205\Chloe\Ch%205%20Figures.xlsx" TargetMode="External"/><Relationship Id="rId1" Type="http://schemas.openxmlformats.org/officeDocument/2006/relationships/themeOverride" Target="../theme/themeOverride17.xml"/></Relationships>
</file>

<file path=word/charts/_rels/chart18.xml.rels><?xml version="1.0" encoding="UTF-8" standalone="yes"?>
<Relationships xmlns="http://schemas.openxmlformats.org/package/2006/relationships"><Relationship Id="rId2" Type="http://schemas.openxmlformats.org/officeDocument/2006/relationships/oleObject" Target="file:///\\hria-fs\Berkeley\Common\Research&amp;Eval%20Dept\R&amp;E%20ACTIVE%20PROJECTS\MA%20SHA\SHA%20Report\Chapter%205\Chloe\Ch%205%20Figures.xlsx" TargetMode="External"/><Relationship Id="rId1" Type="http://schemas.openxmlformats.org/officeDocument/2006/relationships/themeOverride" Target="../theme/themeOverride18.xml"/></Relationships>
</file>

<file path=word/charts/_rels/chart19.xml.rels><?xml version="1.0" encoding="UTF-8" standalone="yes"?>
<Relationships xmlns="http://schemas.openxmlformats.org/package/2006/relationships"><Relationship Id="rId2" Type="http://schemas.openxmlformats.org/officeDocument/2006/relationships/oleObject" Target="file:///\\hria-fs\Berkeley\Common\Research&amp;Eval%20Dept\R&amp;E%20ACTIVE%20PROJECTS\MA%20SHA\SHA%20Report\Chapter%205\Chloe\Ch%205%20Figures.xlsx" TargetMode="External"/><Relationship Id="rId1" Type="http://schemas.openxmlformats.org/officeDocument/2006/relationships/themeOverride" Target="../theme/themeOverride19.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hria-fs\Berkeley\Common\Research&amp;Eval%20Dept\R&amp;E%20ACTIVE%20PROJECTS\MA%20SHA\SHA%20Report\Chapter%205\Chloe\Ch%205%20Figures.xlsx" TargetMode="External"/><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file:///\\hria-fs\Berkeley\Common\Research&amp;Eval%20Dept\R&amp;E%20ACTIVE%20PROJECTS\MA%20SHA\SHA%20Report\Chapter%205\Chloe\Ch%205%20Figures.xlsx" TargetMode="External"/><Relationship Id="rId1" Type="http://schemas.openxmlformats.org/officeDocument/2006/relationships/themeOverride" Target="../theme/themeOverride20.xml"/></Relationships>
</file>

<file path=word/charts/_rels/chart3.xml.rels><?xml version="1.0" encoding="UTF-8" standalone="yes"?>
<Relationships xmlns="http://schemas.openxmlformats.org/package/2006/relationships"><Relationship Id="rId2" Type="http://schemas.openxmlformats.org/officeDocument/2006/relationships/oleObject" Target="file:///\\hria-fs\Berkeley\Common\Research&amp;Eval%20Dept\R&amp;E%20ACTIVE%20PROJECTS\MA%20SHA\SHA%20Report\Chapter%205\Chloe\Ch%205%20Figures.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hria-fs\Berkeley\Common\Research&amp;Eval%20Dept\R&amp;E%20ACTIVE%20PROJECTS\MA%20SHA\SHA%20Report\Chapter%205\Chloe\Ch%205%20Figures.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file:///\\hria-fs\Berkeley\Common\Research&amp;Eval%20Dept\R&amp;E%20ACTIVE%20PROJECTS\MA%20SHA\SHA%20Report\Chapter%205\Chloe\Ch%205%20Figures.xlsx"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file:///\\hria-fs\Berkeley\Common\Research&amp;Eval%20Dept\R&amp;E%20ACTIVE%20PROJECTS\MA%20SHA\SHA%20Report\Chapter%205\Chloe\Ch%205%20Figures.xlsx"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file:///\\hria-fs\Berkeley\Common\Research&amp;Eval%20Dept\R&amp;E%20ACTIVE%20PROJECTS\MA%20SHA\SHA%20Report\Chapter%205\Chloe\Ch%205%20Figures.xlsx" TargetMode="External"/><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oleObject" Target="file:///\\hria-fs\Berkeley\Common\Research&amp;Eval%20Dept\R&amp;E%20ACTIVE%20PROJECTS\MA%20SHA\SHA%20Report\Chapter%205\Chloe\Ch%205%20Figures.xlsx" TargetMode="External"/><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oleObject" Target="file:///\\hria-fs\Berkeley\Common\Research&amp;Eval%20Dept\R&amp;E%20ACTIVE%20PROJECTS\MA%20SHA\SHA%20Report\Chapter%205\Chloe\Ch%205%20Figures.xlsx" TargetMode="External"/><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invertIfNegative val="0"/>
          <c:dPt>
            <c:idx val="0"/>
            <c:invertIfNegative val="0"/>
            <c:bubble3D val="0"/>
            <c:spPr>
              <a:solidFill>
                <a:srgbClr val="203864"/>
              </a:solidFill>
            </c:spPr>
            <c:extLst xmlns:c16r2="http://schemas.microsoft.com/office/drawing/2015/06/chart">
              <c:ext xmlns:c16="http://schemas.microsoft.com/office/drawing/2014/chart" uri="{C3380CC4-5D6E-409C-BE32-E72D297353CC}">
                <c16:uniqueId val="{00000003-C778-4462-9EB3-17A08C5A418D}"/>
              </c:ext>
            </c:extLst>
          </c:dPt>
          <c:dPt>
            <c:idx val="1"/>
            <c:invertIfNegative val="0"/>
            <c:bubble3D val="0"/>
            <c:spPr>
              <a:solidFill>
                <a:srgbClr val="08519C"/>
              </a:solidFill>
            </c:spPr>
            <c:extLst xmlns:c16r2="http://schemas.microsoft.com/office/drawing/2015/06/chart">
              <c:ext xmlns:c16="http://schemas.microsoft.com/office/drawing/2014/chart" uri="{C3380CC4-5D6E-409C-BE32-E72D297353CC}">
                <c16:uniqueId val="{00000005-C778-4462-9EB3-17A08C5A418D}"/>
              </c:ext>
            </c:extLst>
          </c:dPt>
          <c:dPt>
            <c:idx val="2"/>
            <c:invertIfNegative val="0"/>
            <c:bubble3D val="0"/>
            <c:spPr>
              <a:solidFill>
                <a:srgbClr val="3182BD"/>
              </a:solidFill>
            </c:spPr>
            <c:extLst xmlns:c16r2="http://schemas.microsoft.com/office/drawing/2015/06/chart">
              <c:ext xmlns:c16="http://schemas.microsoft.com/office/drawing/2014/chart" uri="{C3380CC4-5D6E-409C-BE32-E72D297353CC}">
                <c16:uniqueId val="{00000007-C778-4462-9EB3-17A08C5A418D}"/>
              </c:ext>
            </c:extLst>
          </c:dPt>
          <c:dPt>
            <c:idx val="3"/>
            <c:invertIfNegative val="0"/>
            <c:bubble3D val="0"/>
            <c:spPr>
              <a:solidFill>
                <a:srgbClr val="6BAED6"/>
              </a:solidFill>
            </c:spPr>
            <c:extLst xmlns:c16r2="http://schemas.microsoft.com/office/drawing/2015/06/chart">
              <c:ext xmlns:c16="http://schemas.microsoft.com/office/drawing/2014/chart" uri="{C3380CC4-5D6E-409C-BE32-E72D297353CC}">
                <c16:uniqueId val="{00000009-C778-4462-9EB3-17A08C5A418D}"/>
              </c:ext>
            </c:extLst>
          </c:dPt>
          <c:dLbls>
            <c:spPr>
              <a:noFill/>
              <a:ln>
                <a:noFill/>
              </a:ln>
              <a:effectLst/>
            </c:spPr>
            <c:txPr>
              <a:bodyPr wrap="square" lIns="38100" tIns="19050" rIns="38100" bIns="19050" anchor="ctr">
                <a:spAutoFit/>
              </a:bodyPr>
              <a:lstStyle/>
              <a:p>
                <a:pPr>
                  <a:defRPr sz="1050">
                    <a:solidFill>
                      <a:schemeClr val="bg1"/>
                    </a:solidFill>
                  </a:defRPr>
                </a:pPr>
                <a:endParaRPr lang="en-US"/>
              </a:p>
            </c:txPr>
            <c:dLblPos val="inBase"/>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'5.1'!$A$4:$A$6</c:f>
              <c:strCache>
                <c:ptCount val="3"/>
                <c:pt idx="0">
                  <c:v>White non-Hispanic</c:v>
                </c:pt>
                <c:pt idx="1">
                  <c:v>Black non-Hispanic</c:v>
                </c:pt>
                <c:pt idx="2">
                  <c:v>Hispanic</c:v>
                </c:pt>
              </c:strCache>
            </c:strRef>
          </c:cat>
          <c:val>
            <c:numRef>
              <c:f>'5.1'!$B$4:$B$6</c:f>
              <c:numCache>
                <c:formatCode>0.0</c:formatCode>
                <c:ptCount val="3"/>
                <c:pt idx="0">
                  <c:v>1.49</c:v>
                </c:pt>
                <c:pt idx="1">
                  <c:v>5.1100000000000003</c:v>
                </c:pt>
                <c:pt idx="2">
                  <c:v>3.93</c:v>
                </c:pt>
              </c:numCache>
            </c:numRef>
          </c:val>
          <c:extLst xmlns:c16r2="http://schemas.microsoft.com/office/drawing/2015/06/chart">
            <c:ext xmlns:c16="http://schemas.microsoft.com/office/drawing/2014/chart" uri="{C3380CC4-5D6E-409C-BE32-E72D297353CC}">
              <c16:uniqueId val="{0000000A-C778-4462-9EB3-17A08C5A418D}"/>
            </c:ext>
          </c:extLst>
        </c:ser>
        <c:dLbls>
          <c:showLegendKey val="0"/>
          <c:showVal val="0"/>
          <c:showCatName val="0"/>
          <c:showSerName val="0"/>
          <c:showPercent val="0"/>
          <c:showBubbleSize val="0"/>
        </c:dLbls>
        <c:gapWidth val="150"/>
        <c:overlap val="100"/>
        <c:axId val="126814464"/>
        <c:axId val="126816256"/>
      </c:barChart>
      <c:catAx>
        <c:axId val="126814464"/>
        <c:scaling>
          <c:orientation val="minMax"/>
        </c:scaling>
        <c:delete val="0"/>
        <c:axPos val="b"/>
        <c:numFmt formatCode="General" sourceLinked="0"/>
        <c:majorTickMark val="none"/>
        <c:minorTickMark val="none"/>
        <c:tickLblPos val="nextTo"/>
        <c:spPr>
          <a:ln>
            <a:solidFill>
              <a:schemeClr val="bg1">
                <a:lumMod val="85000"/>
              </a:schemeClr>
            </a:solidFill>
          </a:ln>
        </c:spPr>
        <c:txPr>
          <a:bodyPr/>
          <a:lstStyle/>
          <a:p>
            <a:pPr>
              <a:defRPr sz="1000"/>
            </a:pPr>
            <a:endParaRPr lang="en-US"/>
          </a:p>
        </c:txPr>
        <c:crossAx val="126816256"/>
        <c:crosses val="autoZero"/>
        <c:auto val="0"/>
        <c:lblAlgn val="ctr"/>
        <c:lblOffset val="100"/>
        <c:noMultiLvlLbl val="0"/>
      </c:catAx>
      <c:valAx>
        <c:axId val="126816256"/>
        <c:scaling>
          <c:orientation val="minMax"/>
          <c:max val="10"/>
          <c:min val="0"/>
        </c:scaling>
        <c:delete val="0"/>
        <c:axPos val="l"/>
        <c:title>
          <c:tx>
            <c:rich>
              <a:bodyPr rot="-5400000" vert="horz"/>
              <a:lstStyle/>
              <a:p>
                <a:pPr>
                  <a:defRPr b="1"/>
                </a:pPr>
                <a:r>
                  <a:rPr lang="en-US" b="1"/>
                  <a:t>Rate per 100,000 Population</a:t>
                </a:r>
              </a:p>
            </c:rich>
          </c:tx>
          <c:overlay val="0"/>
        </c:title>
        <c:numFmt formatCode="0" sourceLinked="0"/>
        <c:majorTickMark val="out"/>
        <c:minorTickMark val="none"/>
        <c:tickLblPos val="nextTo"/>
        <c:spPr>
          <a:ln>
            <a:noFill/>
          </a:ln>
        </c:spPr>
        <c:crossAx val="126814464"/>
        <c:crosses val="autoZero"/>
        <c:crossBetween val="between"/>
        <c:majorUnit val="2"/>
      </c:valAx>
    </c:plotArea>
    <c:plotVisOnly val="1"/>
    <c:dispBlanksAs val="gap"/>
    <c:showDLblsOverMax val="0"/>
  </c:chart>
  <c:spPr>
    <a:ln>
      <a:noFill/>
    </a:ln>
  </c:sp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'5.10'!$G$4</c:f>
              <c:strCache>
                <c:ptCount val="1"/>
                <c:pt idx="0">
                  <c:v>Male</c:v>
                </c:pt>
              </c:strCache>
            </c:strRef>
          </c:tx>
          <c:spPr>
            <a:solidFill>
              <a:srgbClr val="203864"/>
            </a:solidFill>
            <a:ln>
              <a:noFill/>
            </a:ln>
            <a:effectLst/>
          </c:spPr>
          <c:invertIfNegative val="0"/>
          <c:dLbls>
            <c:dLbl>
              <c:idx val="0"/>
              <c:tx>
                <c:rich>
                  <a:bodyPr/>
                  <a:lstStyle/>
                  <a:p>
                    <a:r>
                      <a:rPr lang="en-US"/>
                      <a:t>*</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8801-4179-BAF2-85D4D2DBB0EE}"/>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'5.10'!$F$5:$F$13</c:f>
              <c:strCache>
                <c:ptCount val="9"/>
                <c:pt idx="0">
                  <c:v>0-14</c:v>
                </c:pt>
                <c:pt idx="1">
                  <c:v>15-24</c:v>
                </c:pt>
                <c:pt idx="2">
                  <c:v>25-34</c:v>
                </c:pt>
                <c:pt idx="3">
                  <c:v>35-44</c:v>
                </c:pt>
                <c:pt idx="4">
                  <c:v>45-54</c:v>
                </c:pt>
                <c:pt idx="5">
                  <c:v>55-64</c:v>
                </c:pt>
                <c:pt idx="6">
                  <c:v>65-74</c:v>
                </c:pt>
                <c:pt idx="7">
                  <c:v>75-84</c:v>
                </c:pt>
                <c:pt idx="8">
                  <c:v>85+</c:v>
                </c:pt>
              </c:strCache>
            </c:strRef>
          </c:cat>
          <c:val>
            <c:numRef>
              <c:f>'5.10'!$G$5:$G$13</c:f>
              <c:numCache>
                <c:formatCode>#,##0.0</c:formatCode>
                <c:ptCount val="9"/>
                <c:pt idx="0" formatCode="#,##0">
                  <c:v>0</c:v>
                </c:pt>
                <c:pt idx="1">
                  <c:v>10.45436773029404</c:v>
                </c:pt>
                <c:pt idx="2">
                  <c:v>17.8</c:v>
                </c:pt>
                <c:pt idx="3">
                  <c:v>13.7</c:v>
                </c:pt>
                <c:pt idx="4">
                  <c:v>24.509243931365809</c:v>
                </c:pt>
                <c:pt idx="5">
                  <c:v>19.981992698344786</c:v>
                </c:pt>
                <c:pt idx="6">
                  <c:v>15.369541411308139</c:v>
                </c:pt>
                <c:pt idx="7">
                  <c:v>16.168148746968473</c:v>
                </c:pt>
                <c:pt idx="8">
                  <c:v>29.5</c:v>
                </c:pt>
              </c:numCache>
            </c:numRef>
          </c:val>
          <c:extLst xmlns:c16r2="http://schemas.microsoft.com/office/drawing/2015/06/chart">
            <c:ext xmlns:c16="http://schemas.microsoft.com/office/drawing/2014/chart" uri="{C3380CC4-5D6E-409C-BE32-E72D297353CC}">
              <c16:uniqueId val="{00000003-8801-4179-BAF2-85D4D2DBB0EE}"/>
            </c:ext>
          </c:extLst>
        </c:ser>
        <c:ser>
          <c:idx val="1"/>
          <c:order val="1"/>
          <c:tx>
            <c:strRef>
              <c:f>'5.10'!$H$4</c:f>
              <c:strCache>
                <c:ptCount val="1"/>
                <c:pt idx="0">
                  <c:v>Female</c:v>
                </c:pt>
              </c:strCache>
            </c:strRef>
          </c:tx>
          <c:spPr>
            <a:pattFill prst="ltUpDiag">
              <a:fgClr>
                <a:srgbClr val="EFF3FF"/>
              </a:fgClr>
              <a:bgClr>
                <a:srgbClr val="3182BD"/>
              </a:bgClr>
            </a:pattFill>
            <a:ln>
              <a:noFill/>
            </a:ln>
            <a:effectLst/>
          </c:spPr>
          <c:invertIfNegative val="0"/>
          <c:dLbls>
            <c:dLbl>
              <c:idx val="0"/>
              <c:tx>
                <c:rich>
                  <a:bodyPr/>
                  <a:lstStyle/>
                  <a:p>
                    <a:r>
                      <a:rPr lang="en-US"/>
                      <a:t>*</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8801-4179-BAF2-85D4D2DBB0EE}"/>
                </c:ext>
              </c:extLst>
            </c:dLbl>
            <c:dLbl>
              <c:idx val="7"/>
              <c:tx>
                <c:rich>
                  <a:bodyPr/>
                  <a:lstStyle/>
                  <a:p>
                    <a:r>
                      <a:rPr lang="en-US"/>
                      <a:t>*</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8801-4179-BAF2-85D4D2DBB0EE}"/>
                </c:ext>
              </c:extLst>
            </c:dLbl>
            <c:dLbl>
              <c:idx val="8"/>
              <c:tx>
                <c:rich>
                  <a:bodyPr/>
                  <a:lstStyle/>
                  <a:p>
                    <a:r>
                      <a:rPr lang="en-US"/>
                      <a:t>*</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8801-4179-BAF2-85D4D2DBB0EE}"/>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'5.10'!$F$5:$F$13</c:f>
              <c:strCache>
                <c:ptCount val="9"/>
                <c:pt idx="0">
                  <c:v>0-14</c:v>
                </c:pt>
                <c:pt idx="1">
                  <c:v>15-24</c:v>
                </c:pt>
                <c:pt idx="2">
                  <c:v>25-34</c:v>
                </c:pt>
                <c:pt idx="3">
                  <c:v>35-44</c:v>
                </c:pt>
                <c:pt idx="4">
                  <c:v>45-54</c:v>
                </c:pt>
                <c:pt idx="5">
                  <c:v>55-64</c:v>
                </c:pt>
                <c:pt idx="6">
                  <c:v>65-74</c:v>
                </c:pt>
                <c:pt idx="7">
                  <c:v>75-84</c:v>
                </c:pt>
                <c:pt idx="8">
                  <c:v>85+</c:v>
                </c:pt>
              </c:strCache>
            </c:strRef>
          </c:cat>
          <c:val>
            <c:numRef>
              <c:f>'5.10'!$H$5:$H$13</c:f>
              <c:numCache>
                <c:formatCode>#,##0.0</c:formatCode>
                <c:ptCount val="9"/>
                <c:pt idx="0" formatCode="#,##0">
                  <c:v>0</c:v>
                </c:pt>
                <c:pt idx="1">
                  <c:v>4.0039111890351835</c:v>
                </c:pt>
                <c:pt idx="2">
                  <c:v>4.4811376114682977</c:v>
                </c:pt>
                <c:pt idx="3">
                  <c:v>3.727058209661001</c:v>
                </c:pt>
                <c:pt idx="4">
                  <c:v>7.2973122224062994</c:v>
                </c:pt>
                <c:pt idx="5">
                  <c:v>6.0719877519332774</c:v>
                </c:pt>
                <c:pt idx="6">
                  <c:v>4.2952346024099572</c:v>
                </c:pt>
                <c:pt idx="7">
                  <c:v>0</c:v>
                </c:pt>
                <c:pt idx="8">
                  <c:v>0</c:v>
                </c:pt>
              </c:numCache>
            </c:numRef>
          </c:val>
          <c:extLst xmlns:c16r2="http://schemas.microsoft.com/office/drawing/2015/06/chart">
            <c:ext xmlns:c16="http://schemas.microsoft.com/office/drawing/2014/chart" uri="{C3380CC4-5D6E-409C-BE32-E72D297353CC}">
              <c16:uniqueId val="{00000005-8801-4179-BAF2-85D4D2DBB0EE}"/>
            </c:ext>
          </c:extLst>
        </c:ser>
        <c:dLbls>
          <c:dLblPos val="outEnd"/>
          <c:showLegendKey val="0"/>
          <c:showVal val="1"/>
          <c:showCatName val="0"/>
          <c:showSerName val="0"/>
          <c:showPercent val="0"/>
          <c:showBubbleSize val="0"/>
        </c:dLbls>
        <c:gapWidth val="108"/>
        <c:overlap val="-16"/>
        <c:axId val="150214912"/>
        <c:axId val="150233472"/>
      </c:barChart>
      <c:catAx>
        <c:axId val="150214912"/>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Age Group (Years)</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233472"/>
        <c:crosses val="autoZero"/>
        <c:auto val="1"/>
        <c:lblAlgn val="ctr"/>
        <c:lblOffset val="100"/>
        <c:noMultiLvlLbl val="0"/>
      </c:catAx>
      <c:valAx>
        <c:axId val="150233472"/>
        <c:scaling>
          <c:orientation val="minMax"/>
          <c:max val="40"/>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a:t>Rate per 100,000 Population</a:t>
                </a:r>
              </a:p>
            </c:rich>
          </c:tx>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214912"/>
        <c:crosses val="autoZero"/>
        <c:crossBetween val="between"/>
        <c:majorUnit val="10"/>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'5.11'!$B$5</c:f>
              <c:strCache>
                <c:ptCount val="1"/>
                <c:pt idx="0">
                  <c:v>Total</c:v>
                </c:pt>
              </c:strCache>
            </c:strRef>
          </c:tx>
          <c:spPr>
            <a:solidFill>
              <a:srgbClr val="20386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'5.11'!$A$6:$A$9</c:f>
              <c:strCache>
                <c:ptCount val="4"/>
                <c:pt idx="0">
                  <c:v>White non-Hispanic</c:v>
                </c:pt>
                <c:pt idx="1">
                  <c:v>Black non-Hispanic</c:v>
                </c:pt>
                <c:pt idx="2">
                  <c:v>Hispanic</c:v>
                </c:pt>
                <c:pt idx="3">
                  <c:v>Asian non-Hispanic</c:v>
                </c:pt>
              </c:strCache>
            </c:strRef>
          </c:cat>
          <c:val>
            <c:numRef>
              <c:f>'5.11'!$B$6:$B$9</c:f>
              <c:numCache>
                <c:formatCode>0.0</c:formatCode>
                <c:ptCount val="4"/>
                <c:pt idx="0">
                  <c:v>9.758452451516078</c:v>
                </c:pt>
                <c:pt idx="1">
                  <c:v>3.8941336711376322</c:v>
                </c:pt>
                <c:pt idx="2">
                  <c:v>4.3174317088612408</c:v>
                </c:pt>
                <c:pt idx="3">
                  <c:v>4.5005388102885755</c:v>
                </c:pt>
              </c:numCache>
            </c:numRef>
          </c:val>
          <c:extLst xmlns:c16r2="http://schemas.microsoft.com/office/drawing/2015/06/chart">
            <c:ext xmlns:c16="http://schemas.microsoft.com/office/drawing/2014/chart" uri="{C3380CC4-5D6E-409C-BE32-E72D297353CC}">
              <c16:uniqueId val="{00000004-88D4-49CA-898F-14408AA037FF}"/>
            </c:ext>
          </c:extLst>
        </c:ser>
        <c:ser>
          <c:idx val="1"/>
          <c:order val="1"/>
          <c:tx>
            <c:strRef>
              <c:f>'5.11'!$C$5</c:f>
              <c:strCache>
                <c:ptCount val="1"/>
                <c:pt idx="0">
                  <c:v>Male</c:v>
                </c:pt>
              </c:strCache>
            </c:strRef>
          </c:tx>
          <c:spPr>
            <a:pattFill prst="ltUpDiag">
              <a:fgClr>
                <a:srgbClr val="EFF3FF"/>
              </a:fgClr>
              <a:bgClr>
                <a:srgbClr val="08519C"/>
              </a:bgClr>
            </a:patt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'5.11'!$A$6:$A$9</c:f>
              <c:strCache>
                <c:ptCount val="4"/>
                <c:pt idx="0">
                  <c:v>White non-Hispanic</c:v>
                </c:pt>
                <c:pt idx="1">
                  <c:v>Black non-Hispanic</c:v>
                </c:pt>
                <c:pt idx="2">
                  <c:v>Hispanic</c:v>
                </c:pt>
                <c:pt idx="3">
                  <c:v>Asian non-Hispanic</c:v>
                </c:pt>
              </c:strCache>
            </c:strRef>
          </c:cat>
          <c:val>
            <c:numRef>
              <c:f>'5.11'!$C$6:$C$9</c:f>
              <c:numCache>
                <c:formatCode>0.0</c:formatCode>
                <c:ptCount val="4"/>
                <c:pt idx="0">
                  <c:v>15.303336690306946</c:v>
                </c:pt>
                <c:pt idx="1">
                  <c:v>6.5435449949422226</c:v>
                </c:pt>
                <c:pt idx="2">
                  <c:v>7.4</c:v>
                </c:pt>
                <c:pt idx="3">
                  <c:v>5.9826656078190412</c:v>
                </c:pt>
              </c:numCache>
            </c:numRef>
          </c:val>
          <c:extLst xmlns:c16r2="http://schemas.microsoft.com/office/drawing/2015/06/chart">
            <c:ext xmlns:c16="http://schemas.microsoft.com/office/drawing/2014/chart" uri="{C3380CC4-5D6E-409C-BE32-E72D297353CC}">
              <c16:uniqueId val="{00000006-88D4-49CA-898F-14408AA037FF}"/>
            </c:ext>
          </c:extLst>
        </c:ser>
        <c:ser>
          <c:idx val="2"/>
          <c:order val="2"/>
          <c:tx>
            <c:strRef>
              <c:f>'5.11'!$D$5</c:f>
              <c:strCache>
                <c:ptCount val="1"/>
                <c:pt idx="0">
                  <c:v>Female</c:v>
                </c:pt>
              </c:strCache>
            </c:strRef>
          </c:tx>
          <c:spPr>
            <a:solidFill>
              <a:srgbClr val="3182BD"/>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'5.11'!$A$6:$A$9</c:f>
              <c:strCache>
                <c:ptCount val="4"/>
                <c:pt idx="0">
                  <c:v>White non-Hispanic</c:v>
                </c:pt>
                <c:pt idx="1">
                  <c:v>Black non-Hispanic</c:v>
                </c:pt>
                <c:pt idx="2">
                  <c:v>Hispanic</c:v>
                </c:pt>
                <c:pt idx="3">
                  <c:v>Asian non-Hispanic</c:v>
                </c:pt>
              </c:strCache>
            </c:strRef>
          </c:cat>
          <c:val>
            <c:numRef>
              <c:f>'5.11'!$D$6:$D$9</c:f>
              <c:numCache>
                <c:formatCode>0.0</c:formatCode>
                <c:ptCount val="4"/>
                <c:pt idx="0">
                  <c:v>4.6192977694785844</c:v>
                </c:pt>
                <c:pt idx="1">
                  <c:v>1.5052555672658587</c:v>
                </c:pt>
                <c:pt idx="2">
                  <c:v>1.4787591803154803</c:v>
                </c:pt>
                <c:pt idx="3">
                  <c:v>3.1263248160513673</c:v>
                </c:pt>
              </c:numCache>
            </c:numRef>
          </c:val>
          <c:extLst xmlns:c16r2="http://schemas.microsoft.com/office/drawing/2015/06/chart">
            <c:ext xmlns:c16="http://schemas.microsoft.com/office/drawing/2014/chart" uri="{C3380CC4-5D6E-409C-BE32-E72D297353CC}">
              <c16:uniqueId val="{00000008-88D4-49CA-898F-14408AA037FF}"/>
            </c:ext>
          </c:extLst>
        </c:ser>
        <c:dLbls>
          <c:dLblPos val="outEnd"/>
          <c:showLegendKey val="0"/>
          <c:showVal val="1"/>
          <c:showCatName val="0"/>
          <c:showSerName val="0"/>
          <c:showPercent val="0"/>
          <c:showBubbleSize val="0"/>
        </c:dLbls>
        <c:gapWidth val="108"/>
        <c:overlap val="-16"/>
        <c:axId val="150299776"/>
        <c:axId val="150301312"/>
      </c:barChart>
      <c:catAx>
        <c:axId val="150299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301312"/>
        <c:crosses val="autoZero"/>
        <c:auto val="1"/>
        <c:lblAlgn val="ctr"/>
        <c:lblOffset val="100"/>
        <c:noMultiLvlLbl val="0"/>
      </c:catAx>
      <c:valAx>
        <c:axId val="150301312"/>
        <c:scaling>
          <c:orientation val="minMax"/>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Rate per 100,000 Population</a:t>
                </a:r>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2997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'5.12'!$B$4</c:f>
              <c:strCache>
                <c:ptCount val="1"/>
                <c:pt idx="0">
                  <c:v>Ages 0-14</c:v>
                </c:pt>
              </c:strCache>
            </c:strRef>
          </c:tx>
          <c:spPr>
            <a:ln w="19050" cap="rnd">
              <a:solidFill>
                <a:srgbClr val="08519C"/>
              </a:solidFill>
              <a:round/>
            </a:ln>
            <a:effectLst/>
          </c:spPr>
          <c:marker>
            <c:symbol val="diamond"/>
            <c:size val="6"/>
            <c:spPr>
              <a:solidFill>
                <a:schemeClr val="bg1"/>
              </a:solidFill>
              <a:ln w="9525">
                <a:solidFill>
                  <a:srgbClr val="08519C"/>
                </a:solidFill>
              </a:ln>
              <a:effectLst/>
            </c:spPr>
          </c:marker>
          <c:dLbls>
            <c:dLbl>
              <c:idx val="0"/>
              <c:layout>
                <c:manualLayout>
                  <c:x val="-5.1934730373298703E-2"/>
                  <c:y val="-6.8475257249573138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8-162D-41C9-83DD-325E30A5E8FC}"/>
                </c:ext>
              </c:extLst>
            </c:dLbl>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162D-41C9-83DD-325E30A5E8FC}"/>
                </c:ext>
              </c:extLst>
            </c:dLbl>
            <c:dLbl>
              <c:idx val="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2-162D-41C9-83DD-325E30A5E8FC}"/>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3-162D-41C9-83DD-325E30A5E8FC}"/>
                </c:ext>
              </c:extLst>
            </c:dLbl>
            <c:dLbl>
              <c:idx val="4"/>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4-162D-41C9-83DD-325E30A5E8FC}"/>
                </c:ext>
              </c:extLst>
            </c:dLbl>
            <c:dLbl>
              <c:idx val="5"/>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5-162D-41C9-83DD-325E30A5E8FC}"/>
                </c:ext>
              </c:extLst>
            </c:dLbl>
            <c:dLbl>
              <c:idx val="6"/>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6-162D-41C9-83DD-325E30A5E8FC}"/>
                </c:ext>
              </c:extLst>
            </c:dLbl>
            <c:dLbl>
              <c:idx val="7"/>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7-162D-41C9-83DD-325E30A5E8FC}"/>
                </c:ext>
              </c:extLst>
            </c:dLbl>
            <c:dLbl>
              <c:idx val="8"/>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D-162D-41C9-83DD-325E30A5E8FC}"/>
                </c:ext>
              </c:extLst>
            </c:dLbl>
            <c:dLbl>
              <c:idx val="9"/>
              <c:layout>
                <c:manualLayout>
                  <c:x val="7.8409823458278575E-3"/>
                  <c:y val="3.6671703706433231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4-322A-4D96-88F1-FAD4987C7BF6}"/>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'5.12'!$A$5:$A$14</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'5.12'!$B$5:$B$14</c:f>
              <c:numCache>
                <c:formatCode>0.0</c:formatCode>
                <c:ptCount val="10"/>
                <c:pt idx="0">
                  <c:v>0.82116436179516383</c:v>
                </c:pt>
                <c:pt idx="1">
                  <c:v>0.41837468130308647</c:v>
                </c:pt>
                <c:pt idx="2">
                  <c:v>0.5940247895030728</c:v>
                </c:pt>
                <c:pt idx="3">
                  <c:v>1.6261206324753408</c:v>
                </c:pt>
                <c:pt idx="4" formatCode="General">
                  <c:v>0.2</c:v>
                </c:pt>
                <c:pt idx="5">
                  <c:v>0.51684082766890138</c:v>
                </c:pt>
                <c:pt idx="6">
                  <c:v>1.2973735968904549</c:v>
                </c:pt>
                <c:pt idx="7">
                  <c:v>0.6</c:v>
                </c:pt>
                <c:pt idx="8" formatCode="General">
                  <c:v>0.3</c:v>
                </c:pt>
                <c:pt idx="9">
                  <c:v>0.87410677214221721</c:v>
                </c:pt>
              </c:numCache>
            </c:numRef>
          </c:val>
          <c:smooth val="0"/>
          <c:extLst xmlns:c16r2="http://schemas.microsoft.com/office/drawing/2015/06/chart">
            <c:ext xmlns:c16="http://schemas.microsoft.com/office/drawing/2014/chart" uri="{C3380CC4-5D6E-409C-BE32-E72D297353CC}">
              <c16:uniqueId val="{00000000-162D-41C9-83DD-325E30A5E8FC}"/>
            </c:ext>
          </c:extLst>
        </c:ser>
        <c:ser>
          <c:idx val="1"/>
          <c:order val="1"/>
          <c:tx>
            <c:strRef>
              <c:f>'5.12'!$C$4</c:f>
              <c:strCache>
                <c:ptCount val="1"/>
                <c:pt idx="0">
                  <c:v>Ages 15-24</c:v>
                </c:pt>
              </c:strCache>
            </c:strRef>
          </c:tx>
          <c:spPr>
            <a:ln w="19050" cap="rnd">
              <a:solidFill>
                <a:srgbClr val="3182BD"/>
              </a:solidFill>
              <a:round/>
            </a:ln>
            <a:effectLst/>
          </c:spPr>
          <c:marker>
            <c:symbol val="square"/>
            <c:size val="5"/>
            <c:spPr>
              <a:solidFill>
                <a:schemeClr val="bg1"/>
              </a:solidFill>
              <a:ln w="9525">
                <a:solidFill>
                  <a:srgbClr val="3182BD"/>
                </a:solidFill>
              </a:ln>
              <a:effectLst/>
            </c:spPr>
          </c:marker>
          <c:dLbls>
            <c:dLbl>
              <c:idx val="0"/>
              <c:layout>
                <c:manualLayout>
                  <c:x val="-4.7366307934860311E-2"/>
                  <c:y val="-7.495164193037343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9-162D-41C9-83DD-325E30A5E8FC}"/>
                </c:ext>
              </c:extLst>
            </c:dLbl>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0-162D-41C9-83DD-325E30A5E8FC}"/>
                </c:ext>
              </c:extLst>
            </c:dLbl>
            <c:dLbl>
              <c:idx val="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162D-41C9-83DD-325E30A5E8FC}"/>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162D-41C9-83DD-325E30A5E8FC}"/>
                </c:ext>
              </c:extLst>
            </c:dLbl>
            <c:dLbl>
              <c:idx val="4"/>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162D-41C9-83DD-325E30A5E8FC}"/>
                </c:ext>
              </c:extLst>
            </c:dLbl>
            <c:dLbl>
              <c:idx val="5"/>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162D-41C9-83DD-325E30A5E8FC}"/>
                </c:ext>
              </c:extLst>
            </c:dLbl>
            <c:dLbl>
              <c:idx val="6"/>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162D-41C9-83DD-325E30A5E8FC}"/>
                </c:ext>
              </c:extLst>
            </c:dLbl>
            <c:dLbl>
              <c:idx val="7"/>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162D-41C9-83DD-325E30A5E8FC}"/>
                </c:ext>
              </c:extLst>
            </c:dLbl>
            <c:dLbl>
              <c:idx val="8"/>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C-162D-41C9-83DD-325E30A5E8FC}"/>
                </c:ext>
              </c:extLst>
            </c:dLbl>
            <c:dLbl>
              <c:idx val="9"/>
              <c:layout>
                <c:manualLayout>
                  <c:x val="-5.0132379145947812E-3"/>
                  <c:y val="-7.8305585142119813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2-322A-4D96-88F1-FAD4987C7BF6}"/>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'5.12'!$A$5:$A$14</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'5.12'!$C$5:$C$14</c:f>
              <c:numCache>
                <c:formatCode>0.0</c:formatCode>
                <c:ptCount val="10"/>
                <c:pt idx="0">
                  <c:v>9.0968840897771486</c:v>
                </c:pt>
                <c:pt idx="1">
                  <c:v>9.0747151547743083</c:v>
                </c:pt>
                <c:pt idx="2">
                  <c:v>7.7012360483857663</c:v>
                </c:pt>
                <c:pt idx="3">
                  <c:v>7.9327821679750317</c:v>
                </c:pt>
                <c:pt idx="4">
                  <c:v>6.7863067410646964</c:v>
                </c:pt>
                <c:pt idx="5">
                  <c:v>7.1504268377931002</c:v>
                </c:pt>
                <c:pt idx="6">
                  <c:v>9.0016245284737266</c:v>
                </c:pt>
                <c:pt idx="7">
                  <c:v>8.3000000000000007</c:v>
                </c:pt>
                <c:pt idx="8">
                  <c:v>4.778434606060542</c:v>
                </c:pt>
                <c:pt idx="9">
                  <c:v>4.7</c:v>
                </c:pt>
              </c:numCache>
            </c:numRef>
          </c:val>
          <c:smooth val="0"/>
          <c:extLst xmlns:c16r2="http://schemas.microsoft.com/office/drawing/2015/06/chart">
            <c:ext xmlns:c16="http://schemas.microsoft.com/office/drawing/2014/chart" uri="{C3380CC4-5D6E-409C-BE32-E72D297353CC}">
              <c16:uniqueId val="{00000001-162D-41C9-83DD-325E30A5E8FC}"/>
            </c:ext>
          </c:extLst>
        </c:ser>
        <c:ser>
          <c:idx val="2"/>
          <c:order val="2"/>
          <c:tx>
            <c:strRef>
              <c:f>'5.12'!$D$4</c:f>
              <c:strCache>
                <c:ptCount val="1"/>
                <c:pt idx="0">
                  <c:v>Ages 25-64</c:v>
                </c:pt>
              </c:strCache>
            </c:strRef>
          </c:tx>
          <c:spPr>
            <a:ln w="19050" cap="rnd">
              <a:solidFill>
                <a:srgbClr val="6BAED6"/>
              </a:solidFill>
              <a:round/>
            </a:ln>
            <a:effectLst/>
          </c:spPr>
          <c:marker>
            <c:symbol val="circle"/>
            <c:size val="6"/>
            <c:spPr>
              <a:solidFill>
                <a:schemeClr val="bg1"/>
              </a:solidFill>
              <a:ln w="9525">
                <a:solidFill>
                  <a:srgbClr val="6BAED6"/>
                </a:solidFill>
              </a:ln>
              <a:effectLst/>
            </c:spPr>
          </c:marker>
          <c:dLbls>
            <c:dLbl>
              <c:idx val="0"/>
              <c:layout>
                <c:manualLayout>
                  <c:x val="-4.7748968586422927E-2"/>
                  <c:y val="-8.1058511180539611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A-162D-41C9-83DD-325E30A5E8FC}"/>
                </c:ext>
              </c:extLst>
            </c:dLbl>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162D-41C9-83DD-325E30A5E8FC}"/>
                </c:ext>
              </c:extLst>
            </c:dLbl>
            <c:dLbl>
              <c:idx val="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162D-41C9-83DD-325E30A5E8FC}"/>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162D-41C9-83DD-325E30A5E8FC}"/>
                </c:ext>
              </c:extLst>
            </c:dLbl>
            <c:dLbl>
              <c:idx val="4"/>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162D-41C9-83DD-325E30A5E8FC}"/>
                </c:ext>
              </c:extLst>
            </c:dLbl>
            <c:dLbl>
              <c:idx val="5"/>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162D-41C9-83DD-325E30A5E8FC}"/>
                </c:ext>
              </c:extLst>
            </c:dLbl>
            <c:dLbl>
              <c:idx val="6"/>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162D-41C9-83DD-325E30A5E8FC}"/>
                </c:ext>
              </c:extLst>
            </c:dLbl>
            <c:dLbl>
              <c:idx val="7"/>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162D-41C9-83DD-325E30A5E8FC}"/>
                </c:ext>
              </c:extLst>
            </c:dLbl>
            <c:dLbl>
              <c:idx val="8"/>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B-162D-41C9-83DD-325E30A5E8FC}"/>
                </c:ext>
              </c:extLst>
            </c:dLbl>
            <c:dLbl>
              <c:idx val="9"/>
              <c:layout>
                <c:manualLayout>
                  <c:x val="-1.786745817501742E-2"/>
                  <c:y val="-7.6288439723724136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3-322A-4D96-88F1-FAD4987C7BF6}"/>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'5.12'!$A$5:$A$14</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'5.12'!$D$5:$D$14</c:f>
              <c:numCache>
                <c:formatCode>0.0</c:formatCode>
                <c:ptCount val="10"/>
                <c:pt idx="0">
                  <c:v>2.3093554877503122</c:v>
                </c:pt>
                <c:pt idx="1">
                  <c:v>2.3372684084414055</c:v>
                </c:pt>
                <c:pt idx="2">
                  <c:v>2.8517890655493798</c:v>
                </c:pt>
                <c:pt idx="3">
                  <c:v>2.469335022435057</c:v>
                </c:pt>
                <c:pt idx="4">
                  <c:v>2.8567837186182308</c:v>
                </c:pt>
                <c:pt idx="5">
                  <c:v>2.69272773603105</c:v>
                </c:pt>
                <c:pt idx="6">
                  <c:v>2.811942883816144</c:v>
                </c:pt>
                <c:pt idx="7">
                  <c:v>2.8706216400836886</c:v>
                </c:pt>
                <c:pt idx="8">
                  <c:v>2.2784632154617626</c:v>
                </c:pt>
                <c:pt idx="9">
                  <c:v>2.4318158894297532</c:v>
                </c:pt>
              </c:numCache>
            </c:numRef>
          </c:val>
          <c:smooth val="0"/>
          <c:extLst xmlns:c16r2="http://schemas.microsoft.com/office/drawing/2015/06/chart">
            <c:ext xmlns:c16="http://schemas.microsoft.com/office/drawing/2014/chart" uri="{C3380CC4-5D6E-409C-BE32-E72D297353CC}">
              <c16:uniqueId val="{00000002-162D-41C9-83DD-325E30A5E8FC}"/>
            </c:ext>
          </c:extLst>
        </c:ser>
        <c:ser>
          <c:idx val="3"/>
          <c:order val="3"/>
          <c:tx>
            <c:strRef>
              <c:f>'5.12'!$E$4</c:f>
              <c:strCache>
                <c:ptCount val="1"/>
                <c:pt idx="0">
                  <c:v>Ages 65+</c:v>
                </c:pt>
              </c:strCache>
            </c:strRef>
          </c:tx>
          <c:spPr>
            <a:ln w="19050" cap="rnd">
              <a:solidFill>
                <a:srgbClr val="9ECAE1"/>
              </a:solidFill>
              <a:round/>
            </a:ln>
            <a:effectLst/>
          </c:spPr>
          <c:marker>
            <c:symbol val="triangle"/>
            <c:size val="6"/>
            <c:spPr>
              <a:solidFill>
                <a:sysClr val="window" lastClr="FFFFFF"/>
              </a:solidFill>
              <a:ln w="9525">
                <a:solidFill>
                  <a:srgbClr val="9ECAE1"/>
                </a:solidFill>
              </a:ln>
              <a:effectLst/>
            </c:spPr>
          </c:marker>
          <c:dLbls>
            <c:dLbl>
              <c:idx val="0"/>
              <c:layout>
                <c:manualLayout>
                  <c:x val="-7.1621470173148294E-2"/>
                  <c:y val="2.4568831196059227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6-322A-4D96-88F1-FAD4987C7BF6}"/>
                </c:ext>
              </c:extLst>
            </c:dLbl>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322A-4D96-88F1-FAD4987C7BF6}"/>
                </c:ext>
              </c:extLst>
            </c:dLbl>
            <c:dLbl>
              <c:idx val="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322A-4D96-88F1-FAD4987C7BF6}"/>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322A-4D96-88F1-FAD4987C7BF6}"/>
                </c:ext>
              </c:extLst>
            </c:dLbl>
            <c:dLbl>
              <c:idx val="4"/>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322A-4D96-88F1-FAD4987C7BF6}"/>
                </c:ext>
              </c:extLst>
            </c:dLbl>
            <c:dLbl>
              <c:idx val="5"/>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322A-4D96-88F1-FAD4987C7BF6}"/>
                </c:ext>
              </c:extLst>
            </c:dLbl>
            <c:dLbl>
              <c:idx val="6"/>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322A-4D96-88F1-FAD4987C7BF6}"/>
                </c:ext>
              </c:extLst>
            </c:dLbl>
            <c:dLbl>
              <c:idx val="7"/>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0-322A-4D96-88F1-FAD4987C7BF6}"/>
                </c:ext>
              </c:extLst>
            </c:dLbl>
            <c:dLbl>
              <c:idx val="8"/>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322A-4D96-88F1-FAD4987C7BF6}"/>
                </c:ext>
              </c:extLst>
            </c:dLbl>
            <c:dLbl>
              <c:idx val="9"/>
              <c:layout>
                <c:manualLayout>
                  <c:x val="7.8409823458278575E-3"/>
                  <c:y val="-4.401411302939346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5-322A-4D96-88F1-FAD4987C7BF6}"/>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'5.12'!$A$5:$A$14</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'5.12'!$E$5:$E$14</c:f>
              <c:numCache>
                <c:formatCode>0.0</c:formatCode>
                <c:ptCount val="10"/>
                <c:pt idx="0">
                  <c:v>0.58760897208387297</c:v>
                </c:pt>
                <c:pt idx="1">
                  <c:v>1.1764498273559878</c:v>
                </c:pt>
                <c:pt idx="2">
                  <c:v>0.82233750610879297</c:v>
                </c:pt>
                <c:pt idx="3">
                  <c:v>0.58127165963521721</c:v>
                </c:pt>
                <c:pt idx="4">
                  <c:v>0.11400246701338618</c:v>
                </c:pt>
                <c:pt idx="5">
                  <c:v>1.3457652133150011</c:v>
                </c:pt>
                <c:pt idx="6">
                  <c:v>0.66185206062123636</c:v>
                </c:pt>
                <c:pt idx="7">
                  <c:v>1.193171156063533</c:v>
                </c:pt>
                <c:pt idx="8">
                  <c:v>1.0439143447401853</c:v>
                </c:pt>
                <c:pt idx="9">
                  <c:v>1.2129641609522577</c:v>
                </c:pt>
              </c:numCache>
            </c:numRef>
          </c:val>
          <c:smooth val="0"/>
          <c:extLst xmlns:c16r2="http://schemas.microsoft.com/office/drawing/2015/06/chart">
            <c:ext xmlns:c16="http://schemas.microsoft.com/office/drawing/2014/chart" uri="{C3380CC4-5D6E-409C-BE32-E72D297353CC}">
              <c16:uniqueId val="{00000008-322A-4D96-88F1-FAD4987C7BF6}"/>
            </c:ext>
          </c:extLst>
        </c:ser>
        <c:dLbls>
          <c:dLblPos val="t"/>
          <c:showLegendKey val="0"/>
          <c:showVal val="1"/>
          <c:showCatName val="0"/>
          <c:showSerName val="0"/>
          <c:showPercent val="0"/>
          <c:showBubbleSize val="0"/>
        </c:dLbls>
        <c:marker val="1"/>
        <c:smooth val="0"/>
        <c:axId val="165512320"/>
        <c:axId val="165513856"/>
      </c:lineChart>
      <c:catAx>
        <c:axId val="165512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5513856"/>
        <c:crosses val="autoZero"/>
        <c:auto val="1"/>
        <c:lblAlgn val="ctr"/>
        <c:lblOffset val="100"/>
        <c:noMultiLvlLbl val="0"/>
      </c:catAx>
      <c:valAx>
        <c:axId val="165513856"/>
        <c:scaling>
          <c:orientation val="minMax"/>
          <c:max val="10"/>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a:t>Rate per 100,000 Population</a:t>
                </a:r>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5512320"/>
        <c:crosses val="autoZero"/>
        <c:crossBetween val="between"/>
        <c:majorUnit val="2"/>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'5.13'!$B$4</c:f>
              <c:strCache>
                <c:ptCount val="1"/>
                <c:pt idx="0">
                  <c:v>Ages 0-14</c:v>
                </c:pt>
              </c:strCache>
            </c:strRef>
          </c:tx>
          <c:spPr>
            <a:ln w="19050" cap="rnd">
              <a:solidFill>
                <a:srgbClr val="08519C"/>
              </a:solidFill>
              <a:round/>
            </a:ln>
            <a:effectLst/>
          </c:spPr>
          <c:marker>
            <c:symbol val="diamond"/>
            <c:size val="6"/>
            <c:spPr>
              <a:solidFill>
                <a:schemeClr val="bg1"/>
              </a:solidFill>
              <a:ln w="9525">
                <a:solidFill>
                  <a:srgbClr val="08519C"/>
                </a:solidFill>
              </a:ln>
              <a:effectLst/>
            </c:spPr>
          </c:marker>
          <c:dLbls>
            <c:dLbl>
              <c:idx val="0"/>
              <c:layout>
                <c:manualLayout>
                  <c:x val="-5.1934820647419069E-2"/>
                  <c:y val="-0.1008825459317586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8-162D-41C9-83DD-325E30A5E8FC}"/>
                </c:ext>
              </c:extLst>
            </c:dLbl>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162D-41C9-83DD-325E30A5E8FC}"/>
                </c:ext>
              </c:extLst>
            </c:dLbl>
            <c:dLbl>
              <c:idx val="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2-162D-41C9-83DD-325E30A5E8FC}"/>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3-162D-41C9-83DD-325E30A5E8FC}"/>
                </c:ext>
              </c:extLst>
            </c:dLbl>
            <c:dLbl>
              <c:idx val="4"/>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4-162D-41C9-83DD-325E30A5E8FC}"/>
                </c:ext>
              </c:extLst>
            </c:dLbl>
            <c:dLbl>
              <c:idx val="5"/>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5-162D-41C9-83DD-325E30A5E8FC}"/>
                </c:ext>
              </c:extLst>
            </c:dLbl>
            <c:dLbl>
              <c:idx val="6"/>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6-162D-41C9-83DD-325E30A5E8FC}"/>
                </c:ext>
              </c:extLst>
            </c:dLbl>
            <c:dLbl>
              <c:idx val="7"/>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7-162D-41C9-83DD-325E30A5E8FC}"/>
                </c:ext>
              </c:extLst>
            </c:dLbl>
            <c:dLbl>
              <c:idx val="8"/>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D-162D-41C9-83DD-325E30A5E8FC}"/>
                </c:ext>
              </c:extLst>
            </c:dLbl>
            <c:dLbl>
              <c:idx val="9"/>
              <c:layout>
                <c:manualLayout>
                  <c:x val="1.8702974628169442E-3"/>
                  <c:y val="-7.4439340915718952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4-322A-4D96-88F1-FAD4987C7BF6}"/>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'5.13'!$A$5:$A$14</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'5.13'!$B$5:$B$14</c:f>
              <c:numCache>
                <c:formatCode>0.0</c:formatCode>
                <c:ptCount val="10"/>
                <c:pt idx="0">
                  <c:v>7.7189450008745402</c:v>
                </c:pt>
                <c:pt idx="1">
                  <c:v>7.279719454673705</c:v>
                </c:pt>
                <c:pt idx="2">
                  <c:v>6.2796906318896273</c:v>
                </c:pt>
                <c:pt idx="3">
                  <c:v>7.0179943085777872</c:v>
                </c:pt>
                <c:pt idx="4">
                  <c:v>9.372208221232265</c:v>
                </c:pt>
                <c:pt idx="5">
                  <c:v>9.044714484205775</c:v>
                </c:pt>
                <c:pt idx="6">
                  <c:v>8.3888699586783293</c:v>
                </c:pt>
                <c:pt idx="7">
                  <c:v>7.8134020681207117</c:v>
                </c:pt>
                <c:pt idx="8">
                  <c:v>6.8848135827785546</c:v>
                </c:pt>
                <c:pt idx="9">
                  <c:v>7.7729325527795217</c:v>
                </c:pt>
              </c:numCache>
            </c:numRef>
          </c:val>
          <c:smooth val="0"/>
          <c:extLst xmlns:c16r2="http://schemas.microsoft.com/office/drawing/2015/06/chart">
            <c:ext xmlns:c16="http://schemas.microsoft.com/office/drawing/2014/chart" uri="{C3380CC4-5D6E-409C-BE32-E72D297353CC}">
              <c16:uniqueId val="{00000000-162D-41C9-83DD-325E30A5E8FC}"/>
            </c:ext>
          </c:extLst>
        </c:ser>
        <c:ser>
          <c:idx val="1"/>
          <c:order val="1"/>
          <c:tx>
            <c:strRef>
              <c:f>'5.13'!$C$4</c:f>
              <c:strCache>
                <c:ptCount val="1"/>
                <c:pt idx="0">
                  <c:v>Ages 15-24</c:v>
                </c:pt>
              </c:strCache>
            </c:strRef>
          </c:tx>
          <c:spPr>
            <a:ln w="19050" cap="rnd">
              <a:solidFill>
                <a:srgbClr val="3182BD"/>
              </a:solidFill>
              <a:round/>
            </a:ln>
            <a:effectLst/>
          </c:spPr>
          <c:marker>
            <c:symbol val="square"/>
            <c:size val="5"/>
            <c:spPr>
              <a:solidFill>
                <a:schemeClr val="bg1"/>
              </a:solidFill>
              <a:ln w="9525">
                <a:solidFill>
                  <a:srgbClr val="3182BD"/>
                </a:solidFill>
              </a:ln>
              <a:effectLst/>
            </c:spPr>
          </c:marker>
          <c:dLbls>
            <c:dLbl>
              <c:idx val="0"/>
              <c:layout>
                <c:manualLayout>
                  <c:x val="-6.4033027121609798E-2"/>
                  <c:y val="-0.10272929425488481"/>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9-162D-41C9-83DD-325E30A5E8FC}"/>
                </c:ext>
              </c:extLst>
            </c:dLbl>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0-162D-41C9-83DD-325E30A5E8FC}"/>
                </c:ext>
              </c:extLst>
            </c:dLbl>
            <c:dLbl>
              <c:idx val="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162D-41C9-83DD-325E30A5E8FC}"/>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162D-41C9-83DD-325E30A5E8FC}"/>
                </c:ext>
              </c:extLst>
            </c:dLbl>
            <c:dLbl>
              <c:idx val="4"/>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162D-41C9-83DD-325E30A5E8FC}"/>
                </c:ext>
              </c:extLst>
            </c:dLbl>
            <c:dLbl>
              <c:idx val="5"/>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162D-41C9-83DD-325E30A5E8FC}"/>
                </c:ext>
              </c:extLst>
            </c:dLbl>
            <c:dLbl>
              <c:idx val="6"/>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162D-41C9-83DD-325E30A5E8FC}"/>
                </c:ext>
              </c:extLst>
            </c:dLbl>
            <c:dLbl>
              <c:idx val="7"/>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162D-41C9-83DD-325E30A5E8FC}"/>
                </c:ext>
              </c:extLst>
            </c:dLbl>
            <c:dLbl>
              <c:idx val="8"/>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C-162D-41C9-83DD-325E30A5E8FC}"/>
                </c:ext>
              </c:extLst>
            </c:dLbl>
            <c:dLbl>
              <c:idx val="9"/>
              <c:layout>
                <c:manualLayout>
                  <c:x val="-5.0132379145947812E-3"/>
                  <c:y val="-7.8305585142119813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2-322A-4D96-88F1-FAD4987C7BF6}"/>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'5.13'!$A$5:$A$14</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'5.13'!$C$5:$C$14</c:f>
              <c:numCache>
                <c:formatCode>0.0</c:formatCode>
                <c:ptCount val="10"/>
                <c:pt idx="0">
                  <c:v>83.691333625949767</c:v>
                </c:pt>
                <c:pt idx="1">
                  <c:v>99.821866702517397</c:v>
                </c:pt>
                <c:pt idx="2">
                  <c:v>95.275291684315334</c:v>
                </c:pt>
                <c:pt idx="3">
                  <c:v>89.651305323005502</c:v>
                </c:pt>
                <c:pt idx="4">
                  <c:v>90.160932417002385</c:v>
                </c:pt>
                <c:pt idx="5">
                  <c:v>81.322764931318545</c:v>
                </c:pt>
                <c:pt idx="6">
                  <c:v>83.397009984357766</c:v>
                </c:pt>
                <c:pt idx="7">
                  <c:v>72.469577545612594</c:v>
                </c:pt>
                <c:pt idx="8">
                  <c:v>60.16096494381452</c:v>
                </c:pt>
                <c:pt idx="9">
                  <c:v>57.199981881405371</c:v>
                </c:pt>
              </c:numCache>
            </c:numRef>
          </c:val>
          <c:smooth val="0"/>
          <c:extLst xmlns:c16r2="http://schemas.microsoft.com/office/drawing/2015/06/chart">
            <c:ext xmlns:c16="http://schemas.microsoft.com/office/drawing/2014/chart" uri="{C3380CC4-5D6E-409C-BE32-E72D297353CC}">
              <c16:uniqueId val="{00000001-162D-41C9-83DD-325E30A5E8FC}"/>
            </c:ext>
          </c:extLst>
        </c:ser>
        <c:ser>
          <c:idx val="2"/>
          <c:order val="2"/>
          <c:tx>
            <c:strRef>
              <c:f>'5.13'!$D$4</c:f>
              <c:strCache>
                <c:ptCount val="1"/>
                <c:pt idx="0">
                  <c:v>Ages 25-64</c:v>
                </c:pt>
              </c:strCache>
            </c:strRef>
          </c:tx>
          <c:spPr>
            <a:ln w="19050" cap="rnd">
              <a:solidFill>
                <a:srgbClr val="6BAED6"/>
              </a:solidFill>
              <a:round/>
            </a:ln>
            <a:effectLst/>
          </c:spPr>
          <c:marker>
            <c:symbol val="circle"/>
            <c:size val="6"/>
            <c:spPr>
              <a:solidFill>
                <a:schemeClr val="bg1"/>
              </a:solidFill>
              <a:ln w="9525">
                <a:solidFill>
                  <a:srgbClr val="6BAED6"/>
                </a:solidFill>
              </a:ln>
              <a:effectLst/>
            </c:spPr>
          </c:marker>
          <c:dLbls>
            <c:dLbl>
              <c:idx val="0"/>
              <c:layout>
                <c:manualLayout>
                  <c:x val="-5.6082239720035024E-2"/>
                  <c:y val="-0.10420676582093905"/>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A-162D-41C9-83DD-325E30A5E8FC}"/>
                </c:ext>
              </c:extLst>
            </c:dLbl>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162D-41C9-83DD-325E30A5E8FC}"/>
                </c:ext>
              </c:extLst>
            </c:dLbl>
            <c:dLbl>
              <c:idx val="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162D-41C9-83DD-325E30A5E8FC}"/>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162D-41C9-83DD-325E30A5E8FC}"/>
                </c:ext>
              </c:extLst>
            </c:dLbl>
            <c:dLbl>
              <c:idx val="4"/>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162D-41C9-83DD-325E30A5E8FC}"/>
                </c:ext>
              </c:extLst>
            </c:dLbl>
            <c:dLbl>
              <c:idx val="5"/>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162D-41C9-83DD-325E30A5E8FC}"/>
                </c:ext>
              </c:extLst>
            </c:dLbl>
            <c:dLbl>
              <c:idx val="6"/>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162D-41C9-83DD-325E30A5E8FC}"/>
                </c:ext>
              </c:extLst>
            </c:dLbl>
            <c:dLbl>
              <c:idx val="7"/>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162D-41C9-83DD-325E30A5E8FC}"/>
                </c:ext>
              </c:extLst>
            </c:dLbl>
            <c:dLbl>
              <c:idx val="8"/>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B-162D-41C9-83DD-325E30A5E8FC}"/>
                </c:ext>
              </c:extLst>
            </c:dLbl>
            <c:dLbl>
              <c:idx val="9"/>
              <c:layout>
                <c:manualLayout>
                  <c:x val="-1.786745817501742E-2"/>
                  <c:y val="-7.6288439723724136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3-322A-4D96-88F1-FAD4987C7BF6}"/>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'5.13'!$A$5:$A$14</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'5.13'!$D$5:$D$14</c:f>
              <c:numCache>
                <c:formatCode>0.0</c:formatCode>
                <c:ptCount val="10"/>
                <c:pt idx="0">
                  <c:v>34.265062049495263</c:v>
                </c:pt>
                <c:pt idx="1">
                  <c:v>37.25201870738092</c:v>
                </c:pt>
                <c:pt idx="2">
                  <c:v>39.464151715178289</c:v>
                </c:pt>
                <c:pt idx="3">
                  <c:v>38.446972035355138</c:v>
                </c:pt>
                <c:pt idx="4">
                  <c:v>41.423363919964345</c:v>
                </c:pt>
                <c:pt idx="5">
                  <c:v>44.841002930538117</c:v>
                </c:pt>
                <c:pt idx="6">
                  <c:v>43.975534531900962</c:v>
                </c:pt>
                <c:pt idx="7">
                  <c:v>40.462007622897431</c:v>
                </c:pt>
                <c:pt idx="8">
                  <c:v>38.447519136378844</c:v>
                </c:pt>
                <c:pt idx="9">
                  <c:v>38.692966484665398</c:v>
                </c:pt>
              </c:numCache>
            </c:numRef>
          </c:val>
          <c:smooth val="0"/>
          <c:extLst xmlns:c16r2="http://schemas.microsoft.com/office/drawing/2015/06/chart">
            <c:ext xmlns:c16="http://schemas.microsoft.com/office/drawing/2014/chart" uri="{C3380CC4-5D6E-409C-BE32-E72D297353CC}">
              <c16:uniqueId val="{00000002-162D-41C9-83DD-325E30A5E8FC}"/>
            </c:ext>
          </c:extLst>
        </c:ser>
        <c:ser>
          <c:idx val="3"/>
          <c:order val="3"/>
          <c:tx>
            <c:strRef>
              <c:f>'5.13'!$E$4</c:f>
              <c:strCache>
                <c:ptCount val="1"/>
                <c:pt idx="0">
                  <c:v>Ages 65+</c:v>
                </c:pt>
              </c:strCache>
            </c:strRef>
          </c:tx>
          <c:spPr>
            <a:ln w="19050" cap="rnd">
              <a:solidFill>
                <a:srgbClr val="9ECAE1"/>
              </a:solidFill>
              <a:round/>
            </a:ln>
            <a:effectLst/>
          </c:spPr>
          <c:marker>
            <c:symbol val="triangle"/>
            <c:size val="6"/>
            <c:spPr>
              <a:solidFill>
                <a:sysClr val="window" lastClr="FFFFFF"/>
              </a:solidFill>
              <a:ln w="9525">
                <a:solidFill>
                  <a:srgbClr val="9ECAE1"/>
                </a:solidFill>
              </a:ln>
              <a:effectLst/>
            </c:spPr>
          </c:marker>
          <c:dLbls>
            <c:dLbl>
              <c:idx val="0"/>
              <c:layout>
                <c:manualLayout>
                  <c:x val="-8.5510279965004377E-2"/>
                  <c:y val="1.5309492563429571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6-322A-4D96-88F1-FAD4987C7BF6}"/>
                </c:ext>
              </c:extLst>
            </c:dLbl>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322A-4D96-88F1-FAD4987C7BF6}"/>
                </c:ext>
              </c:extLst>
            </c:dLbl>
            <c:dLbl>
              <c:idx val="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322A-4D96-88F1-FAD4987C7BF6}"/>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322A-4D96-88F1-FAD4987C7BF6}"/>
                </c:ext>
              </c:extLst>
            </c:dLbl>
            <c:dLbl>
              <c:idx val="4"/>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322A-4D96-88F1-FAD4987C7BF6}"/>
                </c:ext>
              </c:extLst>
            </c:dLbl>
            <c:dLbl>
              <c:idx val="5"/>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322A-4D96-88F1-FAD4987C7BF6}"/>
                </c:ext>
              </c:extLst>
            </c:dLbl>
            <c:dLbl>
              <c:idx val="6"/>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322A-4D96-88F1-FAD4987C7BF6}"/>
                </c:ext>
              </c:extLst>
            </c:dLbl>
            <c:dLbl>
              <c:idx val="7"/>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0-322A-4D96-88F1-FAD4987C7BF6}"/>
                </c:ext>
              </c:extLst>
            </c:dLbl>
            <c:dLbl>
              <c:idx val="8"/>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322A-4D96-88F1-FAD4987C7BF6}"/>
                </c:ext>
              </c:extLst>
            </c:dLbl>
            <c:dLbl>
              <c:idx val="9"/>
              <c:layout>
                <c:manualLayout>
                  <c:x val="1.8702974628169442E-3"/>
                  <c:y val="2.5430154564012746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5-322A-4D96-88F1-FAD4987C7BF6}"/>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'5.13'!$A$5:$A$14</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'5.13'!$E$5:$E$14</c:f>
              <c:numCache>
                <c:formatCode>0.0</c:formatCode>
                <c:ptCount val="10"/>
                <c:pt idx="0">
                  <c:v>6.816264076172927</c:v>
                </c:pt>
                <c:pt idx="1">
                  <c:v>7.6469238778139204</c:v>
                </c:pt>
                <c:pt idx="2">
                  <c:v>7.4010375549791361</c:v>
                </c:pt>
                <c:pt idx="3">
                  <c:v>8.2540575668200837</c:v>
                </c:pt>
                <c:pt idx="4">
                  <c:v>9.4622047621110514</c:v>
                </c:pt>
                <c:pt idx="5">
                  <c:v>8.7474738865475068</c:v>
                </c:pt>
                <c:pt idx="6">
                  <c:v>9.0469980515855415</c:v>
                </c:pt>
                <c:pt idx="7">
                  <c:v>7.8142297123061102</c:v>
                </c:pt>
                <c:pt idx="8">
                  <c:v>8.0403815108816641</c:v>
                </c:pt>
                <c:pt idx="9">
                  <c:v>7.1819314742583398</c:v>
                </c:pt>
              </c:numCache>
            </c:numRef>
          </c:val>
          <c:smooth val="0"/>
          <c:extLst xmlns:c16r2="http://schemas.microsoft.com/office/drawing/2015/06/chart">
            <c:ext xmlns:c16="http://schemas.microsoft.com/office/drawing/2014/chart" uri="{C3380CC4-5D6E-409C-BE32-E72D297353CC}">
              <c16:uniqueId val="{00000008-322A-4D96-88F1-FAD4987C7BF6}"/>
            </c:ext>
          </c:extLst>
        </c:ser>
        <c:dLbls>
          <c:dLblPos val="t"/>
          <c:showLegendKey val="0"/>
          <c:showVal val="1"/>
          <c:showCatName val="0"/>
          <c:showSerName val="0"/>
          <c:showPercent val="0"/>
          <c:showBubbleSize val="0"/>
        </c:dLbls>
        <c:marker val="1"/>
        <c:smooth val="0"/>
        <c:axId val="291488896"/>
        <c:axId val="291490432"/>
      </c:lineChart>
      <c:catAx>
        <c:axId val="291488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1490432"/>
        <c:crosses val="autoZero"/>
        <c:auto val="1"/>
        <c:lblAlgn val="ctr"/>
        <c:lblOffset val="100"/>
        <c:noMultiLvlLbl val="0"/>
      </c:catAx>
      <c:valAx>
        <c:axId val="291490432"/>
        <c:scaling>
          <c:orientation val="minMax"/>
          <c:max val="100"/>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a:t>Rate per 100,000 Population</a:t>
                </a:r>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1488896"/>
        <c:crosses val="autoZero"/>
        <c:crossBetween val="between"/>
        <c:majorUnit val="2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'5.14'!$B$4</c:f>
              <c:strCache>
                <c:ptCount val="1"/>
                <c:pt idx="0">
                  <c:v>Male</c:v>
                </c:pt>
              </c:strCache>
            </c:strRef>
          </c:tx>
          <c:spPr>
            <a:solidFill>
              <a:srgbClr val="20386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'5.14'!$A$5:$A$11</c:f>
              <c:strCache>
                <c:ptCount val="7"/>
                <c:pt idx="0">
                  <c:v>Total</c:v>
                </c:pt>
                <c:pt idx="1">
                  <c:v>15-24</c:v>
                </c:pt>
                <c:pt idx="2">
                  <c:v>25-34</c:v>
                </c:pt>
                <c:pt idx="3">
                  <c:v>35-44</c:v>
                </c:pt>
                <c:pt idx="4">
                  <c:v>45-54</c:v>
                </c:pt>
                <c:pt idx="5">
                  <c:v>55-64</c:v>
                </c:pt>
                <c:pt idx="6">
                  <c:v>65-74</c:v>
                </c:pt>
              </c:strCache>
            </c:strRef>
          </c:cat>
          <c:val>
            <c:numRef>
              <c:f>'5.14'!$B$5:$B$11</c:f>
              <c:numCache>
                <c:formatCode>0.0</c:formatCode>
                <c:ptCount val="7"/>
                <c:pt idx="0">
                  <c:v>3.6993736134992279</c:v>
                </c:pt>
                <c:pt idx="1">
                  <c:v>8.6138073028278495</c:v>
                </c:pt>
                <c:pt idx="2">
                  <c:v>8.2262121756599367</c:v>
                </c:pt>
                <c:pt idx="3">
                  <c:v>3.1738126278680281</c:v>
                </c:pt>
                <c:pt idx="4">
                  <c:v>3.327966986567493</c:v>
                </c:pt>
                <c:pt idx="5">
                  <c:v>0.70638263805660007</c:v>
                </c:pt>
                <c:pt idx="6">
                  <c:v>1.3795355103936504</c:v>
                </c:pt>
              </c:numCache>
            </c:numRef>
          </c:val>
          <c:extLst xmlns:c16r2="http://schemas.microsoft.com/office/drawing/2015/06/chart">
            <c:ext xmlns:c16="http://schemas.microsoft.com/office/drawing/2014/chart" uri="{C3380CC4-5D6E-409C-BE32-E72D297353CC}">
              <c16:uniqueId val="{00000003-A24D-450F-A7B6-02A468A6DF37}"/>
            </c:ext>
          </c:extLst>
        </c:ser>
        <c:ser>
          <c:idx val="1"/>
          <c:order val="1"/>
          <c:tx>
            <c:strRef>
              <c:f>'5.14'!$C$4</c:f>
              <c:strCache>
                <c:ptCount val="1"/>
                <c:pt idx="0">
                  <c:v>Total</c:v>
                </c:pt>
              </c:strCache>
            </c:strRef>
          </c:tx>
          <c:spPr>
            <a:pattFill prst="ltUpDiag">
              <a:fgClr>
                <a:srgbClr val="EFF3FF"/>
              </a:fgClr>
              <a:bgClr>
                <a:srgbClr val="08519C"/>
              </a:bgClr>
            </a:patt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'5.14'!$A$5:$A$11</c:f>
              <c:strCache>
                <c:ptCount val="7"/>
                <c:pt idx="0">
                  <c:v>Total</c:v>
                </c:pt>
                <c:pt idx="1">
                  <c:v>15-24</c:v>
                </c:pt>
                <c:pt idx="2">
                  <c:v>25-34</c:v>
                </c:pt>
                <c:pt idx="3">
                  <c:v>35-44</c:v>
                </c:pt>
                <c:pt idx="4">
                  <c:v>45-54</c:v>
                </c:pt>
                <c:pt idx="5">
                  <c:v>55-64</c:v>
                </c:pt>
                <c:pt idx="6">
                  <c:v>65-74</c:v>
                </c:pt>
              </c:strCache>
            </c:strRef>
          </c:cat>
          <c:val>
            <c:numRef>
              <c:f>'5.14'!$C$5:$C$11</c:f>
              <c:numCache>
                <c:formatCode>0.0</c:formatCode>
                <c:ptCount val="7"/>
                <c:pt idx="0">
                  <c:v>2.1792603205024808</c:v>
                </c:pt>
                <c:pt idx="1">
                  <c:v>4.8493128734498017</c:v>
                </c:pt>
                <c:pt idx="2">
                  <c:v>4.6216581649652513</c:v>
                </c:pt>
                <c:pt idx="3">
                  <c:v>2.1486585208634743</c:v>
                </c:pt>
                <c:pt idx="4">
                  <c:v>2.1284984659607482</c:v>
                </c:pt>
                <c:pt idx="5">
                  <c:v>0.45182526109852272</c:v>
                </c:pt>
                <c:pt idx="6">
                  <c:v>0.98402242783917526</c:v>
                </c:pt>
              </c:numCache>
            </c:numRef>
          </c:val>
          <c:extLst xmlns:c16r2="http://schemas.microsoft.com/office/drawing/2015/06/chart">
            <c:ext xmlns:c16="http://schemas.microsoft.com/office/drawing/2014/chart" uri="{C3380CC4-5D6E-409C-BE32-E72D297353CC}">
              <c16:uniqueId val="{00000005-A24D-450F-A7B6-02A468A6DF37}"/>
            </c:ext>
          </c:extLst>
        </c:ser>
        <c:dLbls>
          <c:dLblPos val="outEnd"/>
          <c:showLegendKey val="0"/>
          <c:showVal val="1"/>
          <c:showCatName val="0"/>
          <c:showSerName val="0"/>
          <c:showPercent val="0"/>
          <c:showBubbleSize val="0"/>
        </c:dLbls>
        <c:gapWidth val="108"/>
        <c:overlap val="-16"/>
        <c:axId val="309393280"/>
        <c:axId val="309411840"/>
      </c:barChart>
      <c:catAx>
        <c:axId val="309393280"/>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Age Group (Years)</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9411840"/>
        <c:crosses val="autoZero"/>
        <c:auto val="1"/>
        <c:lblAlgn val="ctr"/>
        <c:lblOffset val="100"/>
        <c:noMultiLvlLbl val="0"/>
      </c:catAx>
      <c:valAx>
        <c:axId val="309411840"/>
        <c:scaling>
          <c:orientation val="minMax"/>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a:t>Rate per 100,000 Population</a:t>
                </a:r>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9393280"/>
        <c:crosses val="autoZero"/>
        <c:crossBetween val="between"/>
        <c:majorUnit val="2"/>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'5.15'!$B$4</c:f>
              <c:strCache>
                <c:ptCount val="1"/>
                <c:pt idx="0">
                  <c:v>Male</c:v>
                </c:pt>
              </c:strCache>
            </c:strRef>
          </c:tx>
          <c:spPr>
            <a:solidFill>
              <a:srgbClr val="203864"/>
            </a:solidFill>
            <a:ln>
              <a:noFill/>
            </a:ln>
            <a:effectLst/>
          </c:spPr>
          <c:invertIfNegative val="0"/>
          <c:dLbls>
            <c:dLbl>
              <c:idx val="4"/>
              <c:tx>
                <c:rich>
                  <a:bodyPr/>
                  <a:lstStyle/>
                  <a:p>
                    <a:r>
                      <a:rPr lang="en-US"/>
                      <a:t>*</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DFB8-415F-A91B-AC19A8D4693E}"/>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'5.15'!$A$5:$A$9</c:f>
              <c:strCache>
                <c:ptCount val="5"/>
                <c:pt idx="0">
                  <c:v>Total</c:v>
                </c:pt>
                <c:pt idx="1">
                  <c:v>White non-Hispanic</c:v>
                </c:pt>
                <c:pt idx="2">
                  <c:v>Black non-Hispanic</c:v>
                </c:pt>
                <c:pt idx="3">
                  <c:v>Hispanic</c:v>
                </c:pt>
                <c:pt idx="4">
                  <c:v>Asian non-Hispanic</c:v>
                </c:pt>
              </c:strCache>
            </c:strRef>
          </c:cat>
          <c:val>
            <c:numRef>
              <c:f>'5.15'!$B$5:$B$9</c:f>
              <c:numCache>
                <c:formatCode>General</c:formatCode>
                <c:ptCount val="5"/>
                <c:pt idx="0">
                  <c:v>3.7</c:v>
                </c:pt>
                <c:pt idx="1">
                  <c:v>1.1000000000000001</c:v>
                </c:pt>
                <c:pt idx="2">
                  <c:v>19.8</c:v>
                </c:pt>
                <c:pt idx="3">
                  <c:v>9.4</c:v>
                </c:pt>
                <c:pt idx="4">
                  <c:v>0</c:v>
                </c:pt>
              </c:numCache>
            </c:numRef>
          </c:val>
          <c:extLst xmlns:c16r2="http://schemas.microsoft.com/office/drawing/2015/06/chart">
            <c:ext xmlns:c16="http://schemas.microsoft.com/office/drawing/2014/chart" uri="{C3380CC4-5D6E-409C-BE32-E72D297353CC}">
              <c16:uniqueId val="{00000003-DFB8-415F-A91B-AC19A8D4693E}"/>
            </c:ext>
          </c:extLst>
        </c:ser>
        <c:ser>
          <c:idx val="1"/>
          <c:order val="1"/>
          <c:tx>
            <c:strRef>
              <c:f>'5.15'!$C$4</c:f>
              <c:strCache>
                <c:ptCount val="1"/>
                <c:pt idx="0">
                  <c:v>Female</c:v>
                </c:pt>
              </c:strCache>
            </c:strRef>
          </c:tx>
          <c:spPr>
            <a:pattFill prst="ltUpDiag">
              <a:fgClr>
                <a:srgbClr val="EFF3FF"/>
              </a:fgClr>
              <a:bgClr>
                <a:srgbClr val="3182BD"/>
              </a:bgClr>
            </a:pattFill>
            <a:ln>
              <a:noFill/>
            </a:ln>
            <a:effectLst/>
          </c:spPr>
          <c:invertIfNegative val="0"/>
          <c:dLbls>
            <c:dLbl>
              <c:idx val="4"/>
              <c:tx>
                <c:rich>
                  <a:bodyPr/>
                  <a:lstStyle/>
                  <a:p>
                    <a:r>
                      <a:rPr lang="en-US"/>
                      <a:t>*</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DFB8-415F-A91B-AC19A8D4693E}"/>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'5.15'!$A$5:$A$9</c:f>
              <c:strCache>
                <c:ptCount val="5"/>
                <c:pt idx="0">
                  <c:v>Total</c:v>
                </c:pt>
                <c:pt idx="1">
                  <c:v>White non-Hispanic</c:v>
                </c:pt>
                <c:pt idx="2">
                  <c:v>Black non-Hispanic</c:v>
                </c:pt>
                <c:pt idx="3">
                  <c:v>Hispanic</c:v>
                </c:pt>
                <c:pt idx="4">
                  <c:v>Asian non-Hispanic</c:v>
                </c:pt>
              </c:strCache>
            </c:strRef>
          </c:cat>
          <c:val>
            <c:numRef>
              <c:f>'5.15'!$C$5:$C$9</c:f>
              <c:numCache>
                <c:formatCode>General</c:formatCode>
                <c:ptCount val="5"/>
                <c:pt idx="0">
                  <c:v>0.7</c:v>
                </c:pt>
                <c:pt idx="1">
                  <c:v>0.4</c:v>
                </c:pt>
                <c:pt idx="2">
                  <c:v>2.4</c:v>
                </c:pt>
                <c:pt idx="3">
                  <c:v>1.6</c:v>
                </c:pt>
                <c:pt idx="4">
                  <c:v>0</c:v>
                </c:pt>
              </c:numCache>
            </c:numRef>
          </c:val>
          <c:extLst xmlns:c16r2="http://schemas.microsoft.com/office/drawing/2015/06/chart">
            <c:ext xmlns:c16="http://schemas.microsoft.com/office/drawing/2014/chart" uri="{C3380CC4-5D6E-409C-BE32-E72D297353CC}">
              <c16:uniqueId val="{00000005-DFB8-415F-A91B-AC19A8D4693E}"/>
            </c:ext>
          </c:extLst>
        </c:ser>
        <c:dLbls>
          <c:dLblPos val="outEnd"/>
          <c:showLegendKey val="0"/>
          <c:showVal val="1"/>
          <c:showCatName val="0"/>
          <c:showSerName val="0"/>
          <c:showPercent val="0"/>
          <c:showBubbleSize val="0"/>
        </c:dLbls>
        <c:gapWidth val="108"/>
        <c:overlap val="-16"/>
        <c:axId val="310202368"/>
        <c:axId val="310203904"/>
      </c:barChart>
      <c:catAx>
        <c:axId val="310202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0203904"/>
        <c:crosses val="autoZero"/>
        <c:auto val="1"/>
        <c:lblAlgn val="ctr"/>
        <c:lblOffset val="100"/>
        <c:noMultiLvlLbl val="0"/>
      </c:catAx>
      <c:valAx>
        <c:axId val="310203904"/>
        <c:scaling>
          <c:orientation val="minMax"/>
          <c:max val="30"/>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a:t>Rate per 100,000 Population</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0202368"/>
        <c:crosses val="autoZero"/>
        <c:crossBetween val="between"/>
        <c:majorUnit val="10"/>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'5.16'!$J$3</c:f>
              <c:strCache>
                <c:ptCount val="1"/>
                <c:pt idx="0">
                  <c:v>Male</c:v>
                </c:pt>
              </c:strCache>
            </c:strRef>
          </c:tx>
          <c:spPr>
            <a:solidFill>
              <a:srgbClr val="20386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'5.16'!$I$4:$I$7</c:f>
              <c:strCache>
                <c:ptCount val="4"/>
                <c:pt idx="0">
                  <c:v>Total</c:v>
                </c:pt>
                <c:pt idx="1">
                  <c:v>White non-Hispanic</c:v>
                </c:pt>
                <c:pt idx="2">
                  <c:v>Black non-Hispanic</c:v>
                </c:pt>
                <c:pt idx="3">
                  <c:v>Hispanic</c:v>
                </c:pt>
              </c:strCache>
            </c:strRef>
          </c:cat>
          <c:val>
            <c:numRef>
              <c:f>'5.16'!$J$4:$J$7</c:f>
              <c:numCache>
                <c:formatCode>0.0</c:formatCode>
                <c:ptCount val="4"/>
                <c:pt idx="0">
                  <c:v>10.761194795280881</c:v>
                </c:pt>
                <c:pt idx="1">
                  <c:v>1.8580832013694675</c:v>
                </c:pt>
                <c:pt idx="2">
                  <c:v>57.715514979799572</c:v>
                </c:pt>
                <c:pt idx="3">
                  <c:v>25.110230924445109</c:v>
                </c:pt>
              </c:numCache>
            </c:numRef>
          </c:val>
          <c:extLst xmlns:c16r2="http://schemas.microsoft.com/office/drawing/2015/06/chart">
            <c:ext xmlns:c16="http://schemas.microsoft.com/office/drawing/2014/chart" uri="{C3380CC4-5D6E-409C-BE32-E72D297353CC}">
              <c16:uniqueId val="{00000003-24D0-4C0D-98DE-762B1F89C65F}"/>
            </c:ext>
          </c:extLst>
        </c:ser>
        <c:ser>
          <c:idx val="1"/>
          <c:order val="1"/>
          <c:tx>
            <c:strRef>
              <c:f>'5.16'!$K$3</c:f>
              <c:strCache>
                <c:ptCount val="1"/>
                <c:pt idx="0">
                  <c:v>Female</c:v>
                </c:pt>
              </c:strCache>
            </c:strRef>
          </c:tx>
          <c:spPr>
            <a:pattFill prst="ltUpDiag">
              <a:fgClr>
                <a:srgbClr val="EFF3FF"/>
              </a:fgClr>
              <a:bgClr>
                <a:srgbClr val="08519C"/>
              </a:bgClr>
            </a:pattFill>
            <a:ln>
              <a:noFill/>
            </a:ln>
            <a:effectLst/>
          </c:spPr>
          <c:invertIfNegative val="0"/>
          <c:dLbls>
            <c:dLbl>
              <c:idx val="1"/>
              <c:tx>
                <c:rich>
                  <a:bodyPr/>
                  <a:lstStyle/>
                  <a:p>
                    <a:r>
                      <a:rPr lang="en-US"/>
                      <a:t>*</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24D0-4C0D-98DE-762B1F89C65F}"/>
                </c:ext>
              </c:extLst>
            </c:dLbl>
            <c:dLbl>
              <c:idx val="2"/>
              <c:tx>
                <c:rich>
                  <a:bodyPr/>
                  <a:lstStyle/>
                  <a:p>
                    <a:r>
                      <a:rPr lang="en-US"/>
                      <a:t>*</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24D0-4C0D-98DE-762B1F89C65F}"/>
                </c:ext>
              </c:extLst>
            </c:dLbl>
            <c:dLbl>
              <c:idx val="3"/>
              <c:tx>
                <c:rich>
                  <a:bodyPr/>
                  <a:lstStyle/>
                  <a:p>
                    <a:r>
                      <a:rPr lang="en-US"/>
                      <a:t>*</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24D0-4C0D-98DE-762B1F89C65F}"/>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'5.16'!$I$4:$I$7</c:f>
              <c:strCache>
                <c:ptCount val="4"/>
                <c:pt idx="0">
                  <c:v>Total</c:v>
                </c:pt>
                <c:pt idx="1">
                  <c:v>White non-Hispanic</c:v>
                </c:pt>
                <c:pt idx="2">
                  <c:v>Black non-Hispanic</c:v>
                </c:pt>
                <c:pt idx="3">
                  <c:v>Hispanic</c:v>
                </c:pt>
              </c:strCache>
            </c:strRef>
          </c:cat>
          <c:val>
            <c:numRef>
              <c:f>'5.16'!$K$4:$K$7</c:f>
              <c:numCache>
                <c:formatCode>0.0</c:formatCode>
                <c:ptCount val="4"/>
                <c:pt idx="0">
                  <c:v>1.6117887928931991</c:v>
                </c:pt>
                <c:pt idx="1">
                  <c:v>0</c:v>
                </c:pt>
                <c:pt idx="2">
                  <c:v>0</c:v>
                </c:pt>
                <c:pt idx="3">
                  <c:v>0</c:v>
                </c:pt>
              </c:numCache>
            </c:numRef>
          </c:val>
          <c:extLst xmlns:c16r2="http://schemas.microsoft.com/office/drawing/2015/06/chart">
            <c:ext xmlns:c16="http://schemas.microsoft.com/office/drawing/2014/chart" uri="{C3380CC4-5D6E-409C-BE32-E72D297353CC}">
              <c16:uniqueId val="{00000005-24D0-4C0D-98DE-762B1F89C65F}"/>
            </c:ext>
          </c:extLst>
        </c:ser>
        <c:dLbls>
          <c:dLblPos val="outEnd"/>
          <c:showLegendKey val="0"/>
          <c:showVal val="1"/>
          <c:showCatName val="0"/>
          <c:showSerName val="0"/>
          <c:showPercent val="0"/>
          <c:showBubbleSize val="0"/>
        </c:dLbls>
        <c:gapWidth val="108"/>
        <c:overlap val="-16"/>
        <c:axId val="310667904"/>
        <c:axId val="310669696"/>
      </c:barChart>
      <c:catAx>
        <c:axId val="310667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0669696"/>
        <c:crosses val="autoZero"/>
        <c:auto val="1"/>
        <c:lblAlgn val="ctr"/>
        <c:lblOffset val="100"/>
        <c:noMultiLvlLbl val="0"/>
      </c:catAx>
      <c:valAx>
        <c:axId val="310669696"/>
        <c:scaling>
          <c:orientation val="minMax"/>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a:t>Rate per 100,000 Population</a:t>
                </a:r>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06679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'5.17'!$A$9</c:f>
              <c:strCache>
                <c:ptCount val="1"/>
                <c:pt idx="0">
                  <c:v>Did not go to school because felt unsafe</c:v>
                </c:pt>
              </c:strCache>
            </c:strRef>
          </c:tx>
          <c:spPr>
            <a:solidFill>
              <a:srgbClr val="203864"/>
            </a:solidFill>
            <a:ln>
              <a:noFill/>
            </a:ln>
            <a:effectLst/>
          </c:spPr>
          <c:invertIfNegative val="0"/>
          <c:dLbls>
            <c:dLbl>
              <c:idx val="0"/>
              <c:layout>
                <c:manualLayout>
                  <c:x val="0"/>
                  <c:y val="-0.10509025763662767"/>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7BC3-47DF-B910-9AF0F6E1E614}"/>
                </c:ext>
              </c:extLst>
            </c:dLbl>
            <c:dLbl>
              <c:idx val="1"/>
              <c:layout>
                <c:manualLayout>
                  <c:x val="0"/>
                  <c:y val="-2.6272564409156839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7BC3-47DF-B910-9AF0F6E1E614}"/>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errBars>
            <c:errBarType val="both"/>
            <c:errValType val="cust"/>
            <c:noEndCap val="0"/>
            <c:plus>
              <c:numRef>
                <c:f>'5.17'!$C$16:$C$17</c:f>
                <c:numCache>
                  <c:formatCode>General</c:formatCode>
                  <c:ptCount val="2"/>
                  <c:pt idx="0">
                    <c:v>6.6</c:v>
                  </c:pt>
                  <c:pt idx="1">
                    <c:v>1</c:v>
                  </c:pt>
                </c:numCache>
              </c:numRef>
            </c:plus>
            <c:minus>
              <c:numRef>
                <c:f>'5.17'!$B$16:$B$17</c:f>
                <c:numCache>
                  <c:formatCode>General</c:formatCode>
                  <c:ptCount val="2"/>
                  <c:pt idx="0">
                    <c:v>4.5999999999999996</c:v>
                  </c:pt>
                  <c:pt idx="1">
                    <c:v>0.89999999999999991</c:v>
                  </c:pt>
                </c:numCache>
              </c:numRef>
            </c:minus>
            <c:spPr>
              <a:noFill/>
              <a:ln w="9525" cap="flat" cmpd="sng" algn="ctr">
                <a:solidFill>
                  <a:schemeClr val="bg1">
                    <a:lumMod val="65000"/>
                  </a:schemeClr>
                </a:solidFill>
                <a:round/>
              </a:ln>
              <a:effectLst/>
            </c:spPr>
          </c:errBars>
          <c:cat>
            <c:strRef>
              <c:f>'5.17'!$B$8:$C$8</c:f>
              <c:strCache>
                <c:ptCount val="2"/>
                <c:pt idx="0">
                  <c:v>Gay, lesbian, or bi-sexual</c:v>
                </c:pt>
                <c:pt idx="1">
                  <c:v>Heterosexual</c:v>
                </c:pt>
              </c:strCache>
            </c:strRef>
          </c:cat>
          <c:val>
            <c:numRef>
              <c:f>'5.17'!$B$9:$C$9</c:f>
              <c:numCache>
                <c:formatCode>0</c:formatCode>
                <c:ptCount val="2"/>
                <c:pt idx="0">
                  <c:v>13.4</c:v>
                </c:pt>
                <c:pt idx="1">
                  <c:v>3.8</c:v>
                </c:pt>
              </c:numCache>
            </c:numRef>
          </c:val>
          <c:extLst xmlns:c16r2="http://schemas.microsoft.com/office/drawing/2015/06/chart">
            <c:ext xmlns:c16="http://schemas.microsoft.com/office/drawing/2014/chart" uri="{C3380CC4-5D6E-409C-BE32-E72D297353CC}">
              <c16:uniqueId val="{00000000-7BC3-47DF-B910-9AF0F6E1E614}"/>
            </c:ext>
          </c:extLst>
        </c:ser>
        <c:ser>
          <c:idx val="1"/>
          <c:order val="1"/>
          <c:tx>
            <c:strRef>
              <c:f>'5.17'!$A$10</c:f>
              <c:strCache>
                <c:ptCount val="1"/>
                <c:pt idx="0">
                  <c:v>Electronically bullied</c:v>
                </c:pt>
              </c:strCache>
            </c:strRef>
          </c:tx>
          <c:spPr>
            <a:pattFill prst="ltUpDiag">
              <a:fgClr>
                <a:srgbClr val="EFF3FF"/>
              </a:fgClr>
              <a:bgClr>
                <a:srgbClr val="08519C"/>
              </a:bgClr>
            </a:pattFill>
            <a:ln>
              <a:noFill/>
            </a:ln>
            <a:effectLst/>
          </c:spPr>
          <c:invertIfNegative val="0"/>
          <c:dLbls>
            <c:dLbl>
              <c:idx val="0"/>
              <c:layout>
                <c:manualLayout>
                  <c:x val="-3.8464446901660381E-17"/>
                  <c:y val="-0.1050902576366277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7BC3-47DF-B910-9AF0F6E1E614}"/>
                </c:ext>
              </c:extLst>
            </c:dLbl>
            <c:dLbl>
              <c:idx val="1"/>
              <c:layout>
                <c:manualLayout>
                  <c:x val="0"/>
                  <c:y val="-3.9408846613735463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7BC3-47DF-B910-9AF0F6E1E614}"/>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errBars>
            <c:errBarType val="both"/>
            <c:errValType val="cust"/>
            <c:noEndCap val="0"/>
            <c:plus>
              <c:numRef>
                <c:f>'5.17'!$E$16:$E$17</c:f>
                <c:numCache>
                  <c:formatCode>General</c:formatCode>
                  <c:ptCount val="2"/>
                  <c:pt idx="0">
                    <c:v>7.4000000000000021</c:v>
                  </c:pt>
                  <c:pt idx="1">
                    <c:v>1.7000000000000011</c:v>
                  </c:pt>
                </c:numCache>
              </c:numRef>
            </c:plus>
            <c:minus>
              <c:numRef>
                <c:f>'5.17'!$D$16:$D$17</c:f>
                <c:numCache>
                  <c:formatCode>General</c:formatCode>
                  <c:ptCount val="2"/>
                  <c:pt idx="0">
                    <c:v>6.3000000000000007</c:v>
                  </c:pt>
                  <c:pt idx="1">
                    <c:v>1.3999999999999986</c:v>
                  </c:pt>
                </c:numCache>
              </c:numRef>
            </c:minus>
            <c:spPr>
              <a:noFill/>
              <a:ln w="9525" cap="flat" cmpd="sng" algn="ctr">
                <a:solidFill>
                  <a:schemeClr val="bg1">
                    <a:lumMod val="65000"/>
                  </a:schemeClr>
                </a:solidFill>
                <a:round/>
              </a:ln>
              <a:effectLst/>
            </c:spPr>
          </c:errBars>
          <c:cat>
            <c:strRef>
              <c:f>'5.17'!$B$8:$C$8</c:f>
              <c:strCache>
                <c:ptCount val="2"/>
                <c:pt idx="0">
                  <c:v>Gay, lesbian, or bi-sexual</c:v>
                </c:pt>
                <c:pt idx="1">
                  <c:v>Heterosexual</c:v>
                </c:pt>
              </c:strCache>
            </c:strRef>
          </c:cat>
          <c:val>
            <c:numRef>
              <c:f>'5.17'!$B$10:$C$10</c:f>
              <c:numCache>
                <c:formatCode>0</c:formatCode>
                <c:ptCount val="2"/>
                <c:pt idx="0">
                  <c:v>26.8</c:v>
                </c:pt>
                <c:pt idx="1">
                  <c:v>11.7</c:v>
                </c:pt>
              </c:numCache>
            </c:numRef>
          </c:val>
          <c:extLst xmlns:c16r2="http://schemas.microsoft.com/office/drawing/2015/06/chart">
            <c:ext xmlns:c16="http://schemas.microsoft.com/office/drawing/2014/chart" uri="{C3380CC4-5D6E-409C-BE32-E72D297353CC}">
              <c16:uniqueId val="{00000001-7BC3-47DF-B910-9AF0F6E1E614}"/>
            </c:ext>
          </c:extLst>
        </c:ser>
        <c:ser>
          <c:idx val="2"/>
          <c:order val="2"/>
          <c:tx>
            <c:strRef>
              <c:f>'5.17'!$A$11</c:f>
              <c:strCache>
                <c:ptCount val="1"/>
                <c:pt idx="0">
                  <c:v>Bullied on school property</c:v>
                </c:pt>
              </c:strCache>
            </c:strRef>
          </c:tx>
          <c:spPr>
            <a:solidFill>
              <a:srgbClr val="3182BD"/>
            </a:solidFill>
            <a:ln>
              <a:noFill/>
            </a:ln>
            <a:effectLst/>
          </c:spPr>
          <c:invertIfNegative val="0"/>
          <c:dLbls>
            <c:dLbl>
              <c:idx val="0"/>
              <c:layout>
                <c:manualLayout>
                  <c:x val="0"/>
                  <c:y val="-0.11822653984120614"/>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7BC3-47DF-B910-9AF0F6E1E614}"/>
                </c:ext>
              </c:extLst>
            </c:dLbl>
            <c:dLbl>
              <c:idx val="1"/>
              <c:layout>
                <c:manualLayout>
                  <c:x val="0"/>
                  <c:y val="-3.0651325144016486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7BC3-47DF-B910-9AF0F6E1E614}"/>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errBars>
            <c:errBarType val="both"/>
            <c:errValType val="cust"/>
            <c:noEndCap val="0"/>
            <c:plus>
              <c:numRef>
                <c:f>'5.17'!$G$16:$G$17</c:f>
                <c:numCache>
                  <c:formatCode>General</c:formatCode>
                  <c:ptCount val="2"/>
                  <c:pt idx="0">
                    <c:v>7.9000000000000057</c:v>
                  </c:pt>
                  <c:pt idx="1">
                    <c:v>1.6999999999999993</c:v>
                  </c:pt>
                </c:numCache>
              </c:numRef>
            </c:plus>
            <c:minus>
              <c:numRef>
                <c:f>'5.17'!$F$16:$F$17</c:f>
                <c:numCache>
                  <c:formatCode>General</c:formatCode>
                  <c:ptCount val="2"/>
                  <c:pt idx="0">
                    <c:v>7.0999999999999979</c:v>
                  </c:pt>
                  <c:pt idx="1">
                    <c:v>1.5</c:v>
                  </c:pt>
                </c:numCache>
              </c:numRef>
            </c:minus>
            <c:spPr>
              <a:noFill/>
              <a:ln w="9525" cap="flat" cmpd="sng" algn="ctr">
                <a:solidFill>
                  <a:schemeClr val="bg1">
                    <a:lumMod val="65000"/>
                  </a:schemeClr>
                </a:solidFill>
                <a:round/>
              </a:ln>
              <a:effectLst/>
            </c:spPr>
          </c:errBars>
          <c:cat>
            <c:strRef>
              <c:f>'5.17'!$B$8:$C$8</c:f>
              <c:strCache>
                <c:ptCount val="2"/>
                <c:pt idx="0">
                  <c:v>Gay, lesbian, or bi-sexual</c:v>
                </c:pt>
                <c:pt idx="1">
                  <c:v>Heterosexual</c:v>
                </c:pt>
              </c:strCache>
            </c:strRef>
          </c:cat>
          <c:val>
            <c:numRef>
              <c:f>'5.17'!$B$11:$C$11</c:f>
              <c:numCache>
                <c:formatCode>0</c:formatCode>
                <c:ptCount val="2"/>
                <c:pt idx="0">
                  <c:v>34.299999999999997</c:v>
                </c:pt>
                <c:pt idx="1">
                  <c:v>13.8</c:v>
                </c:pt>
              </c:numCache>
            </c:numRef>
          </c:val>
          <c:extLst xmlns:c16r2="http://schemas.microsoft.com/office/drawing/2015/06/chart">
            <c:ext xmlns:c16="http://schemas.microsoft.com/office/drawing/2014/chart" uri="{C3380CC4-5D6E-409C-BE32-E72D297353CC}">
              <c16:uniqueId val="{00000002-7BC3-47DF-B910-9AF0F6E1E614}"/>
            </c:ext>
          </c:extLst>
        </c:ser>
        <c:dLbls>
          <c:dLblPos val="outEnd"/>
          <c:showLegendKey val="0"/>
          <c:showVal val="1"/>
          <c:showCatName val="0"/>
          <c:showSerName val="0"/>
          <c:showPercent val="0"/>
          <c:showBubbleSize val="0"/>
        </c:dLbls>
        <c:gapWidth val="219"/>
        <c:overlap val="-27"/>
        <c:axId val="311539200"/>
        <c:axId val="311540736"/>
      </c:barChart>
      <c:catAx>
        <c:axId val="311539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1540736"/>
        <c:crosses val="autoZero"/>
        <c:auto val="1"/>
        <c:lblAlgn val="ctr"/>
        <c:lblOffset val="100"/>
        <c:noMultiLvlLbl val="0"/>
      </c:catAx>
      <c:valAx>
        <c:axId val="311540736"/>
        <c:scaling>
          <c:orientation val="minMax"/>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Percent of Youth</a:t>
                </a:r>
              </a:p>
            </c:rich>
          </c:tx>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1539200"/>
        <c:crosses val="autoZero"/>
        <c:crossBetween val="between"/>
        <c:majorUnit val="1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'5.18'!$B$15</c:f>
              <c:strCache>
                <c:ptCount val="1"/>
                <c:pt idx="0">
                  <c:v>With a disability</c:v>
                </c:pt>
              </c:strCache>
            </c:strRef>
          </c:tx>
          <c:spPr>
            <a:solidFill>
              <a:srgbClr val="203864"/>
            </a:solidFill>
            <a:ln>
              <a:noFill/>
            </a:ln>
            <a:effectLst/>
          </c:spPr>
          <c:invertIfNegative val="0"/>
          <c:dLbls>
            <c:dLbl>
              <c:idx val="0"/>
              <c:layout>
                <c:manualLayout>
                  <c:x val="0"/>
                  <c:y val="-8.700379151562318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E43C-4741-82CA-1606ABCD0B01}"/>
                </c:ext>
              </c:extLst>
            </c:dLbl>
            <c:dLbl>
              <c:idx val="1"/>
              <c:layout>
                <c:manualLayout>
                  <c:x val="0"/>
                  <c:y val="-6.0902654060936222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E43C-4741-82CA-1606ABCD0B01}"/>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errBars>
            <c:errBarType val="both"/>
            <c:errValType val="cust"/>
            <c:noEndCap val="0"/>
            <c:plus>
              <c:numRef>
                <c:f>'5.18'!$C$23:$C$24</c:f>
                <c:numCache>
                  <c:formatCode>General</c:formatCode>
                  <c:ptCount val="2"/>
                  <c:pt idx="0">
                    <c:v>2.9672970000000021</c:v>
                  </c:pt>
                  <c:pt idx="1">
                    <c:v>2.1125179999999997</c:v>
                  </c:pt>
                </c:numCache>
              </c:numRef>
            </c:plus>
            <c:minus>
              <c:numRef>
                <c:f>'5.18'!$B$23:$B$24</c:f>
                <c:numCache>
                  <c:formatCode>General</c:formatCode>
                  <c:ptCount val="2"/>
                  <c:pt idx="0">
                    <c:v>2.9672369999999972</c:v>
                  </c:pt>
                  <c:pt idx="1">
                    <c:v>2.1124259999999997</c:v>
                  </c:pt>
                </c:numCache>
              </c:numRef>
            </c:minus>
            <c:spPr>
              <a:noFill/>
              <a:ln w="9525" cap="flat" cmpd="sng" algn="ctr">
                <a:solidFill>
                  <a:sysClr val="window" lastClr="FFFFFF">
                    <a:lumMod val="65000"/>
                  </a:sysClr>
                </a:solidFill>
                <a:round/>
              </a:ln>
              <a:effectLst/>
            </c:spPr>
          </c:errBars>
          <c:cat>
            <c:strRef>
              <c:f>'5.18'!$A$16:$A$17</c:f>
              <c:strCache>
                <c:ptCount val="2"/>
                <c:pt idx="0">
                  <c:v>Any Lifetime Sexual Violence Victimization</c:v>
                </c:pt>
                <c:pt idx="1">
                  <c:v>Any Past Year Sexual Violence Victimization</c:v>
                </c:pt>
              </c:strCache>
            </c:strRef>
          </c:cat>
          <c:val>
            <c:numRef>
              <c:f>'5.18'!$B$16:$B$17</c:f>
              <c:numCache>
                <c:formatCode>0.0</c:formatCode>
                <c:ptCount val="2"/>
                <c:pt idx="0">
                  <c:v>20.259799999999998</c:v>
                </c:pt>
                <c:pt idx="1">
                  <c:v>4.6860999999999997</c:v>
                </c:pt>
              </c:numCache>
            </c:numRef>
          </c:val>
          <c:extLst xmlns:c16r2="http://schemas.microsoft.com/office/drawing/2015/06/chart">
            <c:ext xmlns:c16="http://schemas.microsoft.com/office/drawing/2014/chart" uri="{C3380CC4-5D6E-409C-BE32-E72D297353CC}">
              <c16:uniqueId val="{00000003-E43C-4741-82CA-1606ABCD0B01}"/>
            </c:ext>
          </c:extLst>
        </c:ser>
        <c:ser>
          <c:idx val="1"/>
          <c:order val="1"/>
          <c:tx>
            <c:strRef>
              <c:f>'5.18'!$C$15</c:f>
              <c:strCache>
                <c:ptCount val="1"/>
                <c:pt idx="0">
                  <c:v>Without a disability</c:v>
                </c:pt>
              </c:strCache>
            </c:strRef>
          </c:tx>
          <c:spPr>
            <a:pattFill prst="ltUpDiag">
              <a:fgClr>
                <a:srgbClr val="EFF3FF"/>
              </a:fgClr>
              <a:bgClr>
                <a:srgbClr val="08519C"/>
              </a:bgClr>
            </a:pattFill>
            <a:ln>
              <a:noFill/>
            </a:ln>
            <a:effectLst/>
          </c:spPr>
          <c:invertIfNegative val="0"/>
          <c:dLbls>
            <c:dLbl>
              <c:idx val="0"/>
              <c:layout>
                <c:manualLayout>
                  <c:x val="0"/>
                  <c:y val="-5.2202274909373902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E43C-4741-82CA-1606ABCD0B01}"/>
                </c:ext>
              </c:extLst>
            </c:dLbl>
            <c:dLbl>
              <c:idx val="1"/>
              <c:layout>
                <c:manualLayout>
                  <c:x val="0"/>
                  <c:y val="-3.0451327030468111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E43C-4741-82CA-1606ABCD0B01}"/>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errBars>
            <c:errBarType val="both"/>
            <c:errValType val="cust"/>
            <c:noEndCap val="0"/>
            <c:plus>
              <c:numRef>
                <c:f>'5.18'!$E$23:$E$24</c:f>
                <c:numCache>
                  <c:formatCode>General</c:formatCode>
                  <c:ptCount val="2"/>
                  <c:pt idx="0">
                    <c:v>1.1992829999999994</c:v>
                  </c:pt>
                  <c:pt idx="1">
                    <c:v>0.8727100000000001</c:v>
                  </c:pt>
                </c:numCache>
              </c:numRef>
            </c:plus>
            <c:minus>
              <c:numRef>
                <c:f>'5.18'!$D$23:$D$24</c:f>
                <c:numCache>
                  <c:formatCode>General</c:formatCode>
                  <c:ptCount val="2"/>
                  <c:pt idx="0">
                    <c:v>1.1993689999999999</c:v>
                  </c:pt>
                  <c:pt idx="1">
                    <c:v>0.87262199999999979</c:v>
                  </c:pt>
                </c:numCache>
              </c:numRef>
            </c:minus>
            <c:spPr>
              <a:noFill/>
              <a:ln w="9525" cap="flat" cmpd="sng" algn="ctr">
                <a:solidFill>
                  <a:sysClr val="window" lastClr="FFFFFF">
                    <a:lumMod val="65000"/>
                  </a:sysClr>
                </a:solidFill>
                <a:round/>
              </a:ln>
              <a:effectLst/>
            </c:spPr>
          </c:errBars>
          <c:cat>
            <c:strRef>
              <c:f>'5.18'!$A$16:$A$17</c:f>
              <c:strCache>
                <c:ptCount val="2"/>
                <c:pt idx="0">
                  <c:v>Any Lifetime Sexual Violence Victimization</c:v>
                </c:pt>
                <c:pt idx="1">
                  <c:v>Any Past Year Sexual Violence Victimization</c:v>
                </c:pt>
              </c:strCache>
            </c:strRef>
          </c:cat>
          <c:val>
            <c:numRef>
              <c:f>'5.18'!$C$16:$C$17</c:f>
              <c:numCache>
                <c:formatCode>0.0</c:formatCode>
                <c:ptCount val="2"/>
                <c:pt idx="0">
                  <c:v>8.8850999999999996</c:v>
                </c:pt>
                <c:pt idx="1">
                  <c:v>2.9897</c:v>
                </c:pt>
              </c:numCache>
            </c:numRef>
          </c:val>
          <c:extLst xmlns:c16r2="http://schemas.microsoft.com/office/drawing/2015/06/chart">
            <c:ext xmlns:c16="http://schemas.microsoft.com/office/drawing/2014/chart" uri="{C3380CC4-5D6E-409C-BE32-E72D297353CC}">
              <c16:uniqueId val="{00000005-E43C-4741-82CA-1606ABCD0B01}"/>
            </c:ext>
          </c:extLst>
        </c:ser>
        <c:dLbls>
          <c:dLblPos val="outEnd"/>
          <c:showLegendKey val="0"/>
          <c:showVal val="1"/>
          <c:showCatName val="0"/>
          <c:showSerName val="0"/>
          <c:showPercent val="0"/>
          <c:showBubbleSize val="0"/>
        </c:dLbls>
        <c:gapWidth val="108"/>
        <c:overlap val="-16"/>
        <c:axId val="312062720"/>
        <c:axId val="312064256"/>
      </c:barChart>
      <c:catAx>
        <c:axId val="312062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2064256"/>
        <c:crosses val="autoZero"/>
        <c:auto val="1"/>
        <c:lblAlgn val="ctr"/>
        <c:lblOffset val="100"/>
        <c:noMultiLvlLbl val="0"/>
      </c:catAx>
      <c:valAx>
        <c:axId val="312064256"/>
        <c:scaling>
          <c:orientation val="minMax"/>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a:t>Percent Adults</a:t>
                </a:r>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20627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'5.19'!$L$13</c:f>
              <c:strCache>
                <c:ptCount val="1"/>
                <c:pt idx="0">
                  <c:v>Female</c:v>
                </c:pt>
              </c:strCache>
            </c:strRef>
          </c:tx>
          <c:spPr>
            <a:pattFill prst="ltUpDiag">
              <a:fgClr>
                <a:srgbClr val="EFF3FF"/>
              </a:fgClr>
              <a:bgClr>
                <a:srgbClr val="08519C"/>
              </a:bgClr>
            </a:pattFill>
            <a:ln>
              <a:noFill/>
            </a:ln>
            <a:effectLst/>
          </c:spPr>
          <c:invertIfNegative val="0"/>
          <c:dLbls>
            <c:dLbl>
              <c:idx val="0"/>
              <c:layout>
                <c:manualLayout>
                  <c:x val="-4.6283668757083197E-17"/>
                  <c:y val="-7.80400544163809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5C9A-4060-875A-9C14B5B53DD6}"/>
                </c:ext>
              </c:extLst>
            </c:dLbl>
            <c:dLbl>
              <c:idx val="1"/>
              <c:layout>
                <c:manualLayout>
                  <c:x val="-9.2567337514166393E-17"/>
                  <c:y val="-3.9020027208190533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5C9A-4060-875A-9C14B5B53DD6}"/>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errBars>
            <c:errBarType val="both"/>
            <c:errValType val="cust"/>
            <c:noEndCap val="0"/>
            <c:plus>
              <c:numRef>
                <c:f>'5.19'!$V$15:$V$16</c:f>
                <c:numCache>
                  <c:formatCode>General</c:formatCode>
                  <c:ptCount val="2"/>
                  <c:pt idx="0">
                    <c:v>1.7423350000000006</c:v>
                  </c:pt>
                  <c:pt idx="1">
                    <c:v>1.0863670000000005</c:v>
                  </c:pt>
                </c:numCache>
              </c:numRef>
            </c:plus>
            <c:minus>
              <c:numRef>
                <c:f>'5.19'!$U$15:$U$16</c:f>
                <c:numCache>
                  <c:formatCode>General</c:formatCode>
                  <c:ptCount val="2"/>
                  <c:pt idx="0">
                    <c:v>1.7423180000000027</c:v>
                  </c:pt>
                  <c:pt idx="1">
                    <c:v>1.0863849999999999</c:v>
                  </c:pt>
                </c:numCache>
              </c:numRef>
            </c:minus>
            <c:spPr>
              <a:noFill/>
              <a:ln w="9525" cap="flat" cmpd="sng" algn="ctr">
                <a:solidFill>
                  <a:schemeClr val="tx1">
                    <a:lumMod val="65000"/>
                    <a:lumOff val="35000"/>
                  </a:schemeClr>
                </a:solidFill>
                <a:round/>
              </a:ln>
              <a:effectLst/>
            </c:spPr>
          </c:errBars>
          <c:cat>
            <c:strRef>
              <c:f>'5.19'!$K$14:$K$15</c:f>
              <c:strCache>
                <c:ptCount val="2"/>
                <c:pt idx="0">
                  <c:v>Any Lifetime Sexual Violence Victimization</c:v>
                </c:pt>
                <c:pt idx="1">
                  <c:v>Any Past Year Sexual Violence Victimization</c:v>
                </c:pt>
              </c:strCache>
            </c:strRef>
          </c:cat>
          <c:val>
            <c:numRef>
              <c:f>'5.19'!$L$14:$L$15</c:f>
              <c:numCache>
                <c:formatCode>0.0</c:formatCode>
                <c:ptCount val="2"/>
                <c:pt idx="0">
                  <c:v>16.596800000000002</c:v>
                </c:pt>
                <c:pt idx="1">
                  <c:v>3.6332999999999998</c:v>
                </c:pt>
              </c:numCache>
            </c:numRef>
          </c:val>
          <c:extLst xmlns:c16r2="http://schemas.microsoft.com/office/drawing/2015/06/chart">
            <c:ext xmlns:c16="http://schemas.microsoft.com/office/drawing/2014/chart" uri="{C3380CC4-5D6E-409C-BE32-E72D297353CC}">
              <c16:uniqueId val="{00000003-5C9A-4060-875A-9C14B5B53DD6}"/>
            </c:ext>
          </c:extLst>
        </c:ser>
        <c:ser>
          <c:idx val="1"/>
          <c:order val="1"/>
          <c:tx>
            <c:strRef>
              <c:f>'5.19'!$M$13</c:f>
              <c:strCache>
                <c:ptCount val="1"/>
                <c:pt idx="0">
                  <c:v>Male</c:v>
                </c:pt>
              </c:strCache>
            </c:strRef>
          </c:tx>
          <c:spPr>
            <a:solidFill>
              <a:srgbClr val="203864"/>
            </a:solidFill>
            <a:ln>
              <a:noFill/>
            </a:ln>
            <a:effectLst/>
          </c:spPr>
          <c:invertIfNegative val="0"/>
          <c:dLbls>
            <c:dLbl>
              <c:idx val="0"/>
              <c:layout>
                <c:manualLayout>
                  <c:x val="4.6283668757083197E-17"/>
                  <c:y val="-4.335558578687828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5C9A-4060-875A-9C14B5B53DD6}"/>
                </c:ext>
              </c:extLst>
            </c:dLbl>
            <c:dLbl>
              <c:idx val="1"/>
              <c:layout>
                <c:manualLayout>
                  <c:x val="0"/>
                  <c:y val="-4.335558578687828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5C9A-4060-875A-9C14B5B53DD6}"/>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errBars>
            <c:errBarType val="both"/>
            <c:errValType val="cust"/>
            <c:noEndCap val="0"/>
            <c:plus>
              <c:numRef>
                <c:f>'5.19'!$X$15:$X$16</c:f>
                <c:numCache>
                  <c:formatCode>General</c:formatCode>
                  <c:ptCount val="2"/>
                  <c:pt idx="0">
                    <c:v>1.4670520000000007</c:v>
                  </c:pt>
                  <c:pt idx="1">
                    <c:v>1.2502089999999995</c:v>
                  </c:pt>
                </c:numCache>
              </c:numRef>
            </c:plus>
            <c:minus>
              <c:numRef>
                <c:f>'5.19'!$W$15:$W$16</c:f>
                <c:numCache>
                  <c:formatCode>General</c:formatCode>
                  <c:ptCount val="2"/>
                  <c:pt idx="0">
                    <c:v>1.4670939999999995</c:v>
                  </c:pt>
                  <c:pt idx="1">
                    <c:v>1.2501580000000001</c:v>
                  </c:pt>
                </c:numCache>
              </c:numRef>
            </c:minus>
            <c:spPr>
              <a:noFill/>
              <a:ln w="9525" cap="flat" cmpd="sng" algn="ctr">
                <a:solidFill>
                  <a:schemeClr val="tx1">
                    <a:lumMod val="65000"/>
                    <a:lumOff val="35000"/>
                  </a:schemeClr>
                </a:solidFill>
                <a:round/>
              </a:ln>
              <a:effectLst/>
            </c:spPr>
          </c:errBars>
          <c:cat>
            <c:strRef>
              <c:f>'5.19'!$K$14:$K$15</c:f>
              <c:strCache>
                <c:ptCount val="2"/>
                <c:pt idx="0">
                  <c:v>Any Lifetime Sexual Violence Victimization</c:v>
                </c:pt>
                <c:pt idx="1">
                  <c:v>Any Past Year Sexual Violence Victimization</c:v>
                </c:pt>
              </c:strCache>
            </c:strRef>
          </c:cat>
          <c:val>
            <c:numRef>
              <c:f>'5.19'!$M$14:$M$15</c:f>
              <c:numCache>
                <c:formatCode>0.0</c:formatCode>
                <c:ptCount val="2"/>
                <c:pt idx="0">
                  <c:v>6.0274999999999999</c:v>
                </c:pt>
                <c:pt idx="1">
                  <c:v>3.0798000000000001</c:v>
                </c:pt>
              </c:numCache>
            </c:numRef>
          </c:val>
          <c:extLst xmlns:c16r2="http://schemas.microsoft.com/office/drawing/2015/06/chart">
            <c:ext xmlns:c16="http://schemas.microsoft.com/office/drawing/2014/chart" uri="{C3380CC4-5D6E-409C-BE32-E72D297353CC}">
              <c16:uniqueId val="{00000005-5C9A-4060-875A-9C14B5B53DD6}"/>
            </c:ext>
          </c:extLst>
        </c:ser>
        <c:dLbls>
          <c:dLblPos val="outEnd"/>
          <c:showLegendKey val="0"/>
          <c:showVal val="1"/>
          <c:showCatName val="0"/>
          <c:showSerName val="0"/>
          <c:showPercent val="0"/>
          <c:showBubbleSize val="0"/>
        </c:dLbls>
        <c:gapWidth val="108"/>
        <c:overlap val="-16"/>
        <c:axId val="314712064"/>
        <c:axId val="314713600"/>
      </c:barChart>
      <c:catAx>
        <c:axId val="314712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4713600"/>
        <c:crosses val="autoZero"/>
        <c:auto val="1"/>
        <c:lblAlgn val="ctr"/>
        <c:lblOffset val="100"/>
        <c:noMultiLvlLbl val="0"/>
      </c:catAx>
      <c:valAx>
        <c:axId val="314713600"/>
        <c:scaling>
          <c:orientation val="minMax"/>
          <c:max val="20"/>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a:t>Percent of Adults</a:t>
                </a:r>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4712064"/>
        <c:crosses val="autoZero"/>
        <c:crossBetween val="between"/>
        <c:majorUnit val="5"/>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9472049290052558"/>
          <c:y val="3.6169333583265066E-2"/>
          <c:w val="0.55167049553104308"/>
          <c:h val="0.74261104788022336"/>
        </c:manualLayout>
      </c:layout>
      <c:barChart>
        <c:barDir val="bar"/>
        <c:grouping val="clustered"/>
        <c:varyColors val="0"/>
        <c:ser>
          <c:idx val="0"/>
          <c:order val="0"/>
          <c:tx>
            <c:strRef>
              <c:f>'5.2'!$B$3</c:f>
              <c:strCache>
                <c:ptCount val="1"/>
                <c:pt idx="0">
                  <c:v>Middle School</c:v>
                </c:pt>
              </c:strCache>
            </c:strRef>
          </c:tx>
          <c:spPr>
            <a:solidFill>
              <a:srgbClr val="203864"/>
            </a:solidFill>
            <a:ln>
              <a:noFill/>
            </a:ln>
            <a:effectLst/>
          </c:spPr>
          <c:invertIfNegative val="0"/>
          <c:dLbls>
            <c:dLbl>
              <c:idx val="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ABAF-4E47-B726-5A0615F22B94}"/>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'5.2'!$A$4:$A$9</c:f>
              <c:strCache>
                <c:ptCount val="6"/>
                <c:pt idx="0">
                  <c:v>Male</c:v>
                </c:pt>
                <c:pt idx="1">
                  <c:v>Female</c:v>
                </c:pt>
                <c:pt idx="3">
                  <c:v>White non-Hispanic</c:v>
                </c:pt>
                <c:pt idx="4">
                  <c:v>Black non-Hispanic</c:v>
                </c:pt>
                <c:pt idx="5">
                  <c:v>Hispanic</c:v>
                </c:pt>
              </c:strCache>
            </c:strRef>
          </c:cat>
          <c:val>
            <c:numRef>
              <c:f>'5.2'!$B$4:$B$9</c:f>
              <c:numCache>
                <c:formatCode>0</c:formatCode>
                <c:ptCount val="6"/>
                <c:pt idx="0">
                  <c:v>23.406500000000001</c:v>
                </c:pt>
                <c:pt idx="1">
                  <c:v>14.8043</c:v>
                </c:pt>
                <c:pt idx="2">
                  <c:v>0</c:v>
                </c:pt>
                <c:pt idx="3">
                  <c:v>19.012599999999999</c:v>
                </c:pt>
                <c:pt idx="4">
                  <c:v>20.178100000000001</c:v>
                </c:pt>
                <c:pt idx="5">
                  <c:v>20.7943</c:v>
                </c:pt>
              </c:numCache>
            </c:numRef>
          </c:val>
          <c:extLst xmlns:c16r2="http://schemas.microsoft.com/office/drawing/2015/06/chart">
            <c:ext xmlns:c16="http://schemas.microsoft.com/office/drawing/2014/chart" uri="{C3380CC4-5D6E-409C-BE32-E72D297353CC}">
              <c16:uniqueId val="{00000000-ABAF-4E47-B726-5A0615F22B94}"/>
            </c:ext>
          </c:extLst>
        </c:ser>
        <c:ser>
          <c:idx val="1"/>
          <c:order val="1"/>
          <c:tx>
            <c:strRef>
              <c:f>'5.2'!$C$3</c:f>
              <c:strCache>
                <c:ptCount val="1"/>
                <c:pt idx="0">
                  <c:v>High School</c:v>
                </c:pt>
              </c:strCache>
            </c:strRef>
          </c:tx>
          <c:spPr>
            <a:pattFill prst="ltUpDiag">
              <a:fgClr>
                <a:srgbClr val="EFF3FF"/>
              </a:fgClr>
              <a:bgClr>
                <a:srgbClr val="08519C"/>
              </a:bgClr>
            </a:pattFill>
            <a:ln>
              <a:noFill/>
            </a:ln>
            <a:effectLst/>
          </c:spPr>
          <c:invertIfNegative val="0"/>
          <c:dLbls>
            <c:dLbl>
              <c:idx val="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ABAF-4E47-B726-5A0615F22B94}"/>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'5.2'!$A$4:$A$9</c:f>
              <c:strCache>
                <c:ptCount val="6"/>
                <c:pt idx="0">
                  <c:v>Male</c:v>
                </c:pt>
                <c:pt idx="1">
                  <c:v>Female</c:v>
                </c:pt>
                <c:pt idx="3">
                  <c:v>White non-Hispanic</c:v>
                </c:pt>
                <c:pt idx="4">
                  <c:v>Black non-Hispanic</c:v>
                </c:pt>
                <c:pt idx="5">
                  <c:v>Hispanic</c:v>
                </c:pt>
              </c:strCache>
            </c:strRef>
          </c:cat>
          <c:val>
            <c:numRef>
              <c:f>'5.2'!$C$4:$C$9</c:f>
              <c:numCache>
                <c:formatCode>0</c:formatCode>
                <c:ptCount val="6"/>
                <c:pt idx="0">
                  <c:v>17.5275</c:v>
                </c:pt>
                <c:pt idx="1">
                  <c:v>10.199299999999999</c:v>
                </c:pt>
                <c:pt idx="2">
                  <c:v>0</c:v>
                </c:pt>
                <c:pt idx="3">
                  <c:v>15.139799999999999</c:v>
                </c:pt>
                <c:pt idx="4">
                  <c:v>12.797499999999999</c:v>
                </c:pt>
                <c:pt idx="5">
                  <c:v>9.5358999999999998</c:v>
                </c:pt>
              </c:numCache>
            </c:numRef>
          </c:val>
          <c:extLst xmlns:c16r2="http://schemas.microsoft.com/office/drawing/2015/06/chart">
            <c:ext xmlns:c16="http://schemas.microsoft.com/office/drawing/2014/chart" uri="{C3380CC4-5D6E-409C-BE32-E72D297353CC}">
              <c16:uniqueId val="{00000001-ABAF-4E47-B726-5A0615F22B94}"/>
            </c:ext>
          </c:extLst>
        </c:ser>
        <c:dLbls>
          <c:dLblPos val="outEnd"/>
          <c:showLegendKey val="0"/>
          <c:showVal val="1"/>
          <c:showCatName val="0"/>
          <c:showSerName val="0"/>
          <c:showPercent val="0"/>
          <c:showBubbleSize val="0"/>
        </c:dLbls>
        <c:gapWidth val="47"/>
        <c:overlap val="-12"/>
        <c:axId val="126856576"/>
        <c:axId val="126858368"/>
      </c:barChart>
      <c:catAx>
        <c:axId val="12685657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6858368"/>
        <c:crosses val="autoZero"/>
        <c:auto val="1"/>
        <c:lblAlgn val="ctr"/>
        <c:lblOffset val="100"/>
        <c:noMultiLvlLbl val="0"/>
      </c:catAx>
      <c:valAx>
        <c:axId val="126858368"/>
        <c:scaling>
          <c:orientation val="minMax"/>
          <c:max val="30"/>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Percent of Youth</a:t>
                </a:r>
              </a:p>
            </c:rich>
          </c:tx>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6856576"/>
        <c:crosses val="max"/>
        <c:crossBetween val="between"/>
        <c:majorUnit val="1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userShapes r:id="rId3"/>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561238483215726"/>
          <c:y val="4.3073890993764304E-2"/>
          <c:w val="0.4986271564954583"/>
          <c:h val="0.82301224938827056"/>
        </c:manualLayout>
      </c:layout>
      <c:barChart>
        <c:barDir val="bar"/>
        <c:grouping val="clustered"/>
        <c:varyColors val="0"/>
        <c:ser>
          <c:idx val="0"/>
          <c:order val="0"/>
          <c:spPr>
            <a:solidFill>
              <a:srgbClr val="203864"/>
            </a:solidFill>
            <a:ln>
              <a:noFill/>
            </a:ln>
            <a:effectLst/>
          </c:spPr>
          <c:invertIfNegative val="0"/>
          <c:dPt>
            <c:idx val="1"/>
            <c:invertIfNegative val="0"/>
            <c:bubble3D val="0"/>
            <c:spPr>
              <a:pattFill prst="ltUpDiag">
                <a:fgClr>
                  <a:srgbClr val="EFF3FF"/>
                </a:fgClr>
                <a:bgClr>
                  <a:srgbClr val="08519C"/>
                </a:bgClr>
              </a:pattFill>
              <a:ln>
                <a:noFill/>
              </a:ln>
              <a:effectLst/>
            </c:spPr>
            <c:extLst xmlns:c16r2="http://schemas.microsoft.com/office/drawing/2015/06/chart">
              <c:ext xmlns:c16="http://schemas.microsoft.com/office/drawing/2014/chart" uri="{C3380CC4-5D6E-409C-BE32-E72D297353CC}">
                <c16:uniqueId val="{00000001-CF8A-405D-9E52-ACAB16135988}"/>
              </c:ext>
            </c:extLst>
          </c:dPt>
          <c:dPt>
            <c:idx val="4"/>
            <c:invertIfNegative val="0"/>
            <c:bubble3D val="0"/>
            <c:spPr>
              <a:pattFill prst="ltDnDiag">
                <a:fgClr>
                  <a:srgbClr val="EFF3FF"/>
                </a:fgClr>
                <a:bgClr>
                  <a:srgbClr val="08519C"/>
                </a:bgClr>
              </a:pattFill>
              <a:ln>
                <a:noFill/>
              </a:ln>
              <a:effectLst/>
            </c:spPr>
            <c:extLst xmlns:c16r2="http://schemas.microsoft.com/office/drawing/2015/06/chart">
              <c:ext xmlns:c16="http://schemas.microsoft.com/office/drawing/2014/chart" uri="{C3380CC4-5D6E-409C-BE32-E72D297353CC}">
                <c16:uniqueId val="{00000002-CF8A-405D-9E52-ACAB16135988}"/>
              </c:ext>
            </c:extLst>
          </c:dPt>
          <c:dPt>
            <c:idx val="7"/>
            <c:invertIfNegative val="0"/>
            <c:bubble3D val="0"/>
            <c:spPr>
              <a:pattFill prst="ltUpDiag">
                <a:fgClr>
                  <a:srgbClr val="EFF3FF"/>
                </a:fgClr>
                <a:bgClr>
                  <a:srgbClr val="08519C"/>
                </a:bgClr>
              </a:pattFill>
              <a:ln>
                <a:noFill/>
              </a:ln>
              <a:effectLst/>
            </c:spPr>
            <c:extLst xmlns:c16r2="http://schemas.microsoft.com/office/drawing/2015/06/chart">
              <c:ext xmlns:c16="http://schemas.microsoft.com/office/drawing/2014/chart" uri="{C3380CC4-5D6E-409C-BE32-E72D297353CC}">
                <c16:uniqueId val="{00000003-CF8A-405D-9E52-ACAB16135988}"/>
              </c:ext>
            </c:extLst>
          </c:dPt>
          <c:dLbls>
            <c:dLbl>
              <c:idx val="0"/>
              <c:layout>
                <c:manualLayout>
                  <c:x val="1.4540165547226572E-2"/>
                  <c:y val="8.9736236263016829E-18"/>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8704-4CF0-AC57-48FB61F78078}"/>
                </c:ext>
              </c:extLst>
            </c:dLbl>
            <c:dLbl>
              <c:idx val="1"/>
              <c:layout>
                <c:manualLayout>
                  <c:x val="1.4540165547226572E-2"/>
                  <c:y val="3.5894494505206732E-17"/>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CF8A-405D-9E52-ACAB16135988}"/>
                </c:ext>
              </c:extLst>
            </c:dLbl>
            <c:dLbl>
              <c:idx val="3"/>
              <c:layout>
                <c:manualLayout>
                  <c:x val="4.6528529751125029E-2"/>
                  <c:y val="6.1666272002525845E-7"/>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8704-4CF0-AC57-48FB61F78078}"/>
                </c:ext>
              </c:extLst>
            </c:dLbl>
            <c:dLbl>
              <c:idx val="4"/>
              <c:layout>
                <c:manualLayout>
                  <c:x val="2.9080331094453143E-3"/>
                  <c:y val="0"/>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CF8A-405D-9E52-ACAB16135988}"/>
                </c:ext>
              </c:extLst>
            </c:dLbl>
            <c:dLbl>
              <c:idx val="6"/>
              <c:layout>
                <c:manualLayout>
                  <c:x val="2.03562317661172E-2"/>
                  <c:y val="0"/>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8704-4CF0-AC57-48FB61F78078}"/>
                </c:ext>
              </c:extLst>
            </c:dLbl>
            <c:dLbl>
              <c:idx val="7"/>
              <c:layout>
                <c:manualLayout>
                  <c:x val="2.9080331094452076E-3"/>
                  <c:y val="0"/>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CF8A-405D-9E52-ACAB16135988}"/>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errBars>
            <c:errBarType val="both"/>
            <c:errValType val="cust"/>
            <c:noEndCap val="0"/>
            <c:plus>
              <c:numRef>
                <c:f>'5.20'!$F$24:$F$31</c:f>
                <c:numCache>
                  <c:formatCode>General</c:formatCode>
                  <c:ptCount val="8"/>
                  <c:pt idx="0">
                    <c:v>1.1671510000000005</c:v>
                  </c:pt>
                  <c:pt idx="1">
                    <c:v>0.75338100000000008</c:v>
                  </c:pt>
                  <c:pt idx="3">
                    <c:v>3.6705349999999939</c:v>
                  </c:pt>
                  <c:pt idx="4">
                    <c:v>0.69734400000000107</c:v>
                  </c:pt>
                  <c:pt idx="6">
                    <c:v>1.7756340000000002</c:v>
                  </c:pt>
                  <c:pt idx="7">
                    <c:v>0.67861899999999942</c:v>
                  </c:pt>
                </c:numCache>
              </c:numRef>
            </c:plus>
            <c:minus>
              <c:numRef>
                <c:f>'5.20'!$E$24:$E$31</c:f>
                <c:numCache>
                  <c:formatCode>General</c:formatCode>
                  <c:ptCount val="8"/>
                  <c:pt idx="0">
                    <c:v>1.1672320000000003</c:v>
                  </c:pt>
                  <c:pt idx="1">
                    <c:v>0.75330800000000053</c:v>
                  </c:pt>
                  <c:pt idx="3">
                    <c:v>3.6705110000000047</c:v>
                  </c:pt>
                  <c:pt idx="4">
                    <c:v>0.69731699999999908</c:v>
                  </c:pt>
                  <c:pt idx="6">
                    <c:v>1.7756329999999991</c:v>
                  </c:pt>
                  <c:pt idx="7">
                    <c:v>0.67860500000000101</c:v>
                  </c:pt>
                </c:numCache>
              </c:numRef>
            </c:minus>
            <c:spPr>
              <a:noFill/>
              <a:ln w="9525" cap="flat" cmpd="sng" algn="ctr">
                <a:solidFill>
                  <a:schemeClr val="bg1">
                    <a:lumMod val="65000"/>
                  </a:schemeClr>
                </a:solidFill>
                <a:round/>
              </a:ln>
              <a:effectLst/>
            </c:spPr>
          </c:errBars>
          <c:cat>
            <c:strRef>
              <c:f>'5.20'!$A$24:$A$31</c:f>
              <c:strCache>
                <c:ptCount val="8"/>
                <c:pt idx="0">
                  <c:v>Female</c:v>
                </c:pt>
                <c:pt idx="1">
                  <c:v>Male</c:v>
                </c:pt>
                <c:pt idx="3">
                  <c:v>Gay, lesbian, or bi-sexual</c:v>
                </c:pt>
                <c:pt idx="4">
                  <c:v>Heterosexual</c:v>
                </c:pt>
                <c:pt idx="6">
                  <c:v>Disability</c:v>
                </c:pt>
                <c:pt idx="7">
                  <c:v>No disability</c:v>
                </c:pt>
              </c:strCache>
            </c:strRef>
          </c:cat>
          <c:val>
            <c:numRef>
              <c:f>'5.20'!$B$24:$B$31</c:f>
              <c:numCache>
                <c:formatCode>0.0</c:formatCode>
                <c:ptCount val="8"/>
                <c:pt idx="0">
                  <c:v>13.833500000000001</c:v>
                </c:pt>
                <c:pt idx="1">
                  <c:v>6.2919</c:v>
                </c:pt>
                <c:pt idx="3">
                  <c:v>29.817300000000003</c:v>
                </c:pt>
                <c:pt idx="4">
                  <c:v>8.3956999999999997</c:v>
                </c:pt>
                <c:pt idx="6">
                  <c:v>18.302299999999999</c:v>
                </c:pt>
                <c:pt idx="7">
                  <c:v>6.4185000000000008</c:v>
                </c:pt>
              </c:numCache>
            </c:numRef>
          </c:val>
          <c:extLst xmlns:c16r2="http://schemas.microsoft.com/office/drawing/2015/06/chart">
            <c:ext xmlns:c16="http://schemas.microsoft.com/office/drawing/2014/chart" uri="{C3380CC4-5D6E-409C-BE32-E72D297353CC}">
              <c16:uniqueId val="{00000000-CF8A-405D-9E52-ACAB16135988}"/>
            </c:ext>
          </c:extLst>
        </c:ser>
        <c:dLbls>
          <c:dLblPos val="outEnd"/>
          <c:showLegendKey val="0"/>
          <c:showVal val="1"/>
          <c:showCatName val="0"/>
          <c:showSerName val="0"/>
          <c:showPercent val="0"/>
          <c:showBubbleSize val="0"/>
        </c:dLbls>
        <c:gapWidth val="28"/>
        <c:axId val="314765696"/>
        <c:axId val="314767232"/>
      </c:barChart>
      <c:catAx>
        <c:axId val="31476569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4767232"/>
        <c:crosses val="autoZero"/>
        <c:auto val="1"/>
        <c:lblAlgn val="ctr"/>
        <c:lblOffset val="100"/>
        <c:noMultiLvlLbl val="0"/>
      </c:catAx>
      <c:valAx>
        <c:axId val="314767232"/>
        <c:scaling>
          <c:orientation val="minMax"/>
          <c:max val="40"/>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Percent of High School Youth</a:t>
                </a:r>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4765696"/>
        <c:crosses val="max"/>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'5.3'!$B$3</c:f>
              <c:strCache>
                <c:ptCount val="1"/>
                <c:pt idx="0">
                  <c:v>Ages 65-74</c:v>
                </c:pt>
              </c:strCache>
            </c:strRef>
          </c:tx>
          <c:spPr>
            <a:ln w="19050" cap="rnd">
              <a:solidFill>
                <a:srgbClr val="08519C"/>
              </a:solidFill>
              <a:round/>
            </a:ln>
            <a:effectLst/>
          </c:spPr>
          <c:marker>
            <c:symbol val="diamond"/>
            <c:size val="6"/>
            <c:spPr>
              <a:solidFill>
                <a:schemeClr val="bg1"/>
              </a:solidFill>
              <a:ln w="9525">
                <a:solidFill>
                  <a:srgbClr val="08519C"/>
                </a:solidFill>
              </a:ln>
              <a:effectLst/>
            </c:spPr>
          </c:marker>
          <c:dLbls>
            <c:dLbl>
              <c:idx val="0"/>
              <c:layout>
                <c:manualLayout>
                  <c:x val="-9.4003074844054485E-2"/>
                  <c:y val="-2.8132311012432517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8-162D-41C9-83DD-325E30A5E8FC}"/>
                </c:ext>
              </c:extLst>
            </c:dLbl>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162D-41C9-83DD-325E30A5E8FC}"/>
                </c:ext>
              </c:extLst>
            </c:dLbl>
            <c:dLbl>
              <c:idx val="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2-162D-41C9-83DD-325E30A5E8FC}"/>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3-162D-41C9-83DD-325E30A5E8FC}"/>
                </c:ext>
              </c:extLst>
            </c:dLbl>
            <c:dLbl>
              <c:idx val="4"/>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4-162D-41C9-83DD-325E30A5E8FC}"/>
                </c:ext>
              </c:extLst>
            </c:dLbl>
            <c:dLbl>
              <c:idx val="5"/>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5-162D-41C9-83DD-325E30A5E8FC}"/>
                </c:ext>
              </c:extLst>
            </c:dLbl>
            <c:dLbl>
              <c:idx val="6"/>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6-162D-41C9-83DD-325E30A5E8FC}"/>
                </c:ext>
              </c:extLst>
            </c:dLbl>
            <c:dLbl>
              <c:idx val="7"/>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7-162D-41C9-83DD-325E30A5E8FC}"/>
                </c:ext>
              </c:extLst>
            </c:dLbl>
            <c:dLbl>
              <c:idx val="8"/>
              <c:layout>
                <c:manualLayout>
                  <c:x val="-1.7470944531530887E-2"/>
                  <c:y val="-5.6631034179874709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D-162D-41C9-83DD-325E30A5E8FC}"/>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'5.3'!$A$4:$A$12</c:f>
              <c:numCache>
                <c:formatCode>General</c:formatCode>
                <c:ptCount val="9"/>
                <c:pt idx="0">
                  <c:v>2006</c:v>
                </c:pt>
                <c:pt idx="1">
                  <c:v>2007</c:v>
                </c:pt>
                <c:pt idx="2">
                  <c:v>2008</c:v>
                </c:pt>
                <c:pt idx="3">
                  <c:v>2009</c:v>
                </c:pt>
                <c:pt idx="4">
                  <c:v>2010</c:v>
                </c:pt>
                <c:pt idx="5">
                  <c:v>2011</c:v>
                </c:pt>
                <c:pt idx="6">
                  <c:v>2012</c:v>
                </c:pt>
                <c:pt idx="7">
                  <c:v>2013</c:v>
                </c:pt>
                <c:pt idx="8">
                  <c:v>2014</c:v>
                </c:pt>
              </c:numCache>
            </c:numRef>
          </c:cat>
          <c:val>
            <c:numRef>
              <c:f>'5.3'!$B$4:$B$12</c:f>
              <c:numCache>
                <c:formatCode>0.0</c:formatCode>
                <c:ptCount val="9"/>
                <c:pt idx="0">
                  <c:v>13.590550684259957</c:v>
                </c:pt>
                <c:pt idx="1">
                  <c:v>14.695714392404485</c:v>
                </c:pt>
                <c:pt idx="2">
                  <c:v>14.839960303106189</c:v>
                </c:pt>
                <c:pt idx="3">
                  <c:v>9.7453150505316728</c:v>
                </c:pt>
                <c:pt idx="4">
                  <c:v>11.98849975914014</c:v>
                </c:pt>
                <c:pt idx="5">
                  <c:v>14.320914853737127</c:v>
                </c:pt>
                <c:pt idx="6">
                  <c:v>11.576140593208534</c:v>
                </c:pt>
                <c:pt idx="7">
                  <c:v>11.512971590814134</c:v>
                </c:pt>
                <c:pt idx="8">
                  <c:v>10.294530054703003</c:v>
                </c:pt>
              </c:numCache>
            </c:numRef>
          </c:val>
          <c:smooth val="0"/>
          <c:extLst xmlns:c16r2="http://schemas.microsoft.com/office/drawing/2015/06/chart">
            <c:ext xmlns:c16="http://schemas.microsoft.com/office/drawing/2014/chart" uri="{C3380CC4-5D6E-409C-BE32-E72D297353CC}">
              <c16:uniqueId val="{00000000-162D-41C9-83DD-325E30A5E8FC}"/>
            </c:ext>
          </c:extLst>
        </c:ser>
        <c:ser>
          <c:idx val="1"/>
          <c:order val="1"/>
          <c:tx>
            <c:strRef>
              <c:f>'5.3'!$C$3</c:f>
              <c:strCache>
                <c:ptCount val="1"/>
                <c:pt idx="0">
                  <c:v>Ages 75-84</c:v>
                </c:pt>
              </c:strCache>
            </c:strRef>
          </c:tx>
          <c:spPr>
            <a:ln w="19050" cap="rnd">
              <a:solidFill>
                <a:srgbClr val="3182BD"/>
              </a:solidFill>
              <a:round/>
            </a:ln>
            <a:effectLst/>
          </c:spPr>
          <c:marker>
            <c:symbol val="square"/>
            <c:size val="5"/>
            <c:spPr>
              <a:solidFill>
                <a:schemeClr val="bg1"/>
              </a:solidFill>
              <a:ln w="9525">
                <a:solidFill>
                  <a:srgbClr val="3182BD"/>
                </a:solidFill>
              </a:ln>
              <a:effectLst/>
            </c:spPr>
          </c:marker>
          <c:dLbls>
            <c:dLbl>
              <c:idx val="0"/>
              <c:layout>
                <c:manualLayout>
                  <c:x val="-4.7366307934860311E-2"/>
                  <c:y val="-7.495164193037343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9-162D-41C9-83DD-325E30A5E8FC}"/>
                </c:ext>
              </c:extLst>
            </c:dLbl>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0-162D-41C9-83DD-325E30A5E8FC}"/>
                </c:ext>
              </c:extLst>
            </c:dLbl>
            <c:dLbl>
              <c:idx val="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162D-41C9-83DD-325E30A5E8FC}"/>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162D-41C9-83DD-325E30A5E8FC}"/>
                </c:ext>
              </c:extLst>
            </c:dLbl>
            <c:dLbl>
              <c:idx val="4"/>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162D-41C9-83DD-325E30A5E8FC}"/>
                </c:ext>
              </c:extLst>
            </c:dLbl>
            <c:dLbl>
              <c:idx val="5"/>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162D-41C9-83DD-325E30A5E8FC}"/>
                </c:ext>
              </c:extLst>
            </c:dLbl>
            <c:dLbl>
              <c:idx val="6"/>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162D-41C9-83DD-325E30A5E8FC}"/>
                </c:ext>
              </c:extLst>
            </c:dLbl>
            <c:dLbl>
              <c:idx val="7"/>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162D-41C9-83DD-325E30A5E8FC}"/>
                </c:ext>
              </c:extLst>
            </c:dLbl>
            <c:dLbl>
              <c:idx val="8"/>
              <c:layout>
                <c:manualLayout>
                  <c:x val="-1.3883500923131158E-2"/>
                  <c:y val="-7.088039576359588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C-162D-41C9-83DD-325E30A5E8FC}"/>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'5.3'!$A$4:$A$12</c:f>
              <c:numCache>
                <c:formatCode>General</c:formatCode>
                <c:ptCount val="9"/>
                <c:pt idx="0">
                  <c:v>2006</c:v>
                </c:pt>
                <c:pt idx="1">
                  <c:v>2007</c:v>
                </c:pt>
                <c:pt idx="2">
                  <c:v>2008</c:v>
                </c:pt>
                <c:pt idx="3">
                  <c:v>2009</c:v>
                </c:pt>
                <c:pt idx="4">
                  <c:v>2010</c:v>
                </c:pt>
                <c:pt idx="5">
                  <c:v>2011</c:v>
                </c:pt>
                <c:pt idx="6">
                  <c:v>2012</c:v>
                </c:pt>
                <c:pt idx="7">
                  <c:v>2013</c:v>
                </c:pt>
                <c:pt idx="8">
                  <c:v>2014</c:v>
                </c:pt>
              </c:numCache>
            </c:numRef>
          </c:cat>
          <c:val>
            <c:numRef>
              <c:f>'5.3'!$C$4:$C$12</c:f>
              <c:numCache>
                <c:formatCode>0.0</c:formatCode>
                <c:ptCount val="9"/>
                <c:pt idx="0">
                  <c:v>37.171957475280649</c:v>
                </c:pt>
                <c:pt idx="1">
                  <c:v>41.33776894155627</c:v>
                </c:pt>
                <c:pt idx="2">
                  <c:v>43.096392264030548</c:v>
                </c:pt>
                <c:pt idx="3">
                  <c:v>48.449288630789688</c:v>
                </c:pt>
                <c:pt idx="4">
                  <c:v>48.469900851025947</c:v>
                </c:pt>
                <c:pt idx="5">
                  <c:v>56.384164104767144</c:v>
                </c:pt>
                <c:pt idx="6">
                  <c:v>55.451536384080612</c:v>
                </c:pt>
                <c:pt idx="7">
                  <c:v>59.323376443900642</c:v>
                </c:pt>
                <c:pt idx="8">
                  <c:v>59.555298258922477</c:v>
                </c:pt>
              </c:numCache>
            </c:numRef>
          </c:val>
          <c:smooth val="0"/>
          <c:extLst xmlns:c16r2="http://schemas.microsoft.com/office/drawing/2015/06/chart">
            <c:ext xmlns:c16="http://schemas.microsoft.com/office/drawing/2014/chart" uri="{C3380CC4-5D6E-409C-BE32-E72D297353CC}">
              <c16:uniqueId val="{00000001-162D-41C9-83DD-325E30A5E8FC}"/>
            </c:ext>
          </c:extLst>
        </c:ser>
        <c:ser>
          <c:idx val="2"/>
          <c:order val="2"/>
          <c:tx>
            <c:strRef>
              <c:f>'5.3'!$D$3</c:f>
              <c:strCache>
                <c:ptCount val="1"/>
                <c:pt idx="0">
                  <c:v>Ages 85+</c:v>
                </c:pt>
              </c:strCache>
            </c:strRef>
          </c:tx>
          <c:spPr>
            <a:ln w="19050" cap="rnd">
              <a:solidFill>
                <a:srgbClr val="6BAED6"/>
              </a:solidFill>
              <a:round/>
            </a:ln>
            <a:effectLst/>
          </c:spPr>
          <c:marker>
            <c:symbol val="circle"/>
            <c:size val="6"/>
            <c:spPr>
              <a:solidFill>
                <a:schemeClr val="bg1"/>
              </a:solidFill>
              <a:ln w="9525">
                <a:solidFill>
                  <a:srgbClr val="6BAED6"/>
                </a:solidFill>
              </a:ln>
              <a:effectLst/>
            </c:spPr>
          </c:marker>
          <c:dLbls>
            <c:dLbl>
              <c:idx val="0"/>
              <c:layout>
                <c:manualLayout>
                  <c:x val="-4.7748968586422927E-2"/>
                  <c:y val="-8.1058511180539611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A-162D-41C9-83DD-325E30A5E8FC}"/>
                </c:ext>
              </c:extLst>
            </c:dLbl>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162D-41C9-83DD-325E30A5E8FC}"/>
                </c:ext>
              </c:extLst>
            </c:dLbl>
            <c:dLbl>
              <c:idx val="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162D-41C9-83DD-325E30A5E8FC}"/>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162D-41C9-83DD-325E30A5E8FC}"/>
                </c:ext>
              </c:extLst>
            </c:dLbl>
            <c:dLbl>
              <c:idx val="4"/>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162D-41C9-83DD-325E30A5E8FC}"/>
                </c:ext>
              </c:extLst>
            </c:dLbl>
            <c:dLbl>
              <c:idx val="5"/>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162D-41C9-83DD-325E30A5E8FC}"/>
                </c:ext>
              </c:extLst>
            </c:dLbl>
            <c:dLbl>
              <c:idx val="6"/>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162D-41C9-83DD-325E30A5E8FC}"/>
                </c:ext>
              </c:extLst>
            </c:dLbl>
            <c:dLbl>
              <c:idx val="7"/>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162D-41C9-83DD-325E30A5E8FC}"/>
                </c:ext>
              </c:extLst>
            </c:dLbl>
            <c:dLbl>
              <c:idx val="8"/>
              <c:layout>
                <c:manualLayout>
                  <c:x val="-2.3653399841964164E-2"/>
                  <c:y val="-6.8844772680207153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B-162D-41C9-83DD-325E30A5E8FC}"/>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'5.3'!$A$4:$A$12</c:f>
              <c:numCache>
                <c:formatCode>General</c:formatCode>
                <c:ptCount val="9"/>
                <c:pt idx="0">
                  <c:v>2006</c:v>
                </c:pt>
                <c:pt idx="1">
                  <c:v>2007</c:v>
                </c:pt>
                <c:pt idx="2">
                  <c:v>2008</c:v>
                </c:pt>
                <c:pt idx="3">
                  <c:v>2009</c:v>
                </c:pt>
                <c:pt idx="4">
                  <c:v>2010</c:v>
                </c:pt>
                <c:pt idx="5">
                  <c:v>2011</c:v>
                </c:pt>
                <c:pt idx="6">
                  <c:v>2012</c:v>
                </c:pt>
                <c:pt idx="7">
                  <c:v>2013</c:v>
                </c:pt>
                <c:pt idx="8">
                  <c:v>2014</c:v>
                </c:pt>
              </c:numCache>
            </c:numRef>
          </c:cat>
          <c:val>
            <c:numRef>
              <c:f>'5.3'!$D$4:$D$12</c:f>
              <c:numCache>
                <c:formatCode>#,##0.0</c:formatCode>
                <c:ptCount val="9"/>
                <c:pt idx="0">
                  <c:v>124.75823478170999</c:v>
                </c:pt>
                <c:pt idx="1">
                  <c:v>125.73763698972667</c:v>
                </c:pt>
                <c:pt idx="2">
                  <c:v>144.46423079948795</c:v>
                </c:pt>
                <c:pt idx="3">
                  <c:v>153.44515912052802</c:v>
                </c:pt>
                <c:pt idx="4">
                  <c:v>161.04177368077632</c:v>
                </c:pt>
                <c:pt idx="5">
                  <c:v>188.43505026052318</c:v>
                </c:pt>
                <c:pt idx="6">
                  <c:v>195.96143579436611</c:v>
                </c:pt>
                <c:pt idx="7">
                  <c:v>200.13557571257951</c:v>
                </c:pt>
                <c:pt idx="8">
                  <c:v>191.93984565661896</c:v>
                </c:pt>
              </c:numCache>
            </c:numRef>
          </c:val>
          <c:smooth val="0"/>
          <c:extLst xmlns:c16r2="http://schemas.microsoft.com/office/drawing/2015/06/chart">
            <c:ext xmlns:c16="http://schemas.microsoft.com/office/drawing/2014/chart" uri="{C3380CC4-5D6E-409C-BE32-E72D297353CC}">
              <c16:uniqueId val="{00000002-162D-41C9-83DD-325E30A5E8FC}"/>
            </c:ext>
          </c:extLst>
        </c:ser>
        <c:dLbls>
          <c:dLblPos val="t"/>
          <c:showLegendKey val="0"/>
          <c:showVal val="1"/>
          <c:showCatName val="0"/>
          <c:showSerName val="0"/>
          <c:showPercent val="0"/>
          <c:showBubbleSize val="0"/>
        </c:dLbls>
        <c:marker val="1"/>
        <c:smooth val="0"/>
        <c:axId val="126916096"/>
        <c:axId val="126917632"/>
      </c:lineChart>
      <c:catAx>
        <c:axId val="126916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6917632"/>
        <c:crosses val="autoZero"/>
        <c:auto val="1"/>
        <c:lblAlgn val="ctr"/>
        <c:lblOffset val="100"/>
        <c:noMultiLvlLbl val="0"/>
      </c:catAx>
      <c:valAx>
        <c:axId val="126917632"/>
        <c:scaling>
          <c:orientation val="minMax"/>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Rate per 100,000 Population</a:t>
                </a:r>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69160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'5.4'!$B$3</c:f>
              <c:strCache>
                <c:ptCount val="1"/>
                <c:pt idx="0">
                  <c:v>Ages 15-24</c:v>
                </c:pt>
              </c:strCache>
            </c:strRef>
          </c:tx>
          <c:spPr>
            <a:ln w="19050" cap="rnd">
              <a:solidFill>
                <a:srgbClr val="08519C"/>
              </a:solidFill>
              <a:round/>
            </a:ln>
            <a:effectLst/>
          </c:spPr>
          <c:marker>
            <c:symbol val="diamond"/>
            <c:size val="6"/>
            <c:spPr>
              <a:solidFill>
                <a:schemeClr val="bg1"/>
              </a:solidFill>
              <a:ln w="9525">
                <a:solidFill>
                  <a:srgbClr val="08519C"/>
                </a:solidFill>
              </a:ln>
              <a:effectLst/>
            </c:spPr>
          </c:marker>
          <c:dLbls>
            <c:dLbl>
              <c:idx val="0"/>
              <c:layout>
                <c:manualLayout>
                  <c:x val="-5.7272119209550124E-2"/>
                  <c:y val="-9.6742778236782637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8-162D-41C9-83DD-325E30A5E8FC}"/>
                </c:ext>
              </c:extLst>
            </c:dLbl>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162D-41C9-83DD-325E30A5E8FC}"/>
                </c:ext>
              </c:extLst>
            </c:dLbl>
            <c:dLbl>
              <c:idx val="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2-162D-41C9-83DD-325E30A5E8FC}"/>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3-162D-41C9-83DD-325E30A5E8FC}"/>
                </c:ext>
              </c:extLst>
            </c:dLbl>
            <c:dLbl>
              <c:idx val="4"/>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4-162D-41C9-83DD-325E30A5E8FC}"/>
                </c:ext>
              </c:extLst>
            </c:dLbl>
            <c:dLbl>
              <c:idx val="5"/>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5-162D-41C9-83DD-325E30A5E8FC}"/>
                </c:ext>
              </c:extLst>
            </c:dLbl>
            <c:dLbl>
              <c:idx val="6"/>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6-162D-41C9-83DD-325E30A5E8FC}"/>
                </c:ext>
              </c:extLst>
            </c:dLbl>
            <c:dLbl>
              <c:idx val="7"/>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7-162D-41C9-83DD-325E30A5E8FC}"/>
                </c:ext>
              </c:extLst>
            </c:dLbl>
            <c:dLbl>
              <c:idx val="8"/>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D-162D-41C9-83DD-325E30A5E8FC}"/>
                </c:ext>
              </c:extLst>
            </c:dLbl>
            <c:dLbl>
              <c:idx val="9"/>
              <c:layout>
                <c:manualLayout>
                  <c:x val="-6.2797764059322497E-2"/>
                  <c:y val="8.2744410485287703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0-C329-4654-B2A2-79F1963F5AC5}"/>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'5.4'!$A$4:$A$13</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'5.4'!$B$4:$B$13</c:f>
              <c:numCache>
                <c:formatCode>0.0</c:formatCode>
                <c:ptCount val="10"/>
                <c:pt idx="0">
                  <c:v>12.053371418954724</c:v>
                </c:pt>
                <c:pt idx="1">
                  <c:v>10.083016838638121</c:v>
                </c:pt>
                <c:pt idx="2">
                  <c:v>10.121624520735578</c:v>
                </c:pt>
                <c:pt idx="3">
                  <c:v>11.084161385389772</c:v>
                </c:pt>
                <c:pt idx="4">
                  <c:v>7.7557791326453671</c:v>
                </c:pt>
                <c:pt idx="5">
                  <c:v>7.4705952036644341</c:v>
                </c:pt>
                <c:pt idx="6">
                  <c:v>6.142284972370307</c:v>
                </c:pt>
                <c:pt idx="7">
                  <c:v>7.2990384310240879</c:v>
                </c:pt>
                <c:pt idx="8">
                  <c:v>5.7</c:v>
                </c:pt>
                <c:pt idx="9">
                  <c:v>6.1</c:v>
                </c:pt>
              </c:numCache>
            </c:numRef>
          </c:val>
          <c:smooth val="0"/>
          <c:extLst xmlns:c16r2="http://schemas.microsoft.com/office/drawing/2015/06/chart">
            <c:ext xmlns:c16="http://schemas.microsoft.com/office/drawing/2014/chart" uri="{C3380CC4-5D6E-409C-BE32-E72D297353CC}">
              <c16:uniqueId val="{00000000-162D-41C9-83DD-325E30A5E8FC}"/>
            </c:ext>
          </c:extLst>
        </c:ser>
        <c:ser>
          <c:idx val="1"/>
          <c:order val="1"/>
          <c:tx>
            <c:strRef>
              <c:f>'5.4'!$C$3</c:f>
              <c:strCache>
                <c:ptCount val="1"/>
                <c:pt idx="0">
                  <c:v>Ages 25-64</c:v>
                </c:pt>
              </c:strCache>
            </c:strRef>
          </c:tx>
          <c:spPr>
            <a:ln w="19050" cap="rnd">
              <a:solidFill>
                <a:srgbClr val="3182BD"/>
              </a:solidFill>
              <a:round/>
            </a:ln>
            <a:effectLst/>
          </c:spPr>
          <c:marker>
            <c:symbol val="square"/>
            <c:size val="5"/>
            <c:spPr>
              <a:solidFill>
                <a:schemeClr val="bg1"/>
              </a:solidFill>
              <a:ln w="9525">
                <a:solidFill>
                  <a:srgbClr val="3182BD"/>
                </a:solidFill>
              </a:ln>
              <a:effectLst/>
            </c:spPr>
          </c:marker>
          <c:dLbls>
            <c:dLbl>
              <c:idx val="0"/>
              <c:layout>
                <c:manualLayout>
                  <c:x val="-6.695616947753176E-2"/>
                  <c:y val="5.769559069603937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9-162D-41C9-83DD-325E30A5E8FC}"/>
                </c:ext>
              </c:extLst>
            </c:dLbl>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0-162D-41C9-83DD-325E30A5E8FC}"/>
                </c:ext>
              </c:extLst>
            </c:dLbl>
            <c:dLbl>
              <c:idx val="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162D-41C9-83DD-325E30A5E8FC}"/>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162D-41C9-83DD-325E30A5E8FC}"/>
                </c:ext>
              </c:extLst>
            </c:dLbl>
            <c:dLbl>
              <c:idx val="4"/>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162D-41C9-83DD-325E30A5E8FC}"/>
                </c:ext>
              </c:extLst>
            </c:dLbl>
            <c:dLbl>
              <c:idx val="5"/>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162D-41C9-83DD-325E30A5E8FC}"/>
                </c:ext>
              </c:extLst>
            </c:dLbl>
            <c:dLbl>
              <c:idx val="6"/>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162D-41C9-83DD-325E30A5E8FC}"/>
                </c:ext>
              </c:extLst>
            </c:dLbl>
            <c:dLbl>
              <c:idx val="7"/>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162D-41C9-83DD-325E30A5E8FC}"/>
                </c:ext>
              </c:extLst>
            </c:dLbl>
            <c:dLbl>
              <c:idx val="8"/>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C-162D-41C9-83DD-325E30A5E8FC}"/>
                </c:ext>
              </c:extLst>
            </c:dLbl>
            <c:dLbl>
              <c:idx val="9"/>
              <c:layout>
                <c:manualLayout>
                  <c:x val="2.0935673033299056E-3"/>
                  <c:y val="-4.7615771871301601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C329-4654-B2A2-79F1963F5AC5}"/>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'5.4'!$A$4:$A$13</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'5.4'!$C$4:$C$13</c:f>
              <c:numCache>
                <c:formatCode>0.0</c:formatCode>
                <c:ptCount val="10"/>
                <c:pt idx="0">
                  <c:v>4.820779580678777</c:v>
                </c:pt>
                <c:pt idx="1">
                  <c:v>4.443695492592302</c:v>
                </c:pt>
                <c:pt idx="2">
                  <c:v>4.2632806232455378</c:v>
                </c:pt>
                <c:pt idx="3">
                  <c:v>3.6752893357172942</c:v>
                </c:pt>
                <c:pt idx="4">
                  <c:v>2.5996731839425902</c:v>
                </c:pt>
                <c:pt idx="5">
                  <c:v>3.2879622882063346</c:v>
                </c:pt>
                <c:pt idx="6">
                  <c:v>3.0087788856832738</c:v>
                </c:pt>
                <c:pt idx="7">
                  <c:v>3.2</c:v>
                </c:pt>
                <c:pt idx="8">
                  <c:v>2.5007523096531541</c:v>
                </c:pt>
                <c:pt idx="9">
                  <c:v>2.7910614185500573</c:v>
                </c:pt>
              </c:numCache>
            </c:numRef>
          </c:val>
          <c:smooth val="0"/>
          <c:extLst xmlns:c16r2="http://schemas.microsoft.com/office/drawing/2015/06/chart">
            <c:ext xmlns:c16="http://schemas.microsoft.com/office/drawing/2014/chart" uri="{C3380CC4-5D6E-409C-BE32-E72D297353CC}">
              <c16:uniqueId val="{00000001-162D-41C9-83DD-325E30A5E8FC}"/>
            </c:ext>
          </c:extLst>
        </c:ser>
        <c:ser>
          <c:idx val="2"/>
          <c:order val="2"/>
          <c:tx>
            <c:strRef>
              <c:f>'5.4'!$D$3</c:f>
              <c:strCache>
                <c:ptCount val="1"/>
                <c:pt idx="0">
                  <c:v>Ages 65+</c:v>
                </c:pt>
              </c:strCache>
            </c:strRef>
          </c:tx>
          <c:spPr>
            <a:ln w="19050" cap="rnd">
              <a:solidFill>
                <a:srgbClr val="6BAED6"/>
              </a:solidFill>
              <a:round/>
            </a:ln>
            <a:effectLst/>
          </c:spPr>
          <c:marker>
            <c:symbol val="circle"/>
            <c:size val="6"/>
            <c:spPr>
              <a:solidFill>
                <a:schemeClr val="bg1"/>
              </a:solidFill>
              <a:ln w="9525">
                <a:solidFill>
                  <a:srgbClr val="6BAED6"/>
                </a:solidFill>
              </a:ln>
              <a:effectLst/>
            </c:spPr>
          </c:marker>
          <c:dLbls>
            <c:dLbl>
              <c:idx val="0"/>
              <c:layout>
                <c:manualLayout>
                  <c:x val="-4.7748968586422927E-2"/>
                  <c:y val="-8.1058511180539611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A-162D-41C9-83DD-325E30A5E8FC}"/>
                </c:ext>
              </c:extLst>
            </c:dLbl>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162D-41C9-83DD-325E30A5E8FC}"/>
                </c:ext>
              </c:extLst>
            </c:dLbl>
            <c:dLbl>
              <c:idx val="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162D-41C9-83DD-325E30A5E8FC}"/>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162D-41C9-83DD-325E30A5E8FC}"/>
                </c:ext>
              </c:extLst>
            </c:dLbl>
            <c:dLbl>
              <c:idx val="4"/>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162D-41C9-83DD-325E30A5E8FC}"/>
                </c:ext>
              </c:extLst>
            </c:dLbl>
            <c:dLbl>
              <c:idx val="5"/>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162D-41C9-83DD-325E30A5E8FC}"/>
                </c:ext>
              </c:extLst>
            </c:dLbl>
            <c:dLbl>
              <c:idx val="6"/>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162D-41C9-83DD-325E30A5E8FC}"/>
                </c:ext>
              </c:extLst>
            </c:dLbl>
            <c:dLbl>
              <c:idx val="7"/>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162D-41C9-83DD-325E30A5E8FC}"/>
                </c:ext>
              </c:extLst>
            </c:dLbl>
            <c:dLbl>
              <c:idx val="8"/>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B-162D-41C9-83DD-325E30A5E8FC}"/>
                </c:ext>
              </c:extLst>
            </c:dLbl>
            <c:dLbl>
              <c:idx val="9"/>
              <c:layout>
                <c:manualLayout>
                  <c:x val="-1.6271903837043415E-2"/>
                  <c:y val="-7.7347041531576413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C329-4654-B2A2-79F1963F5AC5}"/>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'5.4'!$A$4:$A$13</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'5.4'!$D$4:$D$13</c:f>
              <c:numCache>
                <c:formatCode>0.0</c:formatCode>
                <c:ptCount val="10"/>
                <c:pt idx="0">
                  <c:v>7.0513076650064752</c:v>
                </c:pt>
                <c:pt idx="1">
                  <c:v>7.2939889296071243</c:v>
                </c:pt>
                <c:pt idx="2">
                  <c:v>7.9884214879139881</c:v>
                </c:pt>
                <c:pt idx="3">
                  <c:v>4.8826819409358242</c:v>
                </c:pt>
                <c:pt idx="4">
                  <c:v>5.4721184166425365</c:v>
                </c:pt>
                <c:pt idx="5">
                  <c:v>4.3737369432737534</c:v>
                </c:pt>
                <c:pt idx="6">
                  <c:v>6.5082119294421572</c:v>
                </c:pt>
                <c:pt idx="7">
                  <c:v>6.1827959905110355</c:v>
                </c:pt>
                <c:pt idx="8">
                  <c:v>5.9503117650190562</c:v>
                </c:pt>
                <c:pt idx="9">
                  <c:v>6.469142191745374</c:v>
                </c:pt>
              </c:numCache>
            </c:numRef>
          </c:val>
          <c:smooth val="0"/>
          <c:extLst xmlns:c16r2="http://schemas.microsoft.com/office/drawing/2015/06/chart">
            <c:ext xmlns:c16="http://schemas.microsoft.com/office/drawing/2014/chart" uri="{C3380CC4-5D6E-409C-BE32-E72D297353CC}">
              <c16:uniqueId val="{00000002-162D-41C9-83DD-325E30A5E8FC}"/>
            </c:ext>
          </c:extLst>
        </c:ser>
        <c:dLbls>
          <c:dLblPos val="t"/>
          <c:showLegendKey val="0"/>
          <c:showVal val="1"/>
          <c:showCatName val="0"/>
          <c:showSerName val="0"/>
          <c:showPercent val="0"/>
          <c:showBubbleSize val="0"/>
        </c:dLbls>
        <c:marker val="1"/>
        <c:smooth val="0"/>
        <c:axId val="127041536"/>
        <c:axId val="127043072"/>
      </c:lineChart>
      <c:catAx>
        <c:axId val="1270415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7043072"/>
        <c:crosses val="autoZero"/>
        <c:auto val="1"/>
        <c:lblAlgn val="ctr"/>
        <c:lblOffset val="100"/>
        <c:noMultiLvlLbl val="0"/>
      </c:catAx>
      <c:valAx>
        <c:axId val="127043072"/>
        <c:scaling>
          <c:orientation val="minMax"/>
          <c:max val="15"/>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a:t>Rate per 100,000 Population</a:t>
                </a:r>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7041536"/>
        <c:crosses val="autoZero"/>
        <c:crossBetween val="between"/>
        <c:majorUnit val="5"/>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'5.5'!$B$4</c:f>
              <c:strCache>
                <c:ptCount val="1"/>
                <c:pt idx="0">
                  <c:v>Rate per 100,000</c:v>
                </c:pt>
              </c:strCache>
            </c:strRef>
          </c:tx>
          <c:invertIfNegative val="0"/>
          <c:dPt>
            <c:idx val="0"/>
            <c:invertIfNegative val="0"/>
            <c:bubble3D val="0"/>
            <c:spPr>
              <a:solidFill>
                <a:srgbClr val="08519C"/>
              </a:solidFill>
            </c:spPr>
            <c:extLst xmlns:c16r2="http://schemas.microsoft.com/office/drawing/2015/06/chart">
              <c:ext xmlns:c16="http://schemas.microsoft.com/office/drawing/2014/chart" uri="{C3380CC4-5D6E-409C-BE32-E72D297353CC}">
                <c16:uniqueId val="{00000003-D919-4BC7-BB0C-4CCEBC5CA8D7}"/>
              </c:ext>
            </c:extLst>
          </c:dPt>
          <c:dPt>
            <c:idx val="1"/>
            <c:invertIfNegative val="0"/>
            <c:bubble3D val="0"/>
            <c:spPr>
              <a:solidFill>
                <a:srgbClr val="3182BD"/>
              </a:solidFill>
            </c:spPr>
            <c:extLst xmlns:c16r2="http://schemas.microsoft.com/office/drawing/2015/06/chart">
              <c:ext xmlns:c16="http://schemas.microsoft.com/office/drawing/2014/chart" uri="{C3380CC4-5D6E-409C-BE32-E72D297353CC}">
                <c16:uniqueId val="{00000005-D919-4BC7-BB0C-4CCEBC5CA8D7}"/>
              </c:ext>
            </c:extLst>
          </c:dPt>
          <c:dPt>
            <c:idx val="2"/>
            <c:invertIfNegative val="0"/>
            <c:bubble3D val="0"/>
            <c:spPr>
              <a:solidFill>
                <a:srgbClr val="203864"/>
              </a:solidFill>
            </c:spPr>
            <c:extLst xmlns:c16r2="http://schemas.microsoft.com/office/drawing/2015/06/chart">
              <c:ext xmlns:c16="http://schemas.microsoft.com/office/drawing/2014/chart" uri="{C3380CC4-5D6E-409C-BE32-E72D297353CC}">
                <c16:uniqueId val="{00000007-D919-4BC7-BB0C-4CCEBC5CA8D7}"/>
              </c:ext>
            </c:extLst>
          </c:dPt>
          <c:dPt>
            <c:idx val="3"/>
            <c:invertIfNegative val="0"/>
            <c:bubble3D val="0"/>
            <c:spPr>
              <a:solidFill>
                <a:srgbClr val="6BAED6"/>
              </a:solidFill>
            </c:spPr>
            <c:extLst xmlns:c16r2="http://schemas.microsoft.com/office/drawing/2015/06/chart">
              <c:ext xmlns:c16="http://schemas.microsoft.com/office/drawing/2014/chart" uri="{C3380CC4-5D6E-409C-BE32-E72D297353CC}">
                <c16:uniqueId val="{00000009-D919-4BC7-BB0C-4CCEBC5CA8D7}"/>
              </c:ext>
            </c:extLst>
          </c:dPt>
          <c:dLbls>
            <c:numFmt formatCode="#,##0.0" sourceLinked="0"/>
            <c:spPr>
              <a:noFill/>
              <a:ln>
                <a:noFill/>
              </a:ln>
              <a:effectLst/>
            </c:spPr>
            <c:txPr>
              <a:bodyPr wrap="square" lIns="38100" tIns="19050" rIns="38100" bIns="19050" anchor="ctr">
                <a:spAutoFit/>
              </a:bodyPr>
              <a:lstStyle/>
              <a:p>
                <a:pPr>
                  <a:defRPr sz="1050">
                    <a:solidFill>
                      <a:schemeClr val="bg1"/>
                    </a:solidFill>
                  </a:defRPr>
                </a:pPr>
                <a:endParaRPr lang="en-US"/>
              </a:p>
            </c:txPr>
            <c:dLblPos val="inBase"/>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'5.5'!$A$5:$A$8</c:f>
              <c:strCache>
                <c:ptCount val="4"/>
                <c:pt idx="0">
                  <c:v>Black non-Hispanic</c:v>
                </c:pt>
                <c:pt idx="1">
                  <c:v>Hispanic</c:v>
                </c:pt>
                <c:pt idx="2">
                  <c:v>White non-Hispanic</c:v>
                </c:pt>
                <c:pt idx="3">
                  <c:v>Asian and Pacific Islander non-Hispanic</c:v>
                </c:pt>
              </c:strCache>
            </c:strRef>
          </c:cat>
          <c:val>
            <c:numRef>
              <c:f>'5.5'!$B$5:$B$8</c:f>
              <c:numCache>
                <c:formatCode>0.0</c:formatCode>
                <c:ptCount val="4"/>
                <c:pt idx="0">
                  <c:v>3509.6790000000001</c:v>
                </c:pt>
                <c:pt idx="1">
                  <c:v>2254.1390000000001</c:v>
                </c:pt>
                <c:pt idx="2">
                  <c:v>1442.79</c:v>
                </c:pt>
                <c:pt idx="3">
                  <c:v>643.21420000000001</c:v>
                </c:pt>
              </c:numCache>
            </c:numRef>
          </c:val>
          <c:extLst xmlns:c16r2="http://schemas.microsoft.com/office/drawing/2015/06/chart">
            <c:ext xmlns:c16="http://schemas.microsoft.com/office/drawing/2014/chart" uri="{C3380CC4-5D6E-409C-BE32-E72D297353CC}">
              <c16:uniqueId val="{0000000A-D919-4BC7-BB0C-4CCEBC5CA8D7}"/>
            </c:ext>
          </c:extLst>
        </c:ser>
        <c:dLbls>
          <c:showLegendKey val="0"/>
          <c:showVal val="0"/>
          <c:showCatName val="0"/>
          <c:showSerName val="0"/>
          <c:showPercent val="0"/>
          <c:showBubbleSize val="0"/>
        </c:dLbls>
        <c:gapWidth val="150"/>
        <c:overlap val="100"/>
        <c:axId val="127101184"/>
        <c:axId val="127102976"/>
      </c:barChart>
      <c:catAx>
        <c:axId val="127101184"/>
        <c:scaling>
          <c:orientation val="minMax"/>
        </c:scaling>
        <c:delete val="0"/>
        <c:axPos val="b"/>
        <c:numFmt formatCode="General" sourceLinked="0"/>
        <c:majorTickMark val="none"/>
        <c:minorTickMark val="none"/>
        <c:tickLblPos val="nextTo"/>
        <c:spPr>
          <a:ln>
            <a:solidFill>
              <a:schemeClr val="bg1">
                <a:lumMod val="85000"/>
              </a:schemeClr>
            </a:solidFill>
          </a:ln>
        </c:spPr>
        <c:txPr>
          <a:bodyPr/>
          <a:lstStyle/>
          <a:p>
            <a:pPr>
              <a:defRPr sz="1000"/>
            </a:pPr>
            <a:endParaRPr lang="en-US"/>
          </a:p>
        </c:txPr>
        <c:crossAx val="127102976"/>
        <c:crosses val="autoZero"/>
        <c:auto val="0"/>
        <c:lblAlgn val="ctr"/>
        <c:lblOffset val="100"/>
        <c:noMultiLvlLbl val="0"/>
      </c:catAx>
      <c:valAx>
        <c:axId val="127102976"/>
        <c:scaling>
          <c:orientation val="minMax"/>
          <c:max val="4000"/>
          <c:min val="0"/>
        </c:scaling>
        <c:delete val="0"/>
        <c:axPos val="l"/>
        <c:title>
          <c:tx>
            <c:rich>
              <a:bodyPr rot="-5400000" vert="horz"/>
              <a:lstStyle/>
              <a:p>
                <a:pPr>
                  <a:defRPr b="1"/>
                </a:pPr>
                <a:r>
                  <a:rPr lang="en-US" b="1"/>
                  <a:t>Rate per 100,000 Population</a:t>
                </a:r>
              </a:p>
            </c:rich>
          </c:tx>
          <c:overlay val="0"/>
        </c:title>
        <c:numFmt formatCode="#,##0" sourceLinked="0"/>
        <c:majorTickMark val="out"/>
        <c:minorTickMark val="none"/>
        <c:tickLblPos val="nextTo"/>
        <c:spPr>
          <a:ln>
            <a:noFill/>
          </a:ln>
        </c:spPr>
        <c:crossAx val="127101184"/>
        <c:crosses val="autoZero"/>
        <c:crossBetween val="between"/>
        <c:majorUnit val="1000"/>
      </c:valAx>
    </c:plotArea>
    <c:plotVisOnly val="1"/>
    <c:dispBlanksAs val="gap"/>
    <c:showDLblsOverMax val="0"/>
  </c:chart>
  <c:spPr>
    <a:ln>
      <a:noFill/>
    </a:ln>
  </c:sp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0321526180908803"/>
          <c:y val="2.6666666666666668E-2"/>
          <c:w val="0.67515248647016479"/>
          <c:h val="0.8912118348842758"/>
        </c:manualLayout>
      </c:layout>
      <c:barChart>
        <c:barDir val="bar"/>
        <c:grouping val="stacked"/>
        <c:varyColors val="0"/>
        <c:ser>
          <c:idx val="0"/>
          <c:order val="0"/>
          <c:tx>
            <c:strRef>
              <c:f>'5.6'!$I$4</c:f>
              <c:strCache>
                <c:ptCount val="1"/>
                <c:pt idx="0">
                  <c:v>Number (in thousands)</c:v>
                </c:pt>
              </c:strCache>
            </c:strRef>
          </c:tx>
          <c:spPr>
            <a:solidFill>
              <a:srgbClr val="203864"/>
            </a:solidFill>
            <a:ln>
              <a:noFill/>
            </a:ln>
            <a:effectLst/>
          </c:spPr>
          <c:invertIfNegative val="0"/>
          <c:dLbls>
            <c:dLbl>
              <c:idx val="0"/>
              <c:layout>
                <c:manualLayout>
                  <c:x val="-3.1465093411996069E-2"/>
                  <c:y val="1.9088523025530898E-7"/>
                </c:manualLayout>
              </c:layout>
              <c:tx>
                <c:rich>
                  <a:bodyPr/>
                  <a:lstStyle/>
                  <a:p>
                    <a:r>
                      <a:rPr lang="en-US"/>
                      <a:t>0.1</a:t>
                    </a:r>
                  </a:p>
                </c:rich>
              </c:tx>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F758-4EC2-983D-194300C0F712}"/>
                </c:ext>
              </c:extLst>
            </c:dLbl>
            <c:dLbl>
              <c:idx val="1"/>
              <c:layout>
                <c:manualLayout>
                  <c:x val="-3.9331366764995081E-2"/>
                  <c:y val="0"/>
                </c:manualLayout>
              </c:layout>
              <c:tx>
                <c:rich>
                  <a:bodyPr/>
                  <a:lstStyle/>
                  <a:p>
                    <a:r>
                      <a:rPr lang="en-US"/>
                      <a:t>0.3</a:t>
                    </a:r>
                  </a:p>
                </c:rich>
              </c:tx>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F758-4EC2-983D-194300C0F712}"/>
                </c:ext>
              </c:extLst>
            </c:dLbl>
            <c:dLbl>
              <c:idx val="2"/>
              <c:layout>
                <c:manualLayout>
                  <c:x val="-8.2595870206489744E-2"/>
                  <c:y val="8.8887862048721399E-17"/>
                </c:manualLayout>
              </c:layout>
              <c:tx>
                <c:rich>
                  <a:bodyPr/>
                  <a:lstStyle/>
                  <a:p>
                    <a:r>
                      <a:rPr lang="en-US"/>
                      <a:t>2.2</a:t>
                    </a:r>
                  </a:p>
                </c:rich>
              </c:tx>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F758-4EC2-983D-194300C0F712}"/>
                </c:ext>
              </c:extLst>
            </c:dLbl>
            <c:dLbl>
              <c:idx val="3"/>
              <c:layout>
                <c:manualLayout>
                  <c:x val="-4.7197640117994245E-2"/>
                  <c:y val="8.8887862048721399E-17"/>
                </c:manualLayout>
              </c:layout>
              <c:tx>
                <c:rich>
                  <a:bodyPr/>
                  <a:lstStyle/>
                  <a:p>
                    <a:r>
                      <a:rPr lang="en-US"/>
                      <a:t>0.8</a:t>
                    </a:r>
                  </a:p>
                </c:rich>
              </c:tx>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F758-4EC2-983D-194300C0F712}"/>
                </c:ext>
              </c:extLst>
            </c:dLbl>
            <c:dLbl>
              <c:idx val="4"/>
              <c:layout>
                <c:manualLayout>
                  <c:x val="-5.3097345132743362E-2"/>
                  <c:y val="1.9088523034419686E-7"/>
                </c:manualLayout>
              </c:layout>
              <c:tx>
                <c:rich>
                  <a:bodyPr/>
                  <a:lstStyle/>
                  <a:p>
                    <a:r>
                      <a:rPr lang="en-US"/>
                      <a:t>1.0</a:t>
                    </a:r>
                  </a:p>
                </c:rich>
              </c:tx>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F758-4EC2-983D-194300C0F712}"/>
                </c:ext>
              </c:extLst>
            </c:dLbl>
            <c:dLbl>
              <c:idx val="5"/>
              <c:layout>
                <c:manualLayout>
                  <c:x val="-4.1297935103244837E-2"/>
                  <c:y val="8.8887862048721399E-17"/>
                </c:manualLayout>
              </c:layout>
              <c:tx>
                <c:rich>
                  <a:bodyPr/>
                  <a:lstStyle/>
                  <a:p>
                    <a:r>
                      <a:rPr lang="en-US"/>
                      <a:t>0.1</a:t>
                    </a:r>
                  </a:p>
                </c:rich>
              </c:tx>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F758-4EC2-983D-194300C0F712}"/>
                </c:ext>
              </c:extLst>
            </c:dLbl>
            <c:dLbl>
              <c:idx val="6"/>
              <c:layout>
                <c:manualLayout>
                  <c:x val="-9.4395280235988269E-2"/>
                  <c:y val="0"/>
                </c:manualLayout>
              </c:layout>
              <c:tx>
                <c:rich>
                  <a:bodyPr/>
                  <a:lstStyle/>
                  <a:p>
                    <a:r>
                      <a:rPr lang="en-US"/>
                      <a:t>2.6</a:t>
                    </a:r>
                  </a:p>
                </c:rich>
              </c:tx>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F758-4EC2-983D-194300C0F712}"/>
                </c:ext>
              </c:extLst>
            </c:dLbl>
            <c:dLbl>
              <c:idx val="7"/>
              <c:layout>
                <c:manualLayout>
                  <c:x val="-3.5398230088495575E-2"/>
                  <c:y val="0"/>
                </c:manualLayout>
              </c:layout>
              <c:tx>
                <c:rich>
                  <a:bodyPr/>
                  <a:lstStyle/>
                  <a:p>
                    <a:r>
                      <a:rPr lang="en-US"/>
                      <a:t>0.1</a:t>
                    </a:r>
                  </a:p>
                </c:rich>
              </c:tx>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F758-4EC2-983D-194300C0F712}"/>
                </c:ext>
              </c:extLst>
            </c:dLbl>
            <c:dLbl>
              <c:idx val="8"/>
              <c:layout>
                <c:manualLayout>
                  <c:x val="-0.11209439528023599"/>
                  <c:y val="8.8887862048721399E-17"/>
                </c:manualLayout>
              </c:layout>
              <c:tx>
                <c:rich>
                  <a:bodyPr/>
                  <a:lstStyle/>
                  <a:p>
                    <a:r>
                      <a:rPr lang="en-US"/>
                      <a:t>3.5</a:t>
                    </a:r>
                  </a:p>
                </c:rich>
              </c:tx>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F758-4EC2-983D-194300C0F712}"/>
                </c:ext>
              </c:extLst>
            </c:dLbl>
            <c:dLbl>
              <c:idx val="9"/>
              <c:layout>
                <c:manualLayout>
                  <c:x val="-0.11406096361848582"/>
                  <c:y val="0"/>
                </c:manualLayout>
              </c:layout>
              <c:tx>
                <c:rich>
                  <a:bodyPr/>
                  <a:lstStyle/>
                  <a:p>
                    <a:r>
                      <a:rPr lang="en-US"/>
                      <a:t>3.6</a:t>
                    </a:r>
                  </a:p>
                </c:rich>
              </c:tx>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F758-4EC2-983D-194300C0F712}"/>
                </c:ext>
              </c:extLst>
            </c:dLbl>
            <c:dLbl>
              <c:idx val="10"/>
              <c:layout>
                <c:manualLayout>
                  <c:x val="-6.88298918387414E-2"/>
                  <c:y val="4.44439310243607E-17"/>
                </c:manualLayout>
              </c:layout>
              <c:tx>
                <c:rich>
                  <a:bodyPr/>
                  <a:lstStyle/>
                  <a:p>
                    <a:r>
                      <a:rPr lang="en-US"/>
                      <a:t>1.7</a:t>
                    </a:r>
                  </a:p>
                </c:rich>
              </c:tx>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F758-4EC2-983D-194300C0F712}"/>
                </c:ext>
              </c:extLst>
            </c:dLbl>
            <c:dLbl>
              <c:idx val="11"/>
              <c:layout>
                <c:manualLayout>
                  <c:x val="-8.2595870206489674E-2"/>
                  <c:y val="0"/>
                </c:manualLayout>
              </c:layout>
              <c:tx>
                <c:rich>
                  <a:bodyPr/>
                  <a:lstStyle/>
                  <a:p>
                    <a:r>
                      <a:rPr lang="en-US"/>
                      <a:t>2.1</a:t>
                    </a:r>
                  </a:p>
                </c:rich>
              </c:tx>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F758-4EC2-983D-194300C0F712}"/>
                </c:ext>
              </c:extLst>
            </c:dLbl>
            <c:dLbl>
              <c:idx val="12"/>
              <c:layout>
                <c:manualLayout>
                  <c:x val="-4.71976401179941E-2"/>
                  <c:y val="0"/>
                </c:manualLayout>
              </c:layout>
              <c:tx>
                <c:rich>
                  <a:bodyPr/>
                  <a:lstStyle/>
                  <a:p>
                    <a:r>
                      <a:rPr lang="en-US"/>
                      <a:t>0.7</a:t>
                    </a:r>
                  </a:p>
                </c:rich>
              </c:tx>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F758-4EC2-983D-194300C0F712}"/>
                </c:ext>
              </c:extLst>
            </c:dLbl>
            <c:dLbl>
              <c:idx val="13"/>
              <c:layout>
                <c:manualLayout>
                  <c:x val="-0.23402163225172073"/>
                  <c:y val="0"/>
                </c:manualLayout>
              </c:layout>
              <c:tx>
                <c:rich>
                  <a:bodyPr/>
                  <a:lstStyle/>
                  <a:p>
                    <a:r>
                      <a:rPr lang="en-US"/>
                      <a:t>8.5</a:t>
                    </a:r>
                  </a:p>
                </c:rich>
              </c:tx>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F758-4EC2-983D-194300C0F712}"/>
                </c:ext>
              </c:extLst>
            </c:dLbl>
            <c:dLbl>
              <c:idx val="14"/>
              <c:layout>
                <c:manualLayout>
                  <c:x val="-7.0796460176991149E-2"/>
                  <c:y val="0"/>
                </c:manualLayout>
              </c:layout>
              <c:tx>
                <c:rich>
                  <a:bodyPr/>
                  <a:lstStyle/>
                  <a:p>
                    <a:r>
                      <a:rPr lang="en-US"/>
                      <a:t>1.8</a:t>
                    </a:r>
                  </a:p>
                </c:rich>
              </c:tx>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F758-4EC2-983D-194300C0F712}"/>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'5.6'!$H$5:$H$20</c:f>
              <c:strCache>
                <c:ptCount val="15"/>
                <c:pt idx="0">
                  <c:v>Finance &amp; Insurance</c:v>
                </c:pt>
                <c:pt idx="1">
                  <c:v>Information</c:v>
                </c:pt>
                <c:pt idx="2">
                  <c:v>Professional &amp; Business Srvcs</c:v>
                </c:pt>
                <c:pt idx="3">
                  <c:v>Other Services</c:v>
                </c:pt>
                <c:pt idx="4">
                  <c:v>Educational Services</c:v>
                </c:pt>
                <c:pt idx="5">
                  <c:v>Utilities</c:v>
                </c:pt>
                <c:pt idx="6">
                  <c:v>Leisure &amp; Hospitality</c:v>
                </c:pt>
                <c:pt idx="7">
                  <c:v>Agric., Forestry, Fishing &amp; Hunting</c:v>
                </c:pt>
                <c:pt idx="8">
                  <c:v>Manufacturing</c:v>
                </c:pt>
                <c:pt idx="9">
                  <c:v>Retail Trade</c:v>
                </c:pt>
                <c:pt idx="10">
                  <c:v>Wholesale Trade</c:v>
                </c:pt>
                <c:pt idx="11">
                  <c:v>Construction</c:v>
                </c:pt>
                <c:pt idx="12">
                  <c:v>Real Estate and Rental/Leasing</c:v>
                </c:pt>
                <c:pt idx="13">
                  <c:v>Health Care and Social Assistance</c:v>
                </c:pt>
                <c:pt idx="14">
                  <c:v>Transportation &amp; Warehousing</c:v>
                </c:pt>
              </c:strCache>
            </c:strRef>
          </c:cat>
          <c:val>
            <c:numRef>
              <c:f>'5.6'!$I$5:$I$20</c:f>
              <c:numCache>
                <c:formatCode>0.0</c:formatCode>
                <c:ptCount val="15"/>
                <c:pt idx="0">
                  <c:v>-0.12</c:v>
                </c:pt>
                <c:pt idx="1">
                  <c:v>-0.34</c:v>
                </c:pt>
                <c:pt idx="2">
                  <c:v>-2.2400000000000002</c:v>
                </c:pt>
                <c:pt idx="3">
                  <c:v>-0.75</c:v>
                </c:pt>
                <c:pt idx="4">
                  <c:v>-1</c:v>
                </c:pt>
                <c:pt idx="5">
                  <c:v>-0.14000000000000001</c:v>
                </c:pt>
                <c:pt idx="6">
                  <c:v>-2.5499999999999998</c:v>
                </c:pt>
                <c:pt idx="7">
                  <c:v>-0.06</c:v>
                </c:pt>
                <c:pt idx="8">
                  <c:v>-3.48</c:v>
                </c:pt>
                <c:pt idx="9">
                  <c:v>-3.55</c:v>
                </c:pt>
                <c:pt idx="10">
                  <c:v>-1.74</c:v>
                </c:pt>
                <c:pt idx="11">
                  <c:v>-2.13</c:v>
                </c:pt>
                <c:pt idx="12">
                  <c:v>-0.67</c:v>
                </c:pt>
                <c:pt idx="13">
                  <c:v>-8.4499999999999993</c:v>
                </c:pt>
                <c:pt idx="14">
                  <c:v>-1.77</c:v>
                </c:pt>
              </c:numCache>
            </c:numRef>
          </c:val>
          <c:extLst xmlns:c16r2="http://schemas.microsoft.com/office/drawing/2015/06/chart">
            <c:ext xmlns:c16="http://schemas.microsoft.com/office/drawing/2014/chart" uri="{C3380CC4-5D6E-409C-BE32-E72D297353CC}">
              <c16:uniqueId val="{00000010-F758-4EC2-983D-194300C0F712}"/>
            </c:ext>
          </c:extLst>
        </c:ser>
        <c:ser>
          <c:idx val="1"/>
          <c:order val="1"/>
          <c:tx>
            <c:strRef>
              <c:f>'5.6'!$J$4</c:f>
              <c:strCache>
                <c:ptCount val="1"/>
                <c:pt idx="0">
                  <c:v>Rate (cases per 100 FTE workers)</c:v>
                </c:pt>
              </c:strCache>
            </c:strRef>
          </c:tx>
          <c:spPr>
            <a:pattFill prst="ltUpDiag">
              <a:fgClr>
                <a:srgbClr val="EFF3FF"/>
              </a:fgClr>
              <a:bgClr>
                <a:srgbClr val="3182BD"/>
              </a:bgClr>
            </a:pattFill>
            <a:ln>
              <a:noFill/>
            </a:ln>
            <a:effectLst/>
          </c:spPr>
          <c:invertIfNegative val="0"/>
          <c:dLbls>
            <c:dLbl>
              <c:idx val="0"/>
              <c:layout>
                <c:manualLayout>
                  <c:x val="2.7531956735496559E-2"/>
                  <c:y val="0"/>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F758-4EC2-983D-194300C0F712}"/>
                </c:ext>
              </c:extLst>
            </c:dLbl>
            <c:dLbl>
              <c:idx val="1"/>
              <c:layout>
                <c:manualLayout>
                  <c:x val="3.1465093411995923E-2"/>
                  <c:y val="0"/>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2-F758-4EC2-983D-194300C0F712}"/>
                </c:ext>
              </c:extLst>
            </c:dLbl>
            <c:dLbl>
              <c:idx val="2"/>
              <c:layout>
                <c:manualLayout>
                  <c:x val="3.3431661750245818E-2"/>
                  <c:y val="-8.8887862048721399E-17"/>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3-F758-4EC2-983D-194300C0F712}"/>
                </c:ext>
              </c:extLst>
            </c:dLbl>
            <c:dLbl>
              <c:idx val="3"/>
              <c:layout>
                <c:manualLayout>
                  <c:x val="4.5231071779744343E-2"/>
                  <c:y val="-8.8887862048721399E-17"/>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4-F758-4EC2-983D-194300C0F712}"/>
                </c:ext>
              </c:extLst>
            </c:dLbl>
            <c:dLbl>
              <c:idx val="4"/>
              <c:layout>
                <c:manualLayout>
                  <c:x val="4.71976401179941E-2"/>
                  <c:y val="0"/>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5-F758-4EC2-983D-194300C0F712}"/>
                </c:ext>
              </c:extLst>
            </c:dLbl>
            <c:dLbl>
              <c:idx val="5"/>
              <c:layout>
                <c:manualLayout>
                  <c:x val="4.71976401179941E-2"/>
                  <c:y val="-8.8887862048721399E-17"/>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6-F758-4EC2-983D-194300C0F712}"/>
                </c:ext>
              </c:extLst>
            </c:dLbl>
            <c:dLbl>
              <c:idx val="6"/>
              <c:layout>
                <c:manualLayout>
                  <c:x val="5.3097345132743362E-2"/>
                  <c:y val="0"/>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7-F758-4EC2-983D-194300C0F712}"/>
                </c:ext>
              </c:extLst>
            </c:dLbl>
            <c:dLbl>
              <c:idx val="7"/>
              <c:layout>
                <c:manualLayout>
                  <c:x val="5.5063913470993119E-2"/>
                  <c:y val="0"/>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8-F758-4EC2-983D-194300C0F712}"/>
                </c:ext>
              </c:extLst>
            </c:dLbl>
            <c:dLbl>
              <c:idx val="8"/>
              <c:layout>
                <c:manualLayout>
                  <c:x val="5.8997050147492625E-2"/>
                  <c:y val="-8.8887862048721399E-17"/>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9-F758-4EC2-983D-194300C0F712}"/>
                </c:ext>
              </c:extLst>
            </c:dLbl>
            <c:dLbl>
              <c:idx val="9"/>
              <c:layout>
                <c:manualLayout>
                  <c:x val="5.7030481809242868E-2"/>
                  <c:y val="0"/>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A-F758-4EC2-983D-194300C0F712}"/>
                </c:ext>
              </c:extLst>
            </c:dLbl>
            <c:dLbl>
              <c:idx val="10"/>
              <c:layout>
                <c:manualLayout>
                  <c:x val="6.0963618485742235E-2"/>
                  <c:y val="-4.44439310243607E-17"/>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B-F758-4EC2-983D-194300C0F712}"/>
                </c:ext>
              </c:extLst>
            </c:dLbl>
            <c:dLbl>
              <c:idx val="11"/>
              <c:layout>
                <c:manualLayout>
                  <c:x val="6.6863323500491637E-2"/>
                  <c:y val="0"/>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C-F758-4EC2-983D-194300C0F712}"/>
                </c:ext>
              </c:extLst>
            </c:dLbl>
            <c:dLbl>
              <c:idx val="12"/>
              <c:layout>
                <c:manualLayout>
                  <c:x val="6.88298918387414E-2"/>
                  <c:y val="0"/>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D-F758-4EC2-983D-194300C0F712}"/>
                </c:ext>
              </c:extLst>
            </c:dLbl>
            <c:dLbl>
              <c:idx val="13"/>
              <c:layout>
                <c:manualLayout>
                  <c:x val="7.2763028515240899E-2"/>
                  <c:y val="0"/>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E-F758-4EC2-983D-194300C0F712}"/>
                </c:ext>
              </c:extLst>
            </c:dLbl>
            <c:dLbl>
              <c:idx val="14"/>
              <c:layout>
                <c:manualLayout>
                  <c:x val="8.8495575221238798E-2"/>
                  <c:y val="0"/>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20-F758-4EC2-983D-194300C0F712}"/>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'5.6'!$H$5:$H$20</c:f>
              <c:strCache>
                <c:ptCount val="15"/>
                <c:pt idx="0">
                  <c:v>Finance &amp; Insurance</c:v>
                </c:pt>
                <c:pt idx="1">
                  <c:v>Information</c:v>
                </c:pt>
                <c:pt idx="2">
                  <c:v>Professional &amp; Business Srvcs</c:v>
                </c:pt>
                <c:pt idx="3">
                  <c:v>Other Services</c:v>
                </c:pt>
                <c:pt idx="4">
                  <c:v>Educational Services</c:v>
                </c:pt>
                <c:pt idx="5">
                  <c:v>Utilities</c:v>
                </c:pt>
                <c:pt idx="6">
                  <c:v>Leisure &amp; Hospitality</c:v>
                </c:pt>
                <c:pt idx="7">
                  <c:v>Agric., Forestry, Fishing &amp; Hunting</c:v>
                </c:pt>
                <c:pt idx="8">
                  <c:v>Manufacturing</c:v>
                </c:pt>
                <c:pt idx="9">
                  <c:v>Retail Trade</c:v>
                </c:pt>
                <c:pt idx="10">
                  <c:v>Wholesale Trade</c:v>
                </c:pt>
                <c:pt idx="11">
                  <c:v>Construction</c:v>
                </c:pt>
                <c:pt idx="12">
                  <c:v>Real Estate and Rental/Leasing</c:v>
                </c:pt>
                <c:pt idx="13">
                  <c:v>Health Care and Social Assistance</c:v>
                </c:pt>
                <c:pt idx="14">
                  <c:v>Transportation &amp; Warehousing</c:v>
                </c:pt>
              </c:strCache>
            </c:strRef>
          </c:cat>
          <c:val>
            <c:numRef>
              <c:f>'5.6'!$J$5:$J$20</c:f>
              <c:numCache>
                <c:formatCode>0.0</c:formatCode>
                <c:ptCount val="15"/>
                <c:pt idx="0">
                  <c:v>7.5999999999999998E-2</c:v>
                </c:pt>
                <c:pt idx="1">
                  <c:v>0.42899999999999999</c:v>
                </c:pt>
                <c:pt idx="2">
                  <c:v>0.47099999999999997</c:v>
                </c:pt>
                <c:pt idx="3">
                  <c:v>0.91</c:v>
                </c:pt>
                <c:pt idx="4">
                  <c:v>0.97799999999999998</c:v>
                </c:pt>
                <c:pt idx="5">
                  <c:v>1.1910000000000001</c:v>
                </c:pt>
                <c:pt idx="6">
                  <c:v>1.2430000000000001</c:v>
                </c:pt>
                <c:pt idx="7">
                  <c:v>1.3169999999999999</c:v>
                </c:pt>
                <c:pt idx="8">
                  <c:v>1.4350000000000001</c:v>
                </c:pt>
                <c:pt idx="9">
                  <c:v>1.4530000000000001</c:v>
                </c:pt>
                <c:pt idx="10">
                  <c:v>1.4930000000000001</c:v>
                </c:pt>
                <c:pt idx="11">
                  <c:v>1.724</c:v>
                </c:pt>
                <c:pt idx="12">
                  <c:v>1.7689999999999999</c:v>
                </c:pt>
                <c:pt idx="13">
                  <c:v>1.927</c:v>
                </c:pt>
                <c:pt idx="14">
                  <c:v>2.7349999999999999</c:v>
                </c:pt>
              </c:numCache>
            </c:numRef>
          </c:val>
          <c:extLst xmlns:c16r2="http://schemas.microsoft.com/office/drawing/2015/06/chart">
            <c:ext xmlns:c16="http://schemas.microsoft.com/office/drawing/2014/chart" uri="{C3380CC4-5D6E-409C-BE32-E72D297353CC}">
              <c16:uniqueId val="{00000021-F758-4EC2-983D-194300C0F712}"/>
            </c:ext>
          </c:extLst>
        </c:ser>
        <c:dLbls>
          <c:dLblPos val="ctr"/>
          <c:showLegendKey val="0"/>
          <c:showVal val="1"/>
          <c:showCatName val="0"/>
          <c:showSerName val="0"/>
          <c:showPercent val="0"/>
          <c:showBubbleSize val="0"/>
        </c:dLbls>
        <c:gapWidth val="48"/>
        <c:overlap val="100"/>
        <c:axId val="127761024"/>
        <c:axId val="135467392"/>
      </c:barChart>
      <c:catAx>
        <c:axId val="127761024"/>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5467392"/>
        <c:crosses val="autoZero"/>
        <c:auto val="1"/>
        <c:lblAlgn val="ctr"/>
        <c:lblOffset val="100"/>
        <c:noMultiLvlLbl val="0"/>
      </c:catAx>
      <c:valAx>
        <c:axId val="135467392"/>
        <c:scaling>
          <c:orientation val="minMax"/>
        </c:scaling>
        <c:delete val="1"/>
        <c:axPos val="b"/>
        <c:numFmt formatCode="0.0" sourceLinked="1"/>
        <c:majorTickMark val="none"/>
        <c:minorTickMark val="none"/>
        <c:tickLblPos val="nextTo"/>
        <c:crossAx val="127761024"/>
        <c:crosses val="autoZero"/>
        <c:crossBetween val="between"/>
      </c:valAx>
      <c:spPr>
        <a:noFill/>
        <a:ln>
          <a:noFill/>
        </a:ln>
        <a:effectLst/>
      </c:spPr>
    </c:plotArea>
    <c:legend>
      <c:legendPos val="b"/>
      <c:layout>
        <c:manualLayout>
          <c:xMode val="edge"/>
          <c:yMode val="edge"/>
          <c:x val="0.42858089641449687"/>
          <c:y val="0.94454516821760937"/>
          <c:w val="0.57141910358550319"/>
          <c:h val="4.3837365783822475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'5.7'!$R$4</c:f>
              <c:strCache>
                <c:ptCount val="1"/>
                <c:pt idx="0">
                  <c:v>Hispanic</c:v>
                </c:pt>
              </c:strCache>
            </c:strRef>
          </c:tx>
          <c:spPr>
            <a:solidFill>
              <a:srgbClr val="3182BD"/>
            </a:solidFill>
            <a:ln>
              <a:noFill/>
            </a:ln>
            <a:effectLst/>
          </c:spPr>
          <c:invertIfNegative val="0"/>
          <c:dLbls>
            <c:dLbl>
              <c:idx val="0"/>
              <c:layout>
                <c:manualLayout>
                  <c:x val="0"/>
                  <c:y val="-2.1063707265552654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6BDF-4572-B358-AE827C97F9D2}"/>
                </c:ext>
              </c:extLst>
            </c:dLbl>
            <c:dLbl>
              <c:idx val="1"/>
              <c:layout>
                <c:manualLayout>
                  <c:x val="0"/>
                  <c:y val="-1.6850965812442116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6BDF-4572-B358-AE827C97F9D2}"/>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errBars>
            <c:errBarType val="both"/>
            <c:errValType val="cust"/>
            <c:noEndCap val="0"/>
            <c:plus>
              <c:numRef>
                <c:f>'5.7'!$L$5:$L$9</c:f>
                <c:numCache>
                  <c:formatCode>General</c:formatCode>
                  <c:ptCount val="5"/>
                  <c:pt idx="0">
                    <c:v>7.5</c:v>
                  </c:pt>
                  <c:pt idx="1">
                    <c:v>5.2000000000000028</c:v>
                  </c:pt>
                  <c:pt idx="2">
                    <c:v>3.5999999999999943</c:v>
                  </c:pt>
                  <c:pt idx="3">
                    <c:v>1.2999999999999998</c:v>
                  </c:pt>
                  <c:pt idx="4">
                    <c:v>1</c:v>
                  </c:pt>
                </c:numCache>
              </c:numRef>
            </c:plus>
            <c:minus>
              <c:numRef>
                <c:f>'5.7'!$M$5:$M$9</c:f>
                <c:numCache>
                  <c:formatCode>General</c:formatCode>
                  <c:ptCount val="5"/>
                  <c:pt idx="0">
                    <c:v>7.5</c:v>
                  </c:pt>
                  <c:pt idx="1">
                    <c:v>5.2999999999999972</c:v>
                  </c:pt>
                  <c:pt idx="2">
                    <c:v>3.6000000000000014</c:v>
                  </c:pt>
                  <c:pt idx="3">
                    <c:v>1.1999999999999997</c:v>
                  </c:pt>
                  <c:pt idx="4">
                    <c:v>1</c:v>
                  </c:pt>
                </c:numCache>
              </c:numRef>
            </c:minus>
            <c:spPr>
              <a:noFill/>
              <a:ln w="9525" cap="flat" cmpd="sng" algn="ctr">
                <a:solidFill>
                  <a:sysClr val="window" lastClr="FFFFFF">
                    <a:lumMod val="65000"/>
                  </a:sysClr>
                </a:solidFill>
                <a:round/>
              </a:ln>
              <a:effectLst/>
            </c:spPr>
          </c:errBars>
          <c:cat>
            <c:strRef>
              <c:f>'5.7'!$S$3:$W$3</c:f>
              <c:strCache>
                <c:ptCount val="5"/>
                <c:pt idx="0">
                  <c:v>All Cause</c:v>
                </c:pt>
                <c:pt idx="1">
                  <c:v>Injury</c:v>
                </c:pt>
                <c:pt idx="2">
                  <c:v>Fracture</c:v>
                </c:pt>
                <c:pt idx="3">
                  <c:v>Burn</c:v>
                </c:pt>
                <c:pt idx="4">
                  <c:v>Amputation</c:v>
                </c:pt>
              </c:strCache>
            </c:strRef>
          </c:cat>
          <c:val>
            <c:numRef>
              <c:f>'5.7'!$S$4:$W$4</c:f>
              <c:numCache>
                <c:formatCode>0.0</c:formatCode>
                <c:ptCount val="5"/>
                <c:pt idx="0">
                  <c:v>134.1</c:v>
                </c:pt>
                <c:pt idx="1">
                  <c:v>69</c:v>
                </c:pt>
                <c:pt idx="2">
                  <c:v>33.200000000000003</c:v>
                </c:pt>
                <c:pt idx="3">
                  <c:v>3.8</c:v>
                </c:pt>
                <c:pt idx="4">
                  <c:v>2.5</c:v>
                </c:pt>
              </c:numCache>
            </c:numRef>
          </c:val>
          <c:extLst xmlns:c16r2="http://schemas.microsoft.com/office/drawing/2015/06/chart">
            <c:ext xmlns:c16="http://schemas.microsoft.com/office/drawing/2014/chart" uri="{C3380CC4-5D6E-409C-BE32-E72D297353CC}">
              <c16:uniqueId val="{00000003-6BDF-4572-B358-AE827C97F9D2}"/>
            </c:ext>
          </c:extLst>
        </c:ser>
        <c:ser>
          <c:idx val="1"/>
          <c:order val="1"/>
          <c:tx>
            <c:strRef>
              <c:f>'5.7'!$R$5</c:f>
              <c:strCache>
                <c:ptCount val="1"/>
                <c:pt idx="0">
                  <c:v>White non-Hispanic</c:v>
                </c:pt>
              </c:strCache>
            </c:strRef>
          </c:tx>
          <c:spPr>
            <a:pattFill prst="ltUpDiag">
              <a:fgClr>
                <a:srgbClr val="EFF3FF"/>
              </a:fgClr>
              <a:bgClr>
                <a:srgbClr val="203864"/>
              </a:bgClr>
            </a:patt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'5.7'!$N$5:$N$9</c:f>
                <c:numCache>
                  <c:formatCode>General</c:formatCode>
                  <c:ptCount val="5"/>
                  <c:pt idx="0">
                    <c:v>0.80000000000001137</c:v>
                  </c:pt>
                  <c:pt idx="1">
                    <c:v>1</c:v>
                  </c:pt>
                  <c:pt idx="2">
                    <c:v>0.69999999999999929</c:v>
                  </c:pt>
                  <c:pt idx="3">
                    <c:v>0.19999999999999996</c:v>
                  </c:pt>
                  <c:pt idx="4">
                    <c:v>0.10000000000000003</c:v>
                  </c:pt>
                </c:numCache>
              </c:numRef>
            </c:plus>
            <c:minus>
              <c:numRef>
                <c:f>'5.7'!$O$5:$O$9</c:f>
                <c:numCache>
                  <c:formatCode>General</c:formatCode>
                  <c:ptCount val="5"/>
                  <c:pt idx="0">
                    <c:v>1.7999999999999972</c:v>
                  </c:pt>
                  <c:pt idx="1">
                    <c:v>1.1000000000000014</c:v>
                  </c:pt>
                  <c:pt idx="2">
                    <c:v>0.80000000000000071</c:v>
                  </c:pt>
                  <c:pt idx="3">
                    <c:v>0.19999999999999996</c:v>
                  </c:pt>
                  <c:pt idx="4">
                    <c:v>9.9999999999999978E-2</c:v>
                  </c:pt>
                </c:numCache>
              </c:numRef>
            </c:minus>
            <c:spPr>
              <a:noFill/>
              <a:ln w="9525" cap="flat" cmpd="sng" algn="ctr">
                <a:solidFill>
                  <a:sysClr val="window" lastClr="FFFFFF">
                    <a:lumMod val="65000"/>
                  </a:sysClr>
                </a:solidFill>
                <a:round/>
              </a:ln>
              <a:effectLst/>
            </c:spPr>
          </c:errBars>
          <c:cat>
            <c:strRef>
              <c:f>'5.7'!$S$3:$W$3</c:f>
              <c:strCache>
                <c:ptCount val="5"/>
                <c:pt idx="0">
                  <c:v>All Cause</c:v>
                </c:pt>
                <c:pt idx="1">
                  <c:v>Injury</c:v>
                </c:pt>
                <c:pt idx="2">
                  <c:v>Fracture</c:v>
                </c:pt>
                <c:pt idx="3">
                  <c:v>Burn</c:v>
                </c:pt>
                <c:pt idx="4">
                  <c:v>Amputation</c:v>
                </c:pt>
              </c:strCache>
            </c:strRef>
          </c:cat>
          <c:val>
            <c:numRef>
              <c:f>'5.7'!$S$5:$W$5</c:f>
              <c:numCache>
                <c:formatCode>0.0</c:formatCode>
                <c:ptCount val="5"/>
                <c:pt idx="0">
                  <c:v>81.099999999999994</c:v>
                </c:pt>
                <c:pt idx="1">
                  <c:v>31.1</c:v>
                </c:pt>
                <c:pt idx="2">
                  <c:v>14.4</c:v>
                </c:pt>
                <c:pt idx="3">
                  <c:v>1</c:v>
                </c:pt>
                <c:pt idx="4">
                  <c:v>0.3</c:v>
                </c:pt>
              </c:numCache>
            </c:numRef>
          </c:val>
          <c:extLst xmlns:c16r2="http://schemas.microsoft.com/office/drawing/2015/06/chart">
            <c:ext xmlns:c16="http://schemas.microsoft.com/office/drawing/2014/chart" uri="{C3380CC4-5D6E-409C-BE32-E72D297353CC}">
              <c16:uniqueId val="{00000005-6BDF-4572-B358-AE827C97F9D2}"/>
            </c:ext>
          </c:extLst>
        </c:ser>
        <c:dLbls>
          <c:dLblPos val="outEnd"/>
          <c:showLegendKey val="0"/>
          <c:showVal val="1"/>
          <c:showCatName val="0"/>
          <c:showSerName val="0"/>
          <c:showPercent val="0"/>
          <c:showBubbleSize val="0"/>
        </c:dLbls>
        <c:gapWidth val="108"/>
        <c:overlap val="-16"/>
        <c:axId val="135959296"/>
        <c:axId val="135960832"/>
      </c:barChart>
      <c:catAx>
        <c:axId val="135959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5960832"/>
        <c:crosses val="autoZero"/>
        <c:auto val="1"/>
        <c:lblAlgn val="ctr"/>
        <c:lblOffset val="100"/>
        <c:noMultiLvlLbl val="0"/>
      </c:catAx>
      <c:valAx>
        <c:axId val="135960832"/>
        <c:scaling>
          <c:orientation val="minMax"/>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a:t>Rate per 100,000 FTE Workers </a:t>
                </a:r>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59592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4306048658628574"/>
          <c:y val="3.230544065707925E-2"/>
          <c:w val="0.63981806097528915"/>
          <c:h val="0.8682081395373038"/>
        </c:manualLayout>
      </c:layout>
      <c:barChart>
        <c:barDir val="bar"/>
        <c:grouping val="stacked"/>
        <c:varyColors val="0"/>
        <c:ser>
          <c:idx val="0"/>
          <c:order val="0"/>
          <c:tx>
            <c:strRef>
              <c:f>'5.8'!$B$4</c:f>
              <c:strCache>
                <c:ptCount val="1"/>
                <c:pt idx="0">
                  <c:v>Number</c:v>
                </c:pt>
              </c:strCache>
            </c:strRef>
          </c:tx>
          <c:spPr>
            <a:solidFill>
              <a:srgbClr val="203864"/>
            </a:solidFill>
            <a:ln>
              <a:noFill/>
            </a:ln>
            <a:effectLst/>
          </c:spPr>
          <c:invertIfNegative val="0"/>
          <c:dLbls>
            <c:dLbl>
              <c:idx val="0"/>
              <c:layout>
                <c:manualLayout>
                  <c:x val="-6.2065265089291152E-2"/>
                  <c:y val="1.076835582206106E-16"/>
                </c:manualLayout>
              </c:layout>
              <c:tx>
                <c:rich>
                  <a:bodyPr/>
                  <a:lstStyle/>
                  <a:p>
                    <a:r>
                      <a:rPr lang="en-US"/>
                      <a:t>22</a:t>
                    </a:r>
                  </a:p>
                </c:rich>
              </c:tx>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4882-49A3-8FE8-BD05A49DA6F0}"/>
                </c:ext>
              </c:extLst>
            </c:dLbl>
            <c:dLbl>
              <c:idx val="1"/>
              <c:layout>
                <c:manualLayout>
                  <c:x val="-5.3504538870078666E-2"/>
                  <c:y val="1.076835582206106E-16"/>
                </c:manualLayout>
              </c:layout>
              <c:tx>
                <c:rich>
                  <a:bodyPr/>
                  <a:lstStyle/>
                  <a:p>
                    <a:r>
                      <a:rPr lang="en-US"/>
                      <a:t>16</a:t>
                    </a:r>
                  </a:p>
                </c:rich>
              </c:tx>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4882-49A3-8FE8-BD05A49DA6F0}"/>
                </c:ext>
              </c:extLst>
            </c:dLbl>
            <c:dLbl>
              <c:idx val="2"/>
              <c:layout>
                <c:manualLayout>
                  <c:x val="-3.4242904876850402E-2"/>
                  <c:y val="0"/>
                </c:manualLayout>
              </c:layout>
              <c:tx>
                <c:rich>
                  <a:bodyPr/>
                  <a:lstStyle/>
                  <a:p>
                    <a:r>
                      <a:rPr lang="en-US"/>
                      <a:t>6</a:t>
                    </a:r>
                  </a:p>
                </c:rich>
              </c:tx>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4882-49A3-8FE8-BD05A49DA6F0}"/>
                </c:ext>
              </c:extLst>
            </c:dLbl>
            <c:dLbl>
              <c:idx val="3"/>
              <c:layout>
                <c:manualLayout>
                  <c:x val="-7.0625991308503638E-2"/>
                  <c:y val="0"/>
                </c:manualLayout>
              </c:layout>
              <c:tx>
                <c:rich>
                  <a:bodyPr/>
                  <a:lstStyle/>
                  <a:p>
                    <a:r>
                      <a:rPr lang="en-US"/>
                      <a:t>27</a:t>
                    </a:r>
                  </a:p>
                </c:rich>
              </c:tx>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4882-49A3-8FE8-BD05A49DA6F0}"/>
                </c:ext>
              </c:extLst>
            </c:dLbl>
            <c:dLbl>
              <c:idx val="4"/>
              <c:layout>
                <c:manualLayout>
                  <c:x val="-9.6308169966141319E-2"/>
                  <c:y val="0"/>
                </c:manualLayout>
              </c:layout>
              <c:tx>
                <c:rich>
                  <a:bodyPr/>
                  <a:lstStyle/>
                  <a:p>
                    <a:r>
                      <a:rPr lang="en-US"/>
                      <a:t>44</a:t>
                    </a:r>
                  </a:p>
                </c:rich>
              </c:tx>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4882-49A3-8FE8-BD05A49DA6F0}"/>
                </c:ext>
              </c:extLst>
            </c:dLbl>
            <c:dLbl>
              <c:idx val="5"/>
              <c:layout>
                <c:manualLayout>
                  <c:x val="-6.4205446644094291E-2"/>
                  <c:y val="5.3841779110305301E-17"/>
                </c:manualLayout>
              </c:layout>
              <c:tx>
                <c:rich>
                  <a:bodyPr/>
                  <a:lstStyle/>
                  <a:p>
                    <a:r>
                      <a:rPr lang="en-US"/>
                      <a:t>24</a:t>
                    </a:r>
                  </a:p>
                </c:rich>
              </c:tx>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4882-49A3-8FE8-BD05A49DA6F0}"/>
                </c:ext>
              </c:extLst>
            </c:dLbl>
            <c:dLbl>
              <c:idx val="6"/>
              <c:layout>
                <c:manualLayout>
                  <c:x val="-0.10700907774015701"/>
                  <c:y val="0"/>
                </c:manualLayout>
              </c:layout>
              <c:tx>
                <c:rich>
                  <a:bodyPr/>
                  <a:lstStyle/>
                  <a:p>
                    <a:r>
                      <a:rPr lang="en-US"/>
                      <a:t>49</a:t>
                    </a:r>
                  </a:p>
                </c:rich>
              </c:tx>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4882-49A3-8FE8-BD05A49DA6F0}"/>
                </c:ext>
              </c:extLst>
            </c:dLbl>
            <c:dLbl>
              <c:idx val="7"/>
              <c:layout>
                <c:manualLayout>
                  <c:x val="-0.121990348623779"/>
                  <c:y val="5.3841779110305301E-17"/>
                </c:manualLayout>
              </c:layout>
              <c:tx>
                <c:rich>
                  <a:bodyPr/>
                  <a:lstStyle/>
                  <a:p>
                    <a:r>
                      <a:rPr lang="en-US"/>
                      <a:t>59</a:t>
                    </a:r>
                  </a:p>
                </c:rich>
              </c:tx>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4882-49A3-8FE8-BD05A49DA6F0}"/>
                </c:ext>
              </c:extLst>
            </c:dLbl>
            <c:dLbl>
              <c:idx val="8"/>
              <c:layout>
                <c:manualLayout>
                  <c:x val="-6.4205446644094291E-2"/>
                  <c:y val="0"/>
                </c:manualLayout>
              </c:layout>
              <c:tx>
                <c:rich>
                  <a:bodyPr/>
                  <a:lstStyle/>
                  <a:p>
                    <a:r>
                      <a:rPr lang="en-US"/>
                      <a:t>25</a:t>
                    </a:r>
                  </a:p>
                </c:rich>
              </c:tx>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4882-49A3-8FE8-BD05A49DA6F0}"/>
                </c:ext>
              </c:extLst>
            </c:dLbl>
            <c:dLbl>
              <c:idx val="9"/>
              <c:layout>
                <c:manualLayout>
                  <c:x val="-0.1112894408497633"/>
                  <c:y val="0"/>
                </c:manualLayout>
              </c:layout>
              <c:tx>
                <c:rich>
                  <a:bodyPr/>
                  <a:lstStyle/>
                  <a:p>
                    <a:r>
                      <a:rPr lang="en-US"/>
                      <a:t>51</a:t>
                    </a:r>
                  </a:p>
                </c:rich>
              </c:tx>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4882-49A3-8FE8-BD05A49DA6F0}"/>
                </c:ext>
              </c:extLst>
            </c:dLbl>
            <c:dLbl>
              <c:idx val="10"/>
              <c:layout>
                <c:manualLayout>
                  <c:x val="-0.22257888169952661"/>
                  <c:y val="0"/>
                </c:manualLayout>
              </c:layout>
              <c:tx>
                <c:rich>
                  <a:bodyPr/>
                  <a:lstStyle/>
                  <a:p>
                    <a:r>
                      <a:rPr lang="en-US"/>
                      <a:t>117</a:t>
                    </a:r>
                  </a:p>
                </c:rich>
              </c:tx>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4882-49A3-8FE8-BD05A49DA6F0}"/>
                </c:ext>
              </c:extLst>
            </c:dLbl>
            <c:dLbl>
              <c:idx val="11"/>
              <c:layout>
                <c:manualLayout>
                  <c:x val="-8.9887625301731972E-2"/>
                  <c:y val="0"/>
                </c:manualLayout>
              </c:layout>
              <c:tx>
                <c:rich>
                  <a:bodyPr/>
                  <a:lstStyle/>
                  <a:p>
                    <a:r>
                      <a:rPr lang="en-US"/>
                      <a:t>38</a:t>
                    </a:r>
                  </a:p>
                </c:rich>
              </c:tx>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4882-49A3-8FE8-BD05A49DA6F0}"/>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'5.8'!$A$5:$A$16</c:f>
              <c:strCache>
                <c:ptCount val="12"/>
                <c:pt idx="0">
                  <c:v>Educational and health services</c:v>
                </c:pt>
                <c:pt idx="1">
                  <c:v>Financial activities</c:v>
                </c:pt>
                <c:pt idx="2">
                  <c:v>Information</c:v>
                </c:pt>
                <c:pt idx="3">
                  <c:v>Manufacturing</c:v>
                </c:pt>
                <c:pt idx="4">
                  <c:v>Professional and business services</c:v>
                </c:pt>
                <c:pt idx="5">
                  <c:v>Leisure and hospitality</c:v>
                </c:pt>
                <c:pt idx="6">
                  <c:v>Wholesale and retail trade</c:v>
                </c:pt>
                <c:pt idx="7">
                  <c:v>Government</c:v>
                </c:pt>
                <c:pt idx="8">
                  <c:v>Other services</c:v>
                </c:pt>
                <c:pt idx="9">
                  <c:v>Transportation and utilities</c:v>
                </c:pt>
                <c:pt idx="10">
                  <c:v>Construction</c:v>
                </c:pt>
                <c:pt idx="11">
                  <c:v>Agriculture, forestry, fishing, and hunting</c:v>
                </c:pt>
              </c:strCache>
            </c:strRef>
          </c:cat>
          <c:val>
            <c:numRef>
              <c:f>'5.8'!$B$5:$B$16</c:f>
              <c:numCache>
                <c:formatCode>General</c:formatCode>
                <c:ptCount val="12"/>
                <c:pt idx="0">
                  <c:v>-22</c:v>
                </c:pt>
                <c:pt idx="1">
                  <c:v>-16</c:v>
                </c:pt>
                <c:pt idx="2">
                  <c:v>-6</c:v>
                </c:pt>
                <c:pt idx="3">
                  <c:v>-27</c:v>
                </c:pt>
                <c:pt idx="4">
                  <c:v>-44</c:v>
                </c:pt>
                <c:pt idx="5">
                  <c:v>-24</c:v>
                </c:pt>
                <c:pt idx="6">
                  <c:v>-49</c:v>
                </c:pt>
                <c:pt idx="7">
                  <c:v>-59</c:v>
                </c:pt>
                <c:pt idx="8">
                  <c:v>-25</c:v>
                </c:pt>
                <c:pt idx="9">
                  <c:v>-51</c:v>
                </c:pt>
                <c:pt idx="10">
                  <c:v>-117</c:v>
                </c:pt>
                <c:pt idx="11">
                  <c:v>-38</c:v>
                </c:pt>
              </c:numCache>
            </c:numRef>
          </c:val>
          <c:extLst xmlns:c16r2="http://schemas.microsoft.com/office/drawing/2015/06/chart">
            <c:ext xmlns:c16="http://schemas.microsoft.com/office/drawing/2014/chart" uri="{C3380CC4-5D6E-409C-BE32-E72D297353CC}">
              <c16:uniqueId val="{0000000C-4882-49A3-8FE8-BD05A49DA6F0}"/>
            </c:ext>
          </c:extLst>
        </c:ser>
        <c:ser>
          <c:idx val="1"/>
          <c:order val="1"/>
          <c:tx>
            <c:strRef>
              <c:f>'5.8'!$C$4</c:f>
              <c:strCache>
                <c:ptCount val="1"/>
                <c:pt idx="0">
                  <c:v>Rate (per 100,000 FTE workers)</c:v>
                </c:pt>
              </c:strCache>
            </c:strRef>
          </c:tx>
          <c:spPr>
            <a:pattFill prst="ltUpDiag">
              <a:fgClr>
                <a:srgbClr val="EFF3FF"/>
              </a:fgClr>
              <a:bgClr>
                <a:srgbClr val="3182BD"/>
              </a:bgClr>
            </a:pattFill>
            <a:ln>
              <a:noFill/>
            </a:ln>
            <a:effectLst/>
          </c:spPr>
          <c:invertIfNegative val="0"/>
          <c:dLbls>
            <c:dLbl>
              <c:idx val="0"/>
              <c:layout>
                <c:manualLayout>
                  <c:x val="1.9261633993228264E-2"/>
                  <c:y val="-1.076835582206106E-16"/>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4882-49A3-8FE8-BD05A49DA6F0}"/>
                </c:ext>
              </c:extLst>
            </c:dLbl>
            <c:dLbl>
              <c:idx val="1"/>
              <c:layout>
                <c:manualLayout>
                  <c:x val="1.9261633993228108E-2"/>
                  <c:y val="-1.076835582206106E-16"/>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4882-49A3-8FE8-BD05A49DA6F0}"/>
                </c:ext>
              </c:extLst>
            </c:dLbl>
            <c:dLbl>
              <c:idx val="2"/>
              <c:layout>
                <c:manualLayout>
                  <c:x val="2.1401815548031403E-2"/>
                  <c:y val="0"/>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4882-49A3-8FE8-BD05A49DA6F0}"/>
                </c:ext>
              </c:extLst>
            </c:dLbl>
            <c:dLbl>
              <c:idx val="3"/>
              <c:layout>
                <c:manualLayout>
                  <c:x val="1.9261633993228108E-2"/>
                  <c:y val="0"/>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0-4882-49A3-8FE8-BD05A49DA6F0}"/>
                </c:ext>
              </c:extLst>
            </c:dLbl>
            <c:dLbl>
              <c:idx val="4"/>
              <c:layout>
                <c:manualLayout>
                  <c:x val="2.5682178657637528E-2"/>
                  <c:y val="0"/>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4882-49A3-8FE8-BD05A49DA6F0}"/>
                </c:ext>
              </c:extLst>
            </c:dLbl>
            <c:dLbl>
              <c:idx val="5"/>
              <c:layout>
                <c:manualLayout>
                  <c:x val="2.1401815548031246E-2"/>
                  <c:y val="-5.3841779110305301E-17"/>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2-4882-49A3-8FE8-BD05A49DA6F0}"/>
                </c:ext>
              </c:extLst>
            </c:dLbl>
            <c:dLbl>
              <c:idx val="6"/>
              <c:layout>
                <c:manualLayout>
                  <c:x val="2.1401815548031403E-2"/>
                  <c:y val="0"/>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3-4882-49A3-8FE8-BD05A49DA6F0}"/>
                </c:ext>
              </c:extLst>
            </c:dLbl>
            <c:dLbl>
              <c:idx val="7"/>
              <c:layout>
                <c:manualLayout>
                  <c:x val="2.5682178657637684E-2"/>
                  <c:y val="-5.3841779110305301E-17"/>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4-4882-49A3-8FE8-BD05A49DA6F0}"/>
                </c:ext>
              </c:extLst>
            </c:dLbl>
            <c:dLbl>
              <c:idx val="8"/>
              <c:layout>
                <c:manualLayout>
                  <c:x val="3.2102723322047104E-2"/>
                  <c:y val="0"/>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5-4882-49A3-8FE8-BD05A49DA6F0}"/>
                </c:ext>
              </c:extLst>
            </c:dLbl>
            <c:dLbl>
              <c:idx val="9"/>
              <c:layout>
                <c:manualLayout>
                  <c:x val="3.4242904876850243E-2"/>
                  <c:y val="0"/>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6-4882-49A3-8FE8-BD05A49DA6F0}"/>
                </c:ext>
              </c:extLst>
            </c:dLbl>
            <c:dLbl>
              <c:idx val="10"/>
              <c:layout>
                <c:manualLayout>
                  <c:x val="3.6383086431653389E-2"/>
                  <c:y val="0"/>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7-4882-49A3-8FE8-BD05A49DA6F0}"/>
                </c:ext>
              </c:extLst>
            </c:dLbl>
            <c:dLbl>
              <c:idx val="11"/>
              <c:layout>
                <c:manualLayout>
                  <c:x val="8.7747443746928749E-2"/>
                  <c:y val="0"/>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8-4882-49A3-8FE8-BD05A49DA6F0}"/>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'5.8'!$A$5:$A$16</c:f>
              <c:strCache>
                <c:ptCount val="12"/>
                <c:pt idx="0">
                  <c:v>Educational and health services</c:v>
                </c:pt>
                <c:pt idx="1">
                  <c:v>Financial activities</c:v>
                </c:pt>
                <c:pt idx="2">
                  <c:v>Information</c:v>
                </c:pt>
                <c:pt idx="3">
                  <c:v>Manufacturing</c:v>
                </c:pt>
                <c:pt idx="4">
                  <c:v>Professional and business services</c:v>
                </c:pt>
                <c:pt idx="5">
                  <c:v>Leisure and hospitality</c:v>
                </c:pt>
                <c:pt idx="6">
                  <c:v>Wholesale and retail trade</c:v>
                </c:pt>
                <c:pt idx="7">
                  <c:v>Government</c:v>
                </c:pt>
                <c:pt idx="8">
                  <c:v>Other services</c:v>
                </c:pt>
                <c:pt idx="9">
                  <c:v>Transportation and utilities</c:v>
                </c:pt>
                <c:pt idx="10">
                  <c:v>Construction</c:v>
                </c:pt>
                <c:pt idx="11">
                  <c:v>Agriculture, forestry, fishing, and hunting</c:v>
                </c:pt>
              </c:strCache>
            </c:strRef>
          </c:cat>
          <c:val>
            <c:numRef>
              <c:f>'5.8'!$C$5:$C$16</c:f>
              <c:numCache>
                <c:formatCode>0.0</c:formatCode>
                <c:ptCount val="12"/>
                <c:pt idx="0">
                  <c:v>0.40619238292417742</c:v>
                </c:pt>
                <c:pt idx="1">
                  <c:v>0.85323714368138026</c:v>
                </c:pt>
                <c:pt idx="2">
                  <c:v>1.1007157876887037</c:v>
                </c:pt>
                <c:pt idx="3">
                  <c:v>1.136595222217522</c:v>
                </c:pt>
                <c:pt idx="4">
                  <c:v>1.2255663147759148</c:v>
                </c:pt>
                <c:pt idx="5">
                  <c:v>1.3348247600051195</c:v>
                </c:pt>
                <c:pt idx="6">
                  <c:v>1.745179436642921</c:v>
                </c:pt>
                <c:pt idx="7">
                  <c:v>1.8253095366700938</c:v>
                </c:pt>
                <c:pt idx="8">
                  <c:v>2.4636159472683579</c:v>
                </c:pt>
                <c:pt idx="9">
                  <c:v>7.6964048790691422</c:v>
                </c:pt>
                <c:pt idx="10">
                  <c:v>8.1051753799866972</c:v>
                </c:pt>
                <c:pt idx="11">
                  <c:v>38.598344002015693</c:v>
                </c:pt>
              </c:numCache>
            </c:numRef>
          </c:val>
          <c:extLst xmlns:c16r2="http://schemas.microsoft.com/office/drawing/2015/06/chart">
            <c:ext xmlns:c16="http://schemas.microsoft.com/office/drawing/2014/chart" uri="{C3380CC4-5D6E-409C-BE32-E72D297353CC}">
              <c16:uniqueId val="{00000019-4882-49A3-8FE8-BD05A49DA6F0}"/>
            </c:ext>
          </c:extLst>
        </c:ser>
        <c:dLbls>
          <c:dLblPos val="ctr"/>
          <c:showLegendKey val="0"/>
          <c:showVal val="1"/>
          <c:showCatName val="0"/>
          <c:showSerName val="0"/>
          <c:showPercent val="0"/>
          <c:showBubbleSize val="0"/>
        </c:dLbls>
        <c:gapWidth val="39"/>
        <c:overlap val="100"/>
        <c:axId val="149937152"/>
        <c:axId val="149951232"/>
      </c:barChart>
      <c:catAx>
        <c:axId val="149937152"/>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951232"/>
        <c:crosses val="autoZero"/>
        <c:auto val="1"/>
        <c:lblAlgn val="ctr"/>
        <c:lblOffset val="100"/>
        <c:noMultiLvlLbl val="0"/>
      </c:catAx>
      <c:valAx>
        <c:axId val="149951232"/>
        <c:scaling>
          <c:orientation val="minMax"/>
        </c:scaling>
        <c:delete val="1"/>
        <c:axPos val="b"/>
        <c:numFmt formatCode="General" sourceLinked="1"/>
        <c:majorTickMark val="none"/>
        <c:minorTickMark val="none"/>
        <c:tickLblPos val="nextTo"/>
        <c:crossAx val="149937152"/>
        <c:crosses val="autoZero"/>
        <c:crossBetween val="between"/>
      </c:valAx>
      <c:spPr>
        <a:noFill/>
        <a:ln>
          <a:noFill/>
        </a:ln>
        <a:effectLst/>
      </c:spPr>
    </c:plotArea>
    <c:legend>
      <c:legendPos val="b"/>
      <c:layout>
        <c:manualLayout>
          <c:xMode val="edge"/>
          <c:yMode val="edge"/>
          <c:x val="0.52850401646355727"/>
          <c:y val="0.93524389451452705"/>
          <c:w val="0.46957201087414452"/>
          <c:h val="5.3106953208448257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3182BD"/>
            </a:solidFill>
            <a:ln>
              <a:noFill/>
            </a:ln>
            <a:effectLst/>
          </c:spPr>
          <c:invertIfNegative val="0"/>
          <c:dPt>
            <c:idx val="1"/>
            <c:invertIfNegative val="0"/>
            <c:bubble3D val="0"/>
            <c:spPr>
              <a:solidFill>
                <a:srgbClr val="203864"/>
              </a:solidFill>
              <a:ln>
                <a:noFill/>
              </a:ln>
              <a:effectLst/>
            </c:spPr>
            <c:extLst xmlns:c16r2="http://schemas.microsoft.com/office/drawing/2015/06/chart">
              <c:ext xmlns:c16="http://schemas.microsoft.com/office/drawing/2014/chart" uri="{C3380CC4-5D6E-409C-BE32-E72D297353CC}">
                <c16:uniqueId val="{00000001-9D39-4CB1-9F4D-2FF5E4B63ADE}"/>
              </c:ext>
            </c:extLst>
          </c:dPt>
          <c:dPt>
            <c:idx val="3"/>
            <c:invertIfNegative val="0"/>
            <c:bubble3D val="0"/>
            <c:spPr>
              <a:solidFill>
                <a:srgbClr val="203864"/>
              </a:solidFill>
              <a:ln>
                <a:noFill/>
              </a:ln>
              <a:effectLst/>
            </c:spPr>
            <c:extLst xmlns:c16r2="http://schemas.microsoft.com/office/drawing/2015/06/chart">
              <c:ext xmlns:c16="http://schemas.microsoft.com/office/drawing/2014/chart" uri="{C3380CC4-5D6E-409C-BE32-E72D297353CC}">
                <c16:uniqueId val="{00000002-9D39-4CB1-9F4D-2FF5E4B63ADE}"/>
              </c:ext>
            </c:extLst>
          </c:dPt>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en-US"/>
              </a:p>
            </c:txPr>
            <c:dLblPos val="inBase"/>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'5.9'!$A$4:$B$7</c:f>
              <c:multiLvlStrCache>
                <c:ptCount val="4"/>
                <c:lvl>
                  <c:pt idx="0">
                    <c:v>Hispanic
(N=45)</c:v>
                  </c:pt>
                  <c:pt idx="1">
                    <c:v>White non-Hispanic
(N=377)</c:v>
                  </c:pt>
                  <c:pt idx="2">
                    <c:v>Hispanic
(N=8)</c:v>
                  </c:pt>
                  <c:pt idx="3">
                    <c:v>White non-Hispanic
(N=52)</c:v>
                  </c:pt>
                </c:lvl>
                <c:lvl>
                  <c:pt idx="0">
                    <c:v>Rates of All Work-Related Fatalities</c:v>
                  </c:pt>
                  <c:pt idx="2">
                    <c:v>Rates of Fatal Falls in Construction</c:v>
                  </c:pt>
                </c:lvl>
              </c:multiLvlStrCache>
            </c:multiLvlStrRef>
          </c:cat>
          <c:val>
            <c:numRef>
              <c:f>'5.9'!$C$4:$C$7</c:f>
              <c:numCache>
                <c:formatCode>0.0</c:formatCode>
                <c:ptCount val="4"/>
                <c:pt idx="0">
                  <c:v>2.6687858803435023</c:v>
                </c:pt>
                <c:pt idx="1">
                  <c:v>1.9166882294092473</c:v>
                </c:pt>
                <c:pt idx="2">
                  <c:v>7.4195950655519303</c:v>
                </c:pt>
                <c:pt idx="3">
                  <c:v>4.1687862411586316</c:v>
                </c:pt>
              </c:numCache>
            </c:numRef>
          </c:val>
          <c:extLst xmlns:c16r2="http://schemas.microsoft.com/office/drawing/2015/06/chart">
            <c:ext xmlns:c16="http://schemas.microsoft.com/office/drawing/2014/chart" uri="{C3380CC4-5D6E-409C-BE32-E72D297353CC}">
              <c16:uniqueId val="{00000000-9D39-4CB1-9F4D-2FF5E4B63ADE}"/>
            </c:ext>
          </c:extLst>
        </c:ser>
        <c:dLbls>
          <c:dLblPos val="outEnd"/>
          <c:showLegendKey val="0"/>
          <c:showVal val="1"/>
          <c:showCatName val="0"/>
          <c:showSerName val="0"/>
          <c:showPercent val="0"/>
          <c:showBubbleSize val="0"/>
        </c:dLbls>
        <c:gapWidth val="219"/>
        <c:overlap val="-27"/>
        <c:axId val="150156800"/>
        <c:axId val="150160512"/>
      </c:barChart>
      <c:catAx>
        <c:axId val="150156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160512"/>
        <c:crosses val="autoZero"/>
        <c:auto val="1"/>
        <c:lblAlgn val="ctr"/>
        <c:lblOffset val="100"/>
        <c:noMultiLvlLbl val="0"/>
      </c:catAx>
      <c:valAx>
        <c:axId val="150160512"/>
        <c:scaling>
          <c:orientation val="minMax"/>
          <c:max val="10"/>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Rate per 100,000 FTE Workers </a:t>
                </a:r>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156800"/>
        <c:crosses val="autoZero"/>
        <c:crossBetween val="between"/>
        <c:majorUnit val="2"/>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cdr:x>
      <cdr:y>0.4657</cdr:y>
    </cdr:from>
    <cdr:to>
      <cdr:x>0.08686</cdr:x>
      <cdr:y>0.748</cdr:y>
    </cdr:to>
    <cdr:sp macro="" textlink="">
      <cdr:nvSpPr>
        <cdr:cNvPr id="2" name="TextBox 1">
          <a:extLst xmlns:a="http://schemas.openxmlformats.org/drawingml/2006/main">
            <a:ext uri="{FF2B5EF4-FFF2-40B4-BE49-F238E27FC236}">
              <a16:creationId xmlns="" xmlns:a16="http://schemas.microsoft.com/office/drawing/2014/main" id="{6B37C7EE-219E-4C52-85DB-E43E7C895580}"/>
            </a:ext>
          </a:extLst>
        </cdr:cNvPr>
        <cdr:cNvSpPr txBox="1"/>
      </cdr:nvSpPr>
      <cdr:spPr>
        <a:xfrm xmlns:a="http://schemas.openxmlformats.org/drawingml/2006/main">
          <a:off x="0" y="1831975"/>
          <a:ext cx="371474" cy="1110514"/>
        </a:xfrm>
        <a:prstGeom xmlns:a="http://schemas.openxmlformats.org/drawingml/2006/main" prst="rect">
          <a:avLst/>
        </a:prstGeom>
      </cdr:spPr>
      <cdr:txBody>
        <a:bodyPr xmlns:a="http://schemas.openxmlformats.org/drawingml/2006/main" vert="vert270" wrap="square" rtlCol="0" anchor="b" anchorCtr="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50" b="1"/>
            <a:t>Race/Ethnicity</a:t>
          </a:r>
        </a:p>
      </cdr:txBody>
    </cdr:sp>
  </cdr:relSizeAnchor>
  <cdr:relSizeAnchor xmlns:cdr="http://schemas.openxmlformats.org/drawingml/2006/chartDrawing">
    <cdr:from>
      <cdr:x>0</cdr:x>
      <cdr:y>0.02986</cdr:y>
    </cdr:from>
    <cdr:to>
      <cdr:x>0.08686</cdr:x>
      <cdr:y>0.31216</cdr:y>
    </cdr:to>
    <cdr:sp macro="" textlink="">
      <cdr:nvSpPr>
        <cdr:cNvPr id="3" name="TextBox 1">
          <a:extLst xmlns:a="http://schemas.openxmlformats.org/drawingml/2006/main">
            <a:ext uri="{FF2B5EF4-FFF2-40B4-BE49-F238E27FC236}">
              <a16:creationId xmlns="" xmlns:a16="http://schemas.microsoft.com/office/drawing/2014/main" id="{78728940-A8DB-49AF-94EA-B88B1D1FF98D}"/>
            </a:ext>
          </a:extLst>
        </cdr:cNvPr>
        <cdr:cNvSpPr txBox="1"/>
      </cdr:nvSpPr>
      <cdr:spPr>
        <a:xfrm xmlns:a="http://schemas.openxmlformats.org/drawingml/2006/main">
          <a:off x="0" y="117475"/>
          <a:ext cx="371474" cy="1110514"/>
        </a:xfrm>
        <a:prstGeom xmlns:a="http://schemas.openxmlformats.org/drawingml/2006/main" prst="rect">
          <a:avLst/>
        </a:prstGeom>
      </cdr:spPr>
      <cdr:txBody>
        <a:bodyPr xmlns:a="http://schemas.openxmlformats.org/drawingml/2006/main" vert="vert270" wrap="square" rtlCol="0" anchor="b" anchorCtr="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50" b="1"/>
            <a:t>Sex</a:t>
          </a:r>
        </a:p>
      </cdr:txBody>
    </cdr:sp>
  </cdr:relSizeAnchor>
</c:userShapes>
</file>

<file path=word/drawings/drawing2.xml><?xml version="1.0" encoding="utf-8"?>
<c:userShapes xmlns:c="http://schemas.openxmlformats.org/drawingml/2006/chart">
  <cdr:relSizeAnchor xmlns:cdr="http://schemas.openxmlformats.org/drawingml/2006/chartDrawing">
    <cdr:from>
      <cdr:x>0.00872</cdr:x>
      <cdr:y>0.00979</cdr:y>
    </cdr:from>
    <cdr:to>
      <cdr:x>0.11232</cdr:x>
      <cdr:y>0.28634</cdr:y>
    </cdr:to>
    <cdr:sp macro="" textlink="">
      <cdr:nvSpPr>
        <cdr:cNvPr id="2" name="TextBox 1">
          <a:extLst xmlns:a="http://schemas.openxmlformats.org/drawingml/2006/main">
            <a:ext uri="{FF2B5EF4-FFF2-40B4-BE49-F238E27FC236}">
              <a16:creationId xmlns="" xmlns:a16="http://schemas.microsoft.com/office/drawing/2014/main" id="{0E55ED46-8F10-48D9-9925-85F4D6AE2E3D}"/>
            </a:ext>
          </a:extLst>
        </cdr:cNvPr>
        <cdr:cNvSpPr txBox="1"/>
      </cdr:nvSpPr>
      <cdr:spPr>
        <a:xfrm xmlns:a="http://schemas.openxmlformats.org/drawingml/2006/main">
          <a:off x="38100" y="31750"/>
          <a:ext cx="452438" cy="896939"/>
        </a:xfrm>
        <a:prstGeom xmlns:a="http://schemas.openxmlformats.org/drawingml/2006/main" prst="rect">
          <a:avLst/>
        </a:prstGeom>
      </cdr:spPr>
      <cdr:txBody>
        <a:bodyPr xmlns:a="http://schemas.openxmlformats.org/drawingml/2006/main" vert="vert270" wrap="square" rtlCol="0" anchor="b" anchorCtr="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50" b="1"/>
            <a:t>Sex</a:t>
          </a:r>
        </a:p>
      </cdr:txBody>
    </cdr:sp>
  </cdr:relSizeAnchor>
  <cdr:relSizeAnchor xmlns:cdr="http://schemas.openxmlformats.org/drawingml/2006/chartDrawing">
    <cdr:from>
      <cdr:x>0</cdr:x>
      <cdr:y>0.34459</cdr:y>
    </cdr:from>
    <cdr:to>
      <cdr:x>0.10142</cdr:x>
      <cdr:y>0.62115</cdr:y>
    </cdr:to>
    <cdr:sp macro="" textlink="">
      <cdr:nvSpPr>
        <cdr:cNvPr id="3" name="TextBox 1">
          <a:extLst xmlns:a="http://schemas.openxmlformats.org/drawingml/2006/main">
            <a:ext uri="{FF2B5EF4-FFF2-40B4-BE49-F238E27FC236}">
              <a16:creationId xmlns="" xmlns:a16="http://schemas.microsoft.com/office/drawing/2014/main" id="{F928835A-B202-4FDF-9299-45962B3728ED}"/>
            </a:ext>
          </a:extLst>
        </cdr:cNvPr>
        <cdr:cNvSpPr txBox="1"/>
      </cdr:nvSpPr>
      <cdr:spPr>
        <a:xfrm xmlns:a="http://schemas.openxmlformats.org/drawingml/2006/main">
          <a:off x="0" y="1117600"/>
          <a:ext cx="442913" cy="896939"/>
        </a:xfrm>
        <a:prstGeom xmlns:a="http://schemas.openxmlformats.org/drawingml/2006/main" prst="rect">
          <a:avLst/>
        </a:prstGeom>
      </cdr:spPr>
      <cdr:txBody>
        <a:bodyPr xmlns:a="http://schemas.openxmlformats.org/drawingml/2006/main" vert="vert270" wrap="square" rtlCol="0" anchor="t" anchorCtr="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1050" b="1"/>
            <a:t>Sexual Orientation</a:t>
          </a:r>
        </a:p>
      </cdr:txBody>
    </cdr:sp>
  </cdr:relSizeAnchor>
  <cdr:relSizeAnchor xmlns:cdr="http://schemas.openxmlformats.org/drawingml/2006/chartDrawing">
    <cdr:from>
      <cdr:x>0.03926</cdr:x>
      <cdr:y>0.64121</cdr:y>
    </cdr:from>
    <cdr:to>
      <cdr:x>0.10578</cdr:x>
      <cdr:y>0.91777</cdr:y>
    </cdr:to>
    <cdr:sp macro="" textlink="">
      <cdr:nvSpPr>
        <cdr:cNvPr id="6" name="TextBox 1">
          <a:extLst xmlns:a="http://schemas.openxmlformats.org/drawingml/2006/main">
            <a:ext uri="{FF2B5EF4-FFF2-40B4-BE49-F238E27FC236}">
              <a16:creationId xmlns="" xmlns:a16="http://schemas.microsoft.com/office/drawing/2014/main" id="{0212A063-E5BB-4FC4-B91D-384ABB1E0C38}"/>
            </a:ext>
          </a:extLst>
        </cdr:cNvPr>
        <cdr:cNvSpPr txBox="1"/>
      </cdr:nvSpPr>
      <cdr:spPr>
        <a:xfrm xmlns:a="http://schemas.openxmlformats.org/drawingml/2006/main">
          <a:off x="171450" y="2079625"/>
          <a:ext cx="290513" cy="896939"/>
        </a:xfrm>
        <a:prstGeom xmlns:a="http://schemas.openxmlformats.org/drawingml/2006/main" prst="rect">
          <a:avLst/>
        </a:prstGeom>
      </cdr:spPr>
      <cdr:txBody>
        <a:bodyPr xmlns:a="http://schemas.openxmlformats.org/drawingml/2006/main" vert="vert270" wrap="square" rtlCol="0" anchor="t" anchorCtr="1"/>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1050" b="1"/>
            <a:t>Disability</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73CC51-6938-4994-A2B5-0E404693C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43</Pages>
  <Words>8158</Words>
  <Characters>46503</Characters>
  <Application>Microsoft Office Word</Application>
  <DocSecurity>0</DocSecurity>
  <Lines>387</Lines>
  <Paragraphs>109</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54552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Errichetti</dc:creator>
  <cp:lastModifiedBy>Antonia Blinn</cp:lastModifiedBy>
  <cp:revision>5</cp:revision>
  <cp:lastPrinted>2017-11-02T16:19:00Z</cp:lastPrinted>
  <dcterms:created xsi:type="dcterms:W3CDTF">2017-11-03T15:04:00Z</dcterms:created>
  <dcterms:modified xsi:type="dcterms:W3CDTF">2017-11-03T16:06:00Z</dcterms:modified>
</cp:coreProperties>
</file>