
<file path=[Content_Types].xml><?xml version="1.0" encoding="utf-8"?>
<Types xmlns="http://schemas.openxmlformats.org/package/2006/content-types">
  <Default Extension="png" ContentType="image/png"/>
  <Default Extension="svg" ContentType="image/svg+xml"/>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drawings/drawing1.xml" ContentType="application/vnd.openxmlformats-officedocument.drawingml.chartshapes+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charts/chart9.xml" ContentType="application/vnd.openxmlformats-officedocument.drawingml.chart+xml"/>
  <Override PartName="/word/theme/themeOverride9.xml" ContentType="application/vnd.openxmlformats-officedocument.themeOverride+xml"/>
  <Override PartName="/word/charts/chart10.xml" ContentType="application/vnd.openxmlformats-officedocument.drawingml.chart+xml"/>
  <Override PartName="/word/theme/themeOverride10.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D0A449A" w14:textId="7F31C33D" w:rsidR="00D130D7" w:rsidRDefault="00900AB8" w:rsidP="00E552D2">
      <w:pPr>
        <w:spacing w:line="360" w:lineRule="auto"/>
        <w:rPr>
          <w:rFonts w:eastAsiaTheme="majorEastAsia" w:cstheme="majorBidi"/>
          <w:noProof w:val="0"/>
          <w:spacing w:val="-10"/>
          <w:kern w:val="28"/>
          <w:sz w:val="100"/>
          <w:szCs w:val="100"/>
        </w:rPr>
      </w:pPr>
      <w:r>
        <w:drawing>
          <wp:anchor distT="0" distB="0" distL="114300" distR="114300" simplePos="0" relativeHeight="252069888" behindDoc="1" locked="0" layoutInCell="1" allowOverlap="1" wp14:anchorId="1AD4DD42" wp14:editId="40B896E4">
            <wp:simplePos x="0" y="0"/>
            <wp:positionH relativeFrom="column">
              <wp:posOffset>-7458286</wp:posOffset>
            </wp:positionH>
            <wp:positionV relativeFrom="paragraph">
              <wp:posOffset>-956733</wp:posOffset>
            </wp:positionV>
            <wp:extent cx="15976600" cy="10649360"/>
            <wp:effectExtent l="0" t="0" r="6350" b="0"/>
            <wp:wrapNone/>
            <wp:docPr id="719" name="Picture 719" descr="Elderly woman being assisted by a physical therapist for a walking exercise using parallel walking bars in a rehabilitation facility. In the background there’s a wheelchair and an exercise b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9" name="iStock-626641908.jpg"/>
                    <pic:cNvPicPr/>
                  </pic:nvPicPr>
                  <pic:blipFill>
                    <a:blip r:embed="rId9">
                      <a:extLst>
                        <a:ext uri="{28A0092B-C50C-407E-A947-70E740481C1C}">
                          <a14:useLocalDpi xmlns:a14="http://schemas.microsoft.com/office/drawing/2010/main" val="0"/>
                        </a:ext>
                      </a:extLst>
                    </a:blip>
                    <a:stretch>
                      <a:fillRect/>
                    </a:stretch>
                  </pic:blipFill>
                  <pic:spPr>
                    <a:xfrm>
                      <a:off x="0" y="0"/>
                      <a:ext cx="15976600" cy="10649360"/>
                    </a:xfrm>
                    <a:prstGeom prst="rect">
                      <a:avLst/>
                    </a:prstGeom>
                  </pic:spPr>
                </pic:pic>
              </a:graphicData>
            </a:graphic>
            <wp14:sizeRelH relativeFrom="margin">
              <wp14:pctWidth>0</wp14:pctWidth>
            </wp14:sizeRelH>
            <wp14:sizeRelV relativeFrom="margin">
              <wp14:pctHeight>0</wp14:pctHeight>
            </wp14:sizeRelV>
          </wp:anchor>
        </w:drawing>
      </w:r>
    </w:p>
    <w:p w14:paraId="2DF68457" w14:textId="42689CD3" w:rsidR="00D130D7" w:rsidRDefault="00D130D7" w:rsidP="00E552D2">
      <w:pPr>
        <w:pStyle w:val="Title"/>
        <w:spacing w:line="360" w:lineRule="auto"/>
      </w:pPr>
    </w:p>
    <w:p w14:paraId="653FC084" w14:textId="17EBB17F" w:rsidR="00D130D7" w:rsidRDefault="00D130D7" w:rsidP="00E552D2">
      <w:pPr>
        <w:pStyle w:val="Title"/>
        <w:spacing w:line="360" w:lineRule="auto"/>
      </w:pPr>
    </w:p>
    <w:p w14:paraId="59C969A9" w14:textId="16E6C40C" w:rsidR="00D130D7" w:rsidRDefault="00900AB8" w:rsidP="00E552D2">
      <w:pPr>
        <w:pStyle w:val="Title"/>
        <w:spacing w:line="360" w:lineRule="auto"/>
      </w:pPr>
      <w:r>
        <mc:AlternateContent>
          <mc:Choice Requires="wps">
            <w:drawing>
              <wp:anchor distT="0" distB="0" distL="114300" distR="114300" simplePos="0" relativeHeight="252014592" behindDoc="0" locked="0" layoutInCell="1" allowOverlap="1" wp14:anchorId="020AADB4" wp14:editId="7A399538">
                <wp:simplePos x="0" y="0"/>
                <wp:positionH relativeFrom="column">
                  <wp:posOffset>-913130</wp:posOffset>
                </wp:positionH>
                <wp:positionV relativeFrom="paragraph">
                  <wp:posOffset>565785</wp:posOffset>
                </wp:positionV>
                <wp:extent cx="7772400" cy="1518920"/>
                <wp:effectExtent l="0" t="0" r="0" b="5080"/>
                <wp:wrapNone/>
                <wp:docPr id="310" name="Rectangle 310"/>
                <wp:cNvGraphicFramePr/>
                <a:graphic xmlns:a="http://schemas.openxmlformats.org/drawingml/2006/main">
                  <a:graphicData uri="http://schemas.microsoft.com/office/word/2010/wordprocessingShape">
                    <wps:wsp>
                      <wps:cNvSpPr/>
                      <wps:spPr>
                        <a:xfrm>
                          <a:off x="0" y="0"/>
                          <a:ext cx="7772400" cy="1518920"/>
                        </a:xfrm>
                        <a:prstGeom prst="rect">
                          <a:avLst/>
                        </a:prstGeom>
                        <a:solidFill>
                          <a:schemeClr val="accent1">
                            <a:lumMod val="50000"/>
                          </a:schemeClr>
                        </a:solidFill>
                        <a:ln w="5715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6180BBD" w14:textId="2470009A" w:rsidR="0079760B" w:rsidRDefault="0079760B" w:rsidP="00923324">
                            <w:pPr>
                              <w:pStyle w:val="Chapter"/>
                              <w:ind w:left="720"/>
                            </w:pPr>
                            <w:r>
                              <w:t xml:space="preserve">CHAPTER 7 </w:t>
                            </w:r>
                          </w:p>
                          <w:p w14:paraId="63870608" w14:textId="77777777" w:rsidR="0079760B" w:rsidRDefault="0079760B" w:rsidP="00923324">
                            <w:pPr>
                              <w:pStyle w:val="ChapterName"/>
                            </w:pPr>
                            <w:r>
                              <w:t>Health Systems and Health Care Access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310" o:spid="_x0000_s1026" style="position:absolute;left:0;text-align:left;margin-left:-71.9pt;margin-top:44.55pt;width:612pt;height:119.6pt;z-index:25201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" fillcolor="#1f3763 [1604]" stroked="f" strokeweight="4.5pt">
                <v:textbox>
                  <w:txbxContent>
                    <w:p w14:paraId="06180BBD" w14:textId="2470009A" w:rsidR="0079760B" w:rsidRDefault="0079760B" w:rsidP="00923324">
                      <w:pPr>
                        <w:pStyle w:val="Chapter"/>
                        <w:ind w:left="720"/>
                      </w:pPr>
                      <w:r>
                        <w:t xml:space="preserve">CHAPTER 7 </w:t>
                      </w:r>
                    </w:p>
                    <w:p w14:paraId="63870608" w14:textId="77777777" w:rsidR="0079760B" w:rsidRDefault="0079760B" w:rsidP="00923324">
                      <w:pPr>
                        <w:pStyle w:val="ChapterName"/>
                      </w:pPr>
                      <w:r>
                        <w:t>Health Systems and Health Care Access</w:t>
                      </w:r>
                    </w:p>
                  </w:txbxContent>
                </v:textbox>
              </v:rect>
            </w:pict>
          </mc:Fallback>
        </mc:AlternateContent>
      </w:r>
    </w:p>
    <w:p w14:paraId="1EE74CD7" w14:textId="43A57B80" w:rsidR="00D130D7" w:rsidRDefault="00D130D7" w:rsidP="00E552D2">
      <w:pPr>
        <w:pStyle w:val="Title"/>
        <w:spacing w:line="360" w:lineRule="auto"/>
      </w:pPr>
    </w:p>
    <w:p w14:paraId="2A7BA2C8" w14:textId="452A347B" w:rsidR="00D130D7" w:rsidRDefault="00D130D7" w:rsidP="00E552D2">
      <w:pPr>
        <w:pStyle w:val="Title"/>
        <w:spacing w:line="360" w:lineRule="auto"/>
      </w:pPr>
    </w:p>
    <w:p w14:paraId="6420A1DB" w14:textId="15EEA4B7" w:rsidR="00D130D7" w:rsidRDefault="00D130D7" w:rsidP="00E552D2">
      <w:pPr>
        <w:pStyle w:val="Title"/>
        <w:spacing w:line="360" w:lineRule="auto"/>
      </w:pPr>
    </w:p>
    <w:p w14:paraId="52EE282C" w14:textId="2FE292E9" w:rsidR="00D130D7" w:rsidRDefault="00D130D7" w:rsidP="00E552D2">
      <w:pPr>
        <w:pStyle w:val="Title"/>
        <w:spacing w:line="360" w:lineRule="auto"/>
      </w:pPr>
    </w:p>
    <w:p w14:paraId="53E1521D" w14:textId="447E1C51" w:rsidR="00923324" w:rsidRPr="00923324" w:rsidRDefault="00923324" w:rsidP="00E552D2">
      <w:pPr>
        <w:spacing w:line="360" w:lineRule="auto"/>
        <w:ind w:left="0"/>
      </w:pPr>
    </w:p>
    <w:p w14:paraId="3A4DF5B6" w14:textId="43BED126" w:rsidR="007A4A28" w:rsidRDefault="006178F3" w:rsidP="00E552D2">
      <w:pPr>
        <w:pStyle w:val="Title"/>
        <w:spacing w:line="360" w:lineRule="auto"/>
      </w:pPr>
      <w:r>
        <w:lastRenderedPageBreak/>
        <w:drawing>
          <wp:anchor distT="0" distB="0" distL="114300" distR="114300" simplePos="0" relativeHeight="252070912" behindDoc="1" locked="0" layoutInCell="1" allowOverlap="1" wp14:anchorId="13BC32A3" wp14:editId="20AE2F08">
            <wp:simplePos x="0" y="0"/>
            <wp:positionH relativeFrom="column">
              <wp:posOffset>-931545</wp:posOffset>
            </wp:positionH>
            <wp:positionV relativeFrom="paragraph">
              <wp:posOffset>-940012</wp:posOffset>
            </wp:positionV>
            <wp:extent cx="7898765" cy="4300855"/>
            <wp:effectExtent l="0" t="0" r="6985" b="4445"/>
            <wp:wrapNone/>
            <wp:docPr id="721" name="Picture 721" descr="Female pediatrician with a pink stethoscope around her neck, holding a smiling infant patient in a hospital gow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1" name="iStock-465252311.jpg"/>
                    <pic:cNvPicPr/>
                  </pic:nvPicPr>
                  <pic:blipFill rotWithShape="1">
                    <a:blip r:embed="rId10" cstate="print">
                      <a:extLst>
                        <a:ext uri="{28A0092B-C50C-407E-A947-70E740481C1C}">
                          <a14:useLocalDpi xmlns:a14="http://schemas.microsoft.com/office/drawing/2010/main" val="0"/>
                        </a:ext>
                      </a:extLst>
                    </a:blip>
                    <a:srcRect b="18334"/>
                    <a:stretch/>
                  </pic:blipFill>
                  <pic:spPr bwMode="auto">
                    <a:xfrm>
                      <a:off x="0" y="0"/>
                      <a:ext cx="7898765" cy="43008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BD80C0D" w14:textId="048A1CB3" w:rsidR="007A4A28" w:rsidRDefault="007A4A28" w:rsidP="00E552D2">
      <w:pPr>
        <w:pStyle w:val="Title"/>
        <w:spacing w:line="360" w:lineRule="auto"/>
      </w:pPr>
    </w:p>
    <w:p w14:paraId="0A532CC3" w14:textId="473FE6F1" w:rsidR="007A4A28" w:rsidRDefault="007A4A28" w:rsidP="00E552D2">
      <w:pPr>
        <w:pStyle w:val="Title"/>
        <w:spacing w:line="360" w:lineRule="auto"/>
      </w:pPr>
    </w:p>
    <w:p w14:paraId="33E8E6BE" w14:textId="77777777" w:rsidR="007A4A28" w:rsidRDefault="007A4A28" w:rsidP="00E552D2">
      <w:pPr>
        <w:pStyle w:val="Title"/>
        <w:spacing w:line="360" w:lineRule="auto"/>
      </w:pPr>
    </w:p>
    <w:p w14:paraId="1588031E" w14:textId="22BCEA88" w:rsidR="00D130D7" w:rsidRDefault="00D130D7" w:rsidP="00E552D2">
      <w:pPr>
        <w:pStyle w:val="Title"/>
        <w:spacing w:line="360" w:lineRule="auto"/>
      </w:pPr>
      <w:r>
        <w:t>Health Systems and Health Care Access</w:t>
      </w:r>
    </w:p>
    <w:p w14:paraId="1DEC554A" w14:textId="0B59F030" w:rsidR="00D130D7" w:rsidRPr="00641A30" w:rsidRDefault="00D130D7" w:rsidP="00E552D2">
      <w:pPr>
        <w:spacing w:line="360" w:lineRule="auto"/>
        <w:ind w:right="-360"/>
        <w:rPr>
          <w:sz w:val="24"/>
          <w:szCs w:val="24"/>
        </w:rPr>
      </w:pPr>
      <w:r w:rsidRPr="00641A30">
        <w:rPr>
          <w:sz w:val="24"/>
          <w:szCs w:val="24"/>
        </w:rPr>
        <w:t xml:space="preserve">This chapter provides an overview of Health Systems and Health Care Access in the Commonwealth of Massachusetts and related trends and disparities. It provides information on health care access and delivery and the Department’s responsibility to regulate the health care system to ensure quality health care. The chapter includes the following topic areas: </w:t>
      </w:r>
    </w:p>
    <w:p w14:paraId="7444D616" w14:textId="7EB924C9" w:rsidR="00860E22" w:rsidRPr="00641A30" w:rsidRDefault="00860E22" w:rsidP="00E552D2">
      <w:pPr>
        <w:pStyle w:val="Heading1"/>
        <w:numPr>
          <w:ilvl w:val="0"/>
          <w:numId w:val="213"/>
        </w:numPr>
        <w:spacing w:before="120" w:after="160" w:line="360" w:lineRule="auto"/>
        <w:rPr>
          <w:rFonts w:eastAsiaTheme="minorHAnsi" w:cstheme="minorBidi"/>
          <w:b w:val="0"/>
          <w:sz w:val="24"/>
          <w:szCs w:val="24"/>
        </w:rPr>
      </w:pPr>
      <w:r w:rsidRPr="00641A30">
        <w:rPr>
          <w:rFonts w:eastAsiaTheme="minorHAnsi" w:cstheme="minorBidi"/>
          <w:b w:val="0"/>
          <w:sz w:val="24"/>
          <w:szCs w:val="24"/>
        </w:rPr>
        <w:lastRenderedPageBreak/>
        <w:t>Health Care Access and Utilization</w:t>
      </w:r>
    </w:p>
    <w:p w14:paraId="0077A0D9" w14:textId="3571E196" w:rsidR="00860E22" w:rsidRPr="00641A30" w:rsidRDefault="00860E22" w:rsidP="00E552D2">
      <w:pPr>
        <w:pStyle w:val="Heading1"/>
        <w:numPr>
          <w:ilvl w:val="0"/>
          <w:numId w:val="213"/>
        </w:numPr>
        <w:spacing w:before="120" w:after="160" w:line="360" w:lineRule="auto"/>
        <w:rPr>
          <w:rFonts w:eastAsiaTheme="minorHAnsi" w:cstheme="minorBidi"/>
          <w:b w:val="0"/>
          <w:sz w:val="24"/>
          <w:szCs w:val="24"/>
        </w:rPr>
      </w:pPr>
      <w:r w:rsidRPr="00641A30">
        <w:rPr>
          <w:rFonts w:eastAsiaTheme="minorHAnsi" w:cstheme="minorBidi"/>
          <w:b w:val="0"/>
          <w:sz w:val="24"/>
          <w:szCs w:val="24"/>
        </w:rPr>
        <w:t xml:space="preserve">Health Care Quality   </w:t>
      </w:r>
    </w:p>
    <w:p w14:paraId="4833EACD" w14:textId="1DCB5B4B" w:rsidR="00860E22" w:rsidRPr="00641A30" w:rsidRDefault="00860E22" w:rsidP="00E552D2">
      <w:pPr>
        <w:pStyle w:val="Heading1"/>
        <w:numPr>
          <w:ilvl w:val="0"/>
          <w:numId w:val="213"/>
        </w:numPr>
        <w:spacing w:before="120" w:after="160" w:line="360" w:lineRule="auto"/>
        <w:rPr>
          <w:rFonts w:eastAsiaTheme="minorHAnsi" w:cstheme="minorBidi"/>
          <w:b w:val="0"/>
          <w:sz w:val="24"/>
          <w:szCs w:val="24"/>
        </w:rPr>
      </w:pPr>
      <w:r w:rsidRPr="00641A30">
        <w:rPr>
          <w:rFonts w:eastAsiaTheme="minorHAnsi" w:cstheme="minorBidi"/>
          <w:b w:val="0"/>
          <w:sz w:val="24"/>
          <w:szCs w:val="24"/>
        </w:rPr>
        <w:t xml:space="preserve">Local and Regional Public Health  </w:t>
      </w:r>
    </w:p>
    <w:p w14:paraId="208E25FB" w14:textId="77777777" w:rsidR="00442803" w:rsidRPr="00641A30" w:rsidRDefault="00442803" w:rsidP="00E552D2">
      <w:pPr>
        <w:pStyle w:val="Heading1"/>
        <w:numPr>
          <w:ilvl w:val="0"/>
          <w:numId w:val="213"/>
        </w:numPr>
        <w:spacing w:before="120" w:after="160" w:line="360" w:lineRule="auto"/>
        <w:rPr>
          <w:rFonts w:eastAsiaTheme="minorHAnsi" w:cstheme="minorBidi"/>
          <w:b w:val="0"/>
          <w:sz w:val="24"/>
          <w:szCs w:val="24"/>
        </w:rPr>
      </w:pPr>
      <w:r w:rsidRPr="00641A30">
        <w:rPr>
          <w:rFonts w:eastAsiaTheme="minorHAnsi" w:cstheme="minorBidi"/>
          <w:b w:val="0"/>
          <w:sz w:val="24"/>
          <w:szCs w:val="24"/>
        </w:rPr>
        <w:t>Oral Health</w:t>
      </w:r>
    </w:p>
    <w:p w14:paraId="49ED2373" w14:textId="18F04FE4" w:rsidR="00860E22" w:rsidRPr="00641A30" w:rsidRDefault="00860E22" w:rsidP="00E552D2">
      <w:pPr>
        <w:pStyle w:val="Heading1"/>
        <w:numPr>
          <w:ilvl w:val="0"/>
          <w:numId w:val="213"/>
        </w:numPr>
        <w:spacing w:before="120" w:after="160" w:line="360" w:lineRule="auto"/>
        <w:rPr>
          <w:rFonts w:eastAsiaTheme="minorHAnsi" w:cstheme="minorBidi"/>
          <w:b w:val="0"/>
          <w:sz w:val="24"/>
          <w:szCs w:val="24"/>
        </w:rPr>
      </w:pPr>
      <w:r w:rsidRPr="00641A30">
        <w:rPr>
          <w:rFonts w:eastAsiaTheme="minorHAnsi" w:cstheme="minorBidi"/>
          <w:b w:val="0"/>
          <w:sz w:val="24"/>
          <w:szCs w:val="24"/>
        </w:rPr>
        <w:t xml:space="preserve">Mental Health  </w:t>
      </w:r>
    </w:p>
    <w:p w14:paraId="586516A3" w14:textId="2399E30D" w:rsidR="00860E22" w:rsidRPr="00641A30" w:rsidRDefault="00860E22" w:rsidP="00E552D2">
      <w:pPr>
        <w:pStyle w:val="Heading1"/>
        <w:numPr>
          <w:ilvl w:val="0"/>
          <w:numId w:val="213"/>
        </w:numPr>
        <w:spacing w:before="120" w:after="160" w:line="360" w:lineRule="auto"/>
        <w:rPr>
          <w:rFonts w:eastAsiaTheme="minorHAnsi" w:cstheme="minorBidi"/>
          <w:b w:val="0"/>
          <w:sz w:val="24"/>
          <w:szCs w:val="24"/>
        </w:rPr>
      </w:pPr>
      <w:r w:rsidRPr="00641A30">
        <w:rPr>
          <w:rFonts w:eastAsiaTheme="minorHAnsi" w:cstheme="minorBidi"/>
          <w:b w:val="0"/>
          <w:sz w:val="24"/>
          <w:szCs w:val="24"/>
        </w:rPr>
        <w:t xml:space="preserve">Health Care Workforce </w:t>
      </w:r>
    </w:p>
    <w:p w14:paraId="628E061D" w14:textId="43612761" w:rsidR="00860E22" w:rsidRPr="00641A30" w:rsidRDefault="00860E22" w:rsidP="00E552D2">
      <w:pPr>
        <w:pStyle w:val="Heading1"/>
        <w:numPr>
          <w:ilvl w:val="0"/>
          <w:numId w:val="213"/>
        </w:numPr>
        <w:spacing w:before="120" w:after="160" w:line="360" w:lineRule="auto"/>
        <w:rPr>
          <w:rFonts w:eastAsiaTheme="minorHAnsi" w:cstheme="minorBidi"/>
          <w:b w:val="0"/>
          <w:sz w:val="24"/>
          <w:szCs w:val="24"/>
        </w:rPr>
      </w:pPr>
      <w:r w:rsidRPr="00641A30">
        <w:rPr>
          <w:rFonts w:eastAsiaTheme="minorHAnsi" w:cstheme="minorBidi"/>
          <w:b w:val="0"/>
          <w:sz w:val="24"/>
          <w:szCs w:val="24"/>
        </w:rPr>
        <w:t xml:space="preserve">Public Health and Health Care Systems </w:t>
      </w:r>
      <w:r w:rsidR="00760D8A" w:rsidRPr="00641A30">
        <w:rPr>
          <w:rFonts w:eastAsiaTheme="minorHAnsi" w:cstheme="minorBidi"/>
          <w:b w:val="0"/>
          <w:sz w:val="24"/>
          <w:szCs w:val="24"/>
        </w:rPr>
        <w:t>P</w:t>
      </w:r>
      <w:r w:rsidRPr="00641A30">
        <w:rPr>
          <w:rFonts w:eastAsiaTheme="minorHAnsi" w:cstheme="minorBidi"/>
          <w:b w:val="0"/>
          <w:sz w:val="24"/>
          <w:szCs w:val="24"/>
        </w:rPr>
        <w:t xml:space="preserve">reparedness  </w:t>
      </w:r>
    </w:p>
    <w:p w14:paraId="1466B5F7" w14:textId="267E9E5C" w:rsidR="00860E22" w:rsidRPr="00641A30" w:rsidRDefault="00860E22" w:rsidP="00E552D2">
      <w:pPr>
        <w:pStyle w:val="Heading1"/>
        <w:numPr>
          <w:ilvl w:val="0"/>
          <w:numId w:val="213"/>
        </w:numPr>
        <w:spacing w:before="120" w:after="160" w:line="360" w:lineRule="auto"/>
        <w:rPr>
          <w:rFonts w:eastAsiaTheme="minorHAnsi" w:cstheme="minorBidi"/>
          <w:b w:val="0"/>
          <w:sz w:val="24"/>
          <w:szCs w:val="24"/>
        </w:rPr>
      </w:pPr>
      <w:r w:rsidRPr="00641A30">
        <w:rPr>
          <w:rFonts w:eastAsiaTheme="minorHAnsi" w:cstheme="minorBidi"/>
          <w:b w:val="0"/>
          <w:sz w:val="24"/>
          <w:szCs w:val="24"/>
        </w:rPr>
        <w:t>Selected Resources, Services, and Programs</w:t>
      </w:r>
    </w:p>
    <w:p w14:paraId="6241754A" w14:textId="77777777" w:rsidR="00860E22" w:rsidRDefault="00860E22" w:rsidP="00E552D2">
      <w:pPr>
        <w:pStyle w:val="Heading1"/>
        <w:spacing w:line="360" w:lineRule="auto"/>
        <w:sectPr w:rsidR="00860E22" w:rsidSect="00641A30">
          <w:footerReference w:type="default" r:id="rId11"/>
          <w:endnotePr>
            <w:numFmt w:val="decimal"/>
          </w:endnotePr>
          <w:type w:val="continuous"/>
          <w:pgSz w:w="12240" w:h="15840"/>
          <w:pgMar w:top="1440" w:right="1440" w:bottom="1440" w:left="1440" w:header="720" w:footer="720" w:gutter="0"/>
          <w:cols w:space="720"/>
          <w:docGrid w:linePitch="360"/>
        </w:sectPr>
      </w:pPr>
    </w:p>
    <w:p w14:paraId="67B3390D" w14:textId="6B818112" w:rsidR="00D130D7" w:rsidRDefault="00D130D7" w:rsidP="00E552D2">
      <w:pPr>
        <w:pStyle w:val="Heading1"/>
        <w:spacing w:line="360" w:lineRule="auto"/>
      </w:pPr>
      <w:r>
        <w:lastRenderedPageBreak/>
        <w:t>Overview</w:t>
      </w:r>
    </w:p>
    <w:p w14:paraId="61A0A3A7" w14:textId="2994C311" w:rsidR="00D130D7" w:rsidRPr="00641A30" w:rsidRDefault="00D130D7" w:rsidP="00E552D2">
      <w:pPr>
        <w:spacing w:line="360" w:lineRule="auto"/>
        <w:ind w:right="-360"/>
        <w:rPr>
          <w:sz w:val="24"/>
          <w:szCs w:val="24"/>
        </w:rPr>
      </w:pPr>
      <w:r w:rsidRPr="00641A30">
        <w:rPr>
          <w:sz w:val="24"/>
          <w:szCs w:val="24"/>
        </w:rPr>
        <w:t>Massachusetts has long been recognized as a national leader in providing health care for its citizens. The focus includes continuously improving capacity and capabilities to all</w:t>
      </w:r>
      <w:r w:rsidR="0014624F" w:rsidRPr="00641A30">
        <w:rPr>
          <w:sz w:val="24"/>
          <w:szCs w:val="24"/>
        </w:rPr>
        <w:t>ow Massachusetts public health and</w:t>
      </w:r>
      <w:r w:rsidRPr="00641A30">
        <w:rPr>
          <w:sz w:val="24"/>
          <w:szCs w:val="24"/>
        </w:rPr>
        <w:t xml:space="preserve"> health care systems to prevent, protect against, quickly respond to, and recover from a variety of emergencies. People who cannot access health care are more likely to have poor overall health and chronic conditions. Accessing services such as preventive care, primary care, dental and mental health care, and emergency care without delay is necessary to a person’s overall health.</w:t>
      </w:r>
    </w:p>
    <w:p w14:paraId="6AB32824" w14:textId="03694EC2" w:rsidR="00D130D7" w:rsidRPr="00641A30" w:rsidRDefault="00D130D7" w:rsidP="00E552D2">
      <w:pPr>
        <w:keepNext/>
        <w:keepLines/>
        <w:spacing w:line="360" w:lineRule="auto"/>
        <w:ind w:right="-360"/>
        <w:rPr>
          <w:sz w:val="24"/>
          <w:szCs w:val="24"/>
        </w:rPr>
      </w:pPr>
      <w:r w:rsidRPr="00641A30">
        <w:rPr>
          <w:sz w:val="24"/>
          <w:szCs w:val="24"/>
        </w:rPr>
        <w:t>The overall trends in health care in Massachusetts are among the most positive in the nation:</w:t>
      </w:r>
    </w:p>
    <w:p w14:paraId="7617CB2F" w14:textId="77777777" w:rsidR="00D130D7" w:rsidRPr="00641A30" w:rsidRDefault="00D130D7" w:rsidP="00E552D2">
      <w:pPr>
        <w:pStyle w:val="ListParagraph"/>
        <w:numPr>
          <w:ilvl w:val="0"/>
          <w:numId w:val="105"/>
        </w:numPr>
        <w:tabs>
          <w:tab w:val="left" w:pos="6480"/>
        </w:tabs>
        <w:spacing w:line="360" w:lineRule="auto"/>
        <w:ind w:right="-360"/>
        <w:rPr>
          <w:sz w:val="24"/>
          <w:szCs w:val="24"/>
        </w:rPr>
      </w:pPr>
      <w:r w:rsidRPr="00641A30">
        <w:rPr>
          <w:sz w:val="24"/>
          <w:szCs w:val="24"/>
        </w:rPr>
        <w:t>Massachusetts has the fewest uninsured residents in the nation. Only four percent were uninsured due to legislation enacted in 2006 to provide improved access to health care coverage in the Commonwealth.</w:t>
      </w:r>
      <w:r w:rsidRPr="00641A30">
        <w:rPr>
          <w:sz w:val="24"/>
          <w:szCs w:val="24"/>
          <w:vertAlign w:val="superscript"/>
        </w:rPr>
        <w:endnoteReference w:id="2"/>
      </w:r>
      <w:r w:rsidRPr="00641A30">
        <w:rPr>
          <w:sz w:val="24"/>
          <w:szCs w:val="24"/>
          <w:vertAlign w:val="superscript"/>
        </w:rPr>
        <w:t xml:space="preserve"> </w:t>
      </w:r>
    </w:p>
    <w:p w14:paraId="09DACFAD" w14:textId="77777777" w:rsidR="00D130D7" w:rsidRPr="00641A30" w:rsidRDefault="00D130D7" w:rsidP="00E552D2">
      <w:pPr>
        <w:pStyle w:val="ListParagraph"/>
        <w:numPr>
          <w:ilvl w:val="0"/>
          <w:numId w:val="105"/>
        </w:numPr>
        <w:tabs>
          <w:tab w:val="left" w:pos="6480"/>
        </w:tabs>
        <w:spacing w:line="360" w:lineRule="auto"/>
        <w:ind w:right="-360"/>
        <w:rPr>
          <w:sz w:val="24"/>
          <w:szCs w:val="24"/>
        </w:rPr>
      </w:pPr>
      <w:r w:rsidRPr="00641A30">
        <w:rPr>
          <w:sz w:val="24"/>
          <w:szCs w:val="24"/>
        </w:rPr>
        <w:t>Only 7.5% of Massachusetts adults say they do not have a “usual place” of medical care compared to a national rate of 17.3%.</w:t>
      </w:r>
      <w:r w:rsidRPr="00641A30">
        <w:rPr>
          <w:sz w:val="24"/>
          <w:szCs w:val="24"/>
          <w:vertAlign w:val="superscript"/>
        </w:rPr>
        <w:endnoteReference w:id="3"/>
      </w:r>
    </w:p>
    <w:p w14:paraId="2A5DCE3B" w14:textId="77777777" w:rsidR="00D130D7" w:rsidRPr="00641A30" w:rsidRDefault="00D130D7" w:rsidP="00E552D2">
      <w:pPr>
        <w:pStyle w:val="ListParagraph"/>
        <w:numPr>
          <w:ilvl w:val="0"/>
          <w:numId w:val="105"/>
        </w:numPr>
        <w:tabs>
          <w:tab w:val="left" w:pos="6480"/>
        </w:tabs>
        <w:spacing w:line="360" w:lineRule="auto"/>
        <w:ind w:right="-360"/>
        <w:rPr>
          <w:sz w:val="24"/>
          <w:szCs w:val="24"/>
        </w:rPr>
      </w:pPr>
      <w:r w:rsidRPr="00641A30">
        <w:rPr>
          <w:sz w:val="24"/>
          <w:szCs w:val="24"/>
        </w:rPr>
        <w:t xml:space="preserve">Additionally, Massachusetts ranks first in the number of primary care physicians per 100,000 residents. </w:t>
      </w:r>
    </w:p>
    <w:p w14:paraId="6BBD719E" w14:textId="10B6222C" w:rsidR="00D130D7" w:rsidRPr="00641A30" w:rsidRDefault="00D130D7" w:rsidP="00E552D2">
      <w:pPr>
        <w:spacing w:line="360" w:lineRule="auto"/>
        <w:ind w:right="-360"/>
        <w:rPr>
          <w:sz w:val="24"/>
          <w:szCs w:val="24"/>
        </w:rPr>
      </w:pPr>
      <w:r w:rsidRPr="00641A30">
        <w:rPr>
          <w:sz w:val="24"/>
          <w:szCs w:val="24"/>
        </w:rPr>
        <w:t>Although metrics like health insurance and the availability of providers and facilities are important f</w:t>
      </w:r>
      <w:r w:rsidR="0014624F" w:rsidRPr="00641A30">
        <w:rPr>
          <w:sz w:val="24"/>
          <w:szCs w:val="24"/>
        </w:rPr>
        <w:t>or assessing access to care, it i</w:t>
      </w:r>
      <w:r w:rsidRPr="00641A30">
        <w:rPr>
          <w:sz w:val="24"/>
          <w:szCs w:val="24"/>
        </w:rPr>
        <w:t xml:space="preserve">s vital to consider barriers to health care that disproportionately affect vulnerable </w:t>
      </w:r>
      <w:r w:rsidRPr="00641A30">
        <w:rPr>
          <w:sz w:val="24"/>
          <w:szCs w:val="24"/>
        </w:rPr>
        <w:lastRenderedPageBreak/>
        <w:t>populations. These barriers, for some residents of the Commonwealth, may lead to unmet health care needs, delays in receiving care, financial burden, and preventable hospitalizations.</w:t>
      </w:r>
    </w:p>
    <w:p w14:paraId="5DBC9F7A" w14:textId="01C784A8" w:rsidR="00D130D7" w:rsidRPr="00641A30" w:rsidRDefault="00D130D7" w:rsidP="00E552D2">
      <w:pPr>
        <w:spacing w:line="360" w:lineRule="auto"/>
        <w:ind w:right="-360"/>
        <w:rPr>
          <w:sz w:val="24"/>
          <w:szCs w:val="24"/>
        </w:rPr>
      </w:pPr>
      <w:r w:rsidRPr="00641A30">
        <w:rPr>
          <w:sz w:val="24"/>
          <w:szCs w:val="24"/>
        </w:rPr>
        <w:t>Assessing and improving the quality of health systems is important for improving population health. A key Commonwealth goal is a health system that provides quality care that is safe, effective, timely</w:t>
      </w:r>
      <w:r w:rsidR="0014624F" w:rsidRPr="00641A30">
        <w:rPr>
          <w:sz w:val="24"/>
          <w:szCs w:val="24"/>
        </w:rPr>
        <w:t>,</w:t>
      </w:r>
      <w:r w:rsidRPr="00641A30">
        <w:rPr>
          <w:sz w:val="24"/>
          <w:szCs w:val="24"/>
        </w:rPr>
        <w:t xml:space="preserve"> equitable</w:t>
      </w:r>
      <w:r w:rsidR="0014624F" w:rsidRPr="00641A30">
        <w:rPr>
          <w:sz w:val="24"/>
          <w:szCs w:val="24"/>
        </w:rPr>
        <w:t>,</w:t>
      </w:r>
      <w:r w:rsidRPr="00641A30">
        <w:rPr>
          <w:sz w:val="24"/>
          <w:szCs w:val="24"/>
        </w:rPr>
        <w:t xml:space="preserve"> and patient-centered. This means working to reduce and prevent adverse events and ensuring timely and accessible evidence-based </w:t>
      </w:r>
      <w:r w:rsidR="0014624F" w:rsidRPr="00641A30">
        <w:rPr>
          <w:sz w:val="24"/>
          <w:szCs w:val="24"/>
        </w:rPr>
        <w:t>care for all in the right place</w:t>
      </w:r>
      <w:r w:rsidRPr="00641A30">
        <w:rPr>
          <w:sz w:val="24"/>
          <w:szCs w:val="24"/>
        </w:rPr>
        <w:t xml:space="preserve"> and at the right amount.</w:t>
      </w:r>
    </w:p>
    <w:p w14:paraId="283EE683" w14:textId="77777777" w:rsidR="00D130D7" w:rsidRPr="00641A30" w:rsidRDefault="00D130D7" w:rsidP="00E552D2">
      <w:pPr>
        <w:spacing w:line="360" w:lineRule="auto"/>
        <w:ind w:right="-360"/>
        <w:rPr>
          <w:sz w:val="24"/>
          <w:szCs w:val="24"/>
        </w:rPr>
      </w:pPr>
      <w:r w:rsidRPr="00641A30">
        <w:rPr>
          <w:sz w:val="24"/>
          <w:szCs w:val="24"/>
        </w:rPr>
        <w:t>Another important element to the health system is the expansion of Accountable Care Organizations (ACOs). The ACO program is a major component in the state’s five-year innovative 1115 Medicaid waiver that brings in significant new federal investment to restructure the current health care delivery system for MassHealth’s 1.9 million members.   The waiver provides $1.8 billion in new federal investments, referred to as Delivery System Reform Incentive Payments (DSRIP), to support the transition of health care providers providing value-based care. The current fee-for-service system leads to gaps in care and inefficiencies and the ACOs selected demonstrate a strong commitment to improving care for the members they serve and will be held to high standards for quality and access of care.</w:t>
      </w:r>
    </w:p>
    <w:p w14:paraId="7780CBD1" w14:textId="20EBCF91" w:rsidR="007F5F23" w:rsidRPr="00641A30" w:rsidRDefault="00D130D7" w:rsidP="00E552D2">
      <w:pPr>
        <w:spacing w:line="360" w:lineRule="auto"/>
        <w:ind w:right="-360"/>
        <w:rPr>
          <w:sz w:val="24"/>
          <w:szCs w:val="24"/>
        </w:rPr>
      </w:pPr>
      <w:r w:rsidRPr="00641A30">
        <w:rPr>
          <w:sz w:val="24"/>
          <w:szCs w:val="24"/>
        </w:rPr>
        <w:t xml:space="preserve">Since December 2016, six ACOs have been participating in the MassHealth ACO Pilot program covering approximately 160,000 members and have already demonstrated early successes.  For example, one ACO is connecting </w:t>
      </w:r>
      <w:r w:rsidR="00011462" w:rsidRPr="00641A30">
        <w:rPr>
          <w:sz w:val="24"/>
          <w:szCs w:val="24"/>
        </w:rPr>
        <w:t>members with home and community-</w:t>
      </w:r>
      <w:r w:rsidRPr="00641A30">
        <w:rPr>
          <w:sz w:val="24"/>
          <w:szCs w:val="24"/>
        </w:rPr>
        <w:t xml:space="preserve">based services to avoid costly hospitalizations wherever possible, and to bring primary care services to members in their homes.  MassHealth anticipates that the positive results demonstrated by the Pilot ACO program will continue with the full implementation and investments under the restructured </w:t>
      </w:r>
      <w:r w:rsidR="0014624F" w:rsidRPr="00641A30">
        <w:rPr>
          <w:sz w:val="24"/>
          <w:szCs w:val="24"/>
        </w:rPr>
        <w:t>ACO</w:t>
      </w:r>
      <w:r w:rsidRPr="00641A30">
        <w:rPr>
          <w:sz w:val="24"/>
          <w:szCs w:val="24"/>
        </w:rPr>
        <w:t xml:space="preserve"> program. </w:t>
      </w:r>
    </w:p>
    <w:p w14:paraId="65F03118" w14:textId="77777777" w:rsidR="00D130D7" w:rsidRPr="00641A30" w:rsidRDefault="00D130D7" w:rsidP="00E552D2">
      <w:pPr>
        <w:spacing w:line="360" w:lineRule="auto"/>
        <w:ind w:right="-360"/>
        <w:rPr>
          <w:sz w:val="24"/>
          <w:szCs w:val="24"/>
        </w:rPr>
      </w:pPr>
      <w:r w:rsidRPr="00641A30">
        <w:rPr>
          <w:sz w:val="24"/>
          <w:szCs w:val="24"/>
        </w:rPr>
        <w:t>MDPH ensures compliance by:</w:t>
      </w:r>
    </w:p>
    <w:p w14:paraId="4A98610D" w14:textId="77777777" w:rsidR="00D130D7" w:rsidRPr="00641A30" w:rsidRDefault="00D130D7" w:rsidP="00E552D2">
      <w:pPr>
        <w:pStyle w:val="ListParagraph"/>
        <w:numPr>
          <w:ilvl w:val="0"/>
          <w:numId w:val="106"/>
        </w:numPr>
        <w:tabs>
          <w:tab w:val="left" w:pos="6480"/>
        </w:tabs>
        <w:spacing w:line="360" w:lineRule="auto"/>
        <w:ind w:right="-360"/>
        <w:rPr>
          <w:sz w:val="24"/>
          <w:szCs w:val="24"/>
        </w:rPr>
      </w:pPr>
      <w:r w:rsidRPr="00641A30">
        <w:rPr>
          <w:sz w:val="24"/>
          <w:szCs w:val="24"/>
        </w:rPr>
        <w:t>Licensing health care facilities such as hospitals, nursing homes, clinics, rest homes, adult day health programs, and community health centers</w:t>
      </w:r>
    </w:p>
    <w:p w14:paraId="52D008D0" w14:textId="1186ABB8" w:rsidR="00D130D7" w:rsidRPr="00641A30" w:rsidRDefault="00D130D7" w:rsidP="00E552D2">
      <w:pPr>
        <w:pStyle w:val="ListParagraph"/>
        <w:numPr>
          <w:ilvl w:val="0"/>
          <w:numId w:val="106"/>
        </w:numPr>
        <w:tabs>
          <w:tab w:val="left" w:pos="6480"/>
        </w:tabs>
        <w:spacing w:line="360" w:lineRule="auto"/>
        <w:ind w:right="-360"/>
        <w:rPr>
          <w:sz w:val="24"/>
          <w:szCs w:val="24"/>
        </w:rPr>
      </w:pPr>
      <w:r w:rsidRPr="00641A30">
        <w:rPr>
          <w:sz w:val="24"/>
          <w:szCs w:val="24"/>
        </w:rPr>
        <w:t>Licensing health care professionals such as physicians, nurses, community health workers</w:t>
      </w:r>
      <w:r w:rsidR="00011462" w:rsidRPr="00641A30">
        <w:rPr>
          <w:sz w:val="24"/>
          <w:szCs w:val="24"/>
        </w:rPr>
        <w:t>,</w:t>
      </w:r>
      <w:r w:rsidRPr="00641A30">
        <w:rPr>
          <w:sz w:val="24"/>
          <w:szCs w:val="24"/>
        </w:rPr>
        <w:t xml:space="preserve"> and pharmacists</w:t>
      </w:r>
    </w:p>
    <w:p w14:paraId="2894EC63" w14:textId="77777777" w:rsidR="00373F3B" w:rsidRPr="00641A30" w:rsidRDefault="00373F3B" w:rsidP="00E552D2">
      <w:pPr>
        <w:pStyle w:val="ListParagraph"/>
        <w:numPr>
          <w:ilvl w:val="0"/>
          <w:numId w:val="106"/>
        </w:numPr>
        <w:autoSpaceDE w:val="0"/>
        <w:autoSpaceDN w:val="0"/>
        <w:spacing w:before="0" w:after="0" w:line="360" w:lineRule="auto"/>
        <w:ind w:right="0"/>
        <w:contextualSpacing w:val="0"/>
        <w:jc w:val="left"/>
        <w:rPr>
          <w:color w:val="000000"/>
          <w:sz w:val="24"/>
          <w:szCs w:val="24"/>
        </w:rPr>
      </w:pPr>
      <w:r w:rsidRPr="00641A30">
        <w:rPr>
          <w:color w:val="000000"/>
          <w:sz w:val="24"/>
          <w:szCs w:val="24"/>
        </w:rPr>
        <w:t>Monitoring and supporting health providers’ efforts to meet national standards for Culturally and Linguistically Appropriate Services (CLAS)</w:t>
      </w:r>
    </w:p>
    <w:p w14:paraId="11EEEC48" w14:textId="7676749A" w:rsidR="00D130D7" w:rsidRPr="00641A30" w:rsidRDefault="00D130D7" w:rsidP="00E552D2">
      <w:pPr>
        <w:pStyle w:val="ListParagraph"/>
        <w:numPr>
          <w:ilvl w:val="0"/>
          <w:numId w:val="106"/>
        </w:numPr>
        <w:tabs>
          <w:tab w:val="left" w:pos="6480"/>
        </w:tabs>
        <w:spacing w:line="360" w:lineRule="auto"/>
        <w:ind w:right="-360"/>
        <w:rPr>
          <w:sz w:val="24"/>
          <w:szCs w:val="24"/>
        </w:rPr>
      </w:pPr>
      <w:r w:rsidRPr="00641A30">
        <w:rPr>
          <w:sz w:val="24"/>
          <w:szCs w:val="24"/>
        </w:rPr>
        <w:lastRenderedPageBreak/>
        <w:t>Systematically collecting a variety of data including adverse events, such as falls, deep pressure ulcers, and cardiac events to assess safety</w:t>
      </w:r>
      <w:r w:rsidR="00011462" w:rsidRPr="00641A30">
        <w:rPr>
          <w:sz w:val="24"/>
          <w:szCs w:val="24"/>
        </w:rPr>
        <w:t>,</w:t>
      </w:r>
      <w:r w:rsidRPr="00641A30">
        <w:rPr>
          <w:sz w:val="24"/>
          <w:szCs w:val="24"/>
        </w:rPr>
        <w:t xml:space="preserve"> and aid informed decision-making and quality improvement</w:t>
      </w:r>
    </w:p>
    <w:p w14:paraId="15EB3C08" w14:textId="77777777" w:rsidR="00D130D7" w:rsidRPr="00641A30" w:rsidRDefault="00D130D7" w:rsidP="00E552D2">
      <w:pPr>
        <w:spacing w:line="360" w:lineRule="auto"/>
        <w:ind w:right="-360"/>
        <w:rPr>
          <w:sz w:val="24"/>
          <w:szCs w:val="24"/>
        </w:rPr>
      </w:pPr>
      <w:r w:rsidRPr="00641A30">
        <w:rPr>
          <w:sz w:val="24"/>
          <w:szCs w:val="24"/>
        </w:rPr>
        <w:t xml:space="preserve">In addition, MDPH also is responsible for public health coordinating, preparedness and emergency management. MDPH collaborates with stakeholders to ensure that all public health and health care partners, as well as local community members, have the knowledge, plans, and tools to prepare for, respond to, and recover from threats to public health such as: </w:t>
      </w:r>
    </w:p>
    <w:p w14:paraId="7C6AC962" w14:textId="77777777" w:rsidR="00D130D7" w:rsidRPr="00641A30" w:rsidRDefault="00D130D7" w:rsidP="00E552D2">
      <w:pPr>
        <w:pStyle w:val="ListParagraph"/>
        <w:numPr>
          <w:ilvl w:val="0"/>
          <w:numId w:val="208"/>
        </w:numPr>
        <w:tabs>
          <w:tab w:val="left" w:pos="6480"/>
        </w:tabs>
        <w:spacing w:line="360" w:lineRule="auto"/>
        <w:ind w:right="-360"/>
        <w:rPr>
          <w:sz w:val="24"/>
          <w:szCs w:val="24"/>
        </w:rPr>
      </w:pPr>
      <w:r w:rsidRPr="00641A30">
        <w:rPr>
          <w:sz w:val="24"/>
          <w:szCs w:val="24"/>
        </w:rPr>
        <w:t>Acts of bioterrorism</w:t>
      </w:r>
    </w:p>
    <w:p w14:paraId="27BCA392" w14:textId="77777777" w:rsidR="00D130D7" w:rsidRPr="00641A30" w:rsidRDefault="00D130D7" w:rsidP="00E552D2">
      <w:pPr>
        <w:pStyle w:val="ListParagraph"/>
        <w:numPr>
          <w:ilvl w:val="0"/>
          <w:numId w:val="208"/>
        </w:numPr>
        <w:tabs>
          <w:tab w:val="left" w:pos="6480"/>
        </w:tabs>
        <w:spacing w:line="360" w:lineRule="auto"/>
        <w:ind w:right="-360"/>
        <w:rPr>
          <w:sz w:val="24"/>
          <w:szCs w:val="24"/>
        </w:rPr>
      </w:pPr>
      <w:r w:rsidRPr="00641A30">
        <w:rPr>
          <w:sz w:val="24"/>
          <w:szCs w:val="24"/>
        </w:rPr>
        <w:t>Outbreaks of infectious disease</w:t>
      </w:r>
    </w:p>
    <w:p w14:paraId="0ADBF255" w14:textId="77777777" w:rsidR="00D130D7" w:rsidRPr="00641A30" w:rsidRDefault="00D130D7" w:rsidP="00E552D2">
      <w:pPr>
        <w:pStyle w:val="ListParagraph"/>
        <w:numPr>
          <w:ilvl w:val="0"/>
          <w:numId w:val="208"/>
        </w:numPr>
        <w:tabs>
          <w:tab w:val="left" w:pos="6480"/>
        </w:tabs>
        <w:spacing w:after="240" w:line="360" w:lineRule="auto"/>
        <w:ind w:right="-360"/>
        <w:rPr>
          <w:sz w:val="24"/>
          <w:szCs w:val="24"/>
        </w:rPr>
      </w:pPr>
      <w:r w:rsidRPr="00641A30">
        <w:rPr>
          <w:sz w:val="24"/>
          <w:szCs w:val="24"/>
        </w:rPr>
        <w:t>Other large-scale public health emergencies or mass casualty incidents</w:t>
      </w:r>
    </w:p>
    <w:p w14:paraId="4808D20D" w14:textId="77777777" w:rsidR="00373F3B" w:rsidRPr="00373F3B" w:rsidRDefault="00373F3B" w:rsidP="00E552D2">
      <w:pPr>
        <w:spacing w:after="100" w:afterAutospacing="1" w:line="360" w:lineRule="auto"/>
        <w:ind w:right="0"/>
        <w:contextualSpacing/>
        <w:rPr>
          <w:rFonts w:eastAsiaTheme="majorEastAsia" w:cstheme="majorBidi"/>
          <w:b/>
          <w:bCs/>
          <w:color w:val="000000" w:themeColor="text1"/>
          <w:sz w:val="30"/>
          <w:szCs w:val="30"/>
        </w:rPr>
      </w:pPr>
      <w:r w:rsidRPr="00373F3B">
        <w:rPr>
          <w:rFonts w:eastAsiaTheme="majorEastAsia" w:cstheme="majorBidi"/>
          <w:b/>
          <w:bCs/>
          <w:color w:val="000000" w:themeColor="text1"/>
          <w:sz w:val="30"/>
          <w:szCs w:val="30"/>
        </w:rPr>
        <w:t>Culturally and Linguistically Appropriate Services (CLAS) Standards</w:t>
      </w:r>
    </w:p>
    <w:p w14:paraId="156F05C8" w14:textId="77777777" w:rsidR="00373F3B" w:rsidRPr="006C126D" w:rsidRDefault="00373F3B" w:rsidP="00E552D2">
      <w:pPr>
        <w:spacing w:after="100" w:afterAutospacing="1" w:line="360" w:lineRule="auto"/>
        <w:ind w:right="-360"/>
        <w:contextualSpacing/>
        <w:rPr>
          <w:rFonts w:eastAsia="Times New Roman" w:cs="Segoe UI"/>
          <w:sz w:val="24"/>
          <w:szCs w:val="24"/>
          <w:shd w:val="clear" w:color="auto" w:fill="FFFFFF"/>
        </w:rPr>
      </w:pPr>
    </w:p>
    <w:p w14:paraId="5F3D80F4" w14:textId="77777777" w:rsidR="00373F3B" w:rsidRPr="00641A30" w:rsidRDefault="00373F3B" w:rsidP="00E552D2">
      <w:pPr>
        <w:spacing w:after="100" w:afterAutospacing="1" w:line="360" w:lineRule="auto"/>
        <w:ind w:right="-360"/>
        <w:contextualSpacing/>
        <w:rPr>
          <w:rFonts w:eastAsia="Times New Roman" w:cs="Segoe UI"/>
          <w:sz w:val="24"/>
          <w:szCs w:val="24"/>
          <w:shd w:val="clear" w:color="auto" w:fill="FFFFFF"/>
        </w:rPr>
      </w:pPr>
      <w:r w:rsidRPr="00641A30">
        <w:rPr>
          <w:rFonts w:eastAsia="Times New Roman" w:cs="Segoe UI"/>
          <w:sz w:val="24"/>
          <w:szCs w:val="24"/>
          <w:shd w:val="clear" w:color="auto" w:fill="FFFFFF"/>
        </w:rPr>
        <w:t>The Massachusetts Department of Public Health (MDPH) Office of Health Equity (OHE) implemented its CLAS initiative in three phases. CLAS I (2005-2010) developed strategies and tools for adoption of CLAS Standards in Massachusetts. CLAS II (2010-2013) focused on implementation and piloting of CLAS efforts and tools both across the agency and throughout its network of contracted service providers. CLAS III (2013-2015) focused on the sustainability and ongoing assessment of CLAS efforts.</w:t>
      </w:r>
    </w:p>
    <w:p w14:paraId="5588EC6D" w14:textId="77777777" w:rsidR="00373F3B" w:rsidRPr="00641A30" w:rsidRDefault="00373F3B" w:rsidP="00E552D2">
      <w:pPr>
        <w:spacing w:after="100" w:afterAutospacing="1" w:line="360" w:lineRule="auto"/>
        <w:ind w:right="-360"/>
        <w:contextualSpacing/>
        <w:rPr>
          <w:rFonts w:eastAsia="Times New Roman" w:cs="Segoe UI"/>
          <w:sz w:val="24"/>
          <w:szCs w:val="24"/>
          <w:shd w:val="clear" w:color="auto" w:fill="FFFFFF"/>
        </w:rPr>
      </w:pPr>
    </w:p>
    <w:p w14:paraId="00E2FEFF" w14:textId="77777777" w:rsidR="00373F3B" w:rsidRPr="00641A30" w:rsidRDefault="00373F3B" w:rsidP="00E552D2">
      <w:pPr>
        <w:spacing w:after="0" w:line="360" w:lineRule="auto"/>
        <w:ind w:right="-360"/>
        <w:contextualSpacing/>
        <w:rPr>
          <w:rFonts w:eastAsia="Times New Roman" w:cs="Segoe UI"/>
          <w:b/>
          <w:sz w:val="24"/>
          <w:szCs w:val="24"/>
          <w:lang w:val="en"/>
        </w:rPr>
      </w:pPr>
      <w:r w:rsidRPr="00641A30">
        <w:rPr>
          <w:rFonts w:eastAsia="Times New Roman" w:cs="Segoe UI"/>
          <w:b/>
          <w:sz w:val="24"/>
          <w:szCs w:val="24"/>
          <w:lang w:val="en"/>
        </w:rPr>
        <w:t>Ongoing CLAS Implementation</w:t>
      </w:r>
    </w:p>
    <w:p w14:paraId="562B0D46" w14:textId="77777777" w:rsidR="00373F3B" w:rsidRPr="00641A30" w:rsidRDefault="00373F3B" w:rsidP="00E552D2">
      <w:pPr>
        <w:spacing w:after="0" w:line="360" w:lineRule="auto"/>
        <w:ind w:right="-360"/>
        <w:contextualSpacing/>
        <w:rPr>
          <w:rFonts w:eastAsia="Times New Roman" w:cs="Segoe UI"/>
          <w:sz w:val="24"/>
          <w:szCs w:val="24"/>
          <w:lang w:val="en"/>
        </w:rPr>
      </w:pPr>
      <w:r w:rsidRPr="00641A30">
        <w:rPr>
          <w:rFonts w:eastAsia="Times New Roman" w:cs="Segoe UI"/>
          <w:sz w:val="24"/>
          <w:szCs w:val="24"/>
          <w:lang w:val="en"/>
        </w:rPr>
        <w:t>To identify gaps and priorities across all bureaus, MDPH completed CLAS internal assessments</w:t>
      </w:r>
      <w:r w:rsidRPr="00641A30">
        <w:rPr>
          <w:rFonts w:eastAsia="Times New Roman" w:cs="Segoe UI"/>
          <w:sz w:val="24"/>
          <w:szCs w:val="24"/>
          <w:vertAlign w:val="superscript"/>
          <w:lang w:val="en"/>
        </w:rPr>
        <w:t xml:space="preserve"> </w:t>
      </w:r>
      <w:r w:rsidRPr="00641A30">
        <w:rPr>
          <w:rFonts w:eastAsia="Times New Roman" w:cs="Segoe UI"/>
          <w:sz w:val="24"/>
          <w:szCs w:val="24"/>
          <w:lang w:val="en"/>
        </w:rPr>
        <w:t>in 2008, 2011. Findings and recommendations were presented to department leadership, and follow-up meetings were held in 2014 with individual bureaus, which informed improvements to the assessment tool and process. As a result, a new internal assessment was developed and implemented in 2016, which includes individual workplans and one-on-one technical assistance follow-up for each program. Future internal assessments will be done annually.</w:t>
      </w:r>
    </w:p>
    <w:p w14:paraId="4CA92536" w14:textId="77777777" w:rsidR="00373F3B" w:rsidRPr="00641A30" w:rsidRDefault="00373F3B" w:rsidP="00E552D2">
      <w:pPr>
        <w:spacing w:after="0" w:line="360" w:lineRule="auto"/>
        <w:ind w:right="-360"/>
        <w:contextualSpacing/>
        <w:rPr>
          <w:rFonts w:eastAsia="Times New Roman" w:cs="Segoe UI"/>
          <w:sz w:val="24"/>
          <w:szCs w:val="24"/>
          <w:lang w:val="en"/>
        </w:rPr>
      </w:pPr>
    </w:p>
    <w:p w14:paraId="100564A2" w14:textId="77777777" w:rsidR="00373F3B" w:rsidRPr="00641A30" w:rsidRDefault="00373F3B" w:rsidP="00E552D2">
      <w:pPr>
        <w:spacing w:after="0" w:line="360" w:lineRule="auto"/>
        <w:ind w:right="-360"/>
        <w:contextualSpacing/>
        <w:rPr>
          <w:rFonts w:eastAsia="Times New Roman" w:cs="Segoe UI"/>
          <w:sz w:val="24"/>
          <w:szCs w:val="24"/>
          <w:lang w:val="en"/>
        </w:rPr>
      </w:pPr>
      <w:r w:rsidRPr="00641A30">
        <w:rPr>
          <w:rFonts w:eastAsia="Times New Roman" w:cs="Segoe UI"/>
          <w:sz w:val="24"/>
          <w:szCs w:val="24"/>
          <w:lang w:val="en"/>
        </w:rPr>
        <w:t xml:space="preserve">Since 2007, MDPH has required that contracted vendors of direct services complete a </w:t>
      </w:r>
      <w:hyperlink r:id="rId12" w:history="1">
        <w:r w:rsidRPr="00641A30">
          <w:rPr>
            <w:rFonts w:eastAsia="Times New Roman" w:cs="Segoe UI"/>
            <w:color w:val="0000FF"/>
            <w:sz w:val="24"/>
            <w:szCs w:val="24"/>
            <w:u w:val="single"/>
            <w:lang w:val="en"/>
          </w:rPr>
          <w:t>self-assessment</w:t>
        </w:r>
      </w:hyperlink>
      <w:r w:rsidRPr="00641A30">
        <w:rPr>
          <w:rFonts w:eastAsia="Times New Roman" w:cs="Segoe UI"/>
          <w:sz w:val="24"/>
          <w:szCs w:val="24"/>
          <w:lang w:val="en"/>
        </w:rPr>
        <w:t xml:space="preserve"> as part of their annual workplans. The self-assessment guides vendors to detail how they plan to work on a CLAS-specific goal during the following 1-year contract period. Contract managers are trained to provide ongoing </w:t>
      </w:r>
      <w:r w:rsidRPr="00641A30">
        <w:rPr>
          <w:rFonts w:eastAsia="Times New Roman" w:cs="Segoe UI"/>
          <w:sz w:val="24"/>
          <w:szCs w:val="24"/>
          <w:lang w:val="en"/>
        </w:rPr>
        <w:lastRenderedPageBreak/>
        <w:t>monitoring and support of vendors’ CLAS-implementation efforts as part of annual site visits and performance reviews.</w:t>
      </w:r>
    </w:p>
    <w:p w14:paraId="39F2506D" w14:textId="77777777" w:rsidR="00373F3B" w:rsidRPr="00641A30" w:rsidRDefault="00373F3B" w:rsidP="00E552D2">
      <w:pPr>
        <w:spacing w:after="0" w:line="360" w:lineRule="auto"/>
        <w:ind w:right="-360"/>
        <w:contextualSpacing/>
        <w:rPr>
          <w:rFonts w:eastAsia="Times New Roman" w:cs="Segoe UI"/>
          <w:sz w:val="24"/>
          <w:szCs w:val="24"/>
          <w:lang w:val="en"/>
        </w:rPr>
      </w:pPr>
    </w:p>
    <w:p w14:paraId="20043A92" w14:textId="77777777" w:rsidR="00373F3B" w:rsidRPr="00641A30" w:rsidRDefault="00373F3B" w:rsidP="00E552D2">
      <w:pPr>
        <w:spacing w:after="0" w:line="360" w:lineRule="auto"/>
        <w:ind w:right="-360"/>
        <w:contextualSpacing/>
        <w:rPr>
          <w:rFonts w:eastAsia="Times New Roman" w:cs="Segoe UI"/>
          <w:sz w:val="24"/>
          <w:szCs w:val="24"/>
          <w:lang w:val="en"/>
        </w:rPr>
      </w:pPr>
      <w:r w:rsidRPr="00641A30">
        <w:rPr>
          <w:rFonts w:eastAsia="Times New Roman" w:cs="Segoe UI"/>
          <w:sz w:val="24"/>
          <w:szCs w:val="24"/>
          <w:lang w:val="en"/>
        </w:rPr>
        <w:t>Throughout CLAS I, II, and III, OHE convened an advisory board, with staff from all bureaus, who met regularly to ensure that the initiative met its objectives. Staff also worked in subcommittees to develop, pilot, promote and evaluate the CLAS-related trainings, materials, policies, and protocols MDPH developed. The committee also informed the initiative’s strategic sustainability plan, which</w:t>
      </w:r>
      <w:r w:rsidRPr="00641A30" w:rsidDel="009C4DDD">
        <w:rPr>
          <w:sz w:val="24"/>
          <w:szCs w:val="24"/>
        </w:rPr>
        <w:t xml:space="preserve"> </w:t>
      </w:r>
      <w:r w:rsidRPr="00641A30">
        <w:rPr>
          <w:rFonts w:eastAsia="Times New Roman" w:cs="Segoe UI"/>
          <w:sz w:val="24"/>
          <w:szCs w:val="24"/>
          <w:lang w:val="en"/>
        </w:rPr>
        <w:t>called for the seamless integration of CLAS into all MDPH work.</w:t>
      </w:r>
    </w:p>
    <w:p w14:paraId="5D47A5C4" w14:textId="77777777" w:rsidR="00373F3B" w:rsidRPr="00641A30" w:rsidRDefault="00373F3B" w:rsidP="00641A30">
      <w:pPr>
        <w:spacing w:after="0" w:line="360" w:lineRule="auto"/>
        <w:ind w:left="0" w:right="-360"/>
        <w:contextualSpacing/>
        <w:rPr>
          <w:rFonts w:eastAsia="Times New Roman" w:cs="Segoe UI"/>
          <w:sz w:val="24"/>
          <w:szCs w:val="24"/>
          <w:lang w:val="en"/>
        </w:rPr>
      </w:pPr>
    </w:p>
    <w:p w14:paraId="20AF28EC" w14:textId="77777777" w:rsidR="00373F3B" w:rsidRPr="00641A30" w:rsidRDefault="00373F3B" w:rsidP="00E552D2">
      <w:pPr>
        <w:spacing w:after="0" w:line="360" w:lineRule="auto"/>
        <w:ind w:right="-360"/>
        <w:contextualSpacing/>
        <w:rPr>
          <w:rFonts w:eastAsia="Times New Roman" w:cs="Segoe UI"/>
          <w:b/>
          <w:sz w:val="24"/>
          <w:szCs w:val="24"/>
          <w:lang w:val="en"/>
        </w:rPr>
      </w:pPr>
      <w:r w:rsidRPr="00641A30">
        <w:rPr>
          <w:rFonts w:eastAsia="Times New Roman" w:cs="Segoe UI"/>
          <w:b/>
          <w:sz w:val="24"/>
          <w:szCs w:val="24"/>
          <w:lang w:val="en"/>
        </w:rPr>
        <w:t>CLAS Training and Technical Assistance</w:t>
      </w:r>
    </w:p>
    <w:p w14:paraId="7AC19B9B" w14:textId="77777777" w:rsidR="00373F3B" w:rsidRPr="00641A30" w:rsidRDefault="00373F3B" w:rsidP="00E552D2">
      <w:pPr>
        <w:spacing w:after="0" w:line="360" w:lineRule="auto"/>
        <w:ind w:right="-360"/>
        <w:contextualSpacing/>
        <w:rPr>
          <w:rFonts w:eastAsia="Times New Roman" w:cs="Segoe UI"/>
          <w:sz w:val="24"/>
          <w:szCs w:val="24"/>
          <w:u w:val="single"/>
          <w:lang w:val="en"/>
        </w:rPr>
      </w:pPr>
    </w:p>
    <w:p w14:paraId="707B7A26" w14:textId="77777777" w:rsidR="00373F3B" w:rsidRPr="00641A30" w:rsidRDefault="00373F3B" w:rsidP="00E552D2">
      <w:pPr>
        <w:spacing w:after="100" w:afterAutospacing="1" w:line="360" w:lineRule="auto"/>
        <w:ind w:right="-360"/>
        <w:contextualSpacing/>
        <w:rPr>
          <w:rFonts w:eastAsia="Times New Roman" w:cs="Segoe UI"/>
          <w:sz w:val="24"/>
          <w:szCs w:val="24"/>
          <w:lang w:val="en"/>
        </w:rPr>
      </w:pPr>
      <w:r w:rsidRPr="00641A30">
        <w:rPr>
          <w:rFonts w:eastAsia="Times New Roman" w:cs="Segoe UI"/>
          <w:sz w:val="24"/>
          <w:szCs w:val="24"/>
          <w:lang w:val="en"/>
        </w:rPr>
        <w:t xml:space="preserve">OHE developed CLAS trainings and presentations for internal and external audiences—department staff, contracted vendors, community groups, sister agencies, fellow Offices of Minority Health in other states. In-person trainings for MDPH contract managers and vendors are offered several times a year, and webinars are offered upon request. Interested individuals can contact </w:t>
      </w:r>
      <w:hyperlink r:id="rId13" w:history="1">
        <w:r w:rsidRPr="00641A30">
          <w:rPr>
            <w:rFonts w:eastAsia="Times New Roman" w:cs="Segoe UI"/>
            <w:color w:val="0000FF"/>
            <w:sz w:val="24"/>
            <w:szCs w:val="24"/>
            <w:u w:val="single"/>
            <w:lang w:val="en"/>
          </w:rPr>
          <w:t>CLAS@state.ma.us</w:t>
        </w:r>
      </w:hyperlink>
      <w:r w:rsidRPr="00641A30">
        <w:rPr>
          <w:rFonts w:eastAsia="Times New Roman" w:cs="Segoe UI"/>
          <w:sz w:val="24"/>
          <w:szCs w:val="24"/>
          <w:lang w:val="en"/>
        </w:rPr>
        <w:t xml:space="preserve"> for information on CLAS trainings. Technical assistance requests are made by MDPH staff, vendors, and other stakeholders, via email or telephone and fulfilled by OHE in a timely manner.</w:t>
      </w:r>
    </w:p>
    <w:p w14:paraId="4C09F2C6" w14:textId="77777777" w:rsidR="00373F3B" w:rsidRPr="00641A30" w:rsidRDefault="00373F3B" w:rsidP="00E552D2">
      <w:pPr>
        <w:spacing w:after="0" w:line="360" w:lineRule="auto"/>
        <w:ind w:right="-360"/>
        <w:contextualSpacing/>
        <w:rPr>
          <w:rFonts w:eastAsia="Times New Roman" w:cs="Segoe UI"/>
          <w:sz w:val="24"/>
          <w:szCs w:val="24"/>
          <w:u w:val="single"/>
        </w:rPr>
      </w:pPr>
    </w:p>
    <w:p w14:paraId="34B37038" w14:textId="77777777" w:rsidR="00373F3B" w:rsidRPr="00641A30" w:rsidRDefault="00373F3B" w:rsidP="00E552D2">
      <w:pPr>
        <w:spacing w:after="0" w:line="360" w:lineRule="auto"/>
        <w:ind w:right="-360"/>
        <w:contextualSpacing/>
        <w:rPr>
          <w:rFonts w:eastAsia="Times New Roman" w:cs="Segoe UI"/>
          <w:b/>
          <w:sz w:val="24"/>
          <w:szCs w:val="24"/>
          <w:shd w:val="clear" w:color="auto" w:fill="FFFFFF"/>
        </w:rPr>
      </w:pPr>
      <w:r w:rsidRPr="00641A30">
        <w:rPr>
          <w:rFonts w:eastAsia="Times New Roman" w:cs="Segoe UI"/>
          <w:b/>
          <w:sz w:val="24"/>
          <w:szCs w:val="24"/>
          <w:shd w:val="clear" w:color="auto" w:fill="FFFFFF"/>
        </w:rPr>
        <w:t>CLAS Dissemination Tools</w:t>
      </w:r>
    </w:p>
    <w:p w14:paraId="62E4E976" w14:textId="77777777" w:rsidR="00373F3B" w:rsidRPr="00641A30" w:rsidRDefault="00373F3B" w:rsidP="00E552D2">
      <w:pPr>
        <w:spacing w:after="0" w:line="360" w:lineRule="auto"/>
        <w:ind w:right="-360"/>
        <w:contextualSpacing/>
        <w:rPr>
          <w:sz w:val="24"/>
          <w:szCs w:val="24"/>
          <w:lang w:val="en"/>
        </w:rPr>
      </w:pPr>
    </w:p>
    <w:p w14:paraId="02DD3AE6" w14:textId="77777777" w:rsidR="00373F3B" w:rsidRPr="00641A30" w:rsidRDefault="00373F3B" w:rsidP="00E552D2">
      <w:pPr>
        <w:spacing w:after="100" w:afterAutospacing="1" w:line="360" w:lineRule="auto"/>
        <w:ind w:right="-360"/>
        <w:contextualSpacing/>
        <w:rPr>
          <w:rFonts w:eastAsia="Times New Roman" w:cs="Segoe UI"/>
          <w:sz w:val="24"/>
          <w:szCs w:val="24"/>
          <w:shd w:val="clear" w:color="auto" w:fill="FFFFFF"/>
        </w:rPr>
      </w:pPr>
      <w:r w:rsidRPr="00641A30">
        <w:rPr>
          <w:rFonts w:eastAsia="Times New Roman" w:cs="Segoe UI"/>
          <w:sz w:val="24"/>
          <w:szCs w:val="24"/>
        </w:rPr>
        <w:t xml:space="preserve">The Massachusetts </w:t>
      </w:r>
      <w:r w:rsidRPr="00641A30">
        <w:rPr>
          <w:rFonts w:eastAsia="Times New Roman" w:cs="Segoe UI"/>
          <w:sz w:val="24"/>
          <w:szCs w:val="24"/>
          <w:shd w:val="clear" w:color="auto" w:fill="FFFFFF"/>
        </w:rPr>
        <w:t>Office of Health Equity</w:t>
      </w:r>
      <w:r w:rsidRPr="00641A30">
        <w:rPr>
          <w:rFonts w:eastAsia="Times New Roman" w:cs="Segoe UI"/>
          <w:sz w:val="24"/>
          <w:szCs w:val="24"/>
        </w:rPr>
        <w:t xml:space="preserve"> developed </w:t>
      </w:r>
      <w:hyperlink r:id="rId14" w:history="1">
        <w:r w:rsidRPr="00641A30">
          <w:rPr>
            <w:rFonts w:eastAsia="Times New Roman" w:cs="Segoe UI"/>
            <w:color w:val="0000FF"/>
            <w:sz w:val="24"/>
            <w:szCs w:val="24"/>
            <w:u w:val="single"/>
          </w:rPr>
          <w:t>Making CLAS Happen: Six Areas for Action</w:t>
        </w:r>
      </w:hyperlink>
      <w:r w:rsidRPr="00641A30">
        <w:rPr>
          <w:rFonts w:eastAsia="Times New Roman" w:cs="Segoe UI"/>
          <w:sz w:val="24"/>
          <w:szCs w:val="24"/>
          <w:shd w:val="clear" w:color="auto" w:fill="FFFFFF"/>
        </w:rPr>
        <w:t>, a manual to help organizations operationalize the CLAS Standards. It is organized into six chapters covering the 15 CLAS Standards:</w:t>
      </w:r>
    </w:p>
    <w:p w14:paraId="7C2933A9" w14:textId="77777777" w:rsidR="00373F3B" w:rsidRPr="00641A30" w:rsidRDefault="00373F3B" w:rsidP="00E552D2">
      <w:pPr>
        <w:numPr>
          <w:ilvl w:val="0"/>
          <w:numId w:val="218"/>
        </w:numPr>
        <w:shd w:val="clear" w:color="auto" w:fill="FFFFFF"/>
        <w:spacing w:before="0" w:after="120" w:line="360" w:lineRule="auto"/>
        <w:ind w:right="-360"/>
        <w:contextualSpacing/>
        <w:jc w:val="left"/>
        <w:rPr>
          <w:rFonts w:eastAsia="Times New Roman" w:cs="Segoe UI"/>
          <w:sz w:val="24"/>
          <w:szCs w:val="24"/>
          <w:shd w:val="clear" w:color="auto" w:fill="FFFFFF"/>
        </w:rPr>
      </w:pPr>
      <w:r w:rsidRPr="00641A30">
        <w:rPr>
          <w:rFonts w:eastAsia="Times New Roman" w:cs="Segoe UI"/>
          <w:sz w:val="24"/>
          <w:szCs w:val="24"/>
          <w:shd w:val="clear" w:color="auto" w:fill="FFFFFF"/>
        </w:rPr>
        <w:t xml:space="preserve">Foster cultural competence </w:t>
      </w:r>
    </w:p>
    <w:p w14:paraId="53AFDDBF" w14:textId="77777777" w:rsidR="00373F3B" w:rsidRPr="00641A30" w:rsidRDefault="00373F3B" w:rsidP="00E552D2">
      <w:pPr>
        <w:numPr>
          <w:ilvl w:val="0"/>
          <w:numId w:val="218"/>
        </w:numPr>
        <w:shd w:val="clear" w:color="auto" w:fill="FFFFFF"/>
        <w:spacing w:before="0" w:after="240" w:line="360" w:lineRule="auto"/>
        <w:ind w:right="-360"/>
        <w:contextualSpacing/>
        <w:jc w:val="left"/>
        <w:rPr>
          <w:rFonts w:eastAsia="Times New Roman" w:cs="Segoe UI"/>
          <w:sz w:val="24"/>
          <w:szCs w:val="24"/>
          <w:shd w:val="clear" w:color="auto" w:fill="FFFFFF"/>
        </w:rPr>
      </w:pPr>
      <w:r w:rsidRPr="00641A30">
        <w:rPr>
          <w:rFonts w:eastAsia="Times New Roman" w:cs="Segoe UI"/>
          <w:sz w:val="24"/>
          <w:szCs w:val="24"/>
          <w:shd w:val="clear" w:color="auto" w:fill="FFFFFF"/>
        </w:rPr>
        <w:t xml:space="preserve">Build community partnerships </w:t>
      </w:r>
    </w:p>
    <w:p w14:paraId="1CDAC2D4" w14:textId="77777777" w:rsidR="00373F3B" w:rsidRPr="00641A30" w:rsidRDefault="00373F3B" w:rsidP="00E552D2">
      <w:pPr>
        <w:numPr>
          <w:ilvl w:val="0"/>
          <w:numId w:val="218"/>
        </w:numPr>
        <w:shd w:val="clear" w:color="auto" w:fill="FFFFFF"/>
        <w:spacing w:before="0" w:after="240" w:line="360" w:lineRule="auto"/>
        <w:ind w:right="-360"/>
        <w:contextualSpacing/>
        <w:jc w:val="left"/>
        <w:rPr>
          <w:rFonts w:eastAsia="Times New Roman" w:cs="Segoe UI"/>
          <w:sz w:val="24"/>
          <w:szCs w:val="24"/>
          <w:shd w:val="clear" w:color="auto" w:fill="FFFFFF"/>
        </w:rPr>
      </w:pPr>
      <w:r w:rsidRPr="00641A30">
        <w:rPr>
          <w:rFonts w:eastAsia="Times New Roman" w:cs="Segoe UI"/>
          <w:sz w:val="24"/>
          <w:szCs w:val="24"/>
          <w:shd w:val="clear" w:color="auto" w:fill="FFFFFF"/>
        </w:rPr>
        <w:t xml:space="preserve">Collect and share diversity data </w:t>
      </w:r>
    </w:p>
    <w:p w14:paraId="0F70FBB6" w14:textId="77777777" w:rsidR="00373F3B" w:rsidRPr="00641A30" w:rsidRDefault="00373F3B" w:rsidP="00E552D2">
      <w:pPr>
        <w:numPr>
          <w:ilvl w:val="0"/>
          <w:numId w:val="218"/>
        </w:numPr>
        <w:shd w:val="clear" w:color="auto" w:fill="FFFFFF"/>
        <w:spacing w:before="0" w:after="240" w:line="360" w:lineRule="auto"/>
        <w:ind w:right="-360"/>
        <w:contextualSpacing/>
        <w:jc w:val="left"/>
        <w:rPr>
          <w:rFonts w:eastAsia="Times New Roman" w:cs="Segoe UI"/>
          <w:sz w:val="24"/>
          <w:szCs w:val="24"/>
          <w:shd w:val="clear" w:color="auto" w:fill="FFFFFF"/>
        </w:rPr>
      </w:pPr>
      <w:r w:rsidRPr="00641A30">
        <w:rPr>
          <w:rFonts w:eastAsia="Times New Roman" w:cs="Segoe UI"/>
          <w:sz w:val="24"/>
          <w:szCs w:val="24"/>
          <w:shd w:val="clear" w:color="auto" w:fill="FFFFFF"/>
        </w:rPr>
        <w:t xml:space="preserve">Benchmark: plan and evaluate </w:t>
      </w:r>
    </w:p>
    <w:p w14:paraId="7C752D89" w14:textId="77777777" w:rsidR="00373F3B" w:rsidRPr="00641A30" w:rsidRDefault="00373F3B" w:rsidP="00E552D2">
      <w:pPr>
        <w:numPr>
          <w:ilvl w:val="0"/>
          <w:numId w:val="218"/>
        </w:numPr>
        <w:shd w:val="clear" w:color="auto" w:fill="FFFFFF"/>
        <w:spacing w:before="0" w:after="240" w:line="360" w:lineRule="auto"/>
        <w:ind w:right="-360"/>
        <w:contextualSpacing/>
        <w:jc w:val="left"/>
        <w:rPr>
          <w:rFonts w:eastAsia="Times New Roman" w:cs="Segoe UI"/>
          <w:sz w:val="24"/>
          <w:szCs w:val="24"/>
          <w:shd w:val="clear" w:color="auto" w:fill="FFFFFF"/>
        </w:rPr>
      </w:pPr>
      <w:r w:rsidRPr="00641A30">
        <w:rPr>
          <w:rFonts w:eastAsia="Times New Roman" w:cs="Segoe UI"/>
          <w:sz w:val="24"/>
          <w:szCs w:val="24"/>
          <w:shd w:val="clear" w:color="auto" w:fill="FFFFFF"/>
        </w:rPr>
        <w:t xml:space="preserve">Reflect and respect diversity </w:t>
      </w:r>
    </w:p>
    <w:p w14:paraId="3660D85B" w14:textId="77777777" w:rsidR="00373F3B" w:rsidRPr="00641A30" w:rsidRDefault="00373F3B" w:rsidP="00E552D2">
      <w:pPr>
        <w:numPr>
          <w:ilvl w:val="0"/>
          <w:numId w:val="218"/>
        </w:numPr>
        <w:shd w:val="clear" w:color="auto" w:fill="FFFFFF"/>
        <w:spacing w:before="0" w:after="240" w:line="360" w:lineRule="auto"/>
        <w:ind w:right="-360"/>
        <w:contextualSpacing/>
        <w:jc w:val="left"/>
        <w:rPr>
          <w:rFonts w:eastAsia="Times New Roman" w:cs="Segoe UI"/>
          <w:sz w:val="24"/>
          <w:szCs w:val="24"/>
          <w:shd w:val="clear" w:color="auto" w:fill="FFFFFF"/>
        </w:rPr>
      </w:pPr>
      <w:r w:rsidRPr="00641A30">
        <w:rPr>
          <w:rFonts w:eastAsia="Times New Roman" w:cs="Segoe UI"/>
          <w:sz w:val="24"/>
          <w:szCs w:val="24"/>
          <w:shd w:val="clear" w:color="auto" w:fill="FFFFFF"/>
        </w:rPr>
        <w:t xml:space="preserve">Ensure language access </w:t>
      </w:r>
    </w:p>
    <w:p w14:paraId="04E73AB3" w14:textId="18771726" w:rsidR="00373F3B" w:rsidRPr="00641A30" w:rsidRDefault="00373F3B" w:rsidP="00641A30">
      <w:pPr>
        <w:pStyle w:val="Heading2"/>
        <w:spacing w:line="360" w:lineRule="auto"/>
        <w:ind w:right="-360"/>
        <w:rPr>
          <w:b w:val="0"/>
          <w:sz w:val="24"/>
          <w:szCs w:val="24"/>
        </w:rPr>
      </w:pPr>
      <w:r w:rsidRPr="00641A30">
        <w:rPr>
          <w:rFonts w:eastAsia="Times New Roman" w:cs="Segoe UI"/>
          <w:b w:val="0"/>
          <w:sz w:val="24"/>
          <w:szCs w:val="24"/>
          <w:shd w:val="clear" w:color="auto" w:fill="FFFFFF"/>
        </w:rPr>
        <w:lastRenderedPageBreak/>
        <w:t>Each chapter includes hands-on tools, resource lists, and case studies from public health and social service providers.</w:t>
      </w:r>
      <w:r w:rsidRPr="00641A30">
        <w:rPr>
          <w:rFonts w:cs="Segoe UI"/>
          <w:b w:val="0"/>
          <w:sz w:val="24"/>
          <w:szCs w:val="24"/>
          <w:shd w:val="clear" w:color="auto" w:fill="FFFFFF"/>
        </w:rPr>
        <w:t xml:space="preserve"> </w:t>
      </w:r>
      <w:r w:rsidRPr="00641A30">
        <w:rPr>
          <w:rFonts w:eastAsia="Times New Roman" w:cs="Segoe UI"/>
          <w:b w:val="0"/>
          <w:sz w:val="24"/>
          <w:szCs w:val="24"/>
          <w:shd w:val="clear" w:color="auto" w:fill="FFFFFF"/>
        </w:rPr>
        <w:t xml:space="preserve">The manual has been printed and disseminated and continues to be used across the state and the country. It was updated in 2013 to reflect the enhancement of the CLAS Standards, and can be downloaded by chapter from the </w:t>
      </w:r>
      <w:hyperlink r:id="rId15" w:history="1">
        <w:r w:rsidRPr="00641A30">
          <w:rPr>
            <w:rStyle w:val="Hyperlink"/>
            <w:rFonts w:eastAsia="Times New Roman" w:cs="Segoe UI"/>
            <w:b w:val="0"/>
            <w:sz w:val="24"/>
            <w:szCs w:val="24"/>
          </w:rPr>
          <w:t>MDPH CLAS website</w:t>
        </w:r>
      </w:hyperlink>
      <w:r w:rsidRPr="00641A30">
        <w:rPr>
          <w:rFonts w:eastAsia="Times New Roman" w:cs="Segoe UI"/>
          <w:b w:val="0"/>
          <w:sz w:val="24"/>
          <w:szCs w:val="24"/>
          <w:shd w:val="clear" w:color="auto" w:fill="FFFFFF"/>
        </w:rPr>
        <w:t>, which serves</w:t>
      </w:r>
      <w:r w:rsidRPr="00641A30">
        <w:rPr>
          <w:rFonts w:eastAsia="Times New Roman" w:cs="Segoe UI"/>
          <w:b w:val="0"/>
          <w:sz w:val="24"/>
          <w:szCs w:val="24"/>
          <w:lang w:val="en"/>
        </w:rPr>
        <w:t xml:space="preserve"> as an accessible repository for the dissemination of all MDPH-produced, CLAS-related materials.</w:t>
      </w:r>
    </w:p>
    <w:p w14:paraId="32EC55A3" w14:textId="6857A1CE" w:rsidR="00D130D7" w:rsidRDefault="00D130D7" w:rsidP="00E552D2">
      <w:pPr>
        <w:pStyle w:val="Heading2"/>
        <w:spacing w:line="360" w:lineRule="auto"/>
      </w:pPr>
      <w:r>
        <w:t>Health Care Access</w:t>
      </w:r>
      <w:r w:rsidR="006178F3">
        <w:t xml:space="preserve"> and Utilization</w:t>
      </w:r>
    </w:p>
    <w:p w14:paraId="753B0ECD" w14:textId="16551241" w:rsidR="006178F3" w:rsidRPr="00641A30" w:rsidRDefault="006178F3" w:rsidP="00E552D2">
      <w:pPr>
        <w:pStyle w:val="Heading3"/>
        <w:spacing w:line="360" w:lineRule="auto"/>
        <w:rPr>
          <w:sz w:val="24"/>
          <w:szCs w:val="24"/>
        </w:rPr>
      </w:pPr>
      <w:r w:rsidRPr="00641A30">
        <w:rPr>
          <w:sz w:val="24"/>
          <w:szCs w:val="24"/>
        </w:rPr>
        <w:t>Health Care Access</w:t>
      </w:r>
    </w:p>
    <w:p w14:paraId="2F9E0EE1" w14:textId="77777777" w:rsidR="00D130D7" w:rsidRPr="00641A30" w:rsidRDefault="00D130D7" w:rsidP="00E552D2">
      <w:pPr>
        <w:spacing w:line="360" w:lineRule="auto"/>
        <w:ind w:right="-360"/>
        <w:rPr>
          <w:sz w:val="24"/>
          <w:szCs w:val="24"/>
        </w:rPr>
      </w:pPr>
      <w:r w:rsidRPr="00641A30">
        <w:rPr>
          <w:sz w:val="24"/>
          <w:szCs w:val="24"/>
        </w:rPr>
        <w:t>This section discusses the issues surrounding health care access. Access to health care is an important determinant of health. Health problems, including acute and chronic conditions, can be prevented or treated by health care professionals. Key components of health care access include health insurance coverage, provider availability, provider linguistic and cultural humility and sensitivity, and quality of care.</w:t>
      </w:r>
      <w:r w:rsidRPr="00641A30">
        <w:rPr>
          <w:rStyle w:val="EndnoteReference"/>
          <w:sz w:val="24"/>
          <w:szCs w:val="24"/>
        </w:rPr>
        <w:endnoteReference w:id="4"/>
      </w:r>
      <w:r w:rsidRPr="00641A30">
        <w:rPr>
          <w:sz w:val="24"/>
          <w:szCs w:val="24"/>
        </w:rPr>
        <w:t xml:space="preserve">  </w:t>
      </w:r>
    </w:p>
    <w:p w14:paraId="5DAD9E36" w14:textId="77777777" w:rsidR="00D130D7" w:rsidRPr="00641A30" w:rsidRDefault="00D130D7" w:rsidP="00E552D2">
      <w:pPr>
        <w:pStyle w:val="Heading4"/>
        <w:spacing w:line="360" w:lineRule="auto"/>
      </w:pPr>
      <w:r w:rsidRPr="00641A30">
        <w:t>Trends/Disparities</w:t>
      </w:r>
    </w:p>
    <w:p w14:paraId="689B5A9A" w14:textId="77777777" w:rsidR="00D130D7" w:rsidRPr="00641A30" w:rsidRDefault="00D130D7" w:rsidP="00E552D2">
      <w:pPr>
        <w:spacing w:line="360" w:lineRule="auto"/>
        <w:ind w:right="-360"/>
        <w:rPr>
          <w:sz w:val="24"/>
          <w:szCs w:val="24"/>
        </w:rPr>
      </w:pPr>
      <w:r w:rsidRPr="00641A30">
        <w:rPr>
          <w:sz w:val="24"/>
          <w:szCs w:val="24"/>
        </w:rPr>
        <w:t>Although Massachusetts is a national leader in the number of health care facilities and health care providers, there are still some barriers that prevent individuals from accessing timely and adequate health care</w:t>
      </w:r>
      <w:r w:rsidRPr="00641A30">
        <w:rPr>
          <w:rStyle w:val="EndnoteReference"/>
          <w:sz w:val="24"/>
          <w:szCs w:val="24"/>
        </w:rPr>
        <w:endnoteReference w:id="5"/>
      </w:r>
      <w:r w:rsidRPr="00641A30">
        <w:rPr>
          <w:sz w:val="24"/>
          <w:szCs w:val="24"/>
        </w:rPr>
        <w:t>:</w:t>
      </w:r>
    </w:p>
    <w:p w14:paraId="2AEFAFBF" w14:textId="77777777" w:rsidR="00D130D7" w:rsidRPr="00641A30" w:rsidRDefault="00D130D7" w:rsidP="00E552D2">
      <w:pPr>
        <w:pStyle w:val="ListParagraph"/>
        <w:numPr>
          <w:ilvl w:val="0"/>
          <w:numId w:val="209"/>
        </w:numPr>
        <w:tabs>
          <w:tab w:val="left" w:pos="6480"/>
        </w:tabs>
        <w:spacing w:line="360" w:lineRule="auto"/>
        <w:ind w:right="-360"/>
        <w:rPr>
          <w:sz w:val="24"/>
          <w:szCs w:val="24"/>
        </w:rPr>
      </w:pPr>
      <w:r w:rsidRPr="00641A30">
        <w:rPr>
          <w:sz w:val="24"/>
          <w:szCs w:val="24"/>
        </w:rPr>
        <w:t>Lack of health insurance</w:t>
      </w:r>
    </w:p>
    <w:p w14:paraId="4835F825" w14:textId="77777777" w:rsidR="00D130D7" w:rsidRPr="00641A30" w:rsidRDefault="00D130D7" w:rsidP="00E552D2">
      <w:pPr>
        <w:pStyle w:val="ListParagraph"/>
        <w:numPr>
          <w:ilvl w:val="0"/>
          <w:numId w:val="209"/>
        </w:numPr>
        <w:tabs>
          <w:tab w:val="left" w:pos="6480"/>
        </w:tabs>
        <w:spacing w:line="360" w:lineRule="auto"/>
        <w:ind w:right="-360"/>
        <w:rPr>
          <w:sz w:val="24"/>
          <w:szCs w:val="24"/>
        </w:rPr>
      </w:pPr>
      <w:r w:rsidRPr="00641A30">
        <w:rPr>
          <w:sz w:val="24"/>
          <w:szCs w:val="24"/>
        </w:rPr>
        <w:t>Lack of transportation</w:t>
      </w:r>
    </w:p>
    <w:p w14:paraId="597D8166" w14:textId="77777777" w:rsidR="00D130D7" w:rsidRPr="00641A30" w:rsidRDefault="00D130D7" w:rsidP="00E552D2">
      <w:pPr>
        <w:pStyle w:val="ListParagraph"/>
        <w:numPr>
          <w:ilvl w:val="0"/>
          <w:numId w:val="209"/>
        </w:numPr>
        <w:tabs>
          <w:tab w:val="left" w:pos="6480"/>
        </w:tabs>
        <w:spacing w:line="360" w:lineRule="auto"/>
        <w:ind w:right="-360"/>
        <w:rPr>
          <w:sz w:val="24"/>
          <w:szCs w:val="24"/>
        </w:rPr>
      </w:pPr>
      <w:r w:rsidRPr="00641A30">
        <w:rPr>
          <w:sz w:val="24"/>
          <w:szCs w:val="24"/>
        </w:rPr>
        <w:t>Lack of language interpreters</w:t>
      </w:r>
    </w:p>
    <w:p w14:paraId="3EDA1DB7" w14:textId="77777777" w:rsidR="00D130D7" w:rsidRPr="00641A30" w:rsidRDefault="00D130D7" w:rsidP="00E552D2">
      <w:pPr>
        <w:pStyle w:val="ListParagraph"/>
        <w:numPr>
          <w:ilvl w:val="0"/>
          <w:numId w:val="209"/>
        </w:numPr>
        <w:tabs>
          <w:tab w:val="left" w:pos="6480"/>
        </w:tabs>
        <w:spacing w:line="360" w:lineRule="auto"/>
        <w:ind w:right="-360"/>
        <w:rPr>
          <w:sz w:val="24"/>
          <w:szCs w:val="24"/>
        </w:rPr>
      </w:pPr>
      <w:r w:rsidRPr="00641A30">
        <w:rPr>
          <w:sz w:val="24"/>
          <w:szCs w:val="24"/>
        </w:rPr>
        <w:t>Lack of knowledge to navigate the health care system</w:t>
      </w:r>
    </w:p>
    <w:p w14:paraId="50B2D264" w14:textId="77777777" w:rsidR="00D130D7" w:rsidRPr="00641A30" w:rsidRDefault="00D130D7" w:rsidP="00E552D2">
      <w:pPr>
        <w:pStyle w:val="ListParagraph"/>
        <w:numPr>
          <w:ilvl w:val="0"/>
          <w:numId w:val="209"/>
        </w:numPr>
        <w:tabs>
          <w:tab w:val="left" w:pos="6480"/>
        </w:tabs>
        <w:spacing w:line="360" w:lineRule="auto"/>
        <w:ind w:right="-360"/>
        <w:rPr>
          <w:sz w:val="24"/>
          <w:szCs w:val="24"/>
        </w:rPr>
      </w:pPr>
      <w:r w:rsidRPr="00641A30">
        <w:rPr>
          <w:sz w:val="24"/>
          <w:szCs w:val="24"/>
        </w:rPr>
        <w:t>Lack of childcare</w:t>
      </w:r>
    </w:p>
    <w:p w14:paraId="773E2928" w14:textId="77777777" w:rsidR="00D130D7" w:rsidRPr="00641A30" w:rsidRDefault="00D130D7" w:rsidP="00E552D2">
      <w:pPr>
        <w:pStyle w:val="ListParagraph"/>
        <w:numPr>
          <w:ilvl w:val="0"/>
          <w:numId w:val="209"/>
        </w:numPr>
        <w:tabs>
          <w:tab w:val="left" w:pos="6480"/>
        </w:tabs>
        <w:spacing w:line="360" w:lineRule="auto"/>
        <w:ind w:right="-360"/>
        <w:rPr>
          <w:sz w:val="24"/>
          <w:szCs w:val="24"/>
        </w:rPr>
      </w:pPr>
      <w:r w:rsidRPr="00641A30">
        <w:rPr>
          <w:sz w:val="24"/>
          <w:szCs w:val="24"/>
        </w:rPr>
        <w:t>Lack of culturally competent care</w:t>
      </w:r>
    </w:p>
    <w:p w14:paraId="26BDD3C7" w14:textId="77777777" w:rsidR="00D130D7" w:rsidRPr="00641A30" w:rsidRDefault="00D130D7" w:rsidP="00E552D2">
      <w:pPr>
        <w:pStyle w:val="ListParagraph"/>
        <w:numPr>
          <w:ilvl w:val="0"/>
          <w:numId w:val="209"/>
        </w:numPr>
        <w:tabs>
          <w:tab w:val="left" w:pos="6480"/>
        </w:tabs>
        <w:spacing w:line="360" w:lineRule="auto"/>
        <w:ind w:right="-360"/>
        <w:rPr>
          <w:sz w:val="24"/>
          <w:szCs w:val="24"/>
        </w:rPr>
      </w:pPr>
      <w:r w:rsidRPr="00641A30">
        <w:rPr>
          <w:sz w:val="24"/>
          <w:szCs w:val="24"/>
        </w:rPr>
        <w:t xml:space="preserve">High cost of care </w:t>
      </w:r>
    </w:p>
    <w:p w14:paraId="5B7230AA" w14:textId="77777777" w:rsidR="00D130D7" w:rsidRPr="00641A30" w:rsidRDefault="00D130D7" w:rsidP="00E552D2">
      <w:pPr>
        <w:pStyle w:val="ListParagraph"/>
        <w:numPr>
          <w:ilvl w:val="0"/>
          <w:numId w:val="209"/>
        </w:numPr>
        <w:tabs>
          <w:tab w:val="left" w:pos="6480"/>
        </w:tabs>
        <w:spacing w:line="360" w:lineRule="auto"/>
        <w:ind w:right="-360"/>
        <w:rPr>
          <w:sz w:val="24"/>
          <w:szCs w:val="24"/>
        </w:rPr>
      </w:pPr>
      <w:r w:rsidRPr="00641A30">
        <w:rPr>
          <w:sz w:val="24"/>
          <w:szCs w:val="24"/>
        </w:rPr>
        <w:t>Distrust of health providers and the health care system</w:t>
      </w:r>
      <w:r w:rsidRPr="00641A30">
        <w:rPr>
          <w:rStyle w:val="EndnoteReference"/>
          <w:sz w:val="24"/>
          <w:szCs w:val="24"/>
        </w:rPr>
        <w:t xml:space="preserve"> </w:t>
      </w:r>
    </w:p>
    <w:p w14:paraId="46C1CC83" w14:textId="4F5DFD79" w:rsidR="00D130D7" w:rsidRPr="00641A30" w:rsidRDefault="00D130D7" w:rsidP="00E552D2">
      <w:pPr>
        <w:spacing w:line="360" w:lineRule="auto"/>
        <w:ind w:right="-360"/>
        <w:rPr>
          <w:sz w:val="24"/>
          <w:szCs w:val="24"/>
        </w:rPr>
      </w:pPr>
      <w:r w:rsidRPr="00641A30">
        <w:rPr>
          <w:sz w:val="24"/>
          <w:szCs w:val="24"/>
        </w:rPr>
        <w:t>Barriers in access to health care can lead to delayed health care utilization, less preventive services, financial hardship, and rising health care costs, primarily through increased and preventable urgent care visits and hospitalizations.</w:t>
      </w:r>
      <w:r w:rsidRPr="00641A30">
        <w:rPr>
          <w:sz w:val="24"/>
          <w:szCs w:val="24"/>
          <w:vertAlign w:val="superscript"/>
        </w:rPr>
        <w:endnoteReference w:id="6"/>
      </w:r>
      <w:r w:rsidRPr="00641A30">
        <w:rPr>
          <w:sz w:val="24"/>
          <w:szCs w:val="24"/>
        </w:rPr>
        <w:t xml:space="preserve"> In Massachusetts, specific racial/ethnic </w:t>
      </w:r>
      <w:r w:rsidR="001C41B0" w:rsidRPr="00641A30">
        <w:rPr>
          <w:sz w:val="24"/>
          <w:szCs w:val="24"/>
        </w:rPr>
        <w:t xml:space="preserve">populations, those that are low </w:t>
      </w:r>
      <w:r w:rsidRPr="00641A30">
        <w:rPr>
          <w:sz w:val="24"/>
          <w:szCs w:val="24"/>
        </w:rPr>
        <w:t>income, and residents of rural areas, disproportionately experience barriers in receiving timely care.</w:t>
      </w:r>
      <w:r w:rsidRPr="00641A30">
        <w:rPr>
          <w:sz w:val="24"/>
          <w:szCs w:val="24"/>
          <w:vertAlign w:val="superscript"/>
        </w:rPr>
        <w:endnoteReference w:id="7"/>
      </w:r>
      <w:r w:rsidRPr="00641A30">
        <w:rPr>
          <w:sz w:val="24"/>
          <w:szCs w:val="24"/>
          <w:vertAlign w:val="superscript"/>
        </w:rPr>
        <w:t xml:space="preserve"> </w:t>
      </w:r>
      <w:r w:rsidRPr="00641A30">
        <w:rPr>
          <w:sz w:val="24"/>
          <w:szCs w:val="24"/>
        </w:rPr>
        <w:t xml:space="preserve">Access to basic health </w:t>
      </w:r>
      <w:r w:rsidRPr="00641A30">
        <w:rPr>
          <w:sz w:val="24"/>
          <w:szCs w:val="24"/>
        </w:rPr>
        <w:lastRenderedPageBreak/>
        <w:t xml:space="preserve">care may vary by race, ethnicity, socioeconomic status, age, sex, gender identity, sexual orientation, ability and geographic location. </w:t>
      </w:r>
    </w:p>
    <w:p w14:paraId="13CFA6DE" w14:textId="77777777" w:rsidR="00D130D7" w:rsidRPr="00641A30" w:rsidRDefault="00D130D7" w:rsidP="00E552D2">
      <w:pPr>
        <w:spacing w:line="360" w:lineRule="auto"/>
        <w:ind w:right="-360"/>
        <w:rPr>
          <w:sz w:val="24"/>
          <w:szCs w:val="24"/>
        </w:rPr>
      </w:pPr>
      <w:r w:rsidRPr="00641A30">
        <w:rPr>
          <w:sz w:val="24"/>
          <w:szCs w:val="24"/>
        </w:rPr>
        <w:t>The trends in the availability of basic health care across the Commonwealth are positive, both in terms of the geographic distribution of facilities and services and the total numbers of facilities and services.</w:t>
      </w:r>
    </w:p>
    <w:p w14:paraId="27E819A9" w14:textId="38B70D98" w:rsidR="00373F3B" w:rsidRPr="00641A30" w:rsidRDefault="00D130D7" w:rsidP="004807EB">
      <w:pPr>
        <w:keepNext/>
        <w:keepLines/>
        <w:spacing w:line="360" w:lineRule="auto"/>
        <w:ind w:right="-360"/>
        <w:rPr>
          <w:sz w:val="24"/>
          <w:szCs w:val="24"/>
        </w:rPr>
      </w:pPr>
      <w:r w:rsidRPr="00641A30">
        <w:rPr>
          <w:sz w:val="24"/>
          <w:szCs w:val="24"/>
        </w:rPr>
        <w:t>The table below illustrates the distribution of health care facilities by county. Though the numbers vary widely between counties, they are proportionate to the population size of their respective areas.</w:t>
      </w:r>
    </w:p>
    <w:p w14:paraId="44CDC491" w14:textId="1D3C2586" w:rsidR="00D130D7" w:rsidRPr="00641A30" w:rsidRDefault="00D130D7" w:rsidP="00945BDC">
      <w:pPr>
        <w:pStyle w:val="SHAFigureNumber"/>
        <w:rPr>
          <w:sz w:val="24"/>
          <w:szCs w:val="24"/>
        </w:rPr>
      </w:pPr>
      <w:r w:rsidRPr="00641A30">
        <w:rPr>
          <w:sz w:val="24"/>
          <w:szCs w:val="24"/>
        </w:rPr>
        <w:t>Figure 7.1</w:t>
      </w:r>
      <w:r w:rsidR="004807EB" w:rsidRPr="00641A30">
        <w:rPr>
          <w:sz w:val="24"/>
          <w:szCs w:val="24"/>
        </w:rPr>
        <w:t xml:space="preserve">: </w:t>
      </w:r>
      <w:r w:rsidRPr="00641A30">
        <w:rPr>
          <w:sz w:val="24"/>
          <w:szCs w:val="24"/>
        </w:rPr>
        <w:t>Number of Health Care Facilities, By County, Massachusetts, June 2017</w:t>
      </w:r>
    </w:p>
    <w:tbl>
      <w:tblPr>
        <w:tblStyle w:val="GridTable3-Accent111"/>
        <w:tblW w:w="10065" w:type="dxa"/>
        <w:tblInd w:w="-360" w:type="dxa"/>
        <w:tblLook w:val="04A0" w:firstRow="1" w:lastRow="0" w:firstColumn="1" w:lastColumn="0" w:noHBand="0" w:noVBand="1"/>
        <w:tblDescription w:val="This table illustrates the distribution of health care facilities by county across the state of Massachusetts. These healthcare facilities include nursing homes, rest homes, adult day health programs, acute hospitals, non-acute hospitals, clinics, and dialysis centers.  Barnstable has a total of 69 health care facilities. Berkshire has a total of 46 facilities. Bristol has a total of 140 facilities. Dukes county has a total of 6 facilities. Essex has a total of 220 facilities. Franklin has a total of 19 facilities. Hampden has a total of 141 facilities. Hampshire has a total of 28 facilities. Middlesex has a total of 310 facilities. Nantucket has a total of 5 facilities. Norfolk has a total of 163 facilities. Plymouth as a total of 119 facilities. Suffolk has a total of 199 facilities. Suffolk has a total of 199 facilities, and Worcester has a total of 217 facilities.  In total across all counties there are 414 nursing homes, 68 rest homes, 167 adult day health centers, 75 acute hospitals, 47 non-acute hospitals, 827 clinics, 84 dialysis centers, and a grand total of 1682 health facilities across the state."/>
      </w:tblPr>
      <w:tblGrid>
        <w:gridCol w:w="2070"/>
        <w:gridCol w:w="1047"/>
        <w:gridCol w:w="954"/>
        <w:gridCol w:w="979"/>
        <w:gridCol w:w="1083"/>
        <w:gridCol w:w="1083"/>
        <w:gridCol w:w="948"/>
        <w:gridCol w:w="978"/>
        <w:gridCol w:w="923"/>
      </w:tblGrid>
      <w:tr w:rsidR="00126462" w:rsidRPr="00945BDC" w14:paraId="74082DFD" w14:textId="77777777" w:rsidTr="008B1BC2">
        <w:trPr>
          <w:cnfStyle w:val="100000000000" w:firstRow="1" w:lastRow="0" w:firstColumn="0" w:lastColumn="0" w:oddVBand="0" w:evenVBand="0" w:oddHBand="0" w:evenHBand="0" w:firstRowFirstColumn="0" w:firstRowLastColumn="0" w:lastRowFirstColumn="0" w:lastRowLastColumn="0"/>
          <w:trHeight w:val="465"/>
        </w:trPr>
        <w:tc>
          <w:tcPr>
            <w:cnfStyle w:val="001000000100" w:firstRow="0" w:lastRow="0" w:firstColumn="1" w:lastColumn="0" w:oddVBand="0" w:evenVBand="0" w:oddHBand="0" w:evenHBand="0" w:firstRowFirstColumn="1" w:firstRowLastColumn="0" w:lastRowFirstColumn="0" w:lastRowLastColumn="0"/>
            <w:tcW w:w="2070" w:type="dxa"/>
            <w:vMerge w:val="restart"/>
            <w:hideMark/>
          </w:tcPr>
          <w:p w14:paraId="64D6CA90" w14:textId="48E03803" w:rsidR="00126462" w:rsidRPr="00945BDC" w:rsidRDefault="00482430" w:rsidP="00E552D2">
            <w:pPr>
              <w:keepNext/>
              <w:keepLines/>
              <w:spacing w:line="360" w:lineRule="auto"/>
              <w:ind w:left="0" w:right="0"/>
              <w:rPr>
                <w:rFonts w:eastAsia="Times New Roman" w:cs="Arial"/>
                <w:i w:val="0"/>
                <w:noProof w:val="0"/>
                <w:color w:val="000000"/>
              </w:rPr>
            </w:pPr>
            <w:r w:rsidRPr="00945BDC">
              <w:rPr>
                <w:rFonts w:eastAsia="Times New Roman" w:cs="Arial"/>
                <w:i w:val="0"/>
                <w:noProof w:val="0"/>
                <w:color w:val="000000"/>
              </w:rPr>
              <w:lastRenderedPageBreak/>
              <w:t xml:space="preserve">         </w:t>
            </w:r>
            <w:r w:rsidR="00126462" w:rsidRPr="00945BDC">
              <w:rPr>
                <w:rFonts w:eastAsia="Times New Roman" w:cs="Arial"/>
                <w:i w:val="0"/>
                <w:noProof w:val="0"/>
                <w:color w:val="000000"/>
              </w:rPr>
              <w:t>County</w:t>
            </w:r>
          </w:p>
          <w:p w14:paraId="1F25E50F" w14:textId="482EDCFA" w:rsidR="00126462" w:rsidRPr="00945BDC" w:rsidRDefault="00482430" w:rsidP="00E552D2">
            <w:pPr>
              <w:keepNext/>
              <w:keepLines/>
              <w:spacing w:line="360" w:lineRule="auto"/>
              <w:ind w:left="0" w:right="0"/>
              <w:jc w:val="center"/>
              <w:rPr>
                <w:rFonts w:eastAsia="Times New Roman" w:cs="Arial"/>
                <w:b w:val="0"/>
                <w:noProof w:val="0"/>
                <w:color w:val="000000"/>
              </w:rPr>
            </w:pPr>
            <w:r w:rsidRPr="00945BDC">
              <w:rPr>
                <w:rFonts w:eastAsia="Times New Roman" w:cs="Arial"/>
                <w:i w:val="0"/>
                <w:noProof w:val="0"/>
                <w:color w:val="000000"/>
              </w:rPr>
              <w:t>(P</w:t>
            </w:r>
            <w:r w:rsidR="00126462" w:rsidRPr="00945BDC">
              <w:rPr>
                <w:rFonts w:eastAsia="Times New Roman" w:cs="Arial"/>
                <w:i w:val="0"/>
                <w:noProof w:val="0"/>
                <w:color w:val="000000"/>
              </w:rPr>
              <w:t>opulation)</w:t>
            </w:r>
          </w:p>
        </w:tc>
        <w:tc>
          <w:tcPr>
            <w:tcW w:w="7995" w:type="dxa"/>
            <w:gridSpan w:val="8"/>
            <w:hideMark/>
          </w:tcPr>
          <w:p w14:paraId="0BD135C3" w14:textId="77777777" w:rsidR="00126462" w:rsidRPr="00945BDC" w:rsidRDefault="00126462" w:rsidP="00E552D2">
            <w:pPr>
              <w:keepNext/>
              <w:keepLines/>
              <w:spacing w:line="360" w:lineRule="auto"/>
              <w:ind w:left="0" w:right="0"/>
              <w:jc w:val="center"/>
              <w:cnfStyle w:val="100000000000" w:firstRow="1" w:lastRow="0" w:firstColumn="0" w:lastColumn="0" w:oddVBand="0" w:evenVBand="0" w:oddHBand="0" w:evenHBand="0" w:firstRowFirstColumn="0" w:firstRowLastColumn="0" w:lastRowFirstColumn="0" w:lastRowLastColumn="0"/>
              <w:rPr>
                <w:rFonts w:eastAsia="Times New Roman" w:cs="Arial"/>
                <w:b w:val="0"/>
                <w:noProof w:val="0"/>
                <w:color w:val="000000"/>
              </w:rPr>
            </w:pPr>
            <w:r w:rsidRPr="00945BDC">
              <w:rPr>
                <w:rFonts w:eastAsia="Times New Roman" w:cs="Arial"/>
                <w:noProof w:val="0"/>
                <w:color w:val="000000"/>
              </w:rPr>
              <w:t>Facility Type</w:t>
            </w:r>
          </w:p>
        </w:tc>
      </w:tr>
      <w:tr w:rsidR="00126462" w:rsidRPr="00945BDC" w14:paraId="4A5477E9" w14:textId="77777777" w:rsidTr="008B1BC2">
        <w:trPr>
          <w:cnfStyle w:val="000000100000" w:firstRow="0" w:lastRow="0" w:firstColumn="0" w:lastColumn="0" w:oddVBand="0" w:evenVBand="0" w:oddHBand="1" w:evenHBand="0" w:firstRowFirstColumn="0" w:firstRowLastColumn="0" w:lastRowFirstColumn="0" w:lastRowLastColumn="0"/>
          <w:trHeight w:val="931"/>
        </w:trPr>
        <w:tc>
          <w:tcPr>
            <w:cnfStyle w:val="001000000000" w:firstRow="0" w:lastRow="0" w:firstColumn="1" w:lastColumn="0" w:oddVBand="0" w:evenVBand="0" w:oddHBand="0" w:evenHBand="0" w:firstRowFirstColumn="0" w:firstRowLastColumn="0" w:lastRowFirstColumn="0" w:lastRowLastColumn="0"/>
            <w:tcW w:w="2070" w:type="dxa"/>
            <w:vMerge/>
            <w:hideMark/>
          </w:tcPr>
          <w:p w14:paraId="78D92CEE" w14:textId="77777777" w:rsidR="00126462" w:rsidRPr="00945BDC" w:rsidRDefault="00126462" w:rsidP="00E552D2">
            <w:pPr>
              <w:keepNext/>
              <w:keepLines/>
              <w:spacing w:line="360" w:lineRule="auto"/>
              <w:ind w:left="0" w:right="0"/>
              <w:jc w:val="right"/>
              <w:rPr>
                <w:rFonts w:eastAsia="Times New Roman" w:cs="Arial"/>
                <w:bCs/>
                <w:noProof w:val="0"/>
                <w:color w:val="000000"/>
              </w:rPr>
            </w:pPr>
          </w:p>
        </w:tc>
        <w:tc>
          <w:tcPr>
            <w:tcW w:w="1047" w:type="dxa"/>
            <w:hideMark/>
          </w:tcPr>
          <w:p w14:paraId="3E9DA790" w14:textId="77777777" w:rsidR="00126462" w:rsidRPr="00945BDC" w:rsidRDefault="00126462" w:rsidP="00E552D2">
            <w:pPr>
              <w:keepNext/>
              <w:keepLines/>
              <w:spacing w:line="360" w:lineRule="auto"/>
              <w:ind w:left="0" w:right="0"/>
              <w:jc w:val="center"/>
              <w:cnfStyle w:val="000000100000" w:firstRow="0" w:lastRow="0" w:firstColumn="0" w:lastColumn="0" w:oddVBand="0" w:evenVBand="0" w:oddHBand="1" w:evenHBand="0" w:firstRowFirstColumn="0" w:firstRowLastColumn="0" w:lastRowFirstColumn="0" w:lastRowLastColumn="0"/>
              <w:rPr>
                <w:rFonts w:eastAsia="Times New Roman" w:cs="Arial"/>
                <w:bCs/>
                <w:noProof w:val="0"/>
                <w:color w:val="000000"/>
              </w:rPr>
            </w:pPr>
            <w:r w:rsidRPr="00945BDC">
              <w:rPr>
                <w:rFonts w:eastAsia="Times New Roman" w:cs="Arial"/>
                <w:bCs/>
                <w:noProof w:val="0"/>
                <w:color w:val="000000"/>
              </w:rPr>
              <w:t>Nursing Home</w:t>
            </w:r>
          </w:p>
        </w:tc>
        <w:tc>
          <w:tcPr>
            <w:tcW w:w="954" w:type="dxa"/>
            <w:hideMark/>
          </w:tcPr>
          <w:p w14:paraId="413217F4" w14:textId="77777777" w:rsidR="00126462" w:rsidRPr="00945BDC" w:rsidRDefault="00126462" w:rsidP="00E552D2">
            <w:pPr>
              <w:keepNext/>
              <w:keepLines/>
              <w:spacing w:line="360" w:lineRule="auto"/>
              <w:ind w:left="0" w:right="0"/>
              <w:jc w:val="center"/>
              <w:cnfStyle w:val="000000100000" w:firstRow="0" w:lastRow="0" w:firstColumn="0" w:lastColumn="0" w:oddVBand="0" w:evenVBand="0" w:oddHBand="1" w:evenHBand="0" w:firstRowFirstColumn="0" w:firstRowLastColumn="0" w:lastRowFirstColumn="0" w:lastRowLastColumn="0"/>
              <w:rPr>
                <w:rFonts w:eastAsia="Times New Roman" w:cs="Arial"/>
                <w:bCs/>
                <w:noProof w:val="0"/>
                <w:color w:val="000000"/>
              </w:rPr>
            </w:pPr>
            <w:r w:rsidRPr="00945BDC">
              <w:rPr>
                <w:rFonts w:eastAsia="Times New Roman" w:cs="Arial"/>
                <w:bCs/>
                <w:noProof w:val="0"/>
                <w:color w:val="000000"/>
              </w:rPr>
              <w:t>Rest Home</w:t>
            </w:r>
          </w:p>
        </w:tc>
        <w:tc>
          <w:tcPr>
            <w:tcW w:w="979" w:type="dxa"/>
            <w:hideMark/>
          </w:tcPr>
          <w:p w14:paraId="39CDC0E9" w14:textId="77777777" w:rsidR="00126462" w:rsidRPr="00945BDC" w:rsidRDefault="00126462" w:rsidP="00E552D2">
            <w:pPr>
              <w:keepNext/>
              <w:keepLines/>
              <w:spacing w:line="360" w:lineRule="auto"/>
              <w:ind w:left="0" w:right="0"/>
              <w:jc w:val="center"/>
              <w:cnfStyle w:val="000000100000" w:firstRow="0" w:lastRow="0" w:firstColumn="0" w:lastColumn="0" w:oddVBand="0" w:evenVBand="0" w:oddHBand="1" w:evenHBand="0" w:firstRowFirstColumn="0" w:firstRowLastColumn="0" w:lastRowFirstColumn="0" w:lastRowLastColumn="0"/>
              <w:rPr>
                <w:rFonts w:eastAsia="Times New Roman" w:cs="Arial"/>
                <w:bCs/>
                <w:noProof w:val="0"/>
                <w:color w:val="000000"/>
              </w:rPr>
            </w:pPr>
            <w:r w:rsidRPr="00945BDC">
              <w:rPr>
                <w:rFonts w:eastAsia="Times New Roman" w:cs="Arial"/>
                <w:bCs/>
                <w:noProof w:val="0"/>
                <w:color w:val="000000"/>
              </w:rPr>
              <w:t>Adult Day Health</w:t>
            </w:r>
          </w:p>
        </w:tc>
        <w:tc>
          <w:tcPr>
            <w:tcW w:w="1083" w:type="dxa"/>
            <w:hideMark/>
          </w:tcPr>
          <w:p w14:paraId="256E793F" w14:textId="77777777" w:rsidR="00126462" w:rsidRPr="00945BDC" w:rsidRDefault="00126462" w:rsidP="00E552D2">
            <w:pPr>
              <w:keepNext/>
              <w:keepLines/>
              <w:spacing w:line="360" w:lineRule="auto"/>
              <w:ind w:left="0" w:right="0"/>
              <w:jc w:val="center"/>
              <w:cnfStyle w:val="000000100000" w:firstRow="0" w:lastRow="0" w:firstColumn="0" w:lastColumn="0" w:oddVBand="0" w:evenVBand="0" w:oddHBand="1" w:evenHBand="0" w:firstRowFirstColumn="0" w:firstRowLastColumn="0" w:lastRowFirstColumn="0" w:lastRowLastColumn="0"/>
              <w:rPr>
                <w:rFonts w:eastAsia="Times New Roman" w:cs="Arial"/>
                <w:bCs/>
                <w:noProof w:val="0"/>
                <w:color w:val="000000"/>
              </w:rPr>
            </w:pPr>
            <w:r w:rsidRPr="00945BDC">
              <w:rPr>
                <w:rFonts w:eastAsia="Times New Roman" w:cs="Arial"/>
                <w:bCs/>
                <w:noProof w:val="0"/>
                <w:color w:val="000000"/>
              </w:rPr>
              <w:t>Acute Hospital</w:t>
            </w:r>
          </w:p>
        </w:tc>
        <w:tc>
          <w:tcPr>
            <w:tcW w:w="1083" w:type="dxa"/>
            <w:hideMark/>
          </w:tcPr>
          <w:p w14:paraId="1A2E2E1F" w14:textId="77777777" w:rsidR="00126462" w:rsidRPr="00945BDC" w:rsidRDefault="00126462" w:rsidP="00E552D2">
            <w:pPr>
              <w:keepNext/>
              <w:keepLines/>
              <w:spacing w:line="360" w:lineRule="auto"/>
              <w:ind w:left="0" w:right="0"/>
              <w:jc w:val="center"/>
              <w:cnfStyle w:val="000000100000" w:firstRow="0" w:lastRow="0" w:firstColumn="0" w:lastColumn="0" w:oddVBand="0" w:evenVBand="0" w:oddHBand="1" w:evenHBand="0" w:firstRowFirstColumn="0" w:firstRowLastColumn="0" w:lastRowFirstColumn="0" w:lastRowLastColumn="0"/>
              <w:rPr>
                <w:rFonts w:eastAsia="Times New Roman" w:cs="Arial"/>
                <w:bCs/>
                <w:noProof w:val="0"/>
                <w:color w:val="000000"/>
              </w:rPr>
            </w:pPr>
            <w:r w:rsidRPr="00945BDC">
              <w:rPr>
                <w:rFonts w:eastAsia="Times New Roman" w:cs="Arial"/>
                <w:bCs/>
                <w:noProof w:val="0"/>
                <w:color w:val="000000"/>
              </w:rPr>
              <w:t>Non-acute Hospital</w:t>
            </w:r>
          </w:p>
        </w:tc>
        <w:tc>
          <w:tcPr>
            <w:tcW w:w="948" w:type="dxa"/>
            <w:hideMark/>
          </w:tcPr>
          <w:p w14:paraId="78AC12A1" w14:textId="77777777" w:rsidR="00126462" w:rsidRPr="00945BDC" w:rsidRDefault="00126462" w:rsidP="00E552D2">
            <w:pPr>
              <w:keepNext/>
              <w:keepLines/>
              <w:spacing w:line="360" w:lineRule="auto"/>
              <w:ind w:left="0" w:right="0"/>
              <w:jc w:val="center"/>
              <w:cnfStyle w:val="000000100000" w:firstRow="0" w:lastRow="0" w:firstColumn="0" w:lastColumn="0" w:oddVBand="0" w:evenVBand="0" w:oddHBand="1" w:evenHBand="0" w:firstRowFirstColumn="0" w:firstRowLastColumn="0" w:lastRowFirstColumn="0" w:lastRowLastColumn="0"/>
              <w:rPr>
                <w:rFonts w:eastAsia="Times New Roman" w:cs="Arial"/>
                <w:bCs/>
                <w:noProof w:val="0"/>
                <w:color w:val="000000"/>
              </w:rPr>
            </w:pPr>
            <w:r w:rsidRPr="00945BDC">
              <w:rPr>
                <w:rFonts w:eastAsia="Times New Roman" w:cs="Arial"/>
                <w:bCs/>
                <w:noProof w:val="0"/>
                <w:color w:val="000000"/>
              </w:rPr>
              <w:t>Clinic</w:t>
            </w:r>
          </w:p>
        </w:tc>
        <w:tc>
          <w:tcPr>
            <w:tcW w:w="978" w:type="dxa"/>
            <w:hideMark/>
          </w:tcPr>
          <w:p w14:paraId="7C53B39B" w14:textId="77777777" w:rsidR="00126462" w:rsidRPr="00945BDC" w:rsidRDefault="00126462" w:rsidP="00E552D2">
            <w:pPr>
              <w:keepNext/>
              <w:keepLines/>
              <w:tabs>
                <w:tab w:val="center" w:pos="370"/>
              </w:tabs>
              <w:spacing w:line="360" w:lineRule="auto"/>
              <w:ind w:left="0" w:right="0"/>
              <w:cnfStyle w:val="000000100000" w:firstRow="0" w:lastRow="0" w:firstColumn="0" w:lastColumn="0" w:oddVBand="0" w:evenVBand="0" w:oddHBand="1" w:evenHBand="0" w:firstRowFirstColumn="0" w:firstRowLastColumn="0" w:lastRowFirstColumn="0" w:lastRowLastColumn="0"/>
              <w:rPr>
                <w:rFonts w:eastAsia="Times New Roman" w:cs="Arial"/>
                <w:bCs/>
                <w:noProof w:val="0"/>
                <w:color w:val="000000"/>
              </w:rPr>
            </w:pPr>
            <w:r w:rsidRPr="00945BDC">
              <w:rPr>
                <w:rFonts w:eastAsia="Times New Roman" w:cs="Arial"/>
                <w:bCs/>
                <w:noProof w:val="0"/>
                <w:color w:val="000000"/>
              </w:rPr>
              <w:tab/>
              <w:t>Dialysis Centers</w:t>
            </w:r>
          </w:p>
        </w:tc>
        <w:tc>
          <w:tcPr>
            <w:tcW w:w="923" w:type="dxa"/>
            <w:hideMark/>
          </w:tcPr>
          <w:p w14:paraId="321E2A96" w14:textId="77777777" w:rsidR="00126462" w:rsidRPr="00945BDC" w:rsidRDefault="00126462" w:rsidP="00E552D2">
            <w:pPr>
              <w:keepNext/>
              <w:keepLines/>
              <w:spacing w:line="360" w:lineRule="auto"/>
              <w:ind w:left="0" w:right="0"/>
              <w:jc w:val="center"/>
              <w:cnfStyle w:val="000000100000" w:firstRow="0" w:lastRow="0" w:firstColumn="0" w:lastColumn="0" w:oddVBand="0" w:evenVBand="0" w:oddHBand="1" w:evenHBand="0" w:firstRowFirstColumn="0" w:firstRowLastColumn="0" w:lastRowFirstColumn="0" w:lastRowLastColumn="0"/>
              <w:rPr>
                <w:rFonts w:eastAsia="Times New Roman" w:cs="Arial"/>
                <w:bCs/>
                <w:noProof w:val="0"/>
                <w:color w:val="000000"/>
              </w:rPr>
            </w:pPr>
            <w:r w:rsidRPr="00945BDC">
              <w:rPr>
                <w:rFonts w:eastAsia="Times New Roman" w:cs="Arial"/>
                <w:bCs/>
                <w:noProof w:val="0"/>
                <w:color w:val="000000"/>
              </w:rPr>
              <w:t>Total</w:t>
            </w:r>
          </w:p>
        </w:tc>
      </w:tr>
      <w:tr w:rsidR="00126462" w:rsidRPr="00945BDC" w14:paraId="7E107A34" w14:textId="77777777" w:rsidTr="008B1BC2">
        <w:trPr>
          <w:trHeight w:val="465"/>
        </w:trPr>
        <w:tc>
          <w:tcPr>
            <w:cnfStyle w:val="001000000000" w:firstRow="0" w:lastRow="0" w:firstColumn="1" w:lastColumn="0" w:oddVBand="0" w:evenVBand="0" w:oddHBand="0" w:evenHBand="0" w:firstRowFirstColumn="0" w:firstRowLastColumn="0" w:lastRowFirstColumn="0" w:lastRowLastColumn="0"/>
            <w:tcW w:w="2070" w:type="dxa"/>
            <w:hideMark/>
          </w:tcPr>
          <w:p w14:paraId="2589010F" w14:textId="77777777" w:rsidR="00126462" w:rsidRPr="00945BDC" w:rsidRDefault="00126462" w:rsidP="00E552D2">
            <w:pPr>
              <w:keepNext/>
              <w:keepLines/>
              <w:spacing w:before="0" w:line="360" w:lineRule="auto"/>
              <w:ind w:left="0" w:right="0"/>
              <w:jc w:val="center"/>
              <w:rPr>
                <w:rFonts w:eastAsia="Times New Roman" w:cs="Arial"/>
                <w:bCs/>
                <w:i w:val="0"/>
                <w:noProof w:val="0"/>
                <w:color w:val="000000"/>
              </w:rPr>
            </w:pPr>
            <w:r w:rsidRPr="00945BDC">
              <w:rPr>
                <w:rFonts w:eastAsia="Times New Roman" w:cs="Arial"/>
                <w:bCs/>
                <w:i w:val="0"/>
                <w:noProof w:val="0"/>
                <w:color w:val="000000"/>
              </w:rPr>
              <w:t>Barnstable (214,276)</w:t>
            </w:r>
          </w:p>
        </w:tc>
        <w:tc>
          <w:tcPr>
            <w:tcW w:w="1047" w:type="dxa"/>
            <w:hideMark/>
          </w:tcPr>
          <w:p w14:paraId="13FA6702" w14:textId="77777777" w:rsidR="00126462" w:rsidRPr="00945BDC" w:rsidRDefault="00126462" w:rsidP="00E552D2">
            <w:pPr>
              <w:keepNext/>
              <w:keepLines/>
              <w:spacing w:before="0" w:line="360" w:lineRule="auto"/>
              <w:ind w:left="0" w:right="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noProof w:val="0"/>
                <w:color w:val="000000"/>
              </w:rPr>
            </w:pPr>
            <w:r w:rsidRPr="00945BDC">
              <w:rPr>
                <w:rFonts w:eastAsia="Times New Roman" w:cs="Times New Roman"/>
                <w:noProof w:val="0"/>
                <w:color w:val="000000"/>
              </w:rPr>
              <w:t>18</w:t>
            </w:r>
          </w:p>
        </w:tc>
        <w:tc>
          <w:tcPr>
            <w:tcW w:w="954" w:type="dxa"/>
            <w:hideMark/>
          </w:tcPr>
          <w:p w14:paraId="084E60F1" w14:textId="77777777" w:rsidR="00126462" w:rsidRPr="00945BDC" w:rsidRDefault="00126462" w:rsidP="00E552D2">
            <w:pPr>
              <w:keepNext/>
              <w:keepLines/>
              <w:spacing w:before="0" w:line="360" w:lineRule="auto"/>
              <w:ind w:left="0" w:right="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noProof w:val="0"/>
                <w:color w:val="000000"/>
              </w:rPr>
            </w:pPr>
            <w:r w:rsidRPr="00945BDC">
              <w:rPr>
                <w:rFonts w:eastAsia="Times New Roman" w:cs="Times New Roman"/>
                <w:noProof w:val="0"/>
                <w:color w:val="000000"/>
              </w:rPr>
              <w:t>3</w:t>
            </w:r>
          </w:p>
        </w:tc>
        <w:tc>
          <w:tcPr>
            <w:tcW w:w="979" w:type="dxa"/>
            <w:hideMark/>
          </w:tcPr>
          <w:p w14:paraId="41E9AD48" w14:textId="77777777" w:rsidR="00126462" w:rsidRPr="00945BDC" w:rsidRDefault="00126462" w:rsidP="00E552D2">
            <w:pPr>
              <w:keepNext/>
              <w:keepLines/>
              <w:spacing w:before="0" w:line="360" w:lineRule="auto"/>
              <w:ind w:left="0" w:right="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noProof w:val="0"/>
                <w:color w:val="000000"/>
              </w:rPr>
            </w:pPr>
            <w:r w:rsidRPr="00945BDC">
              <w:rPr>
                <w:rFonts w:eastAsia="Times New Roman" w:cs="Times New Roman"/>
                <w:noProof w:val="0"/>
                <w:color w:val="000000"/>
              </w:rPr>
              <w:t>4</w:t>
            </w:r>
          </w:p>
        </w:tc>
        <w:tc>
          <w:tcPr>
            <w:tcW w:w="1083" w:type="dxa"/>
            <w:hideMark/>
          </w:tcPr>
          <w:p w14:paraId="3CA971AE" w14:textId="77777777" w:rsidR="00126462" w:rsidRPr="00945BDC" w:rsidRDefault="00126462" w:rsidP="00E552D2">
            <w:pPr>
              <w:keepNext/>
              <w:keepLines/>
              <w:spacing w:before="0" w:line="360" w:lineRule="auto"/>
              <w:ind w:left="0" w:right="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noProof w:val="0"/>
                <w:color w:val="000000"/>
              </w:rPr>
            </w:pPr>
            <w:r w:rsidRPr="00945BDC">
              <w:rPr>
                <w:rFonts w:eastAsia="Times New Roman" w:cs="Times New Roman"/>
                <w:noProof w:val="0"/>
                <w:color w:val="000000"/>
              </w:rPr>
              <w:t>2</w:t>
            </w:r>
          </w:p>
        </w:tc>
        <w:tc>
          <w:tcPr>
            <w:tcW w:w="1083" w:type="dxa"/>
            <w:hideMark/>
          </w:tcPr>
          <w:p w14:paraId="4B7B07D6" w14:textId="77777777" w:rsidR="00126462" w:rsidRPr="00945BDC" w:rsidRDefault="00126462" w:rsidP="00E552D2">
            <w:pPr>
              <w:keepNext/>
              <w:keepLines/>
              <w:spacing w:before="0" w:line="360" w:lineRule="auto"/>
              <w:ind w:left="0" w:right="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noProof w:val="0"/>
                <w:color w:val="000000"/>
              </w:rPr>
            </w:pPr>
            <w:r w:rsidRPr="00945BDC">
              <w:rPr>
                <w:rFonts w:eastAsia="Times New Roman" w:cs="Times New Roman"/>
                <w:noProof w:val="0"/>
                <w:color w:val="000000"/>
              </w:rPr>
              <w:t>2</w:t>
            </w:r>
          </w:p>
        </w:tc>
        <w:tc>
          <w:tcPr>
            <w:tcW w:w="948" w:type="dxa"/>
            <w:hideMark/>
          </w:tcPr>
          <w:p w14:paraId="49E87E99" w14:textId="77777777" w:rsidR="00126462" w:rsidRPr="00945BDC" w:rsidRDefault="00126462" w:rsidP="00E552D2">
            <w:pPr>
              <w:keepNext/>
              <w:keepLines/>
              <w:spacing w:before="0" w:line="360" w:lineRule="auto"/>
              <w:ind w:left="0" w:right="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noProof w:val="0"/>
                <w:color w:val="000000"/>
              </w:rPr>
            </w:pPr>
            <w:r w:rsidRPr="00945BDC">
              <w:rPr>
                <w:rFonts w:eastAsia="Times New Roman" w:cs="Times New Roman"/>
                <w:noProof w:val="0"/>
                <w:color w:val="000000"/>
              </w:rPr>
              <w:t>38</w:t>
            </w:r>
          </w:p>
        </w:tc>
        <w:tc>
          <w:tcPr>
            <w:tcW w:w="978" w:type="dxa"/>
            <w:hideMark/>
          </w:tcPr>
          <w:p w14:paraId="774D95F6" w14:textId="77777777" w:rsidR="00126462" w:rsidRPr="00945BDC" w:rsidRDefault="00126462" w:rsidP="00E552D2">
            <w:pPr>
              <w:keepNext/>
              <w:keepLines/>
              <w:spacing w:before="0" w:line="360" w:lineRule="auto"/>
              <w:ind w:left="0" w:right="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noProof w:val="0"/>
                <w:color w:val="000000"/>
              </w:rPr>
            </w:pPr>
            <w:r w:rsidRPr="00945BDC">
              <w:rPr>
                <w:rFonts w:eastAsia="Times New Roman" w:cs="Times New Roman"/>
                <w:noProof w:val="0"/>
                <w:color w:val="000000"/>
              </w:rPr>
              <w:t>2</w:t>
            </w:r>
          </w:p>
        </w:tc>
        <w:tc>
          <w:tcPr>
            <w:tcW w:w="923" w:type="dxa"/>
            <w:hideMark/>
          </w:tcPr>
          <w:p w14:paraId="767EEB29" w14:textId="77777777" w:rsidR="00126462" w:rsidRPr="00945BDC" w:rsidRDefault="00126462" w:rsidP="00E552D2">
            <w:pPr>
              <w:keepNext/>
              <w:keepLines/>
              <w:spacing w:before="0" w:line="360" w:lineRule="auto"/>
              <w:ind w:left="0" w:right="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noProof w:val="0"/>
                <w:color w:val="000000"/>
              </w:rPr>
            </w:pPr>
            <w:r w:rsidRPr="00945BDC">
              <w:rPr>
                <w:rFonts w:eastAsia="Times New Roman" w:cs="Times New Roman"/>
                <w:noProof w:val="0"/>
                <w:color w:val="000000"/>
              </w:rPr>
              <w:t>69</w:t>
            </w:r>
          </w:p>
        </w:tc>
      </w:tr>
      <w:tr w:rsidR="00126462" w:rsidRPr="00945BDC" w14:paraId="1CB12DB9" w14:textId="77777777" w:rsidTr="008B1BC2">
        <w:trPr>
          <w:cnfStyle w:val="000000100000" w:firstRow="0" w:lastRow="0" w:firstColumn="0" w:lastColumn="0" w:oddVBand="0" w:evenVBand="0" w:oddHBand="1" w:evenHBand="0" w:firstRowFirstColumn="0" w:firstRowLastColumn="0" w:lastRowFirstColumn="0" w:lastRowLastColumn="0"/>
          <w:trHeight w:val="465"/>
        </w:trPr>
        <w:tc>
          <w:tcPr>
            <w:cnfStyle w:val="001000000000" w:firstRow="0" w:lastRow="0" w:firstColumn="1" w:lastColumn="0" w:oddVBand="0" w:evenVBand="0" w:oddHBand="0" w:evenHBand="0" w:firstRowFirstColumn="0" w:firstRowLastColumn="0" w:lastRowFirstColumn="0" w:lastRowLastColumn="0"/>
            <w:tcW w:w="2070" w:type="dxa"/>
            <w:hideMark/>
          </w:tcPr>
          <w:p w14:paraId="592D15E6" w14:textId="77777777" w:rsidR="00126462" w:rsidRPr="00945BDC" w:rsidRDefault="00126462" w:rsidP="00E552D2">
            <w:pPr>
              <w:keepNext/>
              <w:keepLines/>
              <w:spacing w:before="0" w:line="360" w:lineRule="auto"/>
              <w:ind w:left="0" w:right="0"/>
              <w:jc w:val="center"/>
              <w:rPr>
                <w:rFonts w:eastAsia="Times New Roman" w:cs="Arial"/>
                <w:bCs/>
                <w:i w:val="0"/>
                <w:noProof w:val="0"/>
                <w:color w:val="000000"/>
              </w:rPr>
            </w:pPr>
            <w:r w:rsidRPr="00945BDC">
              <w:rPr>
                <w:rFonts w:eastAsia="Times New Roman" w:cs="Arial"/>
                <w:bCs/>
                <w:i w:val="0"/>
                <w:noProof w:val="0"/>
                <w:color w:val="000000"/>
              </w:rPr>
              <w:t>Berkshire</w:t>
            </w:r>
          </w:p>
          <w:p w14:paraId="31ADFFE2" w14:textId="77777777" w:rsidR="00126462" w:rsidRPr="00945BDC" w:rsidRDefault="00126462" w:rsidP="00E552D2">
            <w:pPr>
              <w:keepNext/>
              <w:keepLines/>
              <w:spacing w:before="0" w:line="360" w:lineRule="auto"/>
              <w:ind w:left="0" w:right="0"/>
              <w:jc w:val="center"/>
              <w:rPr>
                <w:rFonts w:eastAsia="Times New Roman" w:cs="Arial"/>
                <w:bCs/>
                <w:i w:val="0"/>
                <w:noProof w:val="0"/>
                <w:color w:val="000000"/>
              </w:rPr>
            </w:pPr>
            <w:r w:rsidRPr="00945BDC">
              <w:rPr>
                <w:rFonts w:eastAsia="Times New Roman" w:cs="Arial"/>
                <w:bCs/>
                <w:i w:val="0"/>
                <w:noProof w:val="0"/>
                <w:color w:val="000000"/>
              </w:rPr>
              <w:t>(126,903)</w:t>
            </w:r>
          </w:p>
        </w:tc>
        <w:tc>
          <w:tcPr>
            <w:tcW w:w="1047" w:type="dxa"/>
            <w:hideMark/>
          </w:tcPr>
          <w:p w14:paraId="7B3E4715" w14:textId="77777777" w:rsidR="00126462" w:rsidRPr="00945BDC" w:rsidRDefault="00126462" w:rsidP="00E552D2">
            <w:pPr>
              <w:keepNext/>
              <w:keepLines/>
              <w:spacing w:before="0" w:line="360" w:lineRule="auto"/>
              <w:ind w:left="0" w:right="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noProof w:val="0"/>
                <w:color w:val="000000"/>
              </w:rPr>
            </w:pPr>
            <w:r w:rsidRPr="00945BDC">
              <w:rPr>
                <w:rFonts w:eastAsia="Times New Roman" w:cs="Times New Roman"/>
                <w:noProof w:val="0"/>
                <w:color w:val="000000"/>
              </w:rPr>
              <w:t>15</w:t>
            </w:r>
          </w:p>
        </w:tc>
        <w:tc>
          <w:tcPr>
            <w:tcW w:w="954" w:type="dxa"/>
            <w:hideMark/>
          </w:tcPr>
          <w:p w14:paraId="1F39E37F" w14:textId="77777777" w:rsidR="00126462" w:rsidRPr="00945BDC" w:rsidRDefault="00126462" w:rsidP="00E552D2">
            <w:pPr>
              <w:keepNext/>
              <w:keepLines/>
              <w:spacing w:before="0" w:line="360" w:lineRule="auto"/>
              <w:ind w:left="0" w:right="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noProof w:val="0"/>
                <w:color w:val="000000"/>
              </w:rPr>
            </w:pPr>
            <w:r w:rsidRPr="00945BDC">
              <w:rPr>
                <w:rFonts w:eastAsia="Times New Roman" w:cs="Times New Roman"/>
                <w:noProof w:val="0"/>
                <w:color w:val="000000"/>
              </w:rPr>
              <w:t>0</w:t>
            </w:r>
          </w:p>
        </w:tc>
        <w:tc>
          <w:tcPr>
            <w:tcW w:w="979" w:type="dxa"/>
            <w:hideMark/>
          </w:tcPr>
          <w:p w14:paraId="0AD94426" w14:textId="77777777" w:rsidR="00126462" w:rsidRPr="00945BDC" w:rsidRDefault="00126462" w:rsidP="00E552D2">
            <w:pPr>
              <w:keepNext/>
              <w:keepLines/>
              <w:spacing w:before="0" w:line="360" w:lineRule="auto"/>
              <w:ind w:left="0" w:right="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noProof w:val="0"/>
                <w:color w:val="000000"/>
              </w:rPr>
            </w:pPr>
            <w:r w:rsidRPr="00945BDC">
              <w:rPr>
                <w:rFonts w:eastAsia="Times New Roman" w:cs="Times New Roman"/>
                <w:noProof w:val="0"/>
                <w:color w:val="000000"/>
              </w:rPr>
              <w:t>3</w:t>
            </w:r>
          </w:p>
        </w:tc>
        <w:tc>
          <w:tcPr>
            <w:tcW w:w="1083" w:type="dxa"/>
            <w:hideMark/>
          </w:tcPr>
          <w:p w14:paraId="4C182472" w14:textId="77777777" w:rsidR="00126462" w:rsidRPr="00945BDC" w:rsidRDefault="00126462" w:rsidP="00E552D2">
            <w:pPr>
              <w:keepNext/>
              <w:keepLines/>
              <w:spacing w:before="0" w:line="360" w:lineRule="auto"/>
              <w:ind w:left="0" w:right="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noProof w:val="0"/>
                <w:color w:val="000000"/>
              </w:rPr>
            </w:pPr>
            <w:r w:rsidRPr="00945BDC">
              <w:rPr>
                <w:rFonts w:eastAsia="Times New Roman" w:cs="Times New Roman"/>
                <w:noProof w:val="0"/>
                <w:color w:val="000000"/>
              </w:rPr>
              <w:t>2</w:t>
            </w:r>
          </w:p>
        </w:tc>
        <w:tc>
          <w:tcPr>
            <w:tcW w:w="1083" w:type="dxa"/>
            <w:hideMark/>
          </w:tcPr>
          <w:p w14:paraId="553AFD8F" w14:textId="77777777" w:rsidR="00126462" w:rsidRPr="00945BDC" w:rsidRDefault="00126462" w:rsidP="00E552D2">
            <w:pPr>
              <w:keepNext/>
              <w:keepLines/>
              <w:spacing w:before="0" w:line="360" w:lineRule="auto"/>
              <w:ind w:left="0" w:right="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noProof w:val="0"/>
                <w:color w:val="000000"/>
              </w:rPr>
            </w:pPr>
            <w:r w:rsidRPr="00945BDC">
              <w:rPr>
                <w:rFonts w:eastAsia="Times New Roman" w:cs="Times New Roman"/>
                <w:noProof w:val="0"/>
                <w:color w:val="000000"/>
              </w:rPr>
              <w:t>0</w:t>
            </w:r>
          </w:p>
        </w:tc>
        <w:tc>
          <w:tcPr>
            <w:tcW w:w="948" w:type="dxa"/>
            <w:hideMark/>
          </w:tcPr>
          <w:p w14:paraId="531E301D" w14:textId="77777777" w:rsidR="00126462" w:rsidRPr="00945BDC" w:rsidRDefault="00126462" w:rsidP="00E552D2">
            <w:pPr>
              <w:keepNext/>
              <w:keepLines/>
              <w:spacing w:before="0" w:line="360" w:lineRule="auto"/>
              <w:ind w:left="0" w:right="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noProof w:val="0"/>
                <w:color w:val="000000"/>
              </w:rPr>
            </w:pPr>
            <w:r w:rsidRPr="00945BDC">
              <w:rPr>
                <w:rFonts w:eastAsia="Times New Roman" w:cs="Times New Roman"/>
                <w:noProof w:val="0"/>
                <w:color w:val="000000"/>
              </w:rPr>
              <w:t>23</w:t>
            </w:r>
          </w:p>
        </w:tc>
        <w:tc>
          <w:tcPr>
            <w:tcW w:w="978" w:type="dxa"/>
            <w:hideMark/>
          </w:tcPr>
          <w:p w14:paraId="4828A838" w14:textId="77777777" w:rsidR="00126462" w:rsidRPr="00945BDC" w:rsidRDefault="00126462" w:rsidP="00E552D2">
            <w:pPr>
              <w:keepNext/>
              <w:keepLines/>
              <w:spacing w:before="0" w:line="360" w:lineRule="auto"/>
              <w:ind w:left="0" w:right="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noProof w:val="0"/>
                <w:color w:val="000000"/>
              </w:rPr>
            </w:pPr>
            <w:r w:rsidRPr="00945BDC">
              <w:rPr>
                <w:rFonts w:eastAsia="Times New Roman" w:cs="Times New Roman"/>
                <w:noProof w:val="0"/>
                <w:color w:val="000000"/>
              </w:rPr>
              <w:t>3</w:t>
            </w:r>
          </w:p>
        </w:tc>
        <w:tc>
          <w:tcPr>
            <w:tcW w:w="923" w:type="dxa"/>
            <w:hideMark/>
          </w:tcPr>
          <w:p w14:paraId="5ACA4475" w14:textId="77777777" w:rsidR="00126462" w:rsidRPr="00945BDC" w:rsidRDefault="00126462" w:rsidP="00E552D2">
            <w:pPr>
              <w:keepNext/>
              <w:keepLines/>
              <w:spacing w:before="0" w:line="360" w:lineRule="auto"/>
              <w:ind w:left="0" w:right="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noProof w:val="0"/>
                <w:color w:val="000000"/>
              </w:rPr>
            </w:pPr>
            <w:r w:rsidRPr="00945BDC">
              <w:rPr>
                <w:rFonts w:eastAsia="Times New Roman" w:cs="Times New Roman"/>
                <w:noProof w:val="0"/>
                <w:color w:val="000000"/>
              </w:rPr>
              <w:t>46</w:t>
            </w:r>
          </w:p>
        </w:tc>
      </w:tr>
      <w:tr w:rsidR="00126462" w:rsidRPr="00945BDC" w14:paraId="7F8F480E" w14:textId="77777777" w:rsidTr="008B1BC2">
        <w:trPr>
          <w:trHeight w:val="465"/>
        </w:trPr>
        <w:tc>
          <w:tcPr>
            <w:cnfStyle w:val="001000000000" w:firstRow="0" w:lastRow="0" w:firstColumn="1" w:lastColumn="0" w:oddVBand="0" w:evenVBand="0" w:oddHBand="0" w:evenHBand="0" w:firstRowFirstColumn="0" w:firstRowLastColumn="0" w:lastRowFirstColumn="0" w:lastRowLastColumn="0"/>
            <w:tcW w:w="2070" w:type="dxa"/>
            <w:hideMark/>
          </w:tcPr>
          <w:p w14:paraId="5433D74A" w14:textId="77777777" w:rsidR="00126462" w:rsidRPr="00945BDC" w:rsidRDefault="00126462" w:rsidP="00E552D2">
            <w:pPr>
              <w:keepNext/>
              <w:keepLines/>
              <w:spacing w:before="0" w:line="360" w:lineRule="auto"/>
              <w:ind w:left="0" w:right="0"/>
              <w:jc w:val="center"/>
              <w:rPr>
                <w:rFonts w:eastAsia="Times New Roman" w:cs="Arial"/>
                <w:bCs/>
                <w:i w:val="0"/>
                <w:noProof w:val="0"/>
                <w:color w:val="000000"/>
              </w:rPr>
            </w:pPr>
            <w:r w:rsidRPr="00945BDC">
              <w:rPr>
                <w:rFonts w:eastAsia="Times New Roman" w:cs="Arial"/>
                <w:bCs/>
                <w:i w:val="0"/>
                <w:noProof w:val="0"/>
                <w:color w:val="000000"/>
              </w:rPr>
              <w:t>Bristol</w:t>
            </w:r>
          </w:p>
          <w:p w14:paraId="63D71DDA" w14:textId="77777777" w:rsidR="00126462" w:rsidRPr="00945BDC" w:rsidRDefault="00126462" w:rsidP="00E552D2">
            <w:pPr>
              <w:keepNext/>
              <w:keepLines/>
              <w:spacing w:before="0" w:line="360" w:lineRule="auto"/>
              <w:ind w:left="0" w:right="0"/>
              <w:jc w:val="center"/>
              <w:rPr>
                <w:rFonts w:eastAsia="Times New Roman" w:cs="Arial"/>
                <w:bCs/>
                <w:i w:val="0"/>
                <w:noProof w:val="0"/>
                <w:color w:val="000000"/>
              </w:rPr>
            </w:pPr>
            <w:r w:rsidRPr="00945BDC">
              <w:rPr>
                <w:rFonts w:eastAsia="Times New Roman" w:cs="Arial"/>
                <w:bCs/>
                <w:i w:val="0"/>
                <w:noProof w:val="0"/>
                <w:color w:val="000000"/>
              </w:rPr>
              <w:t>(558,324)</w:t>
            </w:r>
          </w:p>
        </w:tc>
        <w:tc>
          <w:tcPr>
            <w:tcW w:w="1047" w:type="dxa"/>
            <w:hideMark/>
          </w:tcPr>
          <w:p w14:paraId="4EA12A95" w14:textId="77777777" w:rsidR="00126462" w:rsidRPr="00945BDC" w:rsidRDefault="00126462" w:rsidP="00E552D2">
            <w:pPr>
              <w:keepNext/>
              <w:keepLines/>
              <w:spacing w:before="0" w:line="360" w:lineRule="auto"/>
              <w:ind w:left="0" w:right="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noProof w:val="0"/>
                <w:color w:val="000000"/>
              </w:rPr>
            </w:pPr>
            <w:r w:rsidRPr="00945BDC">
              <w:rPr>
                <w:rFonts w:eastAsia="Times New Roman" w:cs="Times New Roman"/>
                <w:noProof w:val="0"/>
                <w:color w:val="000000"/>
              </w:rPr>
              <w:t>39</w:t>
            </w:r>
          </w:p>
        </w:tc>
        <w:tc>
          <w:tcPr>
            <w:tcW w:w="954" w:type="dxa"/>
            <w:hideMark/>
          </w:tcPr>
          <w:p w14:paraId="17EB6FAC" w14:textId="77777777" w:rsidR="00126462" w:rsidRPr="00945BDC" w:rsidRDefault="00126462" w:rsidP="00E552D2">
            <w:pPr>
              <w:keepNext/>
              <w:keepLines/>
              <w:spacing w:before="0" w:line="360" w:lineRule="auto"/>
              <w:ind w:left="0" w:right="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noProof w:val="0"/>
                <w:color w:val="000000"/>
              </w:rPr>
            </w:pPr>
            <w:r w:rsidRPr="00945BDC">
              <w:rPr>
                <w:rFonts w:eastAsia="Times New Roman" w:cs="Times New Roman"/>
                <w:noProof w:val="0"/>
                <w:color w:val="000000"/>
              </w:rPr>
              <w:t>5</w:t>
            </w:r>
          </w:p>
        </w:tc>
        <w:tc>
          <w:tcPr>
            <w:tcW w:w="979" w:type="dxa"/>
            <w:hideMark/>
          </w:tcPr>
          <w:p w14:paraId="3E27CF49" w14:textId="77777777" w:rsidR="00126462" w:rsidRPr="00945BDC" w:rsidRDefault="00126462" w:rsidP="00E552D2">
            <w:pPr>
              <w:keepNext/>
              <w:keepLines/>
              <w:spacing w:before="0" w:line="360" w:lineRule="auto"/>
              <w:ind w:left="0" w:right="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noProof w:val="0"/>
                <w:color w:val="000000"/>
              </w:rPr>
            </w:pPr>
            <w:r w:rsidRPr="00945BDC">
              <w:rPr>
                <w:rFonts w:eastAsia="Times New Roman" w:cs="Times New Roman"/>
                <w:noProof w:val="0"/>
                <w:color w:val="000000"/>
              </w:rPr>
              <w:t>19</w:t>
            </w:r>
          </w:p>
        </w:tc>
        <w:tc>
          <w:tcPr>
            <w:tcW w:w="1083" w:type="dxa"/>
            <w:hideMark/>
          </w:tcPr>
          <w:p w14:paraId="1847E708" w14:textId="77777777" w:rsidR="00126462" w:rsidRPr="00945BDC" w:rsidRDefault="00126462" w:rsidP="00E552D2">
            <w:pPr>
              <w:keepNext/>
              <w:keepLines/>
              <w:spacing w:before="0" w:line="360" w:lineRule="auto"/>
              <w:ind w:left="0" w:right="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noProof w:val="0"/>
                <w:color w:val="000000"/>
              </w:rPr>
            </w:pPr>
            <w:r w:rsidRPr="00945BDC">
              <w:rPr>
                <w:rFonts w:eastAsia="Times New Roman" w:cs="Times New Roman"/>
                <w:noProof w:val="0"/>
                <w:color w:val="000000"/>
              </w:rPr>
              <w:t>5</w:t>
            </w:r>
          </w:p>
        </w:tc>
        <w:tc>
          <w:tcPr>
            <w:tcW w:w="1083" w:type="dxa"/>
            <w:hideMark/>
          </w:tcPr>
          <w:p w14:paraId="1976EAA3" w14:textId="77777777" w:rsidR="00126462" w:rsidRPr="00945BDC" w:rsidRDefault="00126462" w:rsidP="00E552D2">
            <w:pPr>
              <w:keepNext/>
              <w:keepLines/>
              <w:spacing w:before="0" w:line="360" w:lineRule="auto"/>
              <w:ind w:left="0" w:right="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noProof w:val="0"/>
                <w:color w:val="000000"/>
              </w:rPr>
            </w:pPr>
            <w:r w:rsidRPr="00945BDC">
              <w:rPr>
                <w:rFonts w:eastAsia="Times New Roman" w:cs="Times New Roman"/>
                <w:noProof w:val="0"/>
                <w:color w:val="000000"/>
              </w:rPr>
              <w:t>5</w:t>
            </w:r>
          </w:p>
        </w:tc>
        <w:tc>
          <w:tcPr>
            <w:tcW w:w="948" w:type="dxa"/>
            <w:hideMark/>
          </w:tcPr>
          <w:p w14:paraId="021422B2" w14:textId="77777777" w:rsidR="00126462" w:rsidRPr="00945BDC" w:rsidRDefault="00126462" w:rsidP="00E552D2">
            <w:pPr>
              <w:keepNext/>
              <w:keepLines/>
              <w:spacing w:before="0" w:line="360" w:lineRule="auto"/>
              <w:ind w:left="0" w:right="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noProof w:val="0"/>
                <w:color w:val="000000"/>
              </w:rPr>
            </w:pPr>
            <w:r w:rsidRPr="00945BDC">
              <w:rPr>
                <w:rFonts w:eastAsia="Times New Roman" w:cs="Times New Roman"/>
                <w:noProof w:val="0"/>
                <w:color w:val="000000"/>
              </w:rPr>
              <w:t>60</w:t>
            </w:r>
          </w:p>
        </w:tc>
        <w:tc>
          <w:tcPr>
            <w:tcW w:w="978" w:type="dxa"/>
            <w:hideMark/>
          </w:tcPr>
          <w:p w14:paraId="5983B1F9" w14:textId="77777777" w:rsidR="00126462" w:rsidRPr="00945BDC" w:rsidRDefault="00126462" w:rsidP="00E552D2">
            <w:pPr>
              <w:keepNext/>
              <w:keepLines/>
              <w:spacing w:before="0" w:line="360" w:lineRule="auto"/>
              <w:ind w:left="0" w:right="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noProof w:val="0"/>
                <w:color w:val="000000"/>
              </w:rPr>
            </w:pPr>
            <w:r w:rsidRPr="00945BDC">
              <w:rPr>
                <w:rFonts w:eastAsia="Times New Roman" w:cs="Times New Roman"/>
                <w:noProof w:val="0"/>
                <w:color w:val="000000"/>
              </w:rPr>
              <w:t>7</w:t>
            </w:r>
          </w:p>
        </w:tc>
        <w:tc>
          <w:tcPr>
            <w:tcW w:w="923" w:type="dxa"/>
            <w:hideMark/>
          </w:tcPr>
          <w:p w14:paraId="2C4F76DA" w14:textId="77777777" w:rsidR="00126462" w:rsidRPr="00945BDC" w:rsidRDefault="00126462" w:rsidP="00E552D2">
            <w:pPr>
              <w:keepNext/>
              <w:keepLines/>
              <w:spacing w:before="0" w:line="360" w:lineRule="auto"/>
              <w:ind w:left="0" w:right="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noProof w:val="0"/>
                <w:color w:val="000000"/>
              </w:rPr>
            </w:pPr>
            <w:r w:rsidRPr="00945BDC">
              <w:rPr>
                <w:rFonts w:eastAsia="Times New Roman" w:cs="Times New Roman"/>
                <w:noProof w:val="0"/>
                <w:color w:val="000000"/>
              </w:rPr>
              <w:t>140</w:t>
            </w:r>
          </w:p>
        </w:tc>
      </w:tr>
      <w:tr w:rsidR="00126462" w:rsidRPr="00945BDC" w14:paraId="66514E53" w14:textId="77777777" w:rsidTr="008B1BC2">
        <w:trPr>
          <w:cnfStyle w:val="000000100000" w:firstRow="0" w:lastRow="0" w:firstColumn="0" w:lastColumn="0" w:oddVBand="0" w:evenVBand="0" w:oddHBand="1" w:evenHBand="0" w:firstRowFirstColumn="0" w:firstRowLastColumn="0" w:lastRowFirstColumn="0" w:lastRowLastColumn="0"/>
          <w:trHeight w:val="465"/>
        </w:trPr>
        <w:tc>
          <w:tcPr>
            <w:cnfStyle w:val="001000000000" w:firstRow="0" w:lastRow="0" w:firstColumn="1" w:lastColumn="0" w:oddVBand="0" w:evenVBand="0" w:oddHBand="0" w:evenHBand="0" w:firstRowFirstColumn="0" w:firstRowLastColumn="0" w:lastRowFirstColumn="0" w:lastRowLastColumn="0"/>
            <w:tcW w:w="2070" w:type="dxa"/>
            <w:hideMark/>
          </w:tcPr>
          <w:p w14:paraId="36CC5080" w14:textId="77777777" w:rsidR="00126462" w:rsidRPr="00945BDC" w:rsidRDefault="00126462" w:rsidP="00E552D2">
            <w:pPr>
              <w:keepNext/>
              <w:keepLines/>
              <w:spacing w:before="0" w:line="360" w:lineRule="auto"/>
              <w:ind w:left="0" w:right="0"/>
              <w:jc w:val="center"/>
              <w:rPr>
                <w:rFonts w:eastAsia="Times New Roman" w:cs="Arial"/>
                <w:bCs/>
                <w:i w:val="0"/>
                <w:noProof w:val="0"/>
                <w:color w:val="000000"/>
              </w:rPr>
            </w:pPr>
            <w:r w:rsidRPr="00945BDC">
              <w:rPr>
                <w:rFonts w:eastAsia="Times New Roman" w:cs="Arial"/>
                <w:bCs/>
                <w:i w:val="0"/>
                <w:noProof w:val="0"/>
                <w:color w:val="000000"/>
              </w:rPr>
              <w:t>Dukes</w:t>
            </w:r>
          </w:p>
          <w:p w14:paraId="57390B4D" w14:textId="77777777" w:rsidR="00126462" w:rsidRPr="00945BDC" w:rsidRDefault="00126462" w:rsidP="00E552D2">
            <w:pPr>
              <w:keepNext/>
              <w:keepLines/>
              <w:spacing w:before="0" w:line="360" w:lineRule="auto"/>
              <w:ind w:left="0" w:right="0"/>
              <w:jc w:val="center"/>
              <w:rPr>
                <w:rFonts w:eastAsia="Times New Roman" w:cs="Arial"/>
                <w:bCs/>
                <w:i w:val="0"/>
                <w:noProof w:val="0"/>
                <w:color w:val="000000"/>
              </w:rPr>
            </w:pPr>
            <w:r w:rsidRPr="00945BDC">
              <w:rPr>
                <w:rFonts w:eastAsia="Times New Roman" w:cs="Arial"/>
                <w:bCs/>
                <w:i w:val="0"/>
                <w:noProof w:val="0"/>
                <w:color w:val="000000"/>
              </w:rPr>
              <w:t>(17,246)</w:t>
            </w:r>
          </w:p>
        </w:tc>
        <w:tc>
          <w:tcPr>
            <w:tcW w:w="1047" w:type="dxa"/>
            <w:hideMark/>
          </w:tcPr>
          <w:p w14:paraId="427369C8" w14:textId="77777777" w:rsidR="00126462" w:rsidRPr="00945BDC" w:rsidRDefault="00126462" w:rsidP="00E552D2">
            <w:pPr>
              <w:keepNext/>
              <w:keepLines/>
              <w:spacing w:before="0" w:line="360" w:lineRule="auto"/>
              <w:ind w:left="0" w:right="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noProof w:val="0"/>
                <w:color w:val="000000"/>
              </w:rPr>
            </w:pPr>
            <w:r w:rsidRPr="00945BDC">
              <w:rPr>
                <w:rFonts w:eastAsia="Times New Roman" w:cs="Times New Roman"/>
                <w:noProof w:val="0"/>
                <w:color w:val="000000"/>
              </w:rPr>
              <w:t>1</w:t>
            </w:r>
          </w:p>
        </w:tc>
        <w:tc>
          <w:tcPr>
            <w:tcW w:w="954" w:type="dxa"/>
            <w:hideMark/>
          </w:tcPr>
          <w:p w14:paraId="60ADEB35" w14:textId="77777777" w:rsidR="00126462" w:rsidRPr="00945BDC" w:rsidRDefault="00126462" w:rsidP="00E552D2">
            <w:pPr>
              <w:keepNext/>
              <w:keepLines/>
              <w:spacing w:before="0" w:line="360" w:lineRule="auto"/>
              <w:ind w:left="0" w:right="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noProof w:val="0"/>
                <w:color w:val="000000"/>
              </w:rPr>
            </w:pPr>
            <w:r w:rsidRPr="00945BDC">
              <w:rPr>
                <w:rFonts w:eastAsia="Times New Roman" w:cs="Times New Roman"/>
                <w:noProof w:val="0"/>
                <w:color w:val="000000"/>
              </w:rPr>
              <w:t>0</w:t>
            </w:r>
          </w:p>
        </w:tc>
        <w:tc>
          <w:tcPr>
            <w:tcW w:w="979" w:type="dxa"/>
            <w:hideMark/>
          </w:tcPr>
          <w:p w14:paraId="0B252A06" w14:textId="77777777" w:rsidR="00126462" w:rsidRPr="00945BDC" w:rsidRDefault="00126462" w:rsidP="00E552D2">
            <w:pPr>
              <w:keepNext/>
              <w:keepLines/>
              <w:spacing w:before="0" w:line="360" w:lineRule="auto"/>
              <w:ind w:left="0" w:right="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noProof w:val="0"/>
                <w:color w:val="000000"/>
              </w:rPr>
            </w:pPr>
            <w:r w:rsidRPr="00945BDC">
              <w:rPr>
                <w:rFonts w:eastAsia="Times New Roman" w:cs="Times New Roman"/>
                <w:noProof w:val="0"/>
                <w:color w:val="000000"/>
              </w:rPr>
              <w:t>0</w:t>
            </w:r>
          </w:p>
        </w:tc>
        <w:tc>
          <w:tcPr>
            <w:tcW w:w="1083" w:type="dxa"/>
            <w:hideMark/>
          </w:tcPr>
          <w:p w14:paraId="2BC9CC85" w14:textId="77777777" w:rsidR="00126462" w:rsidRPr="00945BDC" w:rsidRDefault="00126462" w:rsidP="00E552D2">
            <w:pPr>
              <w:keepNext/>
              <w:keepLines/>
              <w:spacing w:before="0" w:line="360" w:lineRule="auto"/>
              <w:ind w:left="0" w:right="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noProof w:val="0"/>
                <w:color w:val="000000"/>
              </w:rPr>
            </w:pPr>
            <w:r w:rsidRPr="00945BDC">
              <w:rPr>
                <w:rFonts w:eastAsia="Times New Roman" w:cs="Times New Roman"/>
                <w:noProof w:val="0"/>
                <w:color w:val="000000"/>
              </w:rPr>
              <w:t>1</w:t>
            </w:r>
          </w:p>
        </w:tc>
        <w:tc>
          <w:tcPr>
            <w:tcW w:w="1083" w:type="dxa"/>
            <w:hideMark/>
          </w:tcPr>
          <w:p w14:paraId="77B7E7D3" w14:textId="77777777" w:rsidR="00126462" w:rsidRPr="00945BDC" w:rsidRDefault="00126462" w:rsidP="00E552D2">
            <w:pPr>
              <w:keepNext/>
              <w:keepLines/>
              <w:spacing w:before="0" w:line="360" w:lineRule="auto"/>
              <w:ind w:left="0" w:right="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noProof w:val="0"/>
                <w:color w:val="000000"/>
              </w:rPr>
            </w:pPr>
            <w:r w:rsidRPr="00945BDC">
              <w:rPr>
                <w:rFonts w:eastAsia="Times New Roman" w:cs="Times New Roman"/>
                <w:noProof w:val="0"/>
                <w:color w:val="000000"/>
              </w:rPr>
              <w:t>0</w:t>
            </w:r>
          </w:p>
        </w:tc>
        <w:tc>
          <w:tcPr>
            <w:tcW w:w="948" w:type="dxa"/>
            <w:hideMark/>
          </w:tcPr>
          <w:p w14:paraId="65457DDD" w14:textId="77777777" w:rsidR="00126462" w:rsidRPr="00945BDC" w:rsidRDefault="00126462" w:rsidP="00E552D2">
            <w:pPr>
              <w:keepNext/>
              <w:keepLines/>
              <w:spacing w:before="0" w:line="360" w:lineRule="auto"/>
              <w:ind w:left="0" w:right="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noProof w:val="0"/>
                <w:color w:val="000000"/>
              </w:rPr>
            </w:pPr>
            <w:r w:rsidRPr="00945BDC">
              <w:rPr>
                <w:rFonts w:eastAsia="Times New Roman" w:cs="Times New Roman"/>
                <w:noProof w:val="0"/>
                <w:color w:val="000000"/>
              </w:rPr>
              <w:t>3</w:t>
            </w:r>
          </w:p>
        </w:tc>
        <w:tc>
          <w:tcPr>
            <w:tcW w:w="978" w:type="dxa"/>
            <w:hideMark/>
          </w:tcPr>
          <w:p w14:paraId="35FA7D00" w14:textId="77777777" w:rsidR="00126462" w:rsidRPr="00945BDC" w:rsidRDefault="00126462" w:rsidP="00E552D2">
            <w:pPr>
              <w:keepNext/>
              <w:keepLines/>
              <w:spacing w:before="0" w:line="360" w:lineRule="auto"/>
              <w:ind w:left="0" w:right="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noProof w:val="0"/>
                <w:color w:val="000000"/>
              </w:rPr>
            </w:pPr>
            <w:r w:rsidRPr="00945BDC">
              <w:rPr>
                <w:rFonts w:eastAsia="Times New Roman" w:cs="Times New Roman"/>
                <w:noProof w:val="0"/>
                <w:color w:val="000000"/>
              </w:rPr>
              <w:t>1</w:t>
            </w:r>
          </w:p>
        </w:tc>
        <w:tc>
          <w:tcPr>
            <w:tcW w:w="923" w:type="dxa"/>
            <w:hideMark/>
          </w:tcPr>
          <w:p w14:paraId="659A2A30" w14:textId="77777777" w:rsidR="00126462" w:rsidRPr="00945BDC" w:rsidRDefault="00126462" w:rsidP="00E552D2">
            <w:pPr>
              <w:keepNext/>
              <w:keepLines/>
              <w:spacing w:before="0" w:line="360" w:lineRule="auto"/>
              <w:ind w:left="0" w:right="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noProof w:val="0"/>
                <w:color w:val="000000"/>
              </w:rPr>
            </w:pPr>
            <w:r w:rsidRPr="00945BDC">
              <w:rPr>
                <w:rFonts w:eastAsia="Times New Roman" w:cs="Times New Roman"/>
                <w:noProof w:val="0"/>
                <w:color w:val="000000"/>
              </w:rPr>
              <w:t>6</w:t>
            </w:r>
          </w:p>
        </w:tc>
      </w:tr>
      <w:tr w:rsidR="00126462" w:rsidRPr="00945BDC" w14:paraId="44E52FF2" w14:textId="77777777" w:rsidTr="008B1BC2">
        <w:trPr>
          <w:trHeight w:val="465"/>
        </w:trPr>
        <w:tc>
          <w:tcPr>
            <w:cnfStyle w:val="001000000000" w:firstRow="0" w:lastRow="0" w:firstColumn="1" w:lastColumn="0" w:oddVBand="0" w:evenVBand="0" w:oddHBand="0" w:evenHBand="0" w:firstRowFirstColumn="0" w:firstRowLastColumn="0" w:lastRowFirstColumn="0" w:lastRowLastColumn="0"/>
            <w:tcW w:w="2070" w:type="dxa"/>
            <w:hideMark/>
          </w:tcPr>
          <w:p w14:paraId="5836ACA7" w14:textId="77777777" w:rsidR="00126462" w:rsidRPr="00945BDC" w:rsidRDefault="00126462" w:rsidP="00E552D2">
            <w:pPr>
              <w:keepNext/>
              <w:keepLines/>
              <w:spacing w:before="0" w:line="360" w:lineRule="auto"/>
              <w:ind w:left="0" w:right="0"/>
              <w:jc w:val="center"/>
              <w:rPr>
                <w:rFonts w:eastAsia="Times New Roman" w:cs="Arial"/>
                <w:bCs/>
                <w:i w:val="0"/>
                <w:noProof w:val="0"/>
                <w:color w:val="000000"/>
              </w:rPr>
            </w:pPr>
            <w:r w:rsidRPr="00945BDC">
              <w:rPr>
                <w:rFonts w:eastAsia="Times New Roman" w:cs="Arial"/>
                <w:bCs/>
                <w:i w:val="0"/>
                <w:noProof w:val="0"/>
                <w:color w:val="000000"/>
              </w:rPr>
              <w:t>Essex</w:t>
            </w:r>
          </w:p>
          <w:p w14:paraId="448A6F17" w14:textId="77777777" w:rsidR="00126462" w:rsidRPr="00945BDC" w:rsidRDefault="00126462" w:rsidP="00E552D2">
            <w:pPr>
              <w:keepNext/>
              <w:keepLines/>
              <w:spacing w:before="0" w:line="360" w:lineRule="auto"/>
              <w:ind w:left="0" w:right="0"/>
              <w:jc w:val="center"/>
              <w:rPr>
                <w:rFonts w:eastAsia="Times New Roman" w:cs="Arial"/>
                <w:bCs/>
                <w:i w:val="0"/>
                <w:noProof w:val="0"/>
                <w:color w:val="000000"/>
              </w:rPr>
            </w:pPr>
            <w:r w:rsidRPr="00945BDC">
              <w:rPr>
                <w:rFonts w:eastAsia="Times New Roman" w:cs="Arial"/>
                <w:bCs/>
                <w:i w:val="0"/>
                <w:noProof w:val="0"/>
                <w:color w:val="000000"/>
              </w:rPr>
              <w:t>(779,018)</w:t>
            </w:r>
          </w:p>
        </w:tc>
        <w:tc>
          <w:tcPr>
            <w:tcW w:w="1047" w:type="dxa"/>
            <w:hideMark/>
          </w:tcPr>
          <w:p w14:paraId="0DD498D4" w14:textId="77777777" w:rsidR="00126462" w:rsidRPr="00945BDC" w:rsidRDefault="00126462" w:rsidP="00E552D2">
            <w:pPr>
              <w:keepNext/>
              <w:keepLines/>
              <w:spacing w:before="0" w:line="360" w:lineRule="auto"/>
              <w:ind w:left="0" w:right="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noProof w:val="0"/>
                <w:color w:val="000000"/>
              </w:rPr>
            </w:pPr>
            <w:r w:rsidRPr="00945BDC">
              <w:rPr>
                <w:rFonts w:eastAsia="Times New Roman" w:cs="Times New Roman"/>
                <w:noProof w:val="0"/>
                <w:color w:val="000000"/>
              </w:rPr>
              <w:t>50</w:t>
            </w:r>
          </w:p>
        </w:tc>
        <w:tc>
          <w:tcPr>
            <w:tcW w:w="954" w:type="dxa"/>
            <w:hideMark/>
          </w:tcPr>
          <w:p w14:paraId="2FF7BDD4" w14:textId="77777777" w:rsidR="00126462" w:rsidRPr="00945BDC" w:rsidRDefault="00126462" w:rsidP="00E552D2">
            <w:pPr>
              <w:keepNext/>
              <w:keepLines/>
              <w:spacing w:before="0" w:line="360" w:lineRule="auto"/>
              <w:ind w:left="0" w:right="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noProof w:val="0"/>
                <w:color w:val="000000"/>
              </w:rPr>
            </w:pPr>
            <w:r w:rsidRPr="00945BDC">
              <w:rPr>
                <w:rFonts w:eastAsia="Times New Roman" w:cs="Times New Roman"/>
                <w:noProof w:val="0"/>
                <w:color w:val="000000"/>
              </w:rPr>
              <w:t>8</w:t>
            </w:r>
          </w:p>
        </w:tc>
        <w:tc>
          <w:tcPr>
            <w:tcW w:w="979" w:type="dxa"/>
            <w:hideMark/>
          </w:tcPr>
          <w:p w14:paraId="4E3A4C6D" w14:textId="77777777" w:rsidR="00126462" w:rsidRPr="00945BDC" w:rsidRDefault="00126462" w:rsidP="00E552D2">
            <w:pPr>
              <w:keepNext/>
              <w:keepLines/>
              <w:spacing w:before="0" w:line="360" w:lineRule="auto"/>
              <w:ind w:left="0" w:right="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noProof w:val="0"/>
                <w:color w:val="000000"/>
              </w:rPr>
            </w:pPr>
            <w:r w:rsidRPr="00945BDC">
              <w:rPr>
                <w:rFonts w:eastAsia="Times New Roman" w:cs="Times New Roman"/>
                <w:noProof w:val="0"/>
                <w:color w:val="000000"/>
              </w:rPr>
              <w:t>20</w:t>
            </w:r>
          </w:p>
        </w:tc>
        <w:tc>
          <w:tcPr>
            <w:tcW w:w="1083" w:type="dxa"/>
            <w:hideMark/>
          </w:tcPr>
          <w:p w14:paraId="2D92C658" w14:textId="77777777" w:rsidR="00126462" w:rsidRPr="00945BDC" w:rsidRDefault="00126462" w:rsidP="00E552D2">
            <w:pPr>
              <w:keepNext/>
              <w:keepLines/>
              <w:spacing w:before="0" w:line="360" w:lineRule="auto"/>
              <w:ind w:left="0" w:right="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noProof w:val="0"/>
                <w:color w:val="000000"/>
              </w:rPr>
            </w:pPr>
            <w:r w:rsidRPr="00945BDC">
              <w:rPr>
                <w:rFonts w:eastAsia="Times New Roman" w:cs="Times New Roman"/>
                <w:noProof w:val="0"/>
                <w:color w:val="000000"/>
              </w:rPr>
              <w:t>9</w:t>
            </w:r>
          </w:p>
        </w:tc>
        <w:tc>
          <w:tcPr>
            <w:tcW w:w="1083" w:type="dxa"/>
            <w:hideMark/>
          </w:tcPr>
          <w:p w14:paraId="72CFE227" w14:textId="77777777" w:rsidR="00126462" w:rsidRPr="00945BDC" w:rsidRDefault="00126462" w:rsidP="00E552D2">
            <w:pPr>
              <w:keepNext/>
              <w:keepLines/>
              <w:spacing w:before="0" w:line="360" w:lineRule="auto"/>
              <w:ind w:left="0" w:right="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noProof w:val="0"/>
                <w:color w:val="000000"/>
              </w:rPr>
            </w:pPr>
            <w:r w:rsidRPr="00945BDC">
              <w:rPr>
                <w:rFonts w:eastAsia="Times New Roman" w:cs="Times New Roman"/>
                <w:noProof w:val="0"/>
                <w:color w:val="000000"/>
              </w:rPr>
              <w:t>6</w:t>
            </w:r>
          </w:p>
        </w:tc>
        <w:tc>
          <w:tcPr>
            <w:tcW w:w="948" w:type="dxa"/>
            <w:hideMark/>
          </w:tcPr>
          <w:p w14:paraId="2C23D73F" w14:textId="77777777" w:rsidR="00126462" w:rsidRPr="00945BDC" w:rsidRDefault="00126462" w:rsidP="00E552D2">
            <w:pPr>
              <w:keepNext/>
              <w:keepLines/>
              <w:spacing w:before="0" w:line="360" w:lineRule="auto"/>
              <w:ind w:left="0" w:right="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noProof w:val="0"/>
                <w:color w:val="000000"/>
              </w:rPr>
            </w:pPr>
            <w:r w:rsidRPr="00945BDC">
              <w:rPr>
                <w:rFonts w:eastAsia="Times New Roman" w:cs="Times New Roman"/>
                <w:noProof w:val="0"/>
                <w:color w:val="000000"/>
              </w:rPr>
              <w:t>118</w:t>
            </w:r>
          </w:p>
        </w:tc>
        <w:tc>
          <w:tcPr>
            <w:tcW w:w="978" w:type="dxa"/>
            <w:hideMark/>
          </w:tcPr>
          <w:p w14:paraId="76056712" w14:textId="77777777" w:rsidR="00126462" w:rsidRPr="00945BDC" w:rsidRDefault="00126462" w:rsidP="00E552D2">
            <w:pPr>
              <w:keepNext/>
              <w:keepLines/>
              <w:spacing w:before="0" w:line="360" w:lineRule="auto"/>
              <w:ind w:left="0" w:right="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noProof w:val="0"/>
                <w:color w:val="000000"/>
              </w:rPr>
            </w:pPr>
            <w:r w:rsidRPr="00945BDC">
              <w:rPr>
                <w:rFonts w:eastAsia="Times New Roman" w:cs="Times New Roman"/>
                <w:noProof w:val="0"/>
                <w:color w:val="000000"/>
              </w:rPr>
              <w:t>9</w:t>
            </w:r>
          </w:p>
        </w:tc>
        <w:tc>
          <w:tcPr>
            <w:tcW w:w="923" w:type="dxa"/>
            <w:hideMark/>
          </w:tcPr>
          <w:p w14:paraId="48501FEA" w14:textId="77777777" w:rsidR="00126462" w:rsidRPr="00945BDC" w:rsidRDefault="00126462" w:rsidP="00E552D2">
            <w:pPr>
              <w:keepNext/>
              <w:keepLines/>
              <w:spacing w:before="0" w:line="360" w:lineRule="auto"/>
              <w:ind w:left="0" w:right="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noProof w:val="0"/>
                <w:color w:val="000000"/>
              </w:rPr>
            </w:pPr>
            <w:r w:rsidRPr="00945BDC">
              <w:rPr>
                <w:rFonts w:eastAsia="Times New Roman" w:cs="Times New Roman"/>
                <w:noProof w:val="0"/>
                <w:color w:val="000000"/>
              </w:rPr>
              <w:t>220</w:t>
            </w:r>
          </w:p>
        </w:tc>
      </w:tr>
      <w:tr w:rsidR="00126462" w:rsidRPr="00945BDC" w14:paraId="2341FA9A" w14:textId="77777777" w:rsidTr="008B1BC2">
        <w:trPr>
          <w:cnfStyle w:val="000000100000" w:firstRow="0" w:lastRow="0" w:firstColumn="0" w:lastColumn="0" w:oddVBand="0" w:evenVBand="0" w:oddHBand="1" w:evenHBand="0" w:firstRowFirstColumn="0" w:firstRowLastColumn="0" w:lastRowFirstColumn="0" w:lastRowLastColumn="0"/>
          <w:trHeight w:val="465"/>
        </w:trPr>
        <w:tc>
          <w:tcPr>
            <w:cnfStyle w:val="001000000000" w:firstRow="0" w:lastRow="0" w:firstColumn="1" w:lastColumn="0" w:oddVBand="0" w:evenVBand="0" w:oddHBand="0" w:evenHBand="0" w:firstRowFirstColumn="0" w:firstRowLastColumn="0" w:lastRowFirstColumn="0" w:lastRowLastColumn="0"/>
            <w:tcW w:w="2070" w:type="dxa"/>
            <w:hideMark/>
          </w:tcPr>
          <w:p w14:paraId="276D2BE2" w14:textId="77777777" w:rsidR="00126462" w:rsidRPr="00945BDC" w:rsidRDefault="00126462" w:rsidP="00E552D2">
            <w:pPr>
              <w:keepNext/>
              <w:keepLines/>
              <w:spacing w:before="0" w:line="360" w:lineRule="auto"/>
              <w:ind w:left="0" w:right="0"/>
              <w:jc w:val="center"/>
              <w:rPr>
                <w:rFonts w:eastAsia="Times New Roman" w:cs="Arial"/>
                <w:bCs/>
                <w:i w:val="0"/>
                <w:noProof w:val="0"/>
                <w:color w:val="000000"/>
              </w:rPr>
            </w:pPr>
            <w:r w:rsidRPr="00945BDC">
              <w:rPr>
                <w:rFonts w:eastAsia="Times New Roman" w:cs="Arial"/>
                <w:bCs/>
                <w:i w:val="0"/>
                <w:noProof w:val="0"/>
                <w:color w:val="000000"/>
              </w:rPr>
              <w:t>Franklin</w:t>
            </w:r>
          </w:p>
          <w:p w14:paraId="22395632" w14:textId="77777777" w:rsidR="00126462" w:rsidRPr="00945BDC" w:rsidRDefault="00126462" w:rsidP="00E552D2">
            <w:pPr>
              <w:keepNext/>
              <w:keepLines/>
              <w:spacing w:before="0" w:line="360" w:lineRule="auto"/>
              <w:ind w:left="0" w:right="0"/>
              <w:jc w:val="center"/>
              <w:rPr>
                <w:rFonts w:eastAsia="Times New Roman" w:cs="Arial"/>
                <w:bCs/>
                <w:i w:val="0"/>
                <w:noProof w:val="0"/>
                <w:color w:val="000000"/>
              </w:rPr>
            </w:pPr>
            <w:r w:rsidRPr="00945BDC">
              <w:rPr>
                <w:rFonts w:eastAsia="Times New Roman" w:cs="Arial"/>
                <w:bCs/>
                <w:i w:val="0"/>
                <w:noProof w:val="0"/>
                <w:color w:val="000000"/>
              </w:rPr>
              <w:t>(70,382)</w:t>
            </w:r>
          </w:p>
        </w:tc>
        <w:tc>
          <w:tcPr>
            <w:tcW w:w="1047" w:type="dxa"/>
            <w:hideMark/>
          </w:tcPr>
          <w:p w14:paraId="0CAC6E85" w14:textId="77777777" w:rsidR="00126462" w:rsidRPr="00945BDC" w:rsidRDefault="00126462" w:rsidP="00E552D2">
            <w:pPr>
              <w:keepNext/>
              <w:keepLines/>
              <w:spacing w:before="0" w:line="360" w:lineRule="auto"/>
              <w:ind w:left="0" w:right="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noProof w:val="0"/>
                <w:color w:val="000000"/>
              </w:rPr>
            </w:pPr>
            <w:r w:rsidRPr="00945BDC">
              <w:rPr>
                <w:rFonts w:eastAsia="Times New Roman" w:cs="Times New Roman"/>
                <w:noProof w:val="0"/>
                <w:color w:val="000000"/>
              </w:rPr>
              <w:t>5</w:t>
            </w:r>
          </w:p>
        </w:tc>
        <w:tc>
          <w:tcPr>
            <w:tcW w:w="954" w:type="dxa"/>
            <w:hideMark/>
          </w:tcPr>
          <w:p w14:paraId="4E189A30" w14:textId="77777777" w:rsidR="00126462" w:rsidRPr="00945BDC" w:rsidRDefault="00126462" w:rsidP="00E552D2">
            <w:pPr>
              <w:keepNext/>
              <w:keepLines/>
              <w:spacing w:before="0" w:line="360" w:lineRule="auto"/>
              <w:ind w:left="0" w:right="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noProof w:val="0"/>
                <w:color w:val="000000"/>
              </w:rPr>
            </w:pPr>
            <w:r w:rsidRPr="00945BDC">
              <w:rPr>
                <w:rFonts w:eastAsia="Times New Roman" w:cs="Times New Roman"/>
                <w:noProof w:val="0"/>
                <w:color w:val="000000"/>
              </w:rPr>
              <w:t>1</w:t>
            </w:r>
          </w:p>
        </w:tc>
        <w:tc>
          <w:tcPr>
            <w:tcW w:w="979" w:type="dxa"/>
            <w:hideMark/>
          </w:tcPr>
          <w:p w14:paraId="20E01448" w14:textId="77777777" w:rsidR="00126462" w:rsidRPr="00945BDC" w:rsidRDefault="00126462" w:rsidP="00E552D2">
            <w:pPr>
              <w:keepNext/>
              <w:keepLines/>
              <w:spacing w:before="0" w:line="360" w:lineRule="auto"/>
              <w:ind w:left="0" w:right="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noProof w:val="0"/>
                <w:color w:val="000000"/>
              </w:rPr>
            </w:pPr>
            <w:r w:rsidRPr="00945BDC">
              <w:rPr>
                <w:rFonts w:eastAsia="Times New Roman" w:cs="Times New Roman"/>
                <w:noProof w:val="0"/>
                <w:color w:val="000000"/>
              </w:rPr>
              <w:t>1</w:t>
            </w:r>
          </w:p>
        </w:tc>
        <w:tc>
          <w:tcPr>
            <w:tcW w:w="1083" w:type="dxa"/>
            <w:hideMark/>
          </w:tcPr>
          <w:p w14:paraId="4F76D6C3" w14:textId="77777777" w:rsidR="00126462" w:rsidRPr="00945BDC" w:rsidRDefault="00126462" w:rsidP="00E552D2">
            <w:pPr>
              <w:keepNext/>
              <w:keepLines/>
              <w:spacing w:before="0" w:line="360" w:lineRule="auto"/>
              <w:ind w:left="0" w:right="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noProof w:val="0"/>
                <w:color w:val="000000"/>
              </w:rPr>
            </w:pPr>
            <w:r w:rsidRPr="00945BDC">
              <w:rPr>
                <w:rFonts w:eastAsia="Times New Roman" w:cs="Times New Roman"/>
                <w:noProof w:val="0"/>
                <w:color w:val="000000"/>
              </w:rPr>
              <w:t>1</w:t>
            </w:r>
          </w:p>
        </w:tc>
        <w:tc>
          <w:tcPr>
            <w:tcW w:w="1083" w:type="dxa"/>
            <w:hideMark/>
          </w:tcPr>
          <w:p w14:paraId="1D19D10E" w14:textId="77777777" w:rsidR="00126462" w:rsidRPr="00945BDC" w:rsidRDefault="00126462" w:rsidP="00E552D2">
            <w:pPr>
              <w:keepNext/>
              <w:keepLines/>
              <w:spacing w:before="0" w:line="360" w:lineRule="auto"/>
              <w:ind w:left="0" w:right="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noProof w:val="0"/>
                <w:color w:val="000000"/>
              </w:rPr>
            </w:pPr>
            <w:r w:rsidRPr="00945BDC">
              <w:rPr>
                <w:rFonts w:eastAsia="Times New Roman" w:cs="Times New Roman"/>
                <w:noProof w:val="0"/>
                <w:color w:val="000000"/>
              </w:rPr>
              <w:t>0</w:t>
            </w:r>
          </w:p>
        </w:tc>
        <w:tc>
          <w:tcPr>
            <w:tcW w:w="948" w:type="dxa"/>
            <w:hideMark/>
          </w:tcPr>
          <w:p w14:paraId="0275D43D" w14:textId="77777777" w:rsidR="00126462" w:rsidRPr="00945BDC" w:rsidRDefault="00126462" w:rsidP="00E552D2">
            <w:pPr>
              <w:keepNext/>
              <w:keepLines/>
              <w:spacing w:before="0" w:line="360" w:lineRule="auto"/>
              <w:ind w:left="0" w:right="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noProof w:val="0"/>
                <w:color w:val="000000"/>
              </w:rPr>
            </w:pPr>
            <w:r w:rsidRPr="00945BDC">
              <w:rPr>
                <w:rFonts w:eastAsia="Times New Roman" w:cs="Times New Roman"/>
                <w:noProof w:val="0"/>
                <w:color w:val="000000"/>
              </w:rPr>
              <w:t>10</w:t>
            </w:r>
          </w:p>
        </w:tc>
        <w:tc>
          <w:tcPr>
            <w:tcW w:w="978" w:type="dxa"/>
            <w:hideMark/>
          </w:tcPr>
          <w:p w14:paraId="7D5BECF1" w14:textId="77777777" w:rsidR="00126462" w:rsidRPr="00945BDC" w:rsidRDefault="00126462" w:rsidP="00E552D2">
            <w:pPr>
              <w:keepNext/>
              <w:keepLines/>
              <w:spacing w:before="0" w:line="360" w:lineRule="auto"/>
              <w:ind w:left="0" w:right="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noProof w:val="0"/>
                <w:color w:val="000000"/>
              </w:rPr>
            </w:pPr>
            <w:r w:rsidRPr="00945BDC">
              <w:rPr>
                <w:rFonts w:eastAsia="Times New Roman" w:cs="Times New Roman"/>
                <w:noProof w:val="0"/>
                <w:color w:val="000000"/>
              </w:rPr>
              <w:t>1</w:t>
            </w:r>
          </w:p>
        </w:tc>
        <w:tc>
          <w:tcPr>
            <w:tcW w:w="923" w:type="dxa"/>
            <w:hideMark/>
          </w:tcPr>
          <w:p w14:paraId="4A9DD004" w14:textId="77777777" w:rsidR="00126462" w:rsidRPr="00945BDC" w:rsidRDefault="00126462" w:rsidP="00E552D2">
            <w:pPr>
              <w:keepNext/>
              <w:keepLines/>
              <w:spacing w:before="0" w:line="360" w:lineRule="auto"/>
              <w:ind w:left="0" w:right="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noProof w:val="0"/>
                <w:color w:val="000000"/>
              </w:rPr>
            </w:pPr>
            <w:r w:rsidRPr="00945BDC">
              <w:rPr>
                <w:rFonts w:eastAsia="Times New Roman" w:cs="Times New Roman"/>
                <w:noProof w:val="0"/>
                <w:color w:val="000000"/>
              </w:rPr>
              <w:t>19</w:t>
            </w:r>
          </w:p>
        </w:tc>
      </w:tr>
      <w:tr w:rsidR="00126462" w:rsidRPr="00945BDC" w14:paraId="7FBC7CF5" w14:textId="77777777" w:rsidTr="008B1BC2">
        <w:trPr>
          <w:trHeight w:val="465"/>
        </w:trPr>
        <w:tc>
          <w:tcPr>
            <w:cnfStyle w:val="001000000000" w:firstRow="0" w:lastRow="0" w:firstColumn="1" w:lastColumn="0" w:oddVBand="0" w:evenVBand="0" w:oddHBand="0" w:evenHBand="0" w:firstRowFirstColumn="0" w:firstRowLastColumn="0" w:lastRowFirstColumn="0" w:lastRowLastColumn="0"/>
            <w:tcW w:w="2070" w:type="dxa"/>
            <w:hideMark/>
          </w:tcPr>
          <w:p w14:paraId="3537B4EC" w14:textId="77777777" w:rsidR="00126462" w:rsidRPr="00945BDC" w:rsidRDefault="00126462" w:rsidP="00E552D2">
            <w:pPr>
              <w:keepNext/>
              <w:keepLines/>
              <w:spacing w:before="0" w:line="360" w:lineRule="auto"/>
              <w:ind w:left="0" w:right="0"/>
              <w:jc w:val="center"/>
              <w:rPr>
                <w:rFonts w:eastAsia="Times New Roman" w:cs="Arial"/>
                <w:bCs/>
                <w:i w:val="0"/>
                <w:noProof w:val="0"/>
                <w:color w:val="000000"/>
              </w:rPr>
            </w:pPr>
            <w:r w:rsidRPr="00945BDC">
              <w:rPr>
                <w:rFonts w:eastAsia="Times New Roman" w:cs="Arial"/>
                <w:bCs/>
                <w:i w:val="0"/>
                <w:noProof w:val="0"/>
                <w:color w:val="000000"/>
              </w:rPr>
              <w:t>Hampden</w:t>
            </w:r>
          </w:p>
          <w:p w14:paraId="35248672" w14:textId="77777777" w:rsidR="00126462" w:rsidRPr="00945BDC" w:rsidRDefault="00126462" w:rsidP="00E552D2">
            <w:pPr>
              <w:keepNext/>
              <w:keepLines/>
              <w:spacing w:before="0" w:line="360" w:lineRule="auto"/>
              <w:ind w:left="0" w:right="0"/>
              <w:jc w:val="center"/>
              <w:rPr>
                <w:rFonts w:eastAsia="Times New Roman" w:cs="Arial"/>
                <w:bCs/>
                <w:i w:val="0"/>
                <w:noProof w:val="0"/>
                <w:color w:val="000000"/>
              </w:rPr>
            </w:pPr>
            <w:r w:rsidRPr="00945BDC">
              <w:rPr>
                <w:rFonts w:eastAsia="Times New Roman" w:cs="Arial"/>
                <w:bCs/>
                <w:i w:val="0"/>
                <w:noProof w:val="0"/>
                <w:color w:val="000000"/>
              </w:rPr>
              <w:t>(468,467)</w:t>
            </w:r>
          </w:p>
        </w:tc>
        <w:tc>
          <w:tcPr>
            <w:tcW w:w="1047" w:type="dxa"/>
            <w:hideMark/>
          </w:tcPr>
          <w:p w14:paraId="55468C8B" w14:textId="77777777" w:rsidR="00126462" w:rsidRPr="00945BDC" w:rsidRDefault="00126462" w:rsidP="00E552D2">
            <w:pPr>
              <w:keepNext/>
              <w:keepLines/>
              <w:spacing w:before="0" w:line="360" w:lineRule="auto"/>
              <w:ind w:left="0" w:right="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noProof w:val="0"/>
                <w:color w:val="000000"/>
              </w:rPr>
            </w:pPr>
            <w:r w:rsidRPr="00945BDC">
              <w:rPr>
                <w:rFonts w:eastAsia="Times New Roman" w:cs="Times New Roman"/>
                <w:noProof w:val="0"/>
                <w:color w:val="000000"/>
              </w:rPr>
              <w:t>31</w:t>
            </w:r>
          </w:p>
        </w:tc>
        <w:tc>
          <w:tcPr>
            <w:tcW w:w="954" w:type="dxa"/>
            <w:hideMark/>
          </w:tcPr>
          <w:p w14:paraId="0E8A9521" w14:textId="77777777" w:rsidR="00126462" w:rsidRPr="00945BDC" w:rsidRDefault="00126462" w:rsidP="00E552D2">
            <w:pPr>
              <w:keepNext/>
              <w:keepLines/>
              <w:spacing w:before="0" w:line="360" w:lineRule="auto"/>
              <w:ind w:left="0" w:right="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noProof w:val="0"/>
                <w:color w:val="000000"/>
              </w:rPr>
            </w:pPr>
            <w:r w:rsidRPr="00945BDC">
              <w:rPr>
                <w:rFonts w:eastAsia="Times New Roman" w:cs="Times New Roman"/>
                <w:noProof w:val="0"/>
                <w:color w:val="000000"/>
              </w:rPr>
              <w:t>3</w:t>
            </w:r>
          </w:p>
        </w:tc>
        <w:tc>
          <w:tcPr>
            <w:tcW w:w="979" w:type="dxa"/>
            <w:hideMark/>
          </w:tcPr>
          <w:p w14:paraId="7587C44A" w14:textId="77777777" w:rsidR="00126462" w:rsidRPr="00945BDC" w:rsidRDefault="00126462" w:rsidP="00E552D2">
            <w:pPr>
              <w:keepNext/>
              <w:keepLines/>
              <w:spacing w:before="0" w:line="360" w:lineRule="auto"/>
              <w:ind w:left="0" w:right="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noProof w:val="0"/>
                <w:color w:val="000000"/>
              </w:rPr>
            </w:pPr>
            <w:r w:rsidRPr="00945BDC">
              <w:rPr>
                <w:rFonts w:eastAsia="Times New Roman" w:cs="Times New Roman"/>
                <w:noProof w:val="0"/>
                <w:color w:val="000000"/>
              </w:rPr>
              <w:t>11</w:t>
            </w:r>
          </w:p>
        </w:tc>
        <w:tc>
          <w:tcPr>
            <w:tcW w:w="1083" w:type="dxa"/>
            <w:hideMark/>
          </w:tcPr>
          <w:p w14:paraId="748238A6" w14:textId="77777777" w:rsidR="00126462" w:rsidRPr="00945BDC" w:rsidRDefault="00126462" w:rsidP="00E552D2">
            <w:pPr>
              <w:keepNext/>
              <w:keepLines/>
              <w:spacing w:before="0" w:line="360" w:lineRule="auto"/>
              <w:ind w:left="0" w:right="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noProof w:val="0"/>
                <w:color w:val="000000"/>
              </w:rPr>
            </w:pPr>
            <w:r w:rsidRPr="00945BDC">
              <w:rPr>
                <w:rFonts w:eastAsia="Times New Roman" w:cs="Times New Roman"/>
                <w:noProof w:val="0"/>
                <w:color w:val="000000"/>
              </w:rPr>
              <w:t>6</w:t>
            </w:r>
          </w:p>
        </w:tc>
        <w:tc>
          <w:tcPr>
            <w:tcW w:w="1083" w:type="dxa"/>
            <w:hideMark/>
          </w:tcPr>
          <w:p w14:paraId="42C43C8E" w14:textId="77777777" w:rsidR="00126462" w:rsidRPr="00945BDC" w:rsidRDefault="00126462" w:rsidP="00E552D2">
            <w:pPr>
              <w:keepNext/>
              <w:keepLines/>
              <w:spacing w:before="0" w:line="360" w:lineRule="auto"/>
              <w:ind w:left="0" w:right="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noProof w:val="0"/>
                <w:color w:val="000000"/>
              </w:rPr>
            </w:pPr>
            <w:r w:rsidRPr="00945BDC">
              <w:rPr>
                <w:rFonts w:eastAsia="Times New Roman" w:cs="Times New Roman"/>
                <w:noProof w:val="0"/>
                <w:color w:val="000000"/>
              </w:rPr>
              <w:t>4</w:t>
            </w:r>
          </w:p>
        </w:tc>
        <w:tc>
          <w:tcPr>
            <w:tcW w:w="948" w:type="dxa"/>
            <w:hideMark/>
          </w:tcPr>
          <w:p w14:paraId="7D53DDFC" w14:textId="77777777" w:rsidR="00126462" w:rsidRPr="00945BDC" w:rsidRDefault="00126462" w:rsidP="00E552D2">
            <w:pPr>
              <w:keepNext/>
              <w:keepLines/>
              <w:spacing w:before="0" w:line="360" w:lineRule="auto"/>
              <w:ind w:left="0" w:right="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noProof w:val="0"/>
                <w:color w:val="000000"/>
              </w:rPr>
            </w:pPr>
            <w:r w:rsidRPr="00945BDC">
              <w:rPr>
                <w:rFonts w:eastAsia="Times New Roman" w:cs="Times New Roman"/>
                <w:noProof w:val="0"/>
                <w:color w:val="000000"/>
              </w:rPr>
              <w:t>77</w:t>
            </w:r>
          </w:p>
        </w:tc>
        <w:tc>
          <w:tcPr>
            <w:tcW w:w="978" w:type="dxa"/>
            <w:hideMark/>
          </w:tcPr>
          <w:p w14:paraId="15781AEA" w14:textId="77777777" w:rsidR="00126462" w:rsidRPr="00945BDC" w:rsidRDefault="00126462" w:rsidP="00E552D2">
            <w:pPr>
              <w:keepNext/>
              <w:keepLines/>
              <w:spacing w:before="0" w:line="360" w:lineRule="auto"/>
              <w:ind w:left="0" w:right="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noProof w:val="0"/>
                <w:color w:val="000000"/>
              </w:rPr>
            </w:pPr>
            <w:r w:rsidRPr="00945BDC">
              <w:rPr>
                <w:rFonts w:eastAsia="Times New Roman" w:cs="Times New Roman"/>
                <w:noProof w:val="0"/>
                <w:color w:val="000000"/>
              </w:rPr>
              <w:t>9</w:t>
            </w:r>
          </w:p>
        </w:tc>
        <w:tc>
          <w:tcPr>
            <w:tcW w:w="923" w:type="dxa"/>
            <w:hideMark/>
          </w:tcPr>
          <w:p w14:paraId="3BAD3AFB" w14:textId="77777777" w:rsidR="00126462" w:rsidRPr="00945BDC" w:rsidRDefault="00126462" w:rsidP="00E552D2">
            <w:pPr>
              <w:keepNext/>
              <w:keepLines/>
              <w:spacing w:before="0" w:line="360" w:lineRule="auto"/>
              <w:ind w:left="0" w:right="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noProof w:val="0"/>
                <w:color w:val="000000"/>
              </w:rPr>
            </w:pPr>
            <w:r w:rsidRPr="00945BDC">
              <w:rPr>
                <w:rFonts w:eastAsia="Times New Roman" w:cs="Times New Roman"/>
                <w:noProof w:val="0"/>
                <w:color w:val="000000"/>
              </w:rPr>
              <w:t>141</w:t>
            </w:r>
          </w:p>
        </w:tc>
      </w:tr>
      <w:tr w:rsidR="00126462" w:rsidRPr="00945BDC" w14:paraId="2DAE519D" w14:textId="77777777" w:rsidTr="008B1BC2">
        <w:trPr>
          <w:cnfStyle w:val="000000100000" w:firstRow="0" w:lastRow="0" w:firstColumn="0" w:lastColumn="0" w:oddVBand="0" w:evenVBand="0" w:oddHBand="1" w:evenHBand="0" w:firstRowFirstColumn="0" w:firstRowLastColumn="0" w:lastRowFirstColumn="0" w:lastRowLastColumn="0"/>
          <w:trHeight w:val="465"/>
        </w:trPr>
        <w:tc>
          <w:tcPr>
            <w:cnfStyle w:val="001000000000" w:firstRow="0" w:lastRow="0" w:firstColumn="1" w:lastColumn="0" w:oddVBand="0" w:evenVBand="0" w:oddHBand="0" w:evenHBand="0" w:firstRowFirstColumn="0" w:firstRowLastColumn="0" w:lastRowFirstColumn="0" w:lastRowLastColumn="0"/>
            <w:tcW w:w="2070" w:type="dxa"/>
            <w:hideMark/>
          </w:tcPr>
          <w:p w14:paraId="7D12B1AB" w14:textId="77777777" w:rsidR="00126462" w:rsidRPr="00945BDC" w:rsidRDefault="00126462" w:rsidP="00E552D2">
            <w:pPr>
              <w:keepNext/>
              <w:keepLines/>
              <w:spacing w:before="0" w:line="360" w:lineRule="auto"/>
              <w:ind w:left="0" w:right="0"/>
              <w:jc w:val="center"/>
              <w:rPr>
                <w:rFonts w:eastAsia="Times New Roman" w:cs="Arial"/>
                <w:bCs/>
                <w:i w:val="0"/>
                <w:noProof w:val="0"/>
                <w:color w:val="000000"/>
              </w:rPr>
            </w:pPr>
            <w:r w:rsidRPr="00945BDC">
              <w:rPr>
                <w:rFonts w:eastAsia="Times New Roman" w:cs="Arial"/>
                <w:bCs/>
                <w:i w:val="0"/>
                <w:noProof w:val="0"/>
                <w:color w:val="000000"/>
              </w:rPr>
              <w:t>Hampshire</w:t>
            </w:r>
          </w:p>
          <w:p w14:paraId="5136F843" w14:textId="77777777" w:rsidR="00126462" w:rsidRPr="00945BDC" w:rsidRDefault="00126462" w:rsidP="00E552D2">
            <w:pPr>
              <w:keepNext/>
              <w:keepLines/>
              <w:spacing w:before="0" w:line="360" w:lineRule="auto"/>
              <w:ind w:left="0" w:right="0"/>
              <w:jc w:val="center"/>
              <w:rPr>
                <w:rFonts w:eastAsia="Times New Roman" w:cs="Arial"/>
                <w:bCs/>
                <w:i w:val="0"/>
                <w:noProof w:val="0"/>
                <w:color w:val="000000"/>
              </w:rPr>
            </w:pPr>
            <w:r w:rsidRPr="00945BDC">
              <w:rPr>
                <w:rFonts w:eastAsia="Times New Roman" w:cs="Arial"/>
                <w:bCs/>
                <w:i w:val="0"/>
                <w:noProof w:val="0"/>
                <w:color w:val="000000"/>
              </w:rPr>
              <w:t>(161,816)</w:t>
            </w:r>
          </w:p>
        </w:tc>
        <w:tc>
          <w:tcPr>
            <w:tcW w:w="1047" w:type="dxa"/>
            <w:hideMark/>
          </w:tcPr>
          <w:p w14:paraId="44DF0804" w14:textId="77777777" w:rsidR="00126462" w:rsidRPr="00945BDC" w:rsidRDefault="00126462" w:rsidP="00E552D2">
            <w:pPr>
              <w:keepNext/>
              <w:keepLines/>
              <w:spacing w:before="0" w:line="360" w:lineRule="auto"/>
              <w:ind w:left="0" w:right="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noProof w:val="0"/>
                <w:color w:val="000000"/>
              </w:rPr>
            </w:pPr>
            <w:r w:rsidRPr="00945BDC">
              <w:rPr>
                <w:rFonts w:eastAsia="Times New Roman" w:cs="Times New Roman"/>
                <w:noProof w:val="0"/>
                <w:color w:val="000000"/>
              </w:rPr>
              <w:t>6</w:t>
            </w:r>
          </w:p>
        </w:tc>
        <w:tc>
          <w:tcPr>
            <w:tcW w:w="954" w:type="dxa"/>
            <w:hideMark/>
          </w:tcPr>
          <w:p w14:paraId="3B436DF3" w14:textId="77777777" w:rsidR="00126462" w:rsidRPr="00945BDC" w:rsidRDefault="00126462" w:rsidP="00E552D2">
            <w:pPr>
              <w:keepNext/>
              <w:keepLines/>
              <w:spacing w:before="0" w:line="360" w:lineRule="auto"/>
              <w:ind w:left="0" w:right="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noProof w:val="0"/>
                <w:color w:val="000000"/>
              </w:rPr>
            </w:pPr>
            <w:r w:rsidRPr="00945BDC">
              <w:rPr>
                <w:rFonts w:eastAsia="Times New Roman" w:cs="Times New Roman"/>
                <w:noProof w:val="0"/>
                <w:color w:val="000000"/>
              </w:rPr>
              <w:t>3</w:t>
            </w:r>
          </w:p>
        </w:tc>
        <w:tc>
          <w:tcPr>
            <w:tcW w:w="979" w:type="dxa"/>
            <w:hideMark/>
          </w:tcPr>
          <w:p w14:paraId="24DDDDB8" w14:textId="77777777" w:rsidR="00126462" w:rsidRPr="00945BDC" w:rsidRDefault="00126462" w:rsidP="00E552D2">
            <w:pPr>
              <w:keepNext/>
              <w:keepLines/>
              <w:spacing w:before="0" w:line="360" w:lineRule="auto"/>
              <w:ind w:left="0" w:right="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noProof w:val="0"/>
                <w:color w:val="000000"/>
              </w:rPr>
            </w:pPr>
            <w:r w:rsidRPr="00945BDC">
              <w:rPr>
                <w:rFonts w:eastAsia="Times New Roman" w:cs="Times New Roman"/>
                <w:noProof w:val="0"/>
                <w:color w:val="000000"/>
              </w:rPr>
              <w:t>2</w:t>
            </w:r>
          </w:p>
        </w:tc>
        <w:tc>
          <w:tcPr>
            <w:tcW w:w="1083" w:type="dxa"/>
            <w:hideMark/>
          </w:tcPr>
          <w:p w14:paraId="6E8F9888" w14:textId="77777777" w:rsidR="00126462" w:rsidRPr="00945BDC" w:rsidRDefault="00126462" w:rsidP="00E552D2">
            <w:pPr>
              <w:keepNext/>
              <w:keepLines/>
              <w:spacing w:before="0" w:line="360" w:lineRule="auto"/>
              <w:ind w:left="0" w:right="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noProof w:val="0"/>
                <w:color w:val="000000"/>
              </w:rPr>
            </w:pPr>
            <w:r w:rsidRPr="00945BDC">
              <w:rPr>
                <w:rFonts w:eastAsia="Times New Roman" w:cs="Times New Roman"/>
                <w:noProof w:val="0"/>
                <w:color w:val="000000"/>
              </w:rPr>
              <w:t>1</w:t>
            </w:r>
          </w:p>
        </w:tc>
        <w:tc>
          <w:tcPr>
            <w:tcW w:w="1083" w:type="dxa"/>
            <w:hideMark/>
          </w:tcPr>
          <w:p w14:paraId="15DB9E8F" w14:textId="77777777" w:rsidR="00126462" w:rsidRPr="00945BDC" w:rsidRDefault="00126462" w:rsidP="00E552D2">
            <w:pPr>
              <w:keepNext/>
              <w:keepLines/>
              <w:spacing w:before="0" w:line="360" w:lineRule="auto"/>
              <w:ind w:left="0" w:right="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noProof w:val="0"/>
                <w:color w:val="000000"/>
              </w:rPr>
            </w:pPr>
            <w:r w:rsidRPr="00945BDC">
              <w:rPr>
                <w:rFonts w:eastAsia="Times New Roman" w:cs="Times New Roman"/>
                <w:noProof w:val="0"/>
                <w:color w:val="000000"/>
              </w:rPr>
              <w:t>0</w:t>
            </w:r>
          </w:p>
        </w:tc>
        <w:tc>
          <w:tcPr>
            <w:tcW w:w="948" w:type="dxa"/>
            <w:hideMark/>
          </w:tcPr>
          <w:p w14:paraId="255E7EE3" w14:textId="77777777" w:rsidR="00126462" w:rsidRPr="00945BDC" w:rsidRDefault="00126462" w:rsidP="00E552D2">
            <w:pPr>
              <w:keepNext/>
              <w:keepLines/>
              <w:spacing w:before="0" w:line="360" w:lineRule="auto"/>
              <w:ind w:left="0" w:right="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noProof w:val="0"/>
                <w:color w:val="000000"/>
              </w:rPr>
            </w:pPr>
            <w:r w:rsidRPr="00945BDC">
              <w:rPr>
                <w:rFonts w:eastAsia="Times New Roman" w:cs="Times New Roman"/>
                <w:noProof w:val="0"/>
                <w:color w:val="000000"/>
              </w:rPr>
              <w:t>15</w:t>
            </w:r>
          </w:p>
        </w:tc>
        <w:tc>
          <w:tcPr>
            <w:tcW w:w="978" w:type="dxa"/>
            <w:hideMark/>
          </w:tcPr>
          <w:p w14:paraId="35368103" w14:textId="77777777" w:rsidR="00126462" w:rsidRPr="00945BDC" w:rsidRDefault="00126462" w:rsidP="00E552D2">
            <w:pPr>
              <w:keepNext/>
              <w:keepLines/>
              <w:spacing w:before="0" w:line="360" w:lineRule="auto"/>
              <w:ind w:left="0" w:right="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noProof w:val="0"/>
                <w:color w:val="000000"/>
              </w:rPr>
            </w:pPr>
            <w:r w:rsidRPr="00945BDC">
              <w:rPr>
                <w:rFonts w:eastAsia="Times New Roman" w:cs="Times New Roman"/>
                <w:noProof w:val="0"/>
                <w:color w:val="000000"/>
              </w:rPr>
              <w:t>1</w:t>
            </w:r>
          </w:p>
        </w:tc>
        <w:tc>
          <w:tcPr>
            <w:tcW w:w="923" w:type="dxa"/>
            <w:hideMark/>
          </w:tcPr>
          <w:p w14:paraId="070032ED" w14:textId="77777777" w:rsidR="00126462" w:rsidRPr="00945BDC" w:rsidRDefault="00126462" w:rsidP="00E552D2">
            <w:pPr>
              <w:keepNext/>
              <w:keepLines/>
              <w:spacing w:before="0" w:line="360" w:lineRule="auto"/>
              <w:ind w:left="0" w:right="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noProof w:val="0"/>
                <w:color w:val="000000"/>
              </w:rPr>
            </w:pPr>
            <w:r w:rsidRPr="00945BDC">
              <w:rPr>
                <w:rFonts w:eastAsia="Times New Roman" w:cs="Times New Roman"/>
                <w:noProof w:val="0"/>
                <w:color w:val="000000"/>
              </w:rPr>
              <w:t>28</w:t>
            </w:r>
          </w:p>
        </w:tc>
      </w:tr>
      <w:tr w:rsidR="00126462" w:rsidRPr="00945BDC" w14:paraId="4AAFBE05" w14:textId="77777777" w:rsidTr="008B1BC2">
        <w:trPr>
          <w:trHeight w:val="465"/>
        </w:trPr>
        <w:tc>
          <w:tcPr>
            <w:cnfStyle w:val="001000000000" w:firstRow="0" w:lastRow="0" w:firstColumn="1" w:lastColumn="0" w:oddVBand="0" w:evenVBand="0" w:oddHBand="0" w:evenHBand="0" w:firstRowFirstColumn="0" w:firstRowLastColumn="0" w:lastRowFirstColumn="0" w:lastRowLastColumn="0"/>
            <w:tcW w:w="2070" w:type="dxa"/>
            <w:hideMark/>
          </w:tcPr>
          <w:p w14:paraId="137DD1A0" w14:textId="77777777" w:rsidR="00126462" w:rsidRPr="00945BDC" w:rsidRDefault="00126462" w:rsidP="00E552D2">
            <w:pPr>
              <w:keepNext/>
              <w:keepLines/>
              <w:spacing w:before="0" w:line="360" w:lineRule="auto"/>
              <w:ind w:left="0" w:right="0"/>
              <w:jc w:val="center"/>
              <w:rPr>
                <w:rFonts w:eastAsia="Times New Roman" w:cs="Arial"/>
                <w:bCs/>
                <w:i w:val="0"/>
                <w:noProof w:val="0"/>
                <w:color w:val="000000"/>
              </w:rPr>
            </w:pPr>
            <w:r w:rsidRPr="00945BDC">
              <w:rPr>
                <w:rFonts w:eastAsia="Times New Roman" w:cs="Arial"/>
                <w:bCs/>
                <w:i w:val="0"/>
                <w:noProof w:val="0"/>
                <w:color w:val="000000"/>
              </w:rPr>
              <w:t>Middlesex</w:t>
            </w:r>
          </w:p>
          <w:p w14:paraId="5CDF9594" w14:textId="77777777" w:rsidR="00126462" w:rsidRPr="00945BDC" w:rsidRDefault="00126462" w:rsidP="00E552D2">
            <w:pPr>
              <w:keepNext/>
              <w:keepLines/>
              <w:spacing w:before="0" w:line="360" w:lineRule="auto"/>
              <w:ind w:left="0" w:right="0"/>
              <w:jc w:val="center"/>
              <w:rPr>
                <w:rFonts w:eastAsia="Times New Roman" w:cs="Arial"/>
                <w:bCs/>
                <w:i w:val="0"/>
                <w:noProof w:val="0"/>
                <w:color w:val="000000"/>
              </w:rPr>
            </w:pPr>
            <w:r w:rsidRPr="00945BDC">
              <w:rPr>
                <w:rFonts w:eastAsia="Times New Roman" w:cs="Arial"/>
                <w:bCs/>
                <w:i w:val="0"/>
                <w:noProof w:val="0"/>
                <w:color w:val="000000"/>
              </w:rPr>
              <w:t>(1,589,774)</w:t>
            </w:r>
          </w:p>
        </w:tc>
        <w:tc>
          <w:tcPr>
            <w:tcW w:w="1047" w:type="dxa"/>
            <w:hideMark/>
          </w:tcPr>
          <w:p w14:paraId="087A4049" w14:textId="77777777" w:rsidR="00126462" w:rsidRPr="00945BDC" w:rsidRDefault="00126462" w:rsidP="00E552D2">
            <w:pPr>
              <w:keepNext/>
              <w:keepLines/>
              <w:spacing w:before="0" w:line="360" w:lineRule="auto"/>
              <w:ind w:left="0" w:right="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noProof w:val="0"/>
                <w:color w:val="000000"/>
              </w:rPr>
            </w:pPr>
            <w:r w:rsidRPr="00945BDC">
              <w:rPr>
                <w:rFonts w:eastAsia="Times New Roman" w:cs="Times New Roman"/>
                <w:noProof w:val="0"/>
                <w:color w:val="000000"/>
              </w:rPr>
              <w:t>84</w:t>
            </w:r>
          </w:p>
        </w:tc>
        <w:tc>
          <w:tcPr>
            <w:tcW w:w="954" w:type="dxa"/>
            <w:hideMark/>
          </w:tcPr>
          <w:p w14:paraId="5500EB1D" w14:textId="77777777" w:rsidR="00126462" w:rsidRPr="00945BDC" w:rsidRDefault="00126462" w:rsidP="00E552D2">
            <w:pPr>
              <w:keepNext/>
              <w:keepLines/>
              <w:spacing w:before="0" w:line="360" w:lineRule="auto"/>
              <w:ind w:left="0" w:right="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noProof w:val="0"/>
                <w:color w:val="000000"/>
              </w:rPr>
            </w:pPr>
            <w:r w:rsidRPr="00945BDC">
              <w:rPr>
                <w:rFonts w:eastAsia="Times New Roman" w:cs="Times New Roman"/>
                <w:noProof w:val="0"/>
                <w:color w:val="000000"/>
              </w:rPr>
              <w:t>11</w:t>
            </w:r>
          </w:p>
        </w:tc>
        <w:tc>
          <w:tcPr>
            <w:tcW w:w="979" w:type="dxa"/>
            <w:hideMark/>
          </w:tcPr>
          <w:p w14:paraId="1F489306" w14:textId="77777777" w:rsidR="00126462" w:rsidRPr="00945BDC" w:rsidRDefault="00126462" w:rsidP="00E552D2">
            <w:pPr>
              <w:keepNext/>
              <w:keepLines/>
              <w:spacing w:before="0" w:line="360" w:lineRule="auto"/>
              <w:ind w:left="0" w:right="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noProof w:val="0"/>
                <w:color w:val="000000"/>
              </w:rPr>
            </w:pPr>
            <w:r w:rsidRPr="00945BDC">
              <w:rPr>
                <w:rFonts w:eastAsia="Times New Roman" w:cs="Times New Roman"/>
                <w:noProof w:val="0"/>
                <w:color w:val="000000"/>
              </w:rPr>
              <w:t>35</w:t>
            </w:r>
          </w:p>
        </w:tc>
        <w:tc>
          <w:tcPr>
            <w:tcW w:w="1083" w:type="dxa"/>
            <w:hideMark/>
          </w:tcPr>
          <w:p w14:paraId="3E3D1EB4" w14:textId="77777777" w:rsidR="00126462" w:rsidRPr="00945BDC" w:rsidRDefault="00126462" w:rsidP="00E552D2">
            <w:pPr>
              <w:keepNext/>
              <w:keepLines/>
              <w:spacing w:before="0" w:line="360" w:lineRule="auto"/>
              <w:ind w:left="0" w:right="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noProof w:val="0"/>
                <w:color w:val="000000"/>
              </w:rPr>
            </w:pPr>
            <w:r w:rsidRPr="00945BDC">
              <w:rPr>
                <w:rFonts w:eastAsia="Times New Roman" w:cs="Times New Roman"/>
                <w:noProof w:val="0"/>
                <w:color w:val="000000"/>
              </w:rPr>
              <w:t>15</w:t>
            </w:r>
          </w:p>
        </w:tc>
        <w:tc>
          <w:tcPr>
            <w:tcW w:w="1083" w:type="dxa"/>
            <w:hideMark/>
          </w:tcPr>
          <w:p w14:paraId="49CFAAD8" w14:textId="77777777" w:rsidR="00126462" w:rsidRPr="00945BDC" w:rsidRDefault="00126462" w:rsidP="00E552D2">
            <w:pPr>
              <w:keepNext/>
              <w:keepLines/>
              <w:spacing w:before="0" w:line="360" w:lineRule="auto"/>
              <w:ind w:left="0" w:right="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noProof w:val="0"/>
                <w:color w:val="000000"/>
              </w:rPr>
            </w:pPr>
            <w:r w:rsidRPr="00945BDC">
              <w:rPr>
                <w:rFonts w:eastAsia="Times New Roman" w:cs="Times New Roman"/>
                <w:noProof w:val="0"/>
                <w:color w:val="000000"/>
              </w:rPr>
              <w:t>6</w:t>
            </w:r>
          </w:p>
        </w:tc>
        <w:tc>
          <w:tcPr>
            <w:tcW w:w="948" w:type="dxa"/>
            <w:hideMark/>
          </w:tcPr>
          <w:p w14:paraId="3ED9F6F0" w14:textId="77777777" w:rsidR="00126462" w:rsidRPr="00945BDC" w:rsidRDefault="00126462" w:rsidP="00E552D2">
            <w:pPr>
              <w:keepNext/>
              <w:keepLines/>
              <w:spacing w:before="0" w:line="360" w:lineRule="auto"/>
              <w:ind w:left="0" w:right="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noProof w:val="0"/>
                <w:color w:val="000000"/>
              </w:rPr>
            </w:pPr>
            <w:r w:rsidRPr="00945BDC">
              <w:rPr>
                <w:rFonts w:eastAsia="Times New Roman" w:cs="Times New Roman"/>
                <w:noProof w:val="0"/>
                <w:color w:val="000000"/>
              </w:rPr>
              <w:t>145</w:t>
            </w:r>
          </w:p>
        </w:tc>
        <w:tc>
          <w:tcPr>
            <w:tcW w:w="978" w:type="dxa"/>
            <w:hideMark/>
          </w:tcPr>
          <w:p w14:paraId="4AE32031" w14:textId="77777777" w:rsidR="00126462" w:rsidRPr="00945BDC" w:rsidRDefault="00126462" w:rsidP="00E552D2">
            <w:pPr>
              <w:keepNext/>
              <w:keepLines/>
              <w:spacing w:before="0" w:line="360" w:lineRule="auto"/>
              <w:ind w:left="0" w:right="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noProof w:val="0"/>
                <w:color w:val="000000"/>
              </w:rPr>
            </w:pPr>
            <w:r w:rsidRPr="00945BDC">
              <w:rPr>
                <w:rFonts w:eastAsia="Times New Roman" w:cs="Times New Roman"/>
                <w:noProof w:val="0"/>
                <w:color w:val="000000"/>
              </w:rPr>
              <w:t>14</w:t>
            </w:r>
          </w:p>
        </w:tc>
        <w:tc>
          <w:tcPr>
            <w:tcW w:w="923" w:type="dxa"/>
            <w:hideMark/>
          </w:tcPr>
          <w:p w14:paraId="0656CAD3" w14:textId="77777777" w:rsidR="00126462" w:rsidRPr="00945BDC" w:rsidRDefault="00126462" w:rsidP="00E552D2">
            <w:pPr>
              <w:keepNext/>
              <w:keepLines/>
              <w:spacing w:before="0" w:line="360" w:lineRule="auto"/>
              <w:ind w:left="0" w:right="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noProof w:val="0"/>
                <w:color w:val="000000"/>
              </w:rPr>
            </w:pPr>
            <w:r w:rsidRPr="00945BDC">
              <w:rPr>
                <w:rFonts w:eastAsia="Times New Roman" w:cs="Times New Roman"/>
                <w:noProof w:val="0"/>
                <w:color w:val="000000"/>
              </w:rPr>
              <w:t>310</w:t>
            </w:r>
          </w:p>
        </w:tc>
      </w:tr>
      <w:tr w:rsidR="00126462" w:rsidRPr="00945BDC" w14:paraId="212D2D00" w14:textId="77777777" w:rsidTr="008B1BC2">
        <w:trPr>
          <w:cnfStyle w:val="000000100000" w:firstRow="0" w:lastRow="0" w:firstColumn="0" w:lastColumn="0" w:oddVBand="0" w:evenVBand="0" w:oddHBand="1" w:evenHBand="0" w:firstRowFirstColumn="0" w:firstRowLastColumn="0" w:lastRowFirstColumn="0" w:lastRowLastColumn="0"/>
          <w:trHeight w:val="465"/>
        </w:trPr>
        <w:tc>
          <w:tcPr>
            <w:cnfStyle w:val="001000000000" w:firstRow="0" w:lastRow="0" w:firstColumn="1" w:lastColumn="0" w:oddVBand="0" w:evenVBand="0" w:oddHBand="0" w:evenHBand="0" w:firstRowFirstColumn="0" w:firstRowLastColumn="0" w:lastRowFirstColumn="0" w:lastRowLastColumn="0"/>
            <w:tcW w:w="2070" w:type="dxa"/>
            <w:hideMark/>
          </w:tcPr>
          <w:p w14:paraId="53199697" w14:textId="77777777" w:rsidR="00126462" w:rsidRPr="00945BDC" w:rsidRDefault="00126462" w:rsidP="00E552D2">
            <w:pPr>
              <w:keepNext/>
              <w:keepLines/>
              <w:spacing w:before="0" w:line="360" w:lineRule="auto"/>
              <w:ind w:left="0" w:right="0"/>
              <w:jc w:val="center"/>
              <w:rPr>
                <w:rFonts w:eastAsia="Times New Roman" w:cs="Arial"/>
                <w:bCs/>
                <w:i w:val="0"/>
                <w:noProof w:val="0"/>
                <w:color w:val="000000"/>
              </w:rPr>
            </w:pPr>
            <w:r w:rsidRPr="00945BDC">
              <w:rPr>
                <w:rFonts w:eastAsia="Times New Roman" w:cs="Arial"/>
                <w:bCs/>
                <w:i w:val="0"/>
                <w:noProof w:val="0"/>
                <w:color w:val="000000"/>
              </w:rPr>
              <w:t>Nantucket</w:t>
            </w:r>
          </w:p>
          <w:p w14:paraId="17B2F15B" w14:textId="77777777" w:rsidR="00126462" w:rsidRPr="00945BDC" w:rsidRDefault="00126462" w:rsidP="00E552D2">
            <w:pPr>
              <w:keepNext/>
              <w:keepLines/>
              <w:spacing w:before="0" w:line="360" w:lineRule="auto"/>
              <w:ind w:left="0" w:right="0"/>
              <w:jc w:val="center"/>
              <w:rPr>
                <w:rFonts w:eastAsia="Times New Roman" w:cs="Arial"/>
                <w:bCs/>
                <w:i w:val="0"/>
                <w:noProof w:val="0"/>
                <w:color w:val="000000"/>
              </w:rPr>
            </w:pPr>
            <w:r w:rsidRPr="00945BDC">
              <w:rPr>
                <w:rFonts w:eastAsia="Times New Roman" w:cs="Arial"/>
                <w:bCs/>
                <w:i w:val="0"/>
                <w:noProof w:val="0"/>
                <w:color w:val="000000"/>
              </w:rPr>
              <w:t>(11,008)</w:t>
            </w:r>
          </w:p>
        </w:tc>
        <w:tc>
          <w:tcPr>
            <w:tcW w:w="1047" w:type="dxa"/>
            <w:hideMark/>
          </w:tcPr>
          <w:p w14:paraId="46E1E302" w14:textId="77777777" w:rsidR="00126462" w:rsidRPr="00945BDC" w:rsidRDefault="00126462" w:rsidP="00E552D2">
            <w:pPr>
              <w:keepNext/>
              <w:keepLines/>
              <w:spacing w:before="0" w:line="360" w:lineRule="auto"/>
              <w:ind w:left="0" w:right="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noProof w:val="0"/>
                <w:color w:val="000000"/>
              </w:rPr>
            </w:pPr>
            <w:r w:rsidRPr="00945BDC">
              <w:rPr>
                <w:rFonts w:eastAsia="Times New Roman" w:cs="Times New Roman"/>
                <w:noProof w:val="0"/>
                <w:color w:val="000000"/>
              </w:rPr>
              <w:t>1</w:t>
            </w:r>
          </w:p>
        </w:tc>
        <w:tc>
          <w:tcPr>
            <w:tcW w:w="954" w:type="dxa"/>
            <w:hideMark/>
          </w:tcPr>
          <w:p w14:paraId="62CEB158" w14:textId="77777777" w:rsidR="00126462" w:rsidRPr="00945BDC" w:rsidRDefault="00126462" w:rsidP="00E552D2">
            <w:pPr>
              <w:keepNext/>
              <w:keepLines/>
              <w:spacing w:before="0" w:line="360" w:lineRule="auto"/>
              <w:ind w:left="0" w:right="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noProof w:val="0"/>
                <w:color w:val="000000"/>
              </w:rPr>
            </w:pPr>
            <w:r w:rsidRPr="00945BDC">
              <w:rPr>
                <w:rFonts w:eastAsia="Times New Roman" w:cs="Times New Roman"/>
                <w:noProof w:val="0"/>
                <w:color w:val="000000"/>
              </w:rPr>
              <w:t>0</w:t>
            </w:r>
          </w:p>
        </w:tc>
        <w:tc>
          <w:tcPr>
            <w:tcW w:w="979" w:type="dxa"/>
            <w:hideMark/>
          </w:tcPr>
          <w:p w14:paraId="2E767335" w14:textId="77777777" w:rsidR="00126462" w:rsidRPr="00945BDC" w:rsidRDefault="00126462" w:rsidP="00E552D2">
            <w:pPr>
              <w:keepNext/>
              <w:keepLines/>
              <w:spacing w:before="0" w:line="360" w:lineRule="auto"/>
              <w:ind w:left="0" w:right="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noProof w:val="0"/>
                <w:color w:val="000000"/>
              </w:rPr>
            </w:pPr>
            <w:r w:rsidRPr="00945BDC">
              <w:rPr>
                <w:rFonts w:eastAsia="Times New Roman" w:cs="Times New Roman"/>
                <w:noProof w:val="0"/>
                <w:color w:val="000000"/>
              </w:rPr>
              <w:t>0</w:t>
            </w:r>
          </w:p>
        </w:tc>
        <w:tc>
          <w:tcPr>
            <w:tcW w:w="1083" w:type="dxa"/>
            <w:hideMark/>
          </w:tcPr>
          <w:p w14:paraId="112E83DC" w14:textId="77777777" w:rsidR="00126462" w:rsidRPr="00945BDC" w:rsidRDefault="00126462" w:rsidP="00E552D2">
            <w:pPr>
              <w:keepNext/>
              <w:keepLines/>
              <w:spacing w:before="0" w:line="360" w:lineRule="auto"/>
              <w:ind w:left="0" w:right="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noProof w:val="0"/>
                <w:color w:val="000000"/>
              </w:rPr>
            </w:pPr>
            <w:r w:rsidRPr="00945BDC">
              <w:rPr>
                <w:rFonts w:eastAsia="Times New Roman" w:cs="Times New Roman"/>
                <w:noProof w:val="0"/>
                <w:color w:val="000000"/>
              </w:rPr>
              <w:t>1</w:t>
            </w:r>
          </w:p>
        </w:tc>
        <w:tc>
          <w:tcPr>
            <w:tcW w:w="1083" w:type="dxa"/>
            <w:hideMark/>
          </w:tcPr>
          <w:p w14:paraId="40854CF6" w14:textId="77777777" w:rsidR="00126462" w:rsidRPr="00945BDC" w:rsidRDefault="00126462" w:rsidP="00E552D2">
            <w:pPr>
              <w:keepNext/>
              <w:keepLines/>
              <w:spacing w:before="0" w:line="360" w:lineRule="auto"/>
              <w:ind w:left="0" w:right="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noProof w:val="0"/>
                <w:color w:val="000000"/>
              </w:rPr>
            </w:pPr>
            <w:r w:rsidRPr="00945BDC">
              <w:rPr>
                <w:rFonts w:eastAsia="Times New Roman" w:cs="Times New Roman"/>
                <w:noProof w:val="0"/>
                <w:color w:val="000000"/>
              </w:rPr>
              <w:t>0</w:t>
            </w:r>
          </w:p>
        </w:tc>
        <w:tc>
          <w:tcPr>
            <w:tcW w:w="948" w:type="dxa"/>
            <w:hideMark/>
          </w:tcPr>
          <w:p w14:paraId="54E6627E" w14:textId="77777777" w:rsidR="00126462" w:rsidRPr="00945BDC" w:rsidRDefault="00126462" w:rsidP="00E552D2">
            <w:pPr>
              <w:keepNext/>
              <w:keepLines/>
              <w:spacing w:before="0" w:line="360" w:lineRule="auto"/>
              <w:ind w:left="0" w:right="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noProof w:val="0"/>
                <w:color w:val="000000"/>
              </w:rPr>
            </w:pPr>
            <w:r w:rsidRPr="00945BDC">
              <w:rPr>
                <w:rFonts w:eastAsia="Times New Roman" w:cs="Times New Roman"/>
                <w:noProof w:val="0"/>
                <w:color w:val="000000"/>
              </w:rPr>
              <w:t>2</w:t>
            </w:r>
          </w:p>
        </w:tc>
        <w:tc>
          <w:tcPr>
            <w:tcW w:w="978" w:type="dxa"/>
            <w:hideMark/>
          </w:tcPr>
          <w:p w14:paraId="255D4F8C" w14:textId="77777777" w:rsidR="00126462" w:rsidRPr="00945BDC" w:rsidRDefault="00126462" w:rsidP="00E552D2">
            <w:pPr>
              <w:keepNext/>
              <w:keepLines/>
              <w:spacing w:before="0" w:line="360" w:lineRule="auto"/>
              <w:ind w:left="0" w:right="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noProof w:val="0"/>
                <w:color w:val="000000"/>
              </w:rPr>
            </w:pPr>
            <w:r w:rsidRPr="00945BDC">
              <w:rPr>
                <w:rFonts w:eastAsia="Times New Roman" w:cs="Times New Roman"/>
                <w:noProof w:val="0"/>
                <w:color w:val="000000"/>
              </w:rPr>
              <w:t>1</w:t>
            </w:r>
          </w:p>
        </w:tc>
        <w:tc>
          <w:tcPr>
            <w:tcW w:w="923" w:type="dxa"/>
            <w:hideMark/>
          </w:tcPr>
          <w:p w14:paraId="07C16430" w14:textId="77777777" w:rsidR="00126462" w:rsidRPr="00945BDC" w:rsidRDefault="00126462" w:rsidP="00E552D2">
            <w:pPr>
              <w:keepNext/>
              <w:keepLines/>
              <w:spacing w:before="0" w:line="360" w:lineRule="auto"/>
              <w:ind w:left="0" w:right="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noProof w:val="0"/>
                <w:color w:val="000000"/>
              </w:rPr>
            </w:pPr>
            <w:r w:rsidRPr="00945BDC">
              <w:rPr>
                <w:rFonts w:eastAsia="Times New Roman" w:cs="Times New Roman"/>
                <w:noProof w:val="0"/>
                <w:color w:val="000000"/>
              </w:rPr>
              <w:t>5</w:t>
            </w:r>
          </w:p>
        </w:tc>
      </w:tr>
      <w:tr w:rsidR="00126462" w:rsidRPr="00945BDC" w14:paraId="73C86998" w14:textId="77777777" w:rsidTr="008B1BC2">
        <w:trPr>
          <w:trHeight w:val="465"/>
        </w:trPr>
        <w:tc>
          <w:tcPr>
            <w:cnfStyle w:val="001000000000" w:firstRow="0" w:lastRow="0" w:firstColumn="1" w:lastColumn="0" w:oddVBand="0" w:evenVBand="0" w:oddHBand="0" w:evenHBand="0" w:firstRowFirstColumn="0" w:firstRowLastColumn="0" w:lastRowFirstColumn="0" w:lastRowLastColumn="0"/>
            <w:tcW w:w="2070" w:type="dxa"/>
            <w:hideMark/>
          </w:tcPr>
          <w:p w14:paraId="5D242F3E" w14:textId="77777777" w:rsidR="00126462" w:rsidRPr="00945BDC" w:rsidRDefault="00126462" w:rsidP="00E552D2">
            <w:pPr>
              <w:keepNext/>
              <w:keepLines/>
              <w:spacing w:before="0" w:line="360" w:lineRule="auto"/>
              <w:ind w:left="0" w:right="0"/>
              <w:jc w:val="center"/>
              <w:rPr>
                <w:rFonts w:eastAsia="Times New Roman" w:cs="Arial"/>
                <w:bCs/>
                <w:i w:val="0"/>
                <w:noProof w:val="0"/>
                <w:color w:val="000000"/>
              </w:rPr>
            </w:pPr>
            <w:r w:rsidRPr="00945BDC">
              <w:rPr>
                <w:rFonts w:eastAsia="Times New Roman" w:cs="Arial"/>
                <w:bCs/>
                <w:i w:val="0"/>
                <w:noProof w:val="0"/>
                <w:color w:val="000000"/>
              </w:rPr>
              <w:t>Norfolk</w:t>
            </w:r>
          </w:p>
          <w:p w14:paraId="503539FC" w14:textId="77777777" w:rsidR="00126462" w:rsidRPr="00945BDC" w:rsidRDefault="00126462" w:rsidP="00E552D2">
            <w:pPr>
              <w:keepNext/>
              <w:keepLines/>
              <w:spacing w:before="0" w:line="360" w:lineRule="auto"/>
              <w:ind w:left="0" w:right="0"/>
              <w:jc w:val="center"/>
              <w:rPr>
                <w:rFonts w:eastAsia="Times New Roman" w:cs="Arial"/>
                <w:bCs/>
                <w:i w:val="0"/>
                <w:noProof w:val="0"/>
                <w:color w:val="000000"/>
              </w:rPr>
            </w:pPr>
            <w:r w:rsidRPr="00945BDC">
              <w:rPr>
                <w:rFonts w:eastAsia="Times New Roman" w:cs="Arial"/>
                <w:bCs/>
                <w:i w:val="0"/>
                <w:noProof w:val="0"/>
                <w:color w:val="000000"/>
              </w:rPr>
              <w:t>(697,181)</w:t>
            </w:r>
          </w:p>
        </w:tc>
        <w:tc>
          <w:tcPr>
            <w:tcW w:w="1047" w:type="dxa"/>
            <w:hideMark/>
          </w:tcPr>
          <w:p w14:paraId="24FE57EF" w14:textId="77777777" w:rsidR="00126462" w:rsidRPr="00945BDC" w:rsidRDefault="00126462" w:rsidP="00E552D2">
            <w:pPr>
              <w:keepNext/>
              <w:keepLines/>
              <w:spacing w:before="0" w:line="360" w:lineRule="auto"/>
              <w:ind w:left="0" w:right="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noProof w:val="0"/>
                <w:color w:val="000000"/>
              </w:rPr>
            </w:pPr>
            <w:r w:rsidRPr="00945BDC">
              <w:rPr>
                <w:rFonts w:eastAsia="Times New Roman" w:cs="Times New Roman"/>
                <w:noProof w:val="0"/>
                <w:color w:val="000000"/>
              </w:rPr>
              <w:t>46</w:t>
            </w:r>
          </w:p>
        </w:tc>
        <w:tc>
          <w:tcPr>
            <w:tcW w:w="954" w:type="dxa"/>
            <w:hideMark/>
          </w:tcPr>
          <w:p w14:paraId="4C802811" w14:textId="77777777" w:rsidR="00126462" w:rsidRPr="00945BDC" w:rsidRDefault="00126462" w:rsidP="00E552D2">
            <w:pPr>
              <w:keepNext/>
              <w:keepLines/>
              <w:spacing w:before="0" w:line="360" w:lineRule="auto"/>
              <w:ind w:left="0" w:right="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noProof w:val="0"/>
                <w:color w:val="000000"/>
              </w:rPr>
            </w:pPr>
            <w:r w:rsidRPr="00945BDC">
              <w:rPr>
                <w:rFonts w:eastAsia="Times New Roman" w:cs="Times New Roman"/>
                <w:noProof w:val="0"/>
                <w:color w:val="000000"/>
              </w:rPr>
              <w:t>5</w:t>
            </w:r>
          </w:p>
        </w:tc>
        <w:tc>
          <w:tcPr>
            <w:tcW w:w="979" w:type="dxa"/>
            <w:hideMark/>
          </w:tcPr>
          <w:p w14:paraId="6B8DEF83" w14:textId="77777777" w:rsidR="00126462" w:rsidRPr="00945BDC" w:rsidRDefault="00126462" w:rsidP="00E552D2">
            <w:pPr>
              <w:keepNext/>
              <w:keepLines/>
              <w:spacing w:before="0" w:line="360" w:lineRule="auto"/>
              <w:ind w:left="0" w:right="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noProof w:val="0"/>
                <w:color w:val="000000"/>
              </w:rPr>
            </w:pPr>
            <w:r w:rsidRPr="00945BDC">
              <w:rPr>
                <w:rFonts w:eastAsia="Times New Roman" w:cs="Times New Roman"/>
                <w:noProof w:val="0"/>
                <w:color w:val="000000"/>
              </w:rPr>
              <w:t>14</w:t>
            </w:r>
          </w:p>
        </w:tc>
        <w:tc>
          <w:tcPr>
            <w:tcW w:w="1083" w:type="dxa"/>
            <w:hideMark/>
          </w:tcPr>
          <w:p w14:paraId="3F2A5E8A" w14:textId="77777777" w:rsidR="00126462" w:rsidRPr="00945BDC" w:rsidRDefault="00126462" w:rsidP="00E552D2">
            <w:pPr>
              <w:keepNext/>
              <w:keepLines/>
              <w:spacing w:before="0" w:line="360" w:lineRule="auto"/>
              <w:ind w:left="0" w:right="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noProof w:val="0"/>
                <w:color w:val="000000"/>
              </w:rPr>
            </w:pPr>
            <w:r w:rsidRPr="00945BDC">
              <w:rPr>
                <w:rFonts w:eastAsia="Times New Roman" w:cs="Times New Roman"/>
                <w:noProof w:val="0"/>
                <w:color w:val="000000"/>
              </w:rPr>
              <w:t>4</w:t>
            </w:r>
          </w:p>
        </w:tc>
        <w:tc>
          <w:tcPr>
            <w:tcW w:w="1083" w:type="dxa"/>
            <w:hideMark/>
          </w:tcPr>
          <w:p w14:paraId="5779A7D4" w14:textId="77777777" w:rsidR="00126462" w:rsidRPr="00945BDC" w:rsidRDefault="00126462" w:rsidP="00E552D2">
            <w:pPr>
              <w:keepNext/>
              <w:keepLines/>
              <w:spacing w:before="0" w:line="360" w:lineRule="auto"/>
              <w:ind w:left="0" w:right="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noProof w:val="0"/>
                <w:color w:val="000000"/>
              </w:rPr>
            </w:pPr>
            <w:r w:rsidRPr="00945BDC">
              <w:rPr>
                <w:rFonts w:eastAsia="Times New Roman" w:cs="Times New Roman"/>
                <w:noProof w:val="0"/>
                <w:color w:val="000000"/>
              </w:rPr>
              <w:t>8</w:t>
            </w:r>
          </w:p>
        </w:tc>
        <w:tc>
          <w:tcPr>
            <w:tcW w:w="948" w:type="dxa"/>
            <w:hideMark/>
          </w:tcPr>
          <w:p w14:paraId="712845BB" w14:textId="77777777" w:rsidR="00126462" w:rsidRPr="00945BDC" w:rsidRDefault="00126462" w:rsidP="00E552D2">
            <w:pPr>
              <w:keepNext/>
              <w:keepLines/>
              <w:spacing w:before="0" w:line="360" w:lineRule="auto"/>
              <w:ind w:left="0" w:right="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noProof w:val="0"/>
                <w:color w:val="000000"/>
              </w:rPr>
            </w:pPr>
            <w:r w:rsidRPr="00945BDC">
              <w:rPr>
                <w:rFonts w:eastAsia="Times New Roman" w:cs="Times New Roman"/>
                <w:noProof w:val="0"/>
                <w:color w:val="000000"/>
              </w:rPr>
              <w:t>74</w:t>
            </w:r>
          </w:p>
        </w:tc>
        <w:tc>
          <w:tcPr>
            <w:tcW w:w="978" w:type="dxa"/>
            <w:hideMark/>
          </w:tcPr>
          <w:p w14:paraId="31080F58" w14:textId="77777777" w:rsidR="00126462" w:rsidRPr="00945BDC" w:rsidRDefault="00126462" w:rsidP="00E552D2">
            <w:pPr>
              <w:keepNext/>
              <w:keepLines/>
              <w:spacing w:before="0" w:line="360" w:lineRule="auto"/>
              <w:ind w:left="0" w:right="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noProof w:val="0"/>
                <w:color w:val="000000"/>
              </w:rPr>
            </w:pPr>
            <w:r w:rsidRPr="00945BDC">
              <w:rPr>
                <w:rFonts w:eastAsia="Times New Roman" w:cs="Times New Roman"/>
                <w:noProof w:val="0"/>
                <w:color w:val="000000"/>
              </w:rPr>
              <w:t>12</w:t>
            </w:r>
          </w:p>
        </w:tc>
        <w:tc>
          <w:tcPr>
            <w:tcW w:w="923" w:type="dxa"/>
            <w:hideMark/>
          </w:tcPr>
          <w:p w14:paraId="1D4178EA" w14:textId="77777777" w:rsidR="00126462" w:rsidRPr="00945BDC" w:rsidRDefault="00126462" w:rsidP="00E552D2">
            <w:pPr>
              <w:keepNext/>
              <w:keepLines/>
              <w:spacing w:before="0" w:line="360" w:lineRule="auto"/>
              <w:ind w:left="0" w:right="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noProof w:val="0"/>
                <w:color w:val="000000"/>
              </w:rPr>
            </w:pPr>
            <w:r w:rsidRPr="00945BDC">
              <w:rPr>
                <w:rFonts w:eastAsia="Times New Roman" w:cs="Times New Roman"/>
                <w:noProof w:val="0"/>
                <w:color w:val="000000"/>
              </w:rPr>
              <w:t>163</w:t>
            </w:r>
          </w:p>
        </w:tc>
      </w:tr>
      <w:tr w:rsidR="00126462" w:rsidRPr="00945BDC" w14:paraId="6524886C" w14:textId="77777777" w:rsidTr="008B1BC2">
        <w:trPr>
          <w:cnfStyle w:val="000000100000" w:firstRow="0" w:lastRow="0" w:firstColumn="0" w:lastColumn="0" w:oddVBand="0" w:evenVBand="0" w:oddHBand="1" w:evenHBand="0" w:firstRowFirstColumn="0" w:firstRowLastColumn="0" w:lastRowFirstColumn="0" w:lastRowLastColumn="0"/>
          <w:trHeight w:val="465"/>
        </w:trPr>
        <w:tc>
          <w:tcPr>
            <w:cnfStyle w:val="001000000000" w:firstRow="0" w:lastRow="0" w:firstColumn="1" w:lastColumn="0" w:oddVBand="0" w:evenVBand="0" w:oddHBand="0" w:evenHBand="0" w:firstRowFirstColumn="0" w:firstRowLastColumn="0" w:lastRowFirstColumn="0" w:lastRowLastColumn="0"/>
            <w:tcW w:w="2070" w:type="dxa"/>
            <w:hideMark/>
          </w:tcPr>
          <w:p w14:paraId="6A87DC16" w14:textId="77777777" w:rsidR="00126462" w:rsidRPr="00945BDC" w:rsidRDefault="00126462" w:rsidP="00E552D2">
            <w:pPr>
              <w:keepNext/>
              <w:keepLines/>
              <w:spacing w:before="0" w:line="360" w:lineRule="auto"/>
              <w:ind w:left="0" w:right="0"/>
              <w:jc w:val="center"/>
              <w:rPr>
                <w:rFonts w:eastAsia="Times New Roman" w:cs="Arial"/>
                <w:bCs/>
                <w:i w:val="0"/>
                <w:noProof w:val="0"/>
                <w:color w:val="000000"/>
              </w:rPr>
            </w:pPr>
            <w:r w:rsidRPr="00945BDC">
              <w:rPr>
                <w:rFonts w:eastAsia="Times New Roman" w:cs="Arial"/>
                <w:bCs/>
                <w:i w:val="0"/>
                <w:noProof w:val="0"/>
                <w:color w:val="000000"/>
              </w:rPr>
              <w:t>Plymouth</w:t>
            </w:r>
          </w:p>
          <w:p w14:paraId="7913192C" w14:textId="77777777" w:rsidR="00126462" w:rsidRPr="00945BDC" w:rsidRDefault="00126462" w:rsidP="00E552D2">
            <w:pPr>
              <w:keepNext/>
              <w:keepLines/>
              <w:spacing w:before="0" w:line="360" w:lineRule="auto"/>
              <w:ind w:left="0" w:right="0"/>
              <w:jc w:val="center"/>
              <w:rPr>
                <w:rFonts w:eastAsia="Times New Roman" w:cs="Arial"/>
                <w:bCs/>
                <w:i w:val="0"/>
                <w:noProof w:val="0"/>
                <w:color w:val="000000"/>
              </w:rPr>
            </w:pPr>
            <w:r w:rsidRPr="00945BDC">
              <w:rPr>
                <w:rFonts w:eastAsia="Times New Roman" w:cs="Arial"/>
                <w:bCs/>
                <w:i w:val="0"/>
                <w:noProof w:val="0"/>
                <w:color w:val="000000"/>
              </w:rPr>
              <w:t>(513,565)</w:t>
            </w:r>
          </w:p>
        </w:tc>
        <w:tc>
          <w:tcPr>
            <w:tcW w:w="1047" w:type="dxa"/>
            <w:hideMark/>
          </w:tcPr>
          <w:p w14:paraId="6CB99D60" w14:textId="77777777" w:rsidR="00126462" w:rsidRPr="00945BDC" w:rsidRDefault="00126462" w:rsidP="00E552D2">
            <w:pPr>
              <w:keepNext/>
              <w:keepLines/>
              <w:spacing w:before="0" w:line="360" w:lineRule="auto"/>
              <w:ind w:left="0" w:right="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noProof w:val="0"/>
                <w:color w:val="000000"/>
              </w:rPr>
            </w:pPr>
            <w:r w:rsidRPr="00945BDC">
              <w:rPr>
                <w:rFonts w:eastAsia="Times New Roman" w:cs="Times New Roman"/>
                <w:noProof w:val="0"/>
                <w:color w:val="000000"/>
              </w:rPr>
              <w:t>32</w:t>
            </w:r>
          </w:p>
        </w:tc>
        <w:tc>
          <w:tcPr>
            <w:tcW w:w="954" w:type="dxa"/>
            <w:hideMark/>
          </w:tcPr>
          <w:p w14:paraId="27D75766" w14:textId="77777777" w:rsidR="00126462" w:rsidRPr="00945BDC" w:rsidRDefault="00126462" w:rsidP="00E552D2">
            <w:pPr>
              <w:keepNext/>
              <w:keepLines/>
              <w:spacing w:before="0" w:line="360" w:lineRule="auto"/>
              <w:ind w:left="0" w:right="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noProof w:val="0"/>
                <w:color w:val="000000"/>
              </w:rPr>
            </w:pPr>
            <w:r w:rsidRPr="00945BDC">
              <w:rPr>
                <w:rFonts w:eastAsia="Times New Roman" w:cs="Times New Roman"/>
                <w:noProof w:val="0"/>
                <w:color w:val="000000"/>
              </w:rPr>
              <w:t>5</w:t>
            </w:r>
          </w:p>
        </w:tc>
        <w:tc>
          <w:tcPr>
            <w:tcW w:w="979" w:type="dxa"/>
            <w:hideMark/>
          </w:tcPr>
          <w:p w14:paraId="0B40B0B6" w14:textId="77777777" w:rsidR="00126462" w:rsidRPr="00945BDC" w:rsidRDefault="00126462" w:rsidP="00E552D2">
            <w:pPr>
              <w:keepNext/>
              <w:keepLines/>
              <w:spacing w:before="0" w:line="360" w:lineRule="auto"/>
              <w:ind w:left="0" w:right="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noProof w:val="0"/>
                <w:color w:val="000000"/>
              </w:rPr>
            </w:pPr>
            <w:r w:rsidRPr="00945BDC">
              <w:rPr>
                <w:rFonts w:eastAsia="Times New Roman" w:cs="Times New Roman"/>
                <w:noProof w:val="0"/>
                <w:color w:val="000000"/>
              </w:rPr>
              <w:t>12</w:t>
            </w:r>
          </w:p>
        </w:tc>
        <w:tc>
          <w:tcPr>
            <w:tcW w:w="1083" w:type="dxa"/>
            <w:hideMark/>
          </w:tcPr>
          <w:p w14:paraId="4BC7E2A0" w14:textId="77777777" w:rsidR="00126462" w:rsidRPr="00945BDC" w:rsidRDefault="00126462" w:rsidP="00E552D2">
            <w:pPr>
              <w:keepNext/>
              <w:keepLines/>
              <w:spacing w:before="0" w:line="360" w:lineRule="auto"/>
              <w:ind w:left="0" w:right="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noProof w:val="0"/>
                <w:color w:val="000000"/>
              </w:rPr>
            </w:pPr>
            <w:r w:rsidRPr="00945BDC">
              <w:rPr>
                <w:rFonts w:eastAsia="Times New Roman" w:cs="Times New Roman"/>
                <w:noProof w:val="0"/>
                <w:color w:val="000000"/>
              </w:rPr>
              <w:t>4</w:t>
            </w:r>
          </w:p>
        </w:tc>
        <w:tc>
          <w:tcPr>
            <w:tcW w:w="1083" w:type="dxa"/>
            <w:hideMark/>
          </w:tcPr>
          <w:p w14:paraId="4E4DE9EB" w14:textId="77777777" w:rsidR="00126462" w:rsidRPr="00945BDC" w:rsidRDefault="00126462" w:rsidP="00E552D2">
            <w:pPr>
              <w:keepNext/>
              <w:keepLines/>
              <w:spacing w:before="0" w:line="360" w:lineRule="auto"/>
              <w:ind w:left="0" w:right="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noProof w:val="0"/>
                <w:color w:val="000000"/>
              </w:rPr>
            </w:pPr>
            <w:r w:rsidRPr="00945BDC">
              <w:rPr>
                <w:rFonts w:eastAsia="Times New Roman" w:cs="Times New Roman"/>
                <w:noProof w:val="0"/>
                <w:color w:val="000000"/>
              </w:rPr>
              <w:t>3</w:t>
            </w:r>
          </w:p>
        </w:tc>
        <w:tc>
          <w:tcPr>
            <w:tcW w:w="948" w:type="dxa"/>
            <w:hideMark/>
          </w:tcPr>
          <w:p w14:paraId="1E13B563" w14:textId="77777777" w:rsidR="00126462" w:rsidRPr="00945BDC" w:rsidRDefault="00126462" w:rsidP="00E552D2">
            <w:pPr>
              <w:keepNext/>
              <w:keepLines/>
              <w:spacing w:before="0" w:line="360" w:lineRule="auto"/>
              <w:ind w:left="0" w:right="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noProof w:val="0"/>
                <w:color w:val="000000"/>
              </w:rPr>
            </w:pPr>
            <w:r w:rsidRPr="00945BDC">
              <w:rPr>
                <w:rFonts w:eastAsia="Times New Roman" w:cs="Times New Roman"/>
                <w:noProof w:val="0"/>
                <w:color w:val="000000"/>
              </w:rPr>
              <w:t>58</w:t>
            </w:r>
          </w:p>
        </w:tc>
        <w:tc>
          <w:tcPr>
            <w:tcW w:w="978" w:type="dxa"/>
            <w:hideMark/>
          </w:tcPr>
          <w:p w14:paraId="752268B5" w14:textId="77777777" w:rsidR="00126462" w:rsidRPr="00945BDC" w:rsidRDefault="00126462" w:rsidP="00E552D2">
            <w:pPr>
              <w:keepNext/>
              <w:keepLines/>
              <w:spacing w:before="0" w:line="360" w:lineRule="auto"/>
              <w:ind w:left="0" w:right="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noProof w:val="0"/>
                <w:color w:val="000000"/>
              </w:rPr>
            </w:pPr>
            <w:r w:rsidRPr="00945BDC">
              <w:rPr>
                <w:rFonts w:eastAsia="Times New Roman" w:cs="Times New Roman"/>
                <w:noProof w:val="0"/>
                <w:color w:val="000000"/>
              </w:rPr>
              <w:t>5</w:t>
            </w:r>
          </w:p>
        </w:tc>
        <w:tc>
          <w:tcPr>
            <w:tcW w:w="923" w:type="dxa"/>
            <w:hideMark/>
          </w:tcPr>
          <w:p w14:paraId="4417EE7A" w14:textId="77777777" w:rsidR="00126462" w:rsidRPr="00945BDC" w:rsidRDefault="00126462" w:rsidP="00E552D2">
            <w:pPr>
              <w:keepNext/>
              <w:keepLines/>
              <w:spacing w:before="0" w:line="360" w:lineRule="auto"/>
              <w:ind w:left="0" w:right="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noProof w:val="0"/>
                <w:color w:val="000000"/>
              </w:rPr>
            </w:pPr>
            <w:r w:rsidRPr="00945BDC">
              <w:rPr>
                <w:rFonts w:eastAsia="Times New Roman" w:cs="Times New Roman"/>
                <w:noProof w:val="0"/>
                <w:color w:val="000000"/>
              </w:rPr>
              <w:t>119</w:t>
            </w:r>
          </w:p>
        </w:tc>
      </w:tr>
      <w:tr w:rsidR="00126462" w:rsidRPr="00945BDC" w14:paraId="004E17A8" w14:textId="77777777" w:rsidTr="008B1BC2">
        <w:trPr>
          <w:trHeight w:val="465"/>
        </w:trPr>
        <w:tc>
          <w:tcPr>
            <w:cnfStyle w:val="001000000000" w:firstRow="0" w:lastRow="0" w:firstColumn="1" w:lastColumn="0" w:oddVBand="0" w:evenVBand="0" w:oddHBand="0" w:evenHBand="0" w:firstRowFirstColumn="0" w:firstRowLastColumn="0" w:lastRowFirstColumn="0" w:lastRowLastColumn="0"/>
            <w:tcW w:w="2070" w:type="dxa"/>
            <w:hideMark/>
          </w:tcPr>
          <w:p w14:paraId="459289BA" w14:textId="77777777" w:rsidR="00126462" w:rsidRPr="00945BDC" w:rsidRDefault="00126462" w:rsidP="00E552D2">
            <w:pPr>
              <w:keepNext/>
              <w:keepLines/>
              <w:spacing w:before="0" w:line="360" w:lineRule="auto"/>
              <w:ind w:left="0" w:right="0"/>
              <w:jc w:val="center"/>
              <w:rPr>
                <w:rFonts w:eastAsia="Times New Roman" w:cs="Arial"/>
                <w:bCs/>
                <w:i w:val="0"/>
                <w:noProof w:val="0"/>
                <w:color w:val="000000"/>
              </w:rPr>
            </w:pPr>
            <w:r w:rsidRPr="00945BDC">
              <w:rPr>
                <w:rFonts w:eastAsia="Times New Roman" w:cs="Arial"/>
                <w:bCs/>
                <w:i w:val="0"/>
                <w:noProof w:val="0"/>
                <w:color w:val="000000"/>
              </w:rPr>
              <w:t>Suffolk</w:t>
            </w:r>
          </w:p>
          <w:p w14:paraId="21BA6D07" w14:textId="77777777" w:rsidR="00126462" w:rsidRPr="00945BDC" w:rsidRDefault="00126462" w:rsidP="00E552D2">
            <w:pPr>
              <w:keepNext/>
              <w:keepLines/>
              <w:spacing w:before="0" w:line="360" w:lineRule="auto"/>
              <w:ind w:left="0" w:right="0"/>
              <w:jc w:val="center"/>
              <w:rPr>
                <w:rFonts w:eastAsia="Times New Roman" w:cs="Arial"/>
                <w:bCs/>
                <w:i w:val="0"/>
                <w:noProof w:val="0"/>
                <w:color w:val="000000"/>
              </w:rPr>
            </w:pPr>
            <w:r w:rsidRPr="00945BDC">
              <w:rPr>
                <w:rFonts w:eastAsia="Times New Roman" w:cs="Arial"/>
                <w:bCs/>
                <w:i w:val="0"/>
                <w:noProof w:val="0"/>
                <w:color w:val="000000"/>
              </w:rPr>
              <w:t>(784,230)</w:t>
            </w:r>
          </w:p>
        </w:tc>
        <w:tc>
          <w:tcPr>
            <w:tcW w:w="1047" w:type="dxa"/>
            <w:hideMark/>
          </w:tcPr>
          <w:p w14:paraId="07F571D3" w14:textId="77777777" w:rsidR="00126462" w:rsidRPr="00945BDC" w:rsidRDefault="00126462" w:rsidP="00E552D2">
            <w:pPr>
              <w:keepNext/>
              <w:keepLines/>
              <w:spacing w:before="0" w:line="360" w:lineRule="auto"/>
              <w:ind w:left="0" w:right="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noProof w:val="0"/>
                <w:color w:val="000000"/>
              </w:rPr>
            </w:pPr>
            <w:r w:rsidRPr="00945BDC">
              <w:rPr>
                <w:rFonts w:eastAsia="Times New Roman" w:cs="Times New Roman"/>
                <w:noProof w:val="0"/>
                <w:color w:val="000000"/>
              </w:rPr>
              <w:t>31</w:t>
            </w:r>
          </w:p>
        </w:tc>
        <w:tc>
          <w:tcPr>
            <w:tcW w:w="954" w:type="dxa"/>
            <w:hideMark/>
          </w:tcPr>
          <w:p w14:paraId="6E1C5BAE" w14:textId="77777777" w:rsidR="00126462" w:rsidRPr="00945BDC" w:rsidRDefault="00126462" w:rsidP="00E552D2">
            <w:pPr>
              <w:keepNext/>
              <w:keepLines/>
              <w:spacing w:before="0" w:line="360" w:lineRule="auto"/>
              <w:ind w:left="0" w:right="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noProof w:val="0"/>
                <w:color w:val="000000"/>
              </w:rPr>
            </w:pPr>
            <w:r w:rsidRPr="00945BDC">
              <w:rPr>
                <w:rFonts w:eastAsia="Times New Roman" w:cs="Times New Roman"/>
                <w:noProof w:val="0"/>
                <w:color w:val="000000"/>
              </w:rPr>
              <w:t>7</w:t>
            </w:r>
          </w:p>
        </w:tc>
        <w:tc>
          <w:tcPr>
            <w:tcW w:w="979" w:type="dxa"/>
            <w:hideMark/>
          </w:tcPr>
          <w:p w14:paraId="50F60C9C" w14:textId="77777777" w:rsidR="00126462" w:rsidRPr="00945BDC" w:rsidRDefault="00126462" w:rsidP="00E552D2">
            <w:pPr>
              <w:keepNext/>
              <w:keepLines/>
              <w:spacing w:before="0" w:line="360" w:lineRule="auto"/>
              <w:ind w:left="0" w:right="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noProof w:val="0"/>
                <w:color w:val="000000"/>
              </w:rPr>
            </w:pPr>
            <w:r w:rsidRPr="00945BDC">
              <w:rPr>
                <w:rFonts w:eastAsia="Times New Roman" w:cs="Times New Roman"/>
                <w:noProof w:val="0"/>
                <w:color w:val="000000"/>
              </w:rPr>
              <w:t>30</w:t>
            </w:r>
          </w:p>
        </w:tc>
        <w:tc>
          <w:tcPr>
            <w:tcW w:w="1083" w:type="dxa"/>
            <w:hideMark/>
          </w:tcPr>
          <w:p w14:paraId="0A4E93D1" w14:textId="77777777" w:rsidR="00126462" w:rsidRPr="00945BDC" w:rsidRDefault="00126462" w:rsidP="00E552D2">
            <w:pPr>
              <w:keepNext/>
              <w:keepLines/>
              <w:spacing w:before="0" w:line="360" w:lineRule="auto"/>
              <w:ind w:left="0" w:right="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noProof w:val="0"/>
                <w:color w:val="000000"/>
              </w:rPr>
            </w:pPr>
            <w:r w:rsidRPr="00945BDC">
              <w:rPr>
                <w:rFonts w:eastAsia="Times New Roman" w:cs="Times New Roman"/>
                <w:noProof w:val="0"/>
                <w:color w:val="000000"/>
              </w:rPr>
              <w:t>15</w:t>
            </w:r>
          </w:p>
        </w:tc>
        <w:tc>
          <w:tcPr>
            <w:tcW w:w="1083" w:type="dxa"/>
            <w:hideMark/>
          </w:tcPr>
          <w:p w14:paraId="038975EC" w14:textId="77777777" w:rsidR="00126462" w:rsidRPr="00945BDC" w:rsidRDefault="00126462" w:rsidP="00E552D2">
            <w:pPr>
              <w:keepNext/>
              <w:keepLines/>
              <w:spacing w:before="0" w:line="360" w:lineRule="auto"/>
              <w:ind w:left="0" w:right="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noProof w:val="0"/>
                <w:color w:val="000000"/>
              </w:rPr>
            </w:pPr>
            <w:r w:rsidRPr="00945BDC">
              <w:rPr>
                <w:rFonts w:eastAsia="Times New Roman" w:cs="Times New Roman"/>
                <w:noProof w:val="0"/>
                <w:color w:val="000000"/>
              </w:rPr>
              <w:t>8</w:t>
            </w:r>
          </w:p>
        </w:tc>
        <w:tc>
          <w:tcPr>
            <w:tcW w:w="948" w:type="dxa"/>
            <w:hideMark/>
          </w:tcPr>
          <w:p w14:paraId="4B7D8CAA" w14:textId="77777777" w:rsidR="00126462" w:rsidRPr="00945BDC" w:rsidRDefault="00126462" w:rsidP="00E552D2">
            <w:pPr>
              <w:keepNext/>
              <w:keepLines/>
              <w:spacing w:before="0" w:line="360" w:lineRule="auto"/>
              <w:ind w:left="0" w:right="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noProof w:val="0"/>
                <w:color w:val="000000"/>
              </w:rPr>
            </w:pPr>
            <w:r w:rsidRPr="00945BDC">
              <w:rPr>
                <w:rFonts w:eastAsia="Times New Roman" w:cs="Times New Roman"/>
                <w:noProof w:val="0"/>
                <w:color w:val="000000"/>
              </w:rPr>
              <w:t>98</w:t>
            </w:r>
          </w:p>
        </w:tc>
        <w:tc>
          <w:tcPr>
            <w:tcW w:w="978" w:type="dxa"/>
            <w:hideMark/>
          </w:tcPr>
          <w:p w14:paraId="2A8A3CDC" w14:textId="77777777" w:rsidR="00126462" w:rsidRPr="00945BDC" w:rsidRDefault="00126462" w:rsidP="00E552D2">
            <w:pPr>
              <w:keepNext/>
              <w:keepLines/>
              <w:spacing w:before="0" w:line="360" w:lineRule="auto"/>
              <w:ind w:left="0" w:right="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noProof w:val="0"/>
                <w:color w:val="000000"/>
              </w:rPr>
            </w:pPr>
            <w:r w:rsidRPr="00945BDC">
              <w:rPr>
                <w:rFonts w:eastAsia="Times New Roman" w:cs="Times New Roman"/>
                <w:noProof w:val="0"/>
                <w:color w:val="000000"/>
              </w:rPr>
              <w:t>10</w:t>
            </w:r>
          </w:p>
        </w:tc>
        <w:tc>
          <w:tcPr>
            <w:tcW w:w="923" w:type="dxa"/>
            <w:hideMark/>
          </w:tcPr>
          <w:p w14:paraId="144D9B5E" w14:textId="77777777" w:rsidR="00126462" w:rsidRPr="00945BDC" w:rsidRDefault="00126462" w:rsidP="00E552D2">
            <w:pPr>
              <w:keepNext/>
              <w:keepLines/>
              <w:spacing w:before="0" w:line="360" w:lineRule="auto"/>
              <w:ind w:left="0" w:right="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noProof w:val="0"/>
                <w:color w:val="000000"/>
              </w:rPr>
            </w:pPr>
            <w:r w:rsidRPr="00945BDC">
              <w:rPr>
                <w:rFonts w:eastAsia="Times New Roman" w:cs="Times New Roman"/>
                <w:noProof w:val="0"/>
                <w:color w:val="000000"/>
              </w:rPr>
              <w:t>199</w:t>
            </w:r>
          </w:p>
        </w:tc>
      </w:tr>
      <w:tr w:rsidR="00126462" w:rsidRPr="00945BDC" w14:paraId="62BA3A88" w14:textId="77777777" w:rsidTr="008B1BC2">
        <w:trPr>
          <w:cnfStyle w:val="000000100000" w:firstRow="0" w:lastRow="0" w:firstColumn="0" w:lastColumn="0" w:oddVBand="0" w:evenVBand="0" w:oddHBand="1" w:evenHBand="0" w:firstRowFirstColumn="0" w:firstRowLastColumn="0" w:lastRowFirstColumn="0" w:lastRowLastColumn="0"/>
          <w:trHeight w:val="465"/>
        </w:trPr>
        <w:tc>
          <w:tcPr>
            <w:cnfStyle w:val="001000000000" w:firstRow="0" w:lastRow="0" w:firstColumn="1" w:lastColumn="0" w:oddVBand="0" w:evenVBand="0" w:oddHBand="0" w:evenHBand="0" w:firstRowFirstColumn="0" w:firstRowLastColumn="0" w:lastRowFirstColumn="0" w:lastRowLastColumn="0"/>
            <w:tcW w:w="2070" w:type="dxa"/>
            <w:hideMark/>
          </w:tcPr>
          <w:p w14:paraId="4EEE257A" w14:textId="77777777" w:rsidR="00126462" w:rsidRPr="00945BDC" w:rsidRDefault="00126462" w:rsidP="00E552D2">
            <w:pPr>
              <w:keepNext/>
              <w:keepLines/>
              <w:spacing w:before="0" w:line="360" w:lineRule="auto"/>
              <w:ind w:left="0" w:right="0"/>
              <w:jc w:val="center"/>
              <w:rPr>
                <w:rFonts w:eastAsia="Times New Roman" w:cs="Arial"/>
                <w:bCs/>
                <w:i w:val="0"/>
                <w:noProof w:val="0"/>
                <w:color w:val="000000"/>
              </w:rPr>
            </w:pPr>
            <w:r w:rsidRPr="00945BDC">
              <w:rPr>
                <w:rFonts w:eastAsia="Times New Roman" w:cs="Arial"/>
                <w:bCs/>
                <w:i w:val="0"/>
                <w:noProof w:val="0"/>
                <w:color w:val="000000"/>
              </w:rPr>
              <w:t>Worcester</w:t>
            </w:r>
          </w:p>
          <w:p w14:paraId="2120A1ED" w14:textId="77777777" w:rsidR="00126462" w:rsidRPr="00945BDC" w:rsidRDefault="00126462" w:rsidP="00E552D2">
            <w:pPr>
              <w:keepNext/>
              <w:keepLines/>
              <w:spacing w:before="0" w:line="360" w:lineRule="auto"/>
              <w:ind w:left="0" w:right="0"/>
              <w:jc w:val="center"/>
              <w:rPr>
                <w:rFonts w:eastAsia="Times New Roman" w:cs="Arial"/>
                <w:bCs/>
                <w:i w:val="0"/>
                <w:noProof w:val="0"/>
                <w:color w:val="000000"/>
              </w:rPr>
            </w:pPr>
            <w:r w:rsidRPr="00945BDC">
              <w:rPr>
                <w:rFonts w:eastAsia="Times New Roman" w:cs="Arial"/>
                <w:bCs/>
                <w:i w:val="0"/>
                <w:noProof w:val="0"/>
                <w:color w:val="000000"/>
              </w:rPr>
              <w:lastRenderedPageBreak/>
              <w:t>(819589)</w:t>
            </w:r>
          </w:p>
        </w:tc>
        <w:tc>
          <w:tcPr>
            <w:tcW w:w="1047" w:type="dxa"/>
            <w:hideMark/>
          </w:tcPr>
          <w:p w14:paraId="7BF0B279" w14:textId="77777777" w:rsidR="00126462" w:rsidRPr="00945BDC" w:rsidRDefault="00126462" w:rsidP="00E552D2">
            <w:pPr>
              <w:keepNext/>
              <w:keepLines/>
              <w:spacing w:before="0" w:line="360" w:lineRule="auto"/>
              <w:ind w:left="0" w:right="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noProof w:val="0"/>
                <w:color w:val="000000"/>
              </w:rPr>
            </w:pPr>
            <w:r w:rsidRPr="00945BDC">
              <w:rPr>
                <w:rFonts w:eastAsia="Times New Roman" w:cs="Times New Roman"/>
                <w:noProof w:val="0"/>
                <w:color w:val="000000"/>
              </w:rPr>
              <w:lastRenderedPageBreak/>
              <w:t>55</w:t>
            </w:r>
          </w:p>
        </w:tc>
        <w:tc>
          <w:tcPr>
            <w:tcW w:w="954" w:type="dxa"/>
            <w:hideMark/>
          </w:tcPr>
          <w:p w14:paraId="5BFBC0B2" w14:textId="77777777" w:rsidR="00126462" w:rsidRPr="00945BDC" w:rsidRDefault="00126462" w:rsidP="00E552D2">
            <w:pPr>
              <w:keepNext/>
              <w:keepLines/>
              <w:spacing w:before="0" w:line="360" w:lineRule="auto"/>
              <w:ind w:left="0" w:right="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noProof w:val="0"/>
                <w:color w:val="000000"/>
              </w:rPr>
            </w:pPr>
            <w:r w:rsidRPr="00945BDC">
              <w:rPr>
                <w:rFonts w:eastAsia="Times New Roman" w:cs="Times New Roman"/>
                <w:noProof w:val="0"/>
                <w:color w:val="000000"/>
              </w:rPr>
              <w:t>17</w:t>
            </w:r>
          </w:p>
        </w:tc>
        <w:tc>
          <w:tcPr>
            <w:tcW w:w="979" w:type="dxa"/>
            <w:hideMark/>
          </w:tcPr>
          <w:p w14:paraId="641C465A" w14:textId="77777777" w:rsidR="00126462" w:rsidRPr="00945BDC" w:rsidRDefault="00126462" w:rsidP="00E552D2">
            <w:pPr>
              <w:keepNext/>
              <w:keepLines/>
              <w:spacing w:before="0" w:line="360" w:lineRule="auto"/>
              <w:ind w:left="0" w:right="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noProof w:val="0"/>
                <w:color w:val="000000"/>
              </w:rPr>
            </w:pPr>
            <w:r w:rsidRPr="00945BDC">
              <w:rPr>
                <w:rFonts w:eastAsia="Times New Roman" w:cs="Times New Roman"/>
                <w:noProof w:val="0"/>
                <w:color w:val="000000"/>
              </w:rPr>
              <w:t>16</w:t>
            </w:r>
          </w:p>
        </w:tc>
        <w:tc>
          <w:tcPr>
            <w:tcW w:w="1083" w:type="dxa"/>
            <w:hideMark/>
          </w:tcPr>
          <w:p w14:paraId="2BC3D4CC" w14:textId="77777777" w:rsidR="00126462" w:rsidRPr="00945BDC" w:rsidRDefault="00126462" w:rsidP="00E552D2">
            <w:pPr>
              <w:keepNext/>
              <w:keepLines/>
              <w:spacing w:before="0" w:line="360" w:lineRule="auto"/>
              <w:ind w:left="0" w:right="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noProof w:val="0"/>
                <w:color w:val="000000"/>
              </w:rPr>
            </w:pPr>
            <w:r w:rsidRPr="00945BDC">
              <w:rPr>
                <w:rFonts w:eastAsia="Times New Roman" w:cs="Times New Roman"/>
                <w:noProof w:val="0"/>
                <w:color w:val="000000"/>
              </w:rPr>
              <w:t>9</w:t>
            </w:r>
          </w:p>
        </w:tc>
        <w:tc>
          <w:tcPr>
            <w:tcW w:w="1083" w:type="dxa"/>
            <w:hideMark/>
          </w:tcPr>
          <w:p w14:paraId="12C75161" w14:textId="77777777" w:rsidR="00126462" w:rsidRPr="00945BDC" w:rsidRDefault="00126462" w:rsidP="00E552D2">
            <w:pPr>
              <w:keepNext/>
              <w:keepLines/>
              <w:spacing w:before="0" w:line="360" w:lineRule="auto"/>
              <w:ind w:left="0" w:right="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noProof w:val="0"/>
                <w:color w:val="000000"/>
              </w:rPr>
            </w:pPr>
            <w:r w:rsidRPr="00945BDC">
              <w:rPr>
                <w:rFonts w:eastAsia="Times New Roman" w:cs="Times New Roman"/>
                <w:noProof w:val="0"/>
                <w:color w:val="000000"/>
              </w:rPr>
              <w:t>5</w:t>
            </w:r>
          </w:p>
        </w:tc>
        <w:tc>
          <w:tcPr>
            <w:tcW w:w="948" w:type="dxa"/>
            <w:hideMark/>
          </w:tcPr>
          <w:p w14:paraId="0389C3B8" w14:textId="77777777" w:rsidR="00126462" w:rsidRPr="00945BDC" w:rsidRDefault="00126462" w:rsidP="00E552D2">
            <w:pPr>
              <w:keepNext/>
              <w:keepLines/>
              <w:spacing w:before="0" w:line="360" w:lineRule="auto"/>
              <w:ind w:left="0" w:right="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noProof w:val="0"/>
                <w:color w:val="000000"/>
              </w:rPr>
            </w:pPr>
            <w:r w:rsidRPr="00945BDC">
              <w:rPr>
                <w:rFonts w:eastAsia="Times New Roman" w:cs="Times New Roman"/>
                <w:noProof w:val="0"/>
                <w:color w:val="000000"/>
              </w:rPr>
              <w:t>106</w:t>
            </w:r>
          </w:p>
        </w:tc>
        <w:tc>
          <w:tcPr>
            <w:tcW w:w="978" w:type="dxa"/>
            <w:hideMark/>
          </w:tcPr>
          <w:p w14:paraId="57261646" w14:textId="77777777" w:rsidR="00126462" w:rsidRPr="00945BDC" w:rsidRDefault="00126462" w:rsidP="00E552D2">
            <w:pPr>
              <w:keepNext/>
              <w:keepLines/>
              <w:spacing w:before="0" w:line="360" w:lineRule="auto"/>
              <w:ind w:left="0" w:right="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noProof w:val="0"/>
                <w:color w:val="000000"/>
              </w:rPr>
            </w:pPr>
            <w:r w:rsidRPr="00945BDC">
              <w:rPr>
                <w:rFonts w:eastAsia="Times New Roman" w:cs="Times New Roman"/>
                <w:noProof w:val="0"/>
                <w:color w:val="000000"/>
              </w:rPr>
              <w:t>9</w:t>
            </w:r>
          </w:p>
        </w:tc>
        <w:tc>
          <w:tcPr>
            <w:tcW w:w="923" w:type="dxa"/>
            <w:hideMark/>
          </w:tcPr>
          <w:p w14:paraId="6B31709D" w14:textId="77777777" w:rsidR="00126462" w:rsidRPr="00945BDC" w:rsidRDefault="00126462" w:rsidP="00E552D2">
            <w:pPr>
              <w:keepNext/>
              <w:keepLines/>
              <w:spacing w:before="0" w:line="360" w:lineRule="auto"/>
              <w:ind w:left="0" w:right="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noProof w:val="0"/>
                <w:color w:val="000000"/>
              </w:rPr>
            </w:pPr>
            <w:r w:rsidRPr="00945BDC">
              <w:rPr>
                <w:rFonts w:eastAsia="Times New Roman" w:cs="Times New Roman"/>
                <w:noProof w:val="0"/>
                <w:color w:val="000000"/>
              </w:rPr>
              <w:t>217</w:t>
            </w:r>
          </w:p>
        </w:tc>
      </w:tr>
      <w:tr w:rsidR="00126462" w:rsidRPr="00945BDC" w14:paraId="46BCD922" w14:textId="77777777" w:rsidTr="008B1BC2">
        <w:trPr>
          <w:trHeight w:val="465"/>
        </w:trPr>
        <w:tc>
          <w:tcPr>
            <w:cnfStyle w:val="001000000000" w:firstRow="0" w:lastRow="0" w:firstColumn="1" w:lastColumn="0" w:oddVBand="0" w:evenVBand="0" w:oddHBand="0" w:evenHBand="0" w:firstRowFirstColumn="0" w:firstRowLastColumn="0" w:lastRowFirstColumn="0" w:lastRowLastColumn="0"/>
            <w:tcW w:w="2070" w:type="dxa"/>
            <w:hideMark/>
          </w:tcPr>
          <w:p w14:paraId="1D646B38" w14:textId="77777777" w:rsidR="00126462" w:rsidRPr="00945BDC" w:rsidRDefault="00126462" w:rsidP="00E552D2">
            <w:pPr>
              <w:keepNext/>
              <w:keepLines/>
              <w:spacing w:before="0" w:line="360" w:lineRule="auto"/>
              <w:ind w:left="0" w:right="0"/>
              <w:jc w:val="center"/>
              <w:rPr>
                <w:rFonts w:eastAsia="Times New Roman" w:cs="Arial"/>
                <w:bCs/>
                <w:i w:val="0"/>
                <w:noProof w:val="0"/>
                <w:color w:val="000000"/>
              </w:rPr>
            </w:pPr>
            <w:r w:rsidRPr="00945BDC">
              <w:rPr>
                <w:rFonts w:eastAsia="Times New Roman" w:cs="Arial"/>
                <w:bCs/>
                <w:i w:val="0"/>
                <w:noProof w:val="0"/>
                <w:color w:val="000000"/>
              </w:rPr>
              <w:lastRenderedPageBreak/>
              <w:t>Total</w:t>
            </w:r>
          </w:p>
          <w:p w14:paraId="307207D4" w14:textId="77777777" w:rsidR="00126462" w:rsidRPr="00945BDC" w:rsidRDefault="00126462" w:rsidP="00E552D2">
            <w:pPr>
              <w:keepNext/>
              <w:keepLines/>
              <w:spacing w:before="0" w:line="360" w:lineRule="auto"/>
              <w:ind w:left="0" w:right="0"/>
              <w:jc w:val="center"/>
              <w:rPr>
                <w:rFonts w:eastAsia="Times New Roman" w:cs="Arial"/>
                <w:bCs/>
                <w:i w:val="0"/>
                <w:noProof w:val="0"/>
                <w:color w:val="000000"/>
              </w:rPr>
            </w:pPr>
            <w:r w:rsidRPr="00945BDC">
              <w:rPr>
                <w:rFonts w:eastAsia="Times New Roman" w:cs="Arial"/>
                <w:bCs/>
                <w:i w:val="0"/>
                <w:noProof w:val="0"/>
                <w:color w:val="000000"/>
              </w:rPr>
              <w:t>(6,811,779)</w:t>
            </w:r>
          </w:p>
        </w:tc>
        <w:tc>
          <w:tcPr>
            <w:tcW w:w="1047" w:type="dxa"/>
            <w:hideMark/>
          </w:tcPr>
          <w:p w14:paraId="21A32A9B" w14:textId="77777777" w:rsidR="00126462" w:rsidRPr="00945BDC" w:rsidRDefault="00126462" w:rsidP="00E552D2">
            <w:pPr>
              <w:keepNext/>
              <w:keepLines/>
              <w:spacing w:before="0" w:line="360" w:lineRule="auto"/>
              <w:ind w:left="0" w:right="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noProof w:val="0"/>
                <w:color w:val="000000"/>
              </w:rPr>
            </w:pPr>
            <w:r w:rsidRPr="00945BDC">
              <w:rPr>
                <w:rFonts w:eastAsia="Times New Roman" w:cs="Times New Roman"/>
                <w:noProof w:val="0"/>
                <w:color w:val="000000"/>
              </w:rPr>
              <w:t>414</w:t>
            </w:r>
          </w:p>
        </w:tc>
        <w:tc>
          <w:tcPr>
            <w:tcW w:w="954" w:type="dxa"/>
            <w:hideMark/>
          </w:tcPr>
          <w:p w14:paraId="0BA646F1" w14:textId="77777777" w:rsidR="00126462" w:rsidRPr="00945BDC" w:rsidRDefault="00126462" w:rsidP="00E552D2">
            <w:pPr>
              <w:keepNext/>
              <w:keepLines/>
              <w:spacing w:before="0" w:line="360" w:lineRule="auto"/>
              <w:ind w:left="0" w:right="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noProof w:val="0"/>
                <w:color w:val="000000"/>
              </w:rPr>
            </w:pPr>
            <w:r w:rsidRPr="00945BDC">
              <w:rPr>
                <w:rFonts w:eastAsia="Times New Roman" w:cs="Times New Roman"/>
                <w:noProof w:val="0"/>
                <w:color w:val="000000"/>
              </w:rPr>
              <w:t>68</w:t>
            </w:r>
          </w:p>
        </w:tc>
        <w:tc>
          <w:tcPr>
            <w:tcW w:w="979" w:type="dxa"/>
            <w:hideMark/>
          </w:tcPr>
          <w:p w14:paraId="04FC3BBC" w14:textId="77777777" w:rsidR="00126462" w:rsidRPr="00945BDC" w:rsidRDefault="00126462" w:rsidP="00E552D2">
            <w:pPr>
              <w:keepNext/>
              <w:keepLines/>
              <w:spacing w:before="0" w:line="360" w:lineRule="auto"/>
              <w:ind w:left="0" w:right="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noProof w:val="0"/>
                <w:color w:val="000000"/>
              </w:rPr>
            </w:pPr>
            <w:r w:rsidRPr="00945BDC">
              <w:rPr>
                <w:rFonts w:eastAsia="Times New Roman" w:cs="Times New Roman"/>
                <w:noProof w:val="0"/>
                <w:color w:val="000000"/>
              </w:rPr>
              <w:t>167</w:t>
            </w:r>
          </w:p>
        </w:tc>
        <w:tc>
          <w:tcPr>
            <w:tcW w:w="1083" w:type="dxa"/>
            <w:hideMark/>
          </w:tcPr>
          <w:p w14:paraId="5B8C46E7" w14:textId="77777777" w:rsidR="00126462" w:rsidRPr="00945BDC" w:rsidRDefault="00126462" w:rsidP="00E552D2">
            <w:pPr>
              <w:keepNext/>
              <w:keepLines/>
              <w:spacing w:before="0" w:line="360" w:lineRule="auto"/>
              <w:ind w:left="0" w:right="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noProof w:val="0"/>
                <w:color w:val="000000"/>
              </w:rPr>
            </w:pPr>
            <w:r w:rsidRPr="00945BDC">
              <w:rPr>
                <w:rFonts w:eastAsia="Times New Roman" w:cs="Times New Roman"/>
                <w:noProof w:val="0"/>
                <w:color w:val="000000"/>
              </w:rPr>
              <w:t>75</w:t>
            </w:r>
          </w:p>
        </w:tc>
        <w:tc>
          <w:tcPr>
            <w:tcW w:w="1083" w:type="dxa"/>
            <w:hideMark/>
          </w:tcPr>
          <w:p w14:paraId="2F89012F" w14:textId="77777777" w:rsidR="00126462" w:rsidRPr="00945BDC" w:rsidRDefault="00126462" w:rsidP="00E552D2">
            <w:pPr>
              <w:keepNext/>
              <w:keepLines/>
              <w:spacing w:before="0" w:line="360" w:lineRule="auto"/>
              <w:ind w:left="0" w:right="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noProof w:val="0"/>
                <w:color w:val="000000"/>
              </w:rPr>
            </w:pPr>
            <w:r w:rsidRPr="00945BDC">
              <w:rPr>
                <w:rFonts w:eastAsia="Times New Roman" w:cs="Times New Roman"/>
                <w:noProof w:val="0"/>
                <w:color w:val="000000"/>
              </w:rPr>
              <w:t>47</w:t>
            </w:r>
          </w:p>
        </w:tc>
        <w:tc>
          <w:tcPr>
            <w:tcW w:w="948" w:type="dxa"/>
            <w:hideMark/>
          </w:tcPr>
          <w:p w14:paraId="35FF25D1" w14:textId="77777777" w:rsidR="00126462" w:rsidRPr="00945BDC" w:rsidRDefault="00126462" w:rsidP="00E552D2">
            <w:pPr>
              <w:keepNext/>
              <w:keepLines/>
              <w:spacing w:before="0" w:line="360" w:lineRule="auto"/>
              <w:ind w:left="0" w:right="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noProof w:val="0"/>
                <w:color w:val="000000"/>
              </w:rPr>
            </w:pPr>
            <w:r w:rsidRPr="00945BDC">
              <w:rPr>
                <w:rFonts w:eastAsia="Times New Roman" w:cs="Times New Roman"/>
                <w:noProof w:val="0"/>
                <w:color w:val="000000"/>
              </w:rPr>
              <w:t>827</w:t>
            </w:r>
          </w:p>
        </w:tc>
        <w:tc>
          <w:tcPr>
            <w:tcW w:w="978" w:type="dxa"/>
            <w:hideMark/>
          </w:tcPr>
          <w:p w14:paraId="185A902E" w14:textId="77777777" w:rsidR="00126462" w:rsidRPr="00945BDC" w:rsidRDefault="00126462" w:rsidP="00E552D2">
            <w:pPr>
              <w:keepNext/>
              <w:keepLines/>
              <w:spacing w:before="0" w:line="360" w:lineRule="auto"/>
              <w:ind w:left="0" w:right="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noProof w:val="0"/>
                <w:color w:val="000000"/>
              </w:rPr>
            </w:pPr>
            <w:r w:rsidRPr="00945BDC">
              <w:rPr>
                <w:rFonts w:eastAsia="Times New Roman" w:cs="Times New Roman"/>
                <w:noProof w:val="0"/>
                <w:color w:val="000000"/>
              </w:rPr>
              <w:t>84</w:t>
            </w:r>
          </w:p>
        </w:tc>
        <w:tc>
          <w:tcPr>
            <w:tcW w:w="923" w:type="dxa"/>
            <w:hideMark/>
          </w:tcPr>
          <w:p w14:paraId="6559F29A" w14:textId="77777777" w:rsidR="00126462" w:rsidRPr="00945BDC" w:rsidRDefault="00126462" w:rsidP="00E552D2">
            <w:pPr>
              <w:keepNext/>
              <w:keepLines/>
              <w:spacing w:before="0" w:line="360" w:lineRule="auto"/>
              <w:ind w:left="0" w:right="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noProof w:val="0"/>
                <w:color w:val="000000"/>
              </w:rPr>
            </w:pPr>
            <w:r w:rsidRPr="00945BDC">
              <w:rPr>
                <w:rFonts w:eastAsia="Times New Roman" w:cs="Times New Roman"/>
                <w:noProof w:val="0"/>
                <w:color w:val="000000"/>
              </w:rPr>
              <w:t>1682</w:t>
            </w:r>
          </w:p>
        </w:tc>
      </w:tr>
    </w:tbl>
    <w:p w14:paraId="3A9687DE" w14:textId="77777777" w:rsidR="007F5F23" w:rsidRDefault="007F5F23" w:rsidP="00E552D2">
      <w:pPr>
        <w:spacing w:line="360" w:lineRule="auto"/>
        <w:ind w:right="-360"/>
        <w:jc w:val="right"/>
      </w:pPr>
    </w:p>
    <w:p w14:paraId="3E50CC42" w14:textId="1CC2A6A3" w:rsidR="007F5F23" w:rsidRPr="00641A30" w:rsidRDefault="00D130D7" w:rsidP="00E552D2">
      <w:pPr>
        <w:spacing w:line="360" w:lineRule="auto"/>
        <w:ind w:right="-360"/>
        <w:rPr>
          <w:sz w:val="24"/>
          <w:szCs w:val="24"/>
        </w:rPr>
      </w:pPr>
      <w:r w:rsidRPr="00641A30">
        <w:rPr>
          <w:sz w:val="24"/>
          <w:szCs w:val="24"/>
        </w:rPr>
        <w:t xml:space="preserve">As shown in in the </w:t>
      </w:r>
      <w:r w:rsidR="00126462" w:rsidRPr="00641A30">
        <w:rPr>
          <w:b/>
          <w:sz w:val="24"/>
          <w:szCs w:val="24"/>
        </w:rPr>
        <w:t>F</w:t>
      </w:r>
      <w:r w:rsidRPr="00641A30">
        <w:rPr>
          <w:b/>
          <w:sz w:val="24"/>
          <w:szCs w:val="24"/>
        </w:rPr>
        <w:t>igur</w:t>
      </w:r>
      <w:r w:rsidR="00126462" w:rsidRPr="00641A30">
        <w:rPr>
          <w:b/>
          <w:sz w:val="24"/>
          <w:szCs w:val="24"/>
        </w:rPr>
        <w:t>e 7.2</w:t>
      </w:r>
      <w:r w:rsidRPr="00641A30">
        <w:rPr>
          <w:sz w:val="24"/>
          <w:szCs w:val="24"/>
        </w:rPr>
        <w:t xml:space="preserve">, acute care hospitals with an emergency department and acute hospitals with no emergency department are concentrated in the Boston metropolitan area. </w:t>
      </w:r>
      <w:bookmarkStart w:id="0" w:name="_Hlk494370768"/>
    </w:p>
    <w:p w14:paraId="2D7D09F8" w14:textId="2794935C" w:rsidR="00D130D7" w:rsidRPr="00641A30" w:rsidRDefault="00D130D7" w:rsidP="00E552D2">
      <w:pPr>
        <w:spacing w:line="360" w:lineRule="auto"/>
        <w:ind w:right="-360"/>
        <w:jc w:val="center"/>
        <w:rPr>
          <w:b/>
          <w:sz w:val="24"/>
          <w:szCs w:val="24"/>
        </w:rPr>
      </w:pPr>
      <w:r w:rsidRPr="00641A30">
        <w:rPr>
          <w:b/>
          <w:sz w:val="24"/>
          <w:szCs w:val="24"/>
        </w:rPr>
        <w:t>Figure 7.2</w:t>
      </w:r>
    </w:p>
    <w:p w14:paraId="5CCE4615" w14:textId="63E3E939" w:rsidR="001B2649" w:rsidRPr="00641A30" w:rsidRDefault="00D130D7" w:rsidP="00E552D2">
      <w:pPr>
        <w:pStyle w:val="SHAFigureNumber"/>
        <w:spacing w:line="360" w:lineRule="auto"/>
        <w:rPr>
          <w:sz w:val="24"/>
          <w:szCs w:val="24"/>
        </w:rPr>
      </w:pPr>
      <w:r w:rsidRPr="00641A30">
        <w:rPr>
          <w:sz w:val="24"/>
          <w:szCs w:val="24"/>
        </w:rPr>
        <w:t>Massachusetts Acute Care Hospitals and Satellite Emergency Facilities</w:t>
      </w:r>
      <w:r w:rsidR="005E6E98" w:rsidRPr="00641A30">
        <w:rPr>
          <w:sz w:val="24"/>
          <w:szCs w:val="24"/>
        </w:rPr>
        <w:t xml:space="preserve"> </w:t>
      </w:r>
      <w:bookmarkEnd w:id="0"/>
    </w:p>
    <w:p w14:paraId="39771B9B" w14:textId="118DF17E" w:rsidR="001B2649" w:rsidRDefault="0089447A" w:rsidP="00E552D2">
      <w:pPr>
        <w:spacing w:line="360" w:lineRule="auto"/>
        <w:ind w:right="-360"/>
        <w:jc w:val="center"/>
      </w:pPr>
      <w:r>
        <w:rPr>
          <w:rFonts w:ascii="Calibri" w:eastAsia="Calibri" w:hAnsi="Calibri" w:cs="Times New Roman"/>
          <w:sz w:val="24"/>
          <w:szCs w:val="24"/>
        </w:rPr>
        <mc:AlternateContent>
          <mc:Choice Requires="wps">
            <w:drawing>
              <wp:anchor distT="0" distB="0" distL="114300" distR="114300" simplePos="0" relativeHeight="252084224" behindDoc="0" locked="0" layoutInCell="1" allowOverlap="1" wp14:anchorId="5B1ADF3D" wp14:editId="7C18D407">
                <wp:simplePos x="0" y="0"/>
                <wp:positionH relativeFrom="column">
                  <wp:posOffset>966308</wp:posOffset>
                </wp:positionH>
                <wp:positionV relativeFrom="paragraph">
                  <wp:posOffset>3273425</wp:posOffset>
                </wp:positionV>
                <wp:extent cx="287020" cy="414655"/>
                <wp:effectExtent l="0" t="0" r="0" b="4445"/>
                <wp:wrapNone/>
                <wp:docPr id="698" name="Text Box 698"/>
                <wp:cNvGraphicFramePr/>
                <a:graphic xmlns:a="http://schemas.openxmlformats.org/drawingml/2006/main">
                  <a:graphicData uri="http://schemas.microsoft.com/office/word/2010/wordprocessingShape">
                    <wps:wsp>
                      <wps:cNvSpPr txBox="1"/>
                      <wps:spPr>
                        <a:xfrm>
                          <a:off x="0" y="0"/>
                          <a:ext cx="287020" cy="4146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76FBCB8" w14:textId="69451405" w:rsidR="0079760B" w:rsidRPr="001B2649" w:rsidRDefault="0079760B">
                            <w:pPr>
                              <w:ind w:left="0"/>
                              <w:rPr>
                                <w:rFonts w:ascii="Aileron SemiBold" w:hAnsi="Aileron SemiBold"/>
                                <w:color w:val="002060"/>
                                <w:sz w:val="38"/>
                                <w:szCs w:val="38"/>
                              </w:rPr>
                            </w:pPr>
                            <w:r w:rsidRPr="001B2649">
                              <w:rPr>
                                <w:rFonts w:ascii="Aileron SemiBold" w:hAnsi="Aileron SemiBold"/>
                                <w:color w:val="002060"/>
                                <w:sz w:val="38"/>
                                <w:szCs w:val="38"/>
                              </w:rPr>
                              <w:t>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698" o:spid="_x0000_s1027" type="#_x0000_t202" style="position:absolute;left:0;text-align:left;margin-left:76.1pt;margin-top:257.75pt;width:22.6pt;height:32.65pt;z-index:25208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" filled="f" stroked="f" strokeweight=".5pt">
                <v:textbox>
                  <w:txbxContent>
                    <w:p w14:paraId="476FBCB8" w14:textId="69451405" w:rsidR="0079760B" w:rsidRPr="001B2649" w:rsidRDefault="0079760B">
                      <w:pPr>
                        <w:ind w:left="0"/>
                        <w:rPr>
                          <w:rFonts w:ascii="Aileron SemiBold" w:hAnsi="Aileron SemiBold"/>
                          <w:color w:val="002060"/>
                          <w:sz w:val="38"/>
                          <w:szCs w:val="38"/>
                        </w:rPr>
                      </w:pPr>
                      <w:r w:rsidRPr="001B2649">
                        <w:rPr>
                          <w:rFonts w:ascii="Aileron SemiBold" w:hAnsi="Aileron SemiBold"/>
                          <w:color w:val="002060"/>
                          <w:sz w:val="38"/>
                          <w:szCs w:val="38"/>
                        </w:rPr>
                        <w:t>X</w:t>
                      </w:r>
                    </w:p>
                  </w:txbxContent>
                </v:textbox>
              </v:shape>
            </w:pict>
          </mc:Fallback>
        </mc:AlternateContent>
      </w:r>
      <w:r>
        <w:rPr>
          <w:rFonts w:ascii="Calibri" w:eastAsia="Calibri" w:hAnsi="Calibri" w:cs="Times New Roman"/>
          <w:sz w:val="24"/>
          <w:szCs w:val="24"/>
        </w:rPr>
        <mc:AlternateContent>
          <mc:Choice Requires="wps">
            <w:drawing>
              <wp:anchor distT="0" distB="0" distL="114300" distR="114300" simplePos="0" relativeHeight="252083200" behindDoc="0" locked="0" layoutInCell="1" allowOverlap="1" wp14:anchorId="1321130E" wp14:editId="0D7634E9">
                <wp:simplePos x="0" y="0"/>
                <wp:positionH relativeFrom="column">
                  <wp:posOffset>1066165</wp:posOffset>
                </wp:positionH>
                <wp:positionV relativeFrom="paragraph">
                  <wp:posOffset>3497107</wp:posOffset>
                </wp:positionV>
                <wp:extent cx="148856" cy="159488"/>
                <wp:effectExtent l="0" t="0" r="3810" b="0"/>
                <wp:wrapNone/>
                <wp:docPr id="704" name="Text Box 704"/>
                <wp:cNvGraphicFramePr/>
                <a:graphic xmlns:a="http://schemas.openxmlformats.org/drawingml/2006/main">
                  <a:graphicData uri="http://schemas.microsoft.com/office/word/2010/wordprocessingShape">
                    <wps:wsp>
                      <wps:cNvSpPr txBox="1"/>
                      <wps:spPr>
                        <a:xfrm>
                          <a:off x="0" y="0"/>
                          <a:ext cx="148856" cy="159488"/>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63AA24F" w14:textId="77777777" w:rsidR="0079760B" w:rsidRDefault="0079760B">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704" o:spid="_x0000_s1028" type="#_x0000_t202" style="position:absolute;left:0;text-align:left;margin-left:83.95pt;margin-top:275.35pt;width:11.7pt;height:12.55pt;z-index:2520832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" fillcolor="white [3201]" stroked="f" strokeweight=".5pt">
                <v:textbox>
                  <w:txbxContent>
                    <w:p w14:paraId="563AA24F" w14:textId="77777777" w:rsidR="0079760B" w:rsidRDefault="0079760B">
                      <w:pPr>
                        <w:ind w:left="0"/>
                      </w:pPr>
                    </w:p>
                  </w:txbxContent>
                </v:textbox>
              </v:shape>
            </w:pict>
          </mc:Fallback>
        </mc:AlternateContent>
      </w:r>
      <w:r w:rsidR="001B2649" w:rsidRPr="001B2649">
        <w:rPr>
          <w:rFonts w:ascii="Calibri" w:eastAsia="Calibri" w:hAnsi="Calibri" w:cs="Times New Roman"/>
          <w:sz w:val="24"/>
          <w:szCs w:val="24"/>
        </w:rPr>
        <w:drawing>
          <wp:inline distT="0" distB="0" distL="0" distR="0" wp14:anchorId="1A3BA49C" wp14:editId="7D26C36B">
            <wp:extent cx="5588000" cy="3911600"/>
            <wp:effectExtent l="0" t="0" r="0" b="0"/>
            <wp:docPr id="697"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7.2_map_facilities.svg"/>
                    <pic:cNvPicPr/>
                  </pic:nvPicPr>
                  <pic:blipFill>
                    <a:blip r:embed="rId16" cstate="print">
                      <a:extLst>
                        <a:ext uri="{28A0092B-C50C-407E-A947-70E740481C1C}">
                          <a14:useLocalDpi xmlns:a14="http://schemas.microsoft.com/office/drawing/2010/main" val="0"/>
                        </a:ext>
                        <a:ext uri="{96DAC541-7B7A-43D3-8B79-37D633B846F1}">
                          <asvg:svgBlip xmlns:arto="http://schemas.microsoft.com/office/word/2006/arto" xmlns:asvg="http://schemas.microsoft.com/office/drawing/2016/SVG/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182"/>
                        </a:ext>
                      </a:extLst>
                    </a:blip>
                    <a:stretch>
                      <a:fillRect/>
                    </a:stretch>
                  </pic:blipFill>
                  <pic:spPr>
                    <a:xfrm>
                      <a:off x="0" y="0"/>
                      <a:ext cx="5588550" cy="3911985"/>
                    </a:xfrm>
                    <a:prstGeom prst="rect">
                      <a:avLst/>
                    </a:prstGeom>
                  </pic:spPr>
                </pic:pic>
              </a:graphicData>
            </a:graphic>
          </wp:inline>
        </w:drawing>
      </w:r>
    </w:p>
    <w:p w14:paraId="7A66496E" w14:textId="5323DC67" w:rsidR="00D130D7" w:rsidRPr="00641A30" w:rsidRDefault="00D130D7" w:rsidP="00E552D2">
      <w:pPr>
        <w:spacing w:line="360" w:lineRule="auto"/>
        <w:ind w:right="-360"/>
        <w:rPr>
          <w:sz w:val="24"/>
          <w:szCs w:val="24"/>
        </w:rPr>
      </w:pPr>
      <w:r w:rsidRPr="00641A30">
        <w:rPr>
          <w:sz w:val="24"/>
          <w:szCs w:val="24"/>
        </w:rPr>
        <w:t>Massa</w:t>
      </w:r>
      <w:r w:rsidR="0014624F" w:rsidRPr="00641A30">
        <w:rPr>
          <w:sz w:val="24"/>
          <w:szCs w:val="24"/>
        </w:rPr>
        <w:t>chusetts was home to the first community health c</w:t>
      </w:r>
      <w:r w:rsidRPr="00641A30">
        <w:rPr>
          <w:sz w:val="24"/>
          <w:szCs w:val="24"/>
        </w:rPr>
        <w:t>enter in the nation.  Now in 314 locati</w:t>
      </w:r>
      <w:r w:rsidR="0014624F" w:rsidRPr="00641A30">
        <w:rPr>
          <w:sz w:val="24"/>
          <w:szCs w:val="24"/>
        </w:rPr>
        <w:t>ons and growing, Massachusetts community h</w:t>
      </w:r>
      <w:r w:rsidRPr="00641A30">
        <w:rPr>
          <w:sz w:val="24"/>
          <w:szCs w:val="24"/>
        </w:rPr>
        <w:t xml:space="preserve">ealth </w:t>
      </w:r>
      <w:r w:rsidR="0014624F" w:rsidRPr="00641A30">
        <w:rPr>
          <w:sz w:val="24"/>
          <w:szCs w:val="24"/>
        </w:rPr>
        <w:t>c</w:t>
      </w:r>
      <w:r w:rsidRPr="00641A30">
        <w:rPr>
          <w:sz w:val="24"/>
          <w:szCs w:val="24"/>
        </w:rPr>
        <w:t xml:space="preserve">enters provide </w:t>
      </w:r>
      <w:r w:rsidR="00CF1413" w:rsidRPr="00641A30">
        <w:rPr>
          <w:sz w:val="24"/>
          <w:szCs w:val="24"/>
        </w:rPr>
        <w:t xml:space="preserve">high quality </w:t>
      </w:r>
      <w:r w:rsidRPr="00641A30">
        <w:rPr>
          <w:sz w:val="24"/>
          <w:szCs w:val="24"/>
        </w:rPr>
        <w:t xml:space="preserve">medical, dental, vision, pharmacy, behavioral health, addiction services and other community-based services to 998,000 residents regardless of their insurance status or ability to pay. Health centers work to eliminate the increased risk of serious illness, chronic disease, and mortality experienced among the state’s many ethnic and racial groups by hiring </w:t>
      </w:r>
      <w:r w:rsidRPr="00641A30">
        <w:rPr>
          <w:sz w:val="24"/>
          <w:szCs w:val="24"/>
        </w:rPr>
        <w:lastRenderedPageBreak/>
        <w:t xml:space="preserve">multilingual and multicultural staff at every level of their organizations; deploying </w:t>
      </w:r>
      <w:r w:rsidR="00CF1413" w:rsidRPr="00641A30">
        <w:rPr>
          <w:sz w:val="24"/>
          <w:szCs w:val="24"/>
        </w:rPr>
        <w:t>community health</w:t>
      </w:r>
      <w:r w:rsidRPr="00641A30">
        <w:rPr>
          <w:sz w:val="24"/>
          <w:szCs w:val="24"/>
        </w:rPr>
        <w:t xml:space="preserve"> worke</w:t>
      </w:r>
      <w:r w:rsidR="00CF1413" w:rsidRPr="00641A30">
        <w:rPr>
          <w:sz w:val="24"/>
          <w:szCs w:val="24"/>
        </w:rPr>
        <w:t>rs to help patients navigate the</w:t>
      </w:r>
      <w:r w:rsidRPr="00641A30">
        <w:rPr>
          <w:sz w:val="24"/>
          <w:szCs w:val="24"/>
        </w:rPr>
        <w:t xml:space="preserve"> complex health system; and as</w:t>
      </w:r>
      <w:r w:rsidR="00436CA7" w:rsidRPr="00641A30">
        <w:rPr>
          <w:sz w:val="24"/>
          <w:szCs w:val="24"/>
        </w:rPr>
        <w:t>sisting residents in enrolling</w:t>
      </w:r>
      <w:r w:rsidR="0014624F" w:rsidRPr="00641A30">
        <w:rPr>
          <w:sz w:val="24"/>
          <w:szCs w:val="24"/>
        </w:rPr>
        <w:t xml:space="preserve">—and staying enrolled—in </w:t>
      </w:r>
      <w:r w:rsidRPr="00641A30">
        <w:rPr>
          <w:sz w:val="24"/>
          <w:szCs w:val="24"/>
        </w:rPr>
        <w:t>critical health care coverage.</w:t>
      </w:r>
    </w:p>
    <w:p w14:paraId="411C0642" w14:textId="31E043E4" w:rsidR="00D130D7" w:rsidRPr="00641A30" w:rsidRDefault="0014624F" w:rsidP="00E552D2">
      <w:pPr>
        <w:spacing w:line="360" w:lineRule="auto"/>
        <w:ind w:right="-360"/>
        <w:rPr>
          <w:sz w:val="24"/>
          <w:szCs w:val="24"/>
        </w:rPr>
      </w:pPr>
      <w:r w:rsidRPr="00641A30">
        <w:rPr>
          <w:sz w:val="24"/>
          <w:szCs w:val="24"/>
        </w:rPr>
        <w:t xml:space="preserve"> In 2016, community health c</w:t>
      </w:r>
      <w:r w:rsidR="00D130D7" w:rsidRPr="00641A30">
        <w:rPr>
          <w:sz w:val="24"/>
          <w:szCs w:val="24"/>
        </w:rPr>
        <w:t xml:space="preserve">enter data shows: </w:t>
      </w:r>
    </w:p>
    <w:p w14:paraId="6B28F135" w14:textId="77777777" w:rsidR="00D130D7" w:rsidRPr="00641A30" w:rsidRDefault="00D130D7" w:rsidP="00E552D2">
      <w:pPr>
        <w:pStyle w:val="ListParagraph"/>
        <w:numPr>
          <w:ilvl w:val="0"/>
          <w:numId w:val="107"/>
        </w:numPr>
        <w:tabs>
          <w:tab w:val="left" w:pos="6480"/>
        </w:tabs>
        <w:spacing w:line="360" w:lineRule="auto"/>
        <w:ind w:right="-360"/>
        <w:rPr>
          <w:sz w:val="24"/>
          <w:szCs w:val="24"/>
        </w:rPr>
      </w:pPr>
      <w:r w:rsidRPr="00641A30">
        <w:rPr>
          <w:sz w:val="24"/>
          <w:szCs w:val="24"/>
        </w:rPr>
        <w:t>4.7 million visits a year</w:t>
      </w:r>
    </w:p>
    <w:p w14:paraId="1CBA794A" w14:textId="42B71257" w:rsidR="00D130D7" w:rsidRPr="00641A30" w:rsidRDefault="00CF1413" w:rsidP="00E552D2">
      <w:pPr>
        <w:pStyle w:val="ListParagraph"/>
        <w:numPr>
          <w:ilvl w:val="0"/>
          <w:numId w:val="107"/>
        </w:numPr>
        <w:tabs>
          <w:tab w:val="left" w:pos="6480"/>
        </w:tabs>
        <w:spacing w:line="360" w:lineRule="auto"/>
        <w:ind w:right="-360"/>
        <w:rPr>
          <w:sz w:val="24"/>
          <w:szCs w:val="24"/>
        </w:rPr>
      </w:pPr>
      <w:r w:rsidRPr="00641A30">
        <w:rPr>
          <w:sz w:val="24"/>
          <w:szCs w:val="24"/>
        </w:rPr>
        <w:t xml:space="preserve">Services accessed by individuals in </w:t>
      </w:r>
      <w:r w:rsidR="00D130D7" w:rsidRPr="00641A30">
        <w:rPr>
          <w:sz w:val="24"/>
          <w:szCs w:val="24"/>
        </w:rPr>
        <w:t>96% of Massachusetts cities and towns</w:t>
      </w:r>
    </w:p>
    <w:p w14:paraId="38CBC940" w14:textId="77777777" w:rsidR="00D130D7" w:rsidRPr="00641A30" w:rsidRDefault="00D130D7" w:rsidP="00E552D2">
      <w:pPr>
        <w:pStyle w:val="ListParagraph"/>
        <w:numPr>
          <w:ilvl w:val="0"/>
          <w:numId w:val="107"/>
        </w:numPr>
        <w:tabs>
          <w:tab w:val="left" w:pos="6480"/>
        </w:tabs>
        <w:spacing w:line="360" w:lineRule="auto"/>
        <w:ind w:right="-360"/>
        <w:rPr>
          <w:sz w:val="24"/>
          <w:szCs w:val="24"/>
        </w:rPr>
      </w:pPr>
      <w:r w:rsidRPr="00641A30">
        <w:rPr>
          <w:sz w:val="24"/>
          <w:szCs w:val="24"/>
        </w:rPr>
        <w:t>Almost 24% of the state’s health center patients were women of child-bearing age (15-44)</w:t>
      </w:r>
    </w:p>
    <w:p w14:paraId="7CF46D05" w14:textId="77777777" w:rsidR="00D130D7" w:rsidRPr="00641A30" w:rsidRDefault="00D130D7" w:rsidP="00E552D2">
      <w:pPr>
        <w:pStyle w:val="ListParagraph"/>
        <w:numPr>
          <w:ilvl w:val="0"/>
          <w:numId w:val="107"/>
        </w:numPr>
        <w:tabs>
          <w:tab w:val="left" w:pos="6480"/>
        </w:tabs>
        <w:spacing w:line="360" w:lineRule="auto"/>
        <w:ind w:right="-360"/>
        <w:rPr>
          <w:sz w:val="24"/>
          <w:szCs w:val="24"/>
        </w:rPr>
      </w:pPr>
      <w:r w:rsidRPr="00641A30">
        <w:rPr>
          <w:sz w:val="24"/>
          <w:szCs w:val="24"/>
        </w:rPr>
        <w:t xml:space="preserve">23% were children under 18 </w:t>
      </w:r>
    </w:p>
    <w:p w14:paraId="480751AD" w14:textId="3CCC73F2" w:rsidR="00D130D7" w:rsidRPr="00641A30" w:rsidRDefault="00CF1413" w:rsidP="00E552D2">
      <w:pPr>
        <w:pStyle w:val="ListParagraph"/>
        <w:numPr>
          <w:ilvl w:val="0"/>
          <w:numId w:val="107"/>
        </w:numPr>
        <w:tabs>
          <w:tab w:val="left" w:pos="6480"/>
        </w:tabs>
        <w:spacing w:line="360" w:lineRule="auto"/>
        <w:ind w:right="-360"/>
        <w:rPr>
          <w:sz w:val="24"/>
          <w:szCs w:val="24"/>
        </w:rPr>
      </w:pPr>
      <w:r w:rsidRPr="00641A30">
        <w:rPr>
          <w:sz w:val="24"/>
          <w:szCs w:val="24"/>
        </w:rPr>
        <w:t>11%</w:t>
      </w:r>
      <w:r w:rsidR="00D12B72" w:rsidRPr="00641A30">
        <w:rPr>
          <w:sz w:val="24"/>
          <w:szCs w:val="24"/>
        </w:rPr>
        <w:t xml:space="preserve"> of patients were older adults age </w:t>
      </w:r>
      <w:r w:rsidR="00D130D7" w:rsidRPr="00641A30">
        <w:rPr>
          <w:sz w:val="24"/>
          <w:szCs w:val="24"/>
        </w:rPr>
        <w:t>65 or older</w:t>
      </w:r>
    </w:p>
    <w:p w14:paraId="5BD5333C" w14:textId="77777777" w:rsidR="00D130D7" w:rsidRPr="00641A30" w:rsidRDefault="00D130D7" w:rsidP="00E552D2">
      <w:pPr>
        <w:pStyle w:val="ListParagraph"/>
        <w:numPr>
          <w:ilvl w:val="0"/>
          <w:numId w:val="107"/>
        </w:numPr>
        <w:tabs>
          <w:tab w:val="left" w:pos="6480"/>
        </w:tabs>
        <w:spacing w:line="360" w:lineRule="auto"/>
        <w:ind w:right="-360"/>
        <w:rPr>
          <w:sz w:val="24"/>
          <w:szCs w:val="24"/>
        </w:rPr>
      </w:pPr>
      <w:r w:rsidRPr="00641A30">
        <w:rPr>
          <w:sz w:val="24"/>
          <w:szCs w:val="24"/>
        </w:rPr>
        <w:t>89% of patients fell below 200% of the federal poverty level</w:t>
      </w:r>
    </w:p>
    <w:p w14:paraId="1D1B7963" w14:textId="15121C72" w:rsidR="00D130D7" w:rsidRPr="00641A30" w:rsidRDefault="00D130D7" w:rsidP="00E552D2">
      <w:pPr>
        <w:pStyle w:val="ListParagraph"/>
        <w:numPr>
          <w:ilvl w:val="0"/>
          <w:numId w:val="107"/>
        </w:numPr>
        <w:tabs>
          <w:tab w:val="left" w:pos="6480"/>
        </w:tabs>
        <w:spacing w:line="360" w:lineRule="auto"/>
        <w:ind w:right="-360"/>
        <w:rPr>
          <w:sz w:val="24"/>
          <w:szCs w:val="24"/>
        </w:rPr>
      </w:pPr>
      <w:r w:rsidRPr="00641A30">
        <w:rPr>
          <w:sz w:val="24"/>
          <w:szCs w:val="24"/>
        </w:rPr>
        <w:t>4</w:t>
      </w:r>
      <w:r w:rsidR="00CF1413" w:rsidRPr="00641A30">
        <w:rPr>
          <w:sz w:val="24"/>
          <w:szCs w:val="24"/>
        </w:rPr>
        <w:t>4% were insured through MassHealth</w:t>
      </w:r>
    </w:p>
    <w:p w14:paraId="420C96B8" w14:textId="77777777" w:rsidR="00D130D7" w:rsidRPr="00641A30" w:rsidRDefault="00D130D7" w:rsidP="00E552D2">
      <w:pPr>
        <w:pStyle w:val="ListParagraph"/>
        <w:numPr>
          <w:ilvl w:val="0"/>
          <w:numId w:val="107"/>
        </w:numPr>
        <w:tabs>
          <w:tab w:val="left" w:pos="6480"/>
        </w:tabs>
        <w:spacing w:line="360" w:lineRule="auto"/>
        <w:ind w:right="-360"/>
        <w:rPr>
          <w:sz w:val="24"/>
          <w:szCs w:val="24"/>
        </w:rPr>
      </w:pPr>
      <w:r w:rsidRPr="00641A30">
        <w:rPr>
          <w:sz w:val="24"/>
          <w:szCs w:val="24"/>
        </w:rPr>
        <w:t>31% had subsidized and unsubsidized commercial coverage</w:t>
      </w:r>
    </w:p>
    <w:p w14:paraId="77FEDCD1" w14:textId="77777777" w:rsidR="00D130D7" w:rsidRPr="00641A30" w:rsidRDefault="00D130D7" w:rsidP="00E552D2">
      <w:pPr>
        <w:pStyle w:val="ListParagraph"/>
        <w:numPr>
          <w:ilvl w:val="0"/>
          <w:numId w:val="107"/>
        </w:numPr>
        <w:tabs>
          <w:tab w:val="left" w:pos="6480"/>
        </w:tabs>
        <w:spacing w:line="360" w:lineRule="auto"/>
        <w:ind w:right="-360"/>
        <w:rPr>
          <w:sz w:val="24"/>
          <w:szCs w:val="24"/>
        </w:rPr>
      </w:pPr>
      <w:r w:rsidRPr="00641A30">
        <w:rPr>
          <w:sz w:val="24"/>
          <w:szCs w:val="24"/>
        </w:rPr>
        <w:t xml:space="preserve">10% were Medicare beneficiaries </w:t>
      </w:r>
    </w:p>
    <w:p w14:paraId="076A452D" w14:textId="497500B0" w:rsidR="00D130D7" w:rsidRPr="00641A30" w:rsidRDefault="00D130D7" w:rsidP="00E552D2">
      <w:pPr>
        <w:pStyle w:val="ListParagraph"/>
        <w:numPr>
          <w:ilvl w:val="0"/>
          <w:numId w:val="107"/>
        </w:numPr>
        <w:tabs>
          <w:tab w:val="left" w:pos="6480"/>
        </w:tabs>
        <w:spacing w:line="360" w:lineRule="auto"/>
        <w:ind w:right="-360"/>
        <w:rPr>
          <w:sz w:val="24"/>
          <w:szCs w:val="24"/>
        </w:rPr>
      </w:pPr>
      <w:r w:rsidRPr="00641A30">
        <w:rPr>
          <w:sz w:val="24"/>
          <w:szCs w:val="24"/>
        </w:rPr>
        <w:t>Nearly 14% of patients remained uninsured</w:t>
      </w:r>
    </w:p>
    <w:p w14:paraId="12EC7D95" w14:textId="77777777" w:rsidR="00D130D7" w:rsidRPr="00641A30" w:rsidRDefault="00D130D7" w:rsidP="00E552D2">
      <w:pPr>
        <w:pStyle w:val="ListParagraph"/>
        <w:numPr>
          <w:ilvl w:val="0"/>
          <w:numId w:val="107"/>
        </w:numPr>
        <w:tabs>
          <w:tab w:val="left" w:pos="6480"/>
        </w:tabs>
        <w:spacing w:line="360" w:lineRule="auto"/>
        <w:ind w:right="-360"/>
        <w:rPr>
          <w:sz w:val="24"/>
          <w:szCs w:val="24"/>
        </w:rPr>
      </w:pPr>
      <w:r w:rsidRPr="00641A30">
        <w:rPr>
          <w:sz w:val="24"/>
          <w:szCs w:val="24"/>
        </w:rPr>
        <w:t>42% were non-English speaking</w:t>
      </w:r>
    </w:p>
    <w:p w14:paraId="159A7361" w14:textId="1BA141A8" w:rsidR="00D130D7" w:rsidRPr="00641A30" w:rsidRDefault="00D130D7" w:rsidP="00E552D2">
      <w:pPr>
        <w:spacing w:line="360" w:lineRule="auto"/>
        <w:ind w:right="-360"/>
        <w:rPr>
          <w:b/>
          <w:sz w:val="24"/>
          <w:szCs w:val="24"/>
        </w:rPr>
      </w:pPr>
      <w:r w:rsidRPr="00641A30">
        <w:rPr>
          <w:sz w:val="24"/>
          <w:szCs w:val="24"/>
        </w:rPr>
        <w:t>Community health centers address disparities identified in this an</w:t>
      </w:r>
      <w:r w:rsidR="00CF1413" w:rsidRPr="00641A30">
        <w:rPr>
          <w:sz w:val="24"/>
          <w:szCs w:val="24"/>
        </w:rPr>
        <w:t xml:space="preserve">d other chapters by providing </w:t>
      </w:r>
      <w:r w:rsidRPr="00641A30">
        <w:rPr>
          <w:sz w:val="24"/>
          <w:szCs w:val="24"/>
        </w:rPr>
        <w:t xml:space="preserve">locally-accessible, comprehensive, and patient-centered care. The result is that high-need patients in Massachusetts receive primary care and are less reliant on expensive emergency and hospital care. </w:t>
      </w:r>
      <w:r w:rsidR="003D14D9" w:rsidRPr="00641A30">
        <w:rPr>
          <w:sz w:val="24"/>
          <w:szCs w:val="24"/>
        </w:rPr>
        <w:t>C</w:t>
      </w:r>
      <w:r w:rsidRPr="00641A30">
        <w:rPr>
          <w:sz w:val="24"/>
          <w:szCs w:val="24"/>
        </w:rPr>
        <w:t>o</w:t>
      </w:r>
      <w:r w:rsidR="00B96DCD" w:rsidRPr="00641A30">
        <w:rPr>
          <w:sz w:val="24"/>
          <w:szCs w:val="24"/>
        </w:rPr>
        <w:t>mmunity health c</w:t>
      </w:r>
      <w:r w:rsidRPr="00641A30">
        <w:rPr>
          <w:sz w:val="24"/>
          <w:szCs w:val="24"/>
        </w:rPr>
        <w:t>enters are accessible in all areas of the state.</w:t>
      </w:r>
      <w:r w:rsidRPr="00641A30">
        <w:rPr>
          <w:b/>
          <w:sz w:val="24"/>
          <w:szCs w:val="24"/>
        </w:rPr>
        <w:t xml:space="preserve"> </w:t>
      </w:r>
    </w:p>
    <w:p w14:paraId="61491732" w14:textId="3FBE16A5" w:rsidR="00D130D7" w:rsidRPr="00641A30" w:rsidRDefault="00D130D7" w:rsidP="00E552D2">
      <w:pPr>
        <w:spacing w:line="360" w:lineRule="auto"/>
        <w:ind w:right="-360"/>
        <w:rPr>
          <w:sz w:val="24"/>
          <w:szCs w:val="24"/>
        </w:rPr>
      </w:pPr>
      <w:r w:rsidRPr="00641A30">
        <w:rPr>
          <w:sz w:val="24"/>
          <w:szCs w:val="24"/>
        </w:rPr>
        <w:t>In 2009, the first ever data reporting platform for community health centers, DRVS™ (Data Reporting and Visualization System) was established. The platform measures and monitors health center performance on key clinical, operational, and financial metrics. DRVS is also providing support to several MDPH initiatives including the Massachusetts immunization information system (MIIS), the  web-based immuniza</w:t>
      </w:r>
      <w:r w:rsidR="00CF1413" w:rsidRPr="00641A30">
        <w:rPr>
          <w:sz w:val="24"/>
          <w:szCs w:val="24"/>
        </w:rPr>
        <w:t xml:space="preserve">tion registry, Mass in Motion - - </w:t>
      </w:r>
      <w:r w:rsidR="00B96DCD" w:rsidRPr="00641A30">
        <w:rPr>
          <w:sz w:val="24"/>
          <w:szCs w:val="24"/>
        </w:rPr>
        <w:t xml:space="preserve">a </w:t>
      </w:r>
      <w:r w:rsidRPr="00641A30">
        <w:rPr>
          <w:sz w:val="24"/>
          <w:szCs w:val="24"/>
        </w:rPr>
        <w:t>community-based approach to promoting hea</w:t>
      </w:r>
      <w:r w:rsidR="00CF1413" w:rsidRPr="00641A30">
        <w:rPr>
          <w:sz w:val="24"/>
          <w:szCs w:val="24"/>
        </w:rPr>
        <w:t xml:space="preserve">lthy eating and active living - - </w:t>
      </w:r>
      <w:r w:rsidR="00B96DCD" w:rsidRPr="00641A30">
        <w:rPr>
          <w:sz w:val="24"/>
          <w:szCs w:val="24"/>
        </w:rPr>
        <w:t xml:space="preserve">and </w:t>
      </w:r>
      <w:r w:rsidRPr="00641A30">
        <w:rPr>
          <w:sz w:val="24"/>
          <w:szCs w:val="24"/>
        </w:rPr>
        <w:t>the Bureau of Infectious Disease and Laboratory Sciences’ Office of Integrated Surveillance and Informatics Services which collect data on 80 reportable diseases.</w:t>
      </w:r>
    </w:p>
    <w:p w14:paraId="4C0BB387" w14:textId="77777777" w:rsidR="00D130D7" w:rsidRPr="00641A30" w:rsidRDefault="00D130D7" w:rsidP="00E552D2">
      <w:pPr>
        <w:spacing w:line="360" w:lineRule="auto"/>
        <w:ind w:right="-360"/>
        <w:rPr>
          <w:sz w:val="24"/>
          <w:szCs w:val="24"/>
        </w:rPr>
      </w:pPr>
      <w:r w:rsidRPr="00641A30">
        <w:rPr>
          <w:sz w:val="24"/>
          <w:szCs w:val="24"/>
        </w:rPr>
        <w:lastRenderedPageBreak/>
        <w:t>Community health centers are dedicated to integrating addiction care into the primary care they deliver and were the first health care providers in Massachusetts to endorse Governor Baker’s core competencies for preventing and managing prescription drug misuse.</w:t>
      </w:r>
    </w:p>
    <w:p w14:paraId="77F31E20" w14:textId="56066696" w:rsidR="00D130D7" w:rsidRPr="00641A30" w:rsidRDefault="00D130D7" w:rsidP="00E552D2">
      <w:pPr>
        <w:spacing w:line="360" w:lineRule="auto"/>
        <w:ind w:right="-360"/>
        <w:rPr>
          <w:sz w:val="24"/>
          <w:szCs w:val="24"/>
        </w:rPr>
      </w:pPr>
      <w:r w:rsidRPr="00641A30">
        <w:rPr>
          <w:sz w:val="24"/>
          <w:szCs w:val="24"/>
        </w:rPr>
        <w:t xml:space="preserve">Currently, 86 percent of Massachusetts </w:t>
      </w:r>
      <w:r w:rsidR="00B96DCD" w:rsidRPr="00641A30">
        <w:rPr>
          <w:sz w:val="24"/>
          <w:szCs w:val="24"/>
        </w:rPr>
        <w:t xml:space="preserve">community </w:t>
      </w:r>
      <w:r w:rsidRPr="00641A30">
        <w:rPr>
          <w:sz w:val="24"/>
          <w:szCs w:val="24"/>
        </w:rPr>
        <w:t>health centers</w:t>
      </w:r>
      <w:r w:rsidR="00B96DCD" w:rsidRPr="00641A30">
        <w:rPr>
          <w:sz w:val="24"/>
          <w:szCs w:val="24"/>
        </w:rPr>
        <w:t xml:space="preserve"> have achieved official patient-</w:t>
      </w:r>
      <w:r w:rsidRPr="00641A30">
        <w:rPr>
          <w:sz w:val="24"/>
          <w:szCs w:val="24"/>
        </w:rPr>
        <w:t>centered medical home (PCMH) recognition through an accredited organization, including the National Committee for Quality Assurance (NCQA) and the Joint Commission on Accreditation of Health Care Organizations. The Massachusetts Health Policy Commission, in collaboration with the NCQA, developed the PCMH PRIME Certification progra</w:t>
      </w:r>
      <w:r w:rsidR="00B96DCD" w:rsidRPr="00641A30">
        <w:rPr>
          <w:sz w:val="24"/>
          <w:szCs w:val="24"/>
        </w:rPr>
        <w:t>m which certifies Massachusetts-</w:t>
      </w:r>
      <w:r w:rsidRPr="00641A30">
        <w:rPr>
          <w:sz w:val="24"/>
          <w:szCs w:val="24"/>
        </w:rPr>
        <w:t>based federally qualified health centers for their integration of behavioral health  either through formal agreements, co-location</w:t>
      </w:r>
      <w:r w:rsidR="0077573F" w:rsidRPr="00641A30">
        <w:rPr>
          <w:sz w:val="24"/>
          <w:szCs w:val="24"/>
        </w:rPr>
        <w:t>,</w:t>
      </w:r>
      <w:r w:rsidRPr="00641A30">
        <w:rPr>
          <w:sz w:val="24"/>
          <w:szCs w:val="24"/>
        </w:rPr>
        <w:t xml:space="preserve"> or provider integration and emphasizes the importance of integrating behavioral health into patients’ primary care. As of July 2017, 28 percent of federally-funded health centers have achieved PRIME status, with an additional 20% on the path to certification.</w:t>
      </w:r>
    </w:p>
    <w:p w14:paraId="2329B40B" w14:textId="77777777" w:rsidR="00D130D7" w:rsidRPr="00641A30" w:rsidRDefault="00D130D7" w:rsidP="00E552D2">
      <w:pPr>
        <w:pStyle w:val="Heading3"/>
        <w:spacing w:line="360" w:lineRule="auto"/>
        <w:rPr>
          <w:sz w:val="24"/>
          <w:szCs w:val="24"/>
        </w:rPr>
      </w:pPr>
      <w:r w:rsidRPr="00641A30">
        <w:rPr>
          <w:sz w:val="24"/>
          <w:szCs w:val="24"/>
        </w:rPr>
        <w:t>Medical Use of Marijuana Program</w:t>
      </w:r>
    </w:p>
    <w:p w14:paraId="11ECBD1A" w14:textId="29D58E88" w:rsidR="00D130D7" w:rsidRPr="00641A30" w:rsidRDefault="00D130D7" w:rsidP="00E552D2">
      <w:pPr>
        <w:spacing w:line="360" w:lineRule="auto"/>
        <w:ind w:right="-360"/>
        <w:rPr>
          <w:sz w:val="24"/>
          <w:szCs w:val="24"/>
        </w:rPr>
      </w:pPr>
      <w:r w:rsidRPr="00641A30">
        <w:rPr>
          <w:sz w:val="24"/>
          <w:szCs w:val="24"/>
        </w:rPr>
        <w:t>In 2012, MDPH established the Medical Use of Marijuana Program to implement the registratio</w:t>
      </w:r>
      <w:r w:rsidR="00DF3261" w:rsidRPr="00641A30">
        <w:rPr>
          <w:sz w:val="24"/>
          <w:szCs w:val="24"/>
        </w:rPr>
        <w:t>n of non-profit organizations that</w:t>
      </w:r>
      <w:r w:rsidRPr="00641A30">
        <w:rPr>
          <w:sz w:val="24"/>
          <w:szCs w:val="24"/>
        </w:rPr>
        <w:t xml:space="preserve"> cultivate and dispense marijuana for medical use and the registration of physicians, patients, personal caregivers, and dispensary agents. Massachusetts legalized marijuana for recreational use in 2016.</w:t>
      </w:r>
    </w:p>
    <w:p w14:paraId="421F3D47" w14:textId="31514C56" w:rsidR="00D130D7" w:rsidRPr="00641A30" w:rsidRDefault="00D130D7" w:rsidP="00E552D2">
      <w:pPr>
        <w:spacing w:line="360" w:lineRule="auto"/>
        <w:ind w:right="-360"/>
        <w:rPr>
          <w:sz w:val="24"/>
          <w:szCs w:val="24"/>
        </w:rPr>
      </w:pPr>
      <w:r w:rsidRPr="00641A30">
        <w:rPr>
          <w:sz w:val="24"/>
          <w:szCs w:val="24"/>
        </w:rPr>
        <w:t xml:space="preserve">MDPH oversees regulatory enforcement of </w:t>
      </w:r>
      <w:r w:rsidR="00DF3261" w:rsidRPr="00641A30">
        <w:rPr>
          <w:sz w:val="24"/>
          <w:szCs w:val="24"/>
        </w:rPr>
        <w:t>registered marijuana d</w:t>
      </w:r>
      <w:r w:rsidRPr="00641A30">
        <w:rPr>
          <w:sz w:val="24"/>
          <w:szCs w:val="24"/>
        </w:rPr>
        <w:t xml:space="preserve">ispensaries (RMD), patient support services delivery, and processing of </w:t>
      </w:r>
      <w:r w:rsidR="003D14D9" w:rsidRPr="00641A30">
        <w:rPr>
          <w:sz w:val="24"/>
          <w:szCs w:val="24"/>
        </w:rPr>
        <w:t xml:space="preserve">RMD applications. </w:t>
      </w:r>
      <w:r w:rsidR="003D14D9" w:rsidRPr="00641A30">
        <w:rPr>
          <w:b/>
          <w:sz w:val="24"/>
          <w:szCs w:val="24"/>
        </w:rPr>
        <w:t>F</w:t>
      </w:r>
      <w:r w:rsidR="0077573F" w:rsidRPr="00641A30">
        <w:rPr>
          <w:b/>
          <w:sz w:val="24"/>
          <w:szCs w:val="24"/>
        </w:rPr>
        <w:t>igure</w:t>
      </w:r>
      <w:r w:rsidR="003D14D9" w:rsidRPr="00641A30">
        <w:rPr>
          <w:b/>
          <w:sz w:val="24"/>
          <w:szCs w:val="24"/>
        </w:rPr>
        <w:t xml:space="preserve"> 7.3</w:t>
      </w:r>
      <w:r w:rsidRPr="00641A30">
        <w:rPr>
          <w:sz w:val="24"/>
          <w:szCs w:val="24"/>
        </w:rPr>
        <w:t xml:space="preserve"> illus</w:t>
      </w:r>
      <w:r w:rsidR="00DF3261" w:rsidRPr="00641A30">
        <w:rPr>
          <w:sz w:val="24"/>
          <w:szCs w:val="24"/>
        </w:rPr>
        <w:t>trates the locations of RMDs across</w:t>
      </w:r>
      <w:r w:rsidRPr="00641A30">
        <w:rPr>
          <w:sz w:val="24"/>
          <w:szCs w:val="24"/>
        </w:rPr>
        <w:t xml:space="preserve"> the state.</w:t>
      </w:r>
    </w:p>
    <w:p w14:paraId="716BD153" w14:textId="77777777" w:rsidR="00921F35" w:rsidRPr="00641A30" w:rsidRDefault="00921F35" w:rsidP="00E552D2">
      <w:pPr>
        <w:spacing w:line="360" w:lineRule="auto"/>
        <w:ind w:right="-360"/>
        <w:rPr>
          <w:noProof w:val="0"/>
          <w:sz w:val="24"/>
          <w:szCs w:val="24"/>
        </w:rPr>
      </w:pPr>
      <w:r w:rsidRPr="00641A30">
        <w:rPr>
          <w:sz w:val="24"/>
          <w:szCs w:val="24"/>
          <w:shd w:val="clear" w:color="auto" w:fill="FFFFFF"/>
        </w:rPr>
        <w:t>Additionally, it is also MDPH’s responsibility to regulate the evaluation and labelling of marijuana for medical use. To accomplish this, MDPH uses an analytical testing protocol based upon standards published annually by the United States Pharmacopoeia (USP) Convention</w:t>
      </w:r>
      <w:r w:rsidRPr="00641A30">
        <w:rPr>
          <w:sz w:val="24"/>
          <w:szCs w:val="24"/>
        </w:rPr>
        <w:t>.</w:t>
      </w:r>
    </w:p>
    <w:p w14:paraId="74978EE6" w14:textId="77777777" w:rsidR="007F5F23" w:rsidRPr="00641A30" w:rsidRDefault="00921F35" w:rsidP="00E552D2">
      <w:pPr>
        <w:spacing w:line="360" w:lineRule="auto"/>
        <w:ind w:right="-360"/>
        <w:rPr>
          <w:sz w:val="24"/>
          <w:szCs w:val="24"/>
        </w:rPr>
      </w:pPr>
      <w:r w:rsidRPr="00641A30">
        <w:rPr>
          <w:sz w:val="24"/>
          <w:szCs w:val="24"/>
        </w:rPr>
        <w:t xml:space="preserve">In July 2017, a new law was enacted which established the Cannabis Control Commission.  As part of the new law, the Medical Use of Marijuana Program will be moved from </w:t>
      </w:r>
      <w:r w:rsidR="0077573F" w:rsidRPr="00641A30">
        <w:rPr>
          <w:sz w:val="24"/>
          <w:szCs w:val="24"/>
        </w:rPr>
        <w:t>M</w:t>
      </w:r>
      <w:r w:rsidRPr="00641A30">
        <w:rPr>
          <w:sz w:val="24"/>
          <w:szCs w:val="24"/>
        </w:rPr>
        <w:t xml:space="preserve">DPH to the newly created Commission by December 2018. The Commissioner’s Office, Office of General Counsel and the Bureau of Health Care Safety and Quality’s Medical Use of Marijuana Program </w:t>
      </w:r>
      <w:r w:rsidR="00DF3261" w:rsidRPr="00641A30">
        <w:rPr>
          <w:sz w:val="24"/>
          <w:szCs w:val="24"/>
        </w:rPr>
        <w:t xml:space="preserve">staff </w:t>
      </w:r>
      <w:r w:rsidRPr="00641A30">
        <w:rPr>
          <w:sz w:val="24"/>
          <w:szCs w:val="24"/>
        </w:rPr>
        <w:t>are committed to helping ensure this transition is se</w:t>
      </w:r>
      <w:bookmarkStart w:id="1" w:name="_Hlk494370838"/>
      <w:r w:rsidR="007F5F23" w:rsidRPr="00641A30">
        <w:rPr>
          <w:sz w:val="24"/>
          <w:szCs w:val="24"/>
        </w:rPr>
        <w:t>amless.</w:t>
      </w:r>
    </w:p>
    <w:p w14:paraId="6A10E5F3" w14:textId="03AF07B4" w:rsidR="00D130D7" w:rsidRPr="00641A30" w:rsidRDefault="007F5F23" w:rsidP="00E552D2">
      <w:pPr>
        <w:spacing w:line="360" w:lineRule="auto"/>
        <w:ind w:right="-360"/>
        <w:jc w:val="center"/>
        <w:rPr>
          <w:b/>
          <w:sz w:val="24"/>
          <w:szCs w:val="24"/>
        </w:rPr>
      </w:pPr>
      <w:r>
        <w:br w:type="page"/>
      </w:r>
      <w:r w:rsidR="00D130D7" w:rsidRPr="00641A30">
        <w:rPr>
          <w:b/>
          <w:sz w:val="24"/>
          <w:szCs w:val="24"/>
        </w:rPr>
        <w:lastRenderedPageBreak/>
        <w:t>Figure 7.3</w:t>
      </w:r>
    </w:p>
    <w:p w14:paraId="255278A4" w14:textId="6188D40B" w:rsidR="00D130D7" w:rsidRPr="00641A30" w:rsidRDefault="00482430" w:rsidP="00E552D2">
      <w:pPr>
        <w:pStyle w:val="SHAFigureNumber"/>
        <w:spacing w:line="360" w:lineRule="auto"/>
        <w:rPr>
          <w:sz w:val="24"/>
          <w:szCs w:val="24"/>
        </w:rPr>
      </w:pPr>
      <w:r w:rsidRPr="00641A30">
        <w:rPr>
          <w:sz w:val="24"/>
          <w:szCs w:val="24"/>
        </w:rPr>
        <w:t>Massachusetts Registered Marijuana Dispensaries with a Certificate of Registration, March 2017</w:t>
      </w:r>
    </w:p>
    <w:bookmarkEnd w:id="1"/>
    <w:p w14:paraId="67EAEB7D" w14:textId="62929022" w:rsidR="00D130D7" w:rsidRDefault="001B2649" w:rsidP="00E552D2">
      <w:pPr>
        <w:spacing w:line="360" w:lineRule="auto"/>
        <w:ind w:right="-360"/>
        <w:jc w:val="center"/>
        <w:rPr>
          <w:b/>
          <w:sz w:val="28"/>
          <w:szCs w:val="24"/>
        </w:rPr>
      </w:pPr>
      <w:r w:rsidRPr="001B2649">
        <w:rPr>
          <w:rFonts w:ascii="Calibri" w:eastAsia="Calibri" w:hAnsi="Calibri" w:cs="Times New Roman"/>
          <w:b/>
          <w:sz w:val="28"/>
          <w:szCs w:val="24"/>
        </w:rPr>
        <w:drawing>
          <wp:inline distT="0" distB="0" distL="0" distR="0" wp14:anchorId="2BB05CB8" wp14:editId="27E1CCB2">
            <wp:extent cx="5454650" cy="3327400"/>
            <wp:effectExtent l="0" t="0" r="0" b="0"/>
            <wp:docPr id="32"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7.3_map_rmd.svg"/>
                    <pic:cNvPicPr/>
                  </pic:nvPicPr>
                  <pic:blipFill rotWithShape="1">
                    <a:blip r:embed="rId183" cstate="print">
                      <a:extLst>
                        <a:ext uri="{28A0092B-C50C-407E-A947-70E740481C1C}">
                          <a14:useLocalDpi xmlns:a14="http://schemas.microsoft.com/office/drawing/2010/main" val="0"/>
                        </a:ext>
                        <a:ext uri="{96DAC541-7B7A-43D3-8B79-37D633B846F1}">
                          <asvg:svgBlip xmlns:arto="http://schemas.microsoft.com/office/word/2006/arto" xmlns:asvg="http://schemas.microsoft.com/office/drawing/2016/SVG/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184"/>
                        </a:ext>
                      </a:extLst>
                    </a:blip>
                    <a:srcRect t="9646" b="3210"/>
                    <a:stretch/>
                  </pic:blipFill>
                  <pic:spPr bwMode="auto">
                    <a:xfrm>
                      <a:off x="0" y="0"/>
                      <a:ext cx="5455583" cy="3327969"/>
                    </a:xfrm>
                    <a:prstGeom prst="rect">
                      <a:avLst/>
                    </a:prstGeom>
                    <a:ln>
                      <a:noFill/>
                    </a:ln>
                    <a:extLst>
                      <a:ext uri="{53640926-AAD7-44D8-BBD7-CCE9431645EC}">
                        <a14:shadowObscured xmlns:a14="http://schemas.microsoft.com/office/drawing/2010/main"/>
                      </a:ext>
                    </a:extLst>
                  </pic:spPr>
                </pic:pic>
              </a:graphicData>
            </a:graphic>
          </wp:inline>
        </w:drawing>
      </w:r>
      <w:r w:rsidR="006178F3">
        <mc:AlternateContent>
          <mc:Choice Requires="wps">
            <w:drawing>
              <wp:anchor distT="0" distB="0" distL="114300" distR="114300" simplePos="0" relativeHeight="252071936" behindDoc="0" locked="0" layoutInCell="1" allowOverlap="1" wp14:anchorId="028F9F48" wp14:editId="1597CE10">
                <wp:simplePos x="0" y="0"/>
                <wp:positionH relativeFrom="column">
                  <wp:posOffset>3031067</wp:posOffset>
                </wp:positionH>
                <wp:positionV relativeFrom="paragraph">
                  <wp:posOffset>3435138</wp:posOffset>
                </wp:positionV>
                <wp:extent cx="2514600" cy="389467"/>
                <wp:effectExtent l="0" t="0" r="0" b="0"/>
                <wp:wrapNone/>
                <wp:docPr id="726" name="Rectangle 726"/>
                <wp:cNvGraphicFramePr/>
                <a:graphic xmlns:a="http://schemas.openxmlformats.org/drawingml/2006/main">
                  <a:graphicData uri="http://schemas.microsoft.com/office/word/2010/wordprocessingShape">
                    <wps:wsp>
                      <wps:cNvSpPr/>
                      <wps:spPr>
                        <a:xfrm>
                          <a:off x="0" y="0"/>
                          <a:ext cx="2514600" cy="389467"/>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se="http://schemas.microsoft.com/office/word/2015/wordml/symex">
            <w:pict>
              <v:rect w14:anchorId="2265FF27" id="Rectangle 726" o:spid="_x0000_s1026" style="position:absolute;margin-left:238.65pt;margin-top:270.5pt;width:198pt;height:30.65pt;z-index:252071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" fillcolor="white [3212]" stroked="f" strokeweight="1pt"/>
            </w:pict>
          </mc:Fallback>
        </mc:AlternateContent>
      </w:r>
    </w:p>
    <w:p w14:paraId="000C8889" w14:textId="77777777" w:rsidR="00D130D7" w:rsidRDefault="00D130D7" w:rsidP="00E552D2">
      <w:pPr>
        <w:pStyle w:val="Heading3"/>
        <w:spacing w:line="360" w:lineRule="auto"/>
        <w:rPr>
          <w:rFonts w:eastAsia="Times New Roman"/>
        </w:rPr>
      </w:pPr>
      <w:r>
        <w:rPr>
          <w:rFonts w:eastAsia="Times New Roman"/>
        </w:rPr>
        <w:t>Hospitalizations</w:t>
      </w:r>
      <w:r>
        <w:rPr>
          <w:rFonts w:eastAsia="Times New Roman"/>
          <w:highlight w:val="cyan"/>
        </w:rPr>
        <w:t xml:space="preserve"> </w:t>
      </w:r>
    </w:p>
    <w:p w14:paraId="7BDEB261" w14:textId="77777777" w:rsidR="00D130D7" w:rsidRPr="00641A30" w:rsidRDefault="00D130D7" w:rsidP="00E552D2">
      <w:pPr>
        <w:spacing w:line="360" w:lineRule="auto"/>
        <w:ind w:right="-360"/>
        <w:rPr>
          <w:rFonts w:ascii="Calibri" w:eastAsia="Calibri" w:hAnsi="Calibri" w:cs="Calibri"/>
          <w:sz w:val="24"/>
          <w:szCs w:val="24"/>
        </w:rPr>
      </w:pPr>
      <w:r w:rsidRPr="00641A30">
        <w:rPr>
          <w:rFonts w:ascii="Calibri" w:eastAsia="Calibri" w:hAnsi="Calibri" w:cs="Calibri"/>
          <w:sz w:val="24"/>
          <w:szCs w:val="24"/>
        </w:rPr>
        <w:t>Hospitalizations provide a lens into the health of residents across the Commonwealth. Many hospitalizations for acute illnesses and chronic conditions can be prevented through preventive health care in outpatient settings.</w:t>
      </w:r>
      <w:r w:rsidRPr="00641A30">
        <w:rPr>
          <w:rFonts w:ascii="Aileron" w:eastAsia="Calibri" w:hAnsi="Aileron"/>
          <w:sz w:val="24"/>
          <w:szCs w:val="24"/>
          <w:vertAlign w:val="superscript"/>
        </w:rPr>
        <w:endnoteReference w:id="8"/>
      </w:r>
      <w:r w:rsidRPr="00641A30">
        <w:rPr>
          <w:rFonts w:ascii="Calibri" w:eastAsia="Calibri" w:hAnsi="Calibri" w:cs="Calibri"/>
          <w:sz w:val="24"/>
          <w:szCs w:val="24"/>
        </w:rPr>
        <w:t xml:space="preserve"> Decreasing preventable hospitalizations can reduce health care costs.</w:t>
      </w:r>
      <w:r w:rsidRPr="00641A30">
        <w:rPr>
          <w:rFonts w:ascii="Aileron" w:eastAsia="Calibri" w:hAnsi="Aileron"/>
          <w:sz w:val="24"/>
          <w:szCs w:val="24"/>
          <w:vertAlign w:val="superscript"/>
        </w:rPr>
        <w:endnoteReference w:id="9"/>
      </w:r>
      <w:r w:rsidRPr="00641A30">
        <w:rPr>
          <w:rFonts w:ascii="Calibri" w:eastAsia="Calibri" w:hAnsi="Calibri" w:cs="Calibri"/>
          <w:sz w:val="24"/>
          <w:szCs w:val="24"/>
        </w:rPr>
        <w:t xml:space="preserve"> </w:t>
      </w:r>
    </w:p>
    <w:p w14:paraId="296E1F70" w14:textId="77777777" w:rsidR="00D130D7" w:rsidRPr="00641A30" w:rsidRDefault="00D130D7" w:rsidP="00E552D2">
      <w:pPr>
        <w:pStyle w:val="Heading4"/>
        <w:spacing w:line="360" w:lineRule="auto"/>
      </w:pPr>
      <w:r w:rsidRPr="00641A30">
        <w:t>Inpatient Discharges by EOHHS Region</w:t>
      </w:r>
    </w:p>
    <w:p w14:paraId="00B8D80B" w14:textId="43116271" w:rsidR="00D130D7" w:rsidRPr="00641A30" w:rsidRDefault="00D130D7" w:rsidP="00E552D2">
      <w:pPr>
        <w:spacing w:line="360" w:lineRule="auto"/>
        <w:ind w:right="-360"/>
        <w:rPr>
          <w:rFonts w:ascii="Calibri" w:eastAsia="Calibri" w:hAnsi="Calibri" w:cs="Calibri"/>
          <w:sz w:val="24"/>
          <w:szCs w:val="24"/>
        </w:rPr>
      </w:pPr>
      <w:r w:rsidRPr="00641A30">
        <w:rPr>
          <w:rFonts w:ascii="Calibri" w:eastAsia="Calibri" w:hAnsi="Calibri" w:cs="Calibri"/>
          <w:sz w:val="24"/>
          <w:szCs w:val="24"/>
        </w:rPr>
        <w:t xml:space="preserve">In Fiscal </w:t>
      </w:r>
      <w:r w:rsidR="00CD4F84" w:rsidRPr="00641A30">
        <w:rPr>
          <w:rFonts w:ascii="Calibri" w:eastAsia="Calibri" w:hAnsi="Calibri" w:cs="Calibri"/>
          <w:sz w:val="24"/>
          <w:szCs w:val="24"/>
        </w:rPr>
        <w:t>Y</w:t>
      </w:r>
      <w:r w:rsidRPr="00641A30">
        <w:rPr>
          <w:rFonts w:ascii="Calibri" w:eastAsia="Calibri" w:hAnsi="Calibri" w:cs="Calibri"/>
          <w:sz w:val="24"/>
          <w:szCs w:val="24"/>
        </w:rPr>
        <w:t>ear 2015, more than one-third (37.1%) of inpatient discharges across the Commonwealth occurred in Metro Boston. Northeastern (17.6%) and Western (12.1%) Massachusetts EOHHS regions together comprised nearly 30% of inpatient discharges across the state. From 2009 to 2015, inpatient discharges increa</w:t>
      </w:r>
      <w:r w:rsidR="007812CC" w:rsidRPr="00641A30">
        <w:rPr>
          <w:rFonts w:ascii="Calibri" w:eastAsia="Calibri" w:hAnsi="Calibri" w:cs="Calibri"/>
          <w:sz w:val="24"/>
          <w:szCs w:val="24"/>
        </w:rPr>
        <w:t>sed 65.2% in Metro Boston and 3</w:t>
      </w:r>
      <w:r w:rsidRPr="00641A30">
        <w:rPr>
          <w:rFonts w:ascii="Calibri" w:eastAsia="Calibri" w:hAnsi="Calibri" w:cs="Calibri"/>
          <w:sz w:val="24"/>
          <w:szCs w:val="24"/>
        </w:rPr>
        <w:t xml:space="preserve">% in the </w:t>
      </w:r>
      <w:r w:rsidR="00F259CB" w:rsidRPr="00641A30">
        <w:rPr>
          <w:rFonts w:ascii="Calibri" w:eastAsia="Calibri" w:hAnsi="Calibri" w:cs="Calibri"/>
          <w:sz w:val="24"/>
          <w:szCs w:val="24"/>
        </w:rPr>
        <w:t>S</w:t>
      </w:r>
      <w:r w:rsidRPr="00641A30">
        <w:rPr>
          <w:rFonts w:ascii="Calibri" w:eastAsia="Calibri" w:hAnsi="Calibri" w:cs="Calibri"/>
          <w:sz w:val="24"/>
          <w:szCs w:val="24"/>
        </w:rPr>
        <w:t>outh</w:t>
      </w:r>
      <w:r w:rsidR="00F259CB" w:rsidRPr="00641A30">
        <w:rPr>
          <w:rFonts w:ascii="Calibri" w:eastAsia="Calibri" w:hAnsi="Calibri" w:cs="Calibri"/>
          <w:sz w:val="24"/>
          <w:szCs w:val="24"/>
        </w:rPr>
        <w:t xml:space="preserve"> C</w:t>
      </w:r>
      <w:r w:rsidRPr="00641A30">
        <w:rPr>
          <w:rFonts w:ascii="Calibri" w:eastAsia="Calibri" w:hAnsi="Calibri" w:cs="Calibri"/>
          <w:sz w:val="24"/>
          <w:szCs w:val="24"/>
        </w:rPr>
        <w:t>oast. Over this same time period, the Metro South (37.2%), Metro West (35.6%), and Cape and Islands (25.3%) experienced the greatest percent decrease in inpatient discharges.</w:t>
      </w:r>
    </w:p>
    <w:p w14:paraId="4E44D4FE" w14:textId="77777777" w:rsidR="00D130D7" w:rsidRPr="00641A30" w:rsidRDefault="00D130D7" w:rsidP="00E552D2">
      <w:pPr>
        <w:pStyle w:val="Heading4"/>
        <w:spacing w:line="360" w:lineRule="auto"/>
      </w:pPr>
      <w:r w:rsidRPr="00641A30">
        <w:t>Inpatient Discharges by Age</w:t>
      </w:r>
    </w:p>
    <w:p w14:paraId="2771C355" w14:textId="5A0C79B2" w:rsidR="0077573F" w:rsidRPr="00641A30" w:rsidRDefault="00D130D7" w:rsidP="00945BDC">
      <w:pPr>
        <w:spacing w:line="360" w:lineRule="auto"/>
        <w:ind w:right="-360"/>
        <w:rPr>
          <w:rFonts w:ascii="Calibri" w:eastAsia="Calibri" w:hAnsi="Calibri" w:cs="Calibri"/>
          <w:sz w:val="24"/>
          <w:szCs w:val="24"/>
        </w:rPr>
      </w:pPr>
      <w:r w:rsidRPr="00641A30">
        <w:rPr>
          <w:rFonts w:ascii="Calibri" w:eastAsia="Calibri" w:hAnsi="Calibri" w:cs="Calibri"/>
          <w:sz w:val="24"/>
          <w:szCs w:val="24"/>
        </w:rPr>
        <w:lastRenderedPageBreak/>
        <w:t xml:space="preserve">Nearly half (48%) of all inpatient discharges in 2012 were among persons 20 to 64 years of age and approximately one-third (37%) of inpatient discharges were among persons 65 years of age or older. </w:t>
      </w:r>
      <w:bookmarkStart w:id="2" w:name="_Hlk487488833"/>
    </w:p>
    <w:p w14:paraId="7DB7D633" w14:textId="147A007F" w:rsidR="00D130D7" w:rsidRPr="00641A30" w:rsidRDefault="00D130D7" w:rsidP="00E552D2">
      <w:pPr>
        <w:pStyle w:val="SHAFigureNumber"/>
        <w:spacing w:line="360" w:lineRule="auto"/>
        <w:rPr>
          <w:sz w:val="24"/>
          <w:szCs w:val="24"/>
        </w:rPr>
      </w:pPr>
      <w:r w:rsidRPr="00641A30">
        <w:rPr>
          <w:sz w:val="24"/>
          <w:szCs w:val="24"/>
        </w:rPr>
        <w:t>Figure 7.4</w:t>
      </w:r>
    </w:p>
    <w:p w14:paraId="10A160B6" w14:textId="33D2B8CC" w:rsidR="00D130D7" w:rsidRDefault="00D130D7" w:rsidP="00E552D2">
      <w:pPr>
        <w:keepNext/>
        <w:spacing w:line="360" w:lineRule="auto"/>
        <w:ind w:right="-360"/>
        <w:jc w:val="center"/>
        <w:rPr>
          <w:rFonts w:ascii="Calibri" w:eastAsia="Times New Roman" w:hAnsi="Calibri" w:cs="Calibri"/>
          <w:b/>
          <w:color w:val="000000"/>
        </w:rPr>
      </w:pPr>
      <w:r w:rsidRPr="00641A30">
        <w:rPr>
          <w:rFonts w:ascii="Calibri" w:eastAsia="Times New Roman" w:hAnsi="Calibri" w:cs="Calibri"/>
          <w:b/>
          <w:color w:val="000000"/>
          <w:sz w:val="24"/>
          <w:szCs w:val="24"/>
        </w:rPr>
        <w:t xml:space="preserve">Inpatient Discharges by Age, Massachusetts, </w:t>
      </w:r>
      <w:r w:rsidR="00AB510E" w:rsidRPr="00641A30">
        <w:rPr>
          <w:rFonts w:ascii="Calibri" w:eastAsia="Times New Roman" w:hAnsi="Calibri" w:cs="Calibri"/>
          <w:b/>
          <w:color w:val="000000"/>
          <w:sz w:val="24"/>
          <w:szCs w:val="24"/>
        </w:rPr>
        <w:t xml:space="preserve">Fiscal Year </w:t>
      </w:r>
      <w:r w:rsidR="00BF0D65" w:rsidRPr="00641A30">
        <w:rPr>
          <w:rFonts w:ascii="Calibri" w:eastAsia="Times New Roman" w:hAnsi="Calibri" w:cs="Calibri"/>
          <w:b/>
          <w:color w:val="000000"/>
          <w:sz w:val="24"/>
          <w:szCs w:val="24"/>
        </w:rPr>
        <w:t>2012</w:t>
      </w:r>
    </w:p>
    <w:p w14:paraId="1A07D51A" w14:textId="5A4EE3CE" w:rsidR="00D130D7" w:rsidRDefault="00D865C3" w:rsidP="00E552D2">
      <w:pPr>
        <w:spacing w:line="360" w:lineRule="auto"/>
        <w:ind w:right="-360"/>
        <w:jc w:val="center"/>
        <w:rPr>
          <w:rFonts w:ascii="Calibri" w:eastAsia="Calibri" w:hAnsi="Calibri" w:cs="Calibri"/>
        </w:rPr>
      </w:pPr>
      <w:r>
        <w:drawing>
          <wp:inline distT="0" distB="0" distL="0" distR="0" wp14:anchorId="1F864D93" wp14:editId="75BEF779">
            <wp:extent cx="4572000" cy="2743200"/>
            <wp:effectExtent l="0" t="0" r="0" b="0"/>
            <wp:docPr id="206" name="Chart 206" descr="This horizontal bar graph of inpatient discharges by age shows that in 2012, nearly half (48%) of all inpatient discharges were among persons 20 to 64 years of age and approximately one third (37%) of inpatient discharges were among persons 65 years of age or older. The remaining 15% of discharges were among persons 0 to 19 years of age.">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9381FAB3-842E-46B3-B3B1-648208DD97F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5"/>
              </a:graphicData>
            </a:graphic>
          </wp:inline>
        </w:drawing>
      </w:r>
    </w:p>
    <w:p w14:paraId="3986F5A7" w14:textId="4D0754BA" w:rsidR="00D130D7" w:rsidRPr="0077573F" w:rsidRDefault="00D130D7" w:rsidP="00E552D2">
      <w:pPr>
        <w:pStyle w:val="SHAFigureNote"/>
        <w:spacing w:line="360" w:lineRule="auto"/>
        <w:rPr>
          <w:rFonts w:ascii="Aileron Heavy" w:hAnsi="Aileron Heavy"/>
          <w:sz w:val="22"/>
          <w:szCs w:val="22"/>
        </w:rPr>
      </w:pPr>
      <w:r w:rsidRPr="0077573F">
        <w:rPr>
          <w:sz w:val="22"/>
          <w:szCs w:val="22"/>
        </w:rPr>
        <w:t xml:space="preserve">SOURCE: </w:t>
      </w:r>
      <w:r w:rsidR="00E22371" w:rsidRPr="0077573F">
        <w:rPr>
          <w:sz w:val="22"/>
          <w:szCs w:val="22"/>
        </w:rPr>
        <w:t>CHIA</w:t>
      </w:r>
      <w:r w:rsidRPr="0077573F">
        <w:rPr>
          <w:sz w:val="22"/>
          <w:szCs w:val="22"/>
        </w:rPr>
        <w:t>, ACUTE CARE HOSPITALIZATION TRE</w:t>
      </w:r>
      <w:r w:rsidR="00E52B49">
        <w:rPr>
          <w:sz w:val="22"/>
          <w:szCs w:val="22"/>
        </w:rPr>
        <w:t>NDS IN MASSACHUSETTS</w:t>
      </w:r>
    </w:p>
    <w:bookmarkEnd w:id="2"/>
    <w:p w14:paraId="098ACBC8" w14:textId="77777777" w:rsidR="00D130D7" w:rsidRPr="00641A30" w:rsidRDefault="00D130D7" w:rsidP="00E552D2">
      <w:pPr>
        <w:pStyle w:val="Heading4"/>
        <w:spacing w:line="360" w:lineRule="auto"/>
      </w:pPr>
      <w:r w:rsidRPr="00641A30">
        <w:t>Observational Stay Discharges by Region</w:t>
      </w:r>
    </w:p>
    <w:p w14:paraId="2CB86F68" w14:textId="237D6C4C" w:rsidR="00D130D7" w:rsidRPr="00641A30" w:rsidRDefault="00D130D7" w:rsidP="00E552D2">
      <w:pPr>
        <w:spacing w:line="360" w:lineRule="auto"/>
        <w:ind w:right="-360"/>
        <w:rPr>
          <w:rFonts w:ascii="Calibri" w:eastAsia="Calibri" w:hAnsi="Calibri" w:cs="Calibri"/>
          <w:sz w:val="24"/>
          <w:szCs w:val="24"/>
        </w:rPr>
      </w:pPr>
      <w:r w:rsidRPr="00641A30">
        <w:rPr>
          <w:rFonts w:ascii="Calibri" w:eastAsia="Calibri" w:hAnsi="Calibri" w:cs="Calibri"/>
          <w:sz w:val="24"/>
          <w:szCs w:val="24"/>
        </w:rPr>
        <w:t xml:space="preserve">From Hospital Fiscal Years 2009 to 2013, observational stay discharges across Massachusetts increased by 25.7%. Over this period, the Cape and </w:t>
      </w:r>
      <w:r w:rsidR="007812CC" w:rsidRPr="00641A30">
        <w:rPr>
          <w:rFonts w:ascii="Calibri" w:eastAsia="Calibri" w:hAnsi="Calibri" w:cs="Calibri"/>
          <w:sz w:val="24"/>
          <w:szCs w:val="24"/>
        </w:rPr>
        <w:t>Islands (89.1%), Southcoast (54</w:t>
      </w:r>
      <w:r w:rsidRPr="00641A30">
        <w:rPr>
          <w:rFonts w:ascii="Calibri" w:eastAsia="Calibri" w:hAnsi="Calibri" w:cs="Calibri"/>
          <w:sz w:val="24"/>
          <w:szCs w:val="24"/>
        </w:rPr>
        <w:t xml:space="preserve">%), and Metro South (51.4%) regions experienced the greatest increase in observational stay discharges. </w:t>
      </w:r>
    </w:p>
    <w:p w14:paraId="3A96A1A7" w14:textId="77777777" w:rsidR="00D130D7" w:rsidRPr="00641A30" w:rsidRDefault="00D130D7" w:rsidP="00E552D2">
      <w:pPr>
        <w:spacing w:line="360" w:lineRule="auto"/>
        <w:ind w:right="-360"/>
        <w:rPr>
          <w:rFonts w:ascii="Calibri" w:eastAsia="Calibri" w:hAnsi="Calibri" w:cs="Calibri"/>
          <w:sz w:val="24"/>
          <w:szCs w:val="24"/>
        </w:rPr>
      </w:pPr>
      <w:r w:rsidRPr="00641A30">
        <w:rPr>
          <w:rFonts w:ascii="Calibri" w:eastAsia="Calibri" w:hAnsi="Calibri" w:cs="Calibri"/>
          <w:sz w:val="24"/>
          <w:szCs w:val="24"/>
        </w:rPr>
        <w:t xml:space="preserve">The Metro Boston (23.7%) and Northeastern Massachusetts (19.5%) regions each represented nearly one in five observational discharges across the Commonwealth in hospital fiscal year 2013. </w:t>
      </w:r>
    </w:p>
    <w:p w14:paraId="3FC45856" w14:textId="77777777" w:rsidR="00D130D7" w:rsidRPr="00641A30" w:rsidRDefault="00D130D7" w:rsidP="00E552D2">
      <w:pPr>
        <w:pStyle w:val="Heading3"/>
        <w:spacing w:line="360" w:lineRule="auto"/>
        <w:rPr>
          <w:rFonts w:eastAsia="Times New Roman"/>
          <w:sz w:val="24"/>
          <w:szCs w:val="24"/>
        </w:rPr>
      </w:pPr>
      <w:r w:rsidRPr="00641A30">
        <w:rPr>
          <w:rFonts w:eastAsia="Times New Roman"/>
          <w:sz w:val="24"/>
          <w:szCs w:val="24"/>
        </w:rPr>
        <w:t>Emergency Department Utilization</w:t>
      </w:r>
    </w:p>
    <w:p w14:paraId="6A7DBED2" w14:textId="77777777" w:rsidR="00D130D7" w:rsidRPr="00641A30" w:rsidRDefault="00D130D7" w:rsidP="00E552D2">
      <w:pPr>
        <w:spacing w:line="360" w:lineRule="auto"/>
        <w:ind w:right="-360"/>
        <w:rPr>
          <w:rFonts w:ascii="Calibri" w:eastAsia="Calibri" w:hAnsi="Calibri" w:cs="Calibri"/>
          <w:sz w:val="24"/>
          <w:szCs w:val="24"/>
        </w:rPr>
      </w:pPr>
      <w:r w:rsidRPr="00641A30">
        <w:rPr>
          <w:rFonts w:ascii="Calibri" w:eastAsia="Calibri" w:hAnsi="Calibri" w:cs="Calibri"/>
          <w:sz w:val="24"/>
          <w:szCs w:val="24"/>
        </w:rPr>
        <w:t>Emergency department utilization is an indicator of the health of a community and the identification of conditions that could be prevented by appropriate health care delivered in primary care settings.</w:t>
      </w:r>
      <w:r w:rsidRPr="00641A30">
        <w:rPr>
          <w:rFonts w:ascii="Aileron" w:eastAsia="Calibri" w:hAnsi="Aileron"/>
          <w:sz w:val="24"/>
          <w:szCs w:val="24"/>
          <w:vertAlign w:val="superscript"/>
        </w:rPr>
        <w:endnoteReference w:id="10"/>
      </w:r>
      <w:r w:rsidRPr="00641A30">
        <w:rPr>
          <w:rFonts w:ascii="Calibri" w:eastAsia="Calibri" w:hAnsi="Calibri" w:cs="Calibri"/>
          <w:sz w:val="24"/>
          <w:szCs w:val="24"/>
          <w:vertAlign w:val="superscript"/>
        </w:rPr>
        <w:t>,</w:t>
      </w:r>
      <w:r w:rsidRPr="00641A30">
        <w:rPr>
          <w:rFonts w:ascii="Aileron" w:eastAsia="Calibri" w:hAnsi="Aileron"/>
          <w:sz w:val="24"/>
          <w:szCs w:val="24"/>
          <w:vertAlign w:val="superscript"/>
        </w:rPr>
        <w:endnoteReference w:id="11"/>
      </w:r>
      <w:r w:rsidRPr="00641A30">
        <w:rPr>
          <w:rFonts w:ascii="Calibri" w:eastAsia="Calibri" w:hAnsi="Calibri" w:cs="Calibri"/>
          <w:sz w:val="24"/>
          <w:szCs w:val="24"/>
        </w:rPr>
        <w:t xml:space="preserve"> Decreasing potentially preventable emergency department visits may reduce health care costs.</w:t>
      </w:r>
      <w:r w:rsidRPr="00641A30">
        <w:rPr>
          <w:rFonts w:ascii="Aileron" w:eastAsia="Calibri" w:hAnsi="Aileron"/>
          <w:sz w:val="24"/>
          <w:szCs w:val="24"/>
          <w:vertAlign w:val="superscript"/>
        </w:rPr>
        <w:endnoteReference w:id="12"/>
      </w:r>
      <w:r w:rsidRPr="00641A30">
        <w:rPr>
          <w:rFonts w:ascii="Calibri" w:eastAsia="Calibri" w:hAnsi="Calibri" w:cs="Calibri"/>
          <w:sz w:val="24"/>
          <w:szCs w:val="24"/>
        </w:rPr>
        <w:t xml:space="preserve"> </w:t>
      </w:r>
    </w:p>
    <w:p w14:paraId="750E677C" w14:textId="77777777" w:rsidR="00D130D7" w:rsidRPr="00641A30" w:rsidRDefault="00D130D7" w:rsidP="00E552D2">
      <w:pPr>
        <w:pStyle w:val="Heading4"/>
        <w:spacing w:line="360" w:lineRule="auto"/>
      </w:pPr>
      <w:r w:rsidRPr="00641A30">
        <w:lastRenderedPageBreak/>
        <w:t>Leading Causes of Emergency Department Discharges</w:t>
      </w:r>
    </w:p>
    <w:p w14:paraId="44A50126" w14:textId="123D9C09" w:rsidR="00D130D7" w:rsidRPr="00641A30" w:rsidRDefault="00D130D7" w:rsidP="00E552D2">
      <w:pPr>
        <w:spacing w:line="360" w:lineRule="auto"/>
        <w:ind w:right="-360"/>
        <w:rPr>
          <w:rFonts w:ascii="Calibri" w:eastAsia="Calibri" w:hAnsi="Calibri" w:cs="Calibri"/>
          <w:sz w:val="24"/>
          <w:szCs w:val="24"/>
        </w:rPr>
      </w:pPr>
      <w:r w:rsidRPr="00641A30">
        <w:rPr>
          <w:rFonts w:ascii="Calibri" w:eastAsia="Calibri" w:hAnsi="Calibri" w:cs="Calibri"/>
          <w:sz w:val="24"/>
          <w:szCs w:val="24"/>
        </w:rPr>
        <w:t>Emergency department discharge includes emergency department visits that do not result in hospital admission. In 2012, conditions of the abdomen and pelvis and respiratory system and chest were among the leading causes of emergency department visits acr</w:t>
      </w:r>
      <w:r w:rsidR="007812CC" w:rsidRPr="00641A30">
        <w:rPr>
          <w:rFonts w:ascii="Calibri" w:eastAsia="Calibri" w:hAnsi="Calibri" w:cs="Calibri"/>
          <w:sz w:val="24"/>
          <w:szCs w:val="24"/>
        </w:rPr>
        <w:t>oss Massachusetts, comprising 5</w:t>
      </w:r>
      <w:r w:rsidRPr="00641A30">
        <w:rPr>
          <w:rFonts w:ascii="Calibri" w:eastAsia="Calibri" w:hAnsi="Calibri" w:cs="Calibri"/>
          <w:sz w:val="24"/>
          <w:szCs w:val="24"/>
        </w:rPr>
        <w:t xml:space="preserve">% and 4.4% of total emergency department discharges respectively. </w:t>
      </w:r>
    </w:p>
    <w:p w14:paraId="0929E773" w14:textId="77777777" w:rsidR="00D130D7" w:rsidRPr="00641A30" w:rsidRDefault="00D130D7" w:rsidP="00E552D2">
      <w:pPr>
        <w:pStyle w:val="Heading4"/>
        <w:spacing w:line="360" w:lineRule="auto"/>
      </w:pPr>
      <w:r w:rsidRPr="00641A30">
        <w:t>Emergency Department Visits by EOHHS Region</w:t>
      </w:r>
    </w:p>
    <w:p w14:paraId="27A0D5AF" w14:textId="4811607B" w:rsidR="00D130D7" w:rsidRPr="00641A30" w:rsidRDefault="00D130D7" w:rsidP="00E552D2">
      <w:pPr>
        <w:spacing w:line="360" w:lineRule="auto"/>
        <w:ind w:right="-360"/>
        <w:rPr>
          <w:rFonts w:ascii="Calibri" w:eastAsia="Calibri" w:hAnsi="Calibri" w:cs="Calibri"/>
          <w:sz w:val="24"/>
          <w:szCs w:val="24"/>
        </w:rPr>
      </w:pPr>
      <w:r w:rsidRPr="00641A30">
        <w:rPr>
          <w:rFonts w:ascii="Calibri" w:eastAsia="Calibri" w:hAnsi="Calibri" w:cs="Calibri"/>
          <w:sz w:val="24"/>
          <w:szCs w:val="24"/>
        </w:rPr>
        <w:t>From Hospital Fiscal Years 2009 to 2015, emergency department discharges increased by 28.9%. Over this period, the Metro Boston region (60.8%) experienced the greatest increase in emergency department discharges. This increase was also high in Central Massachusetts (32.6%), North</w:t>
      </w:r>
      <w:r w:rsidR="00E52B49" w:rsidRPr="00641A30">
        <w:rPr>
          <w:rFonts w:ascii="Calibri" w:eastAsia="Calibri" w:hAnsi="Calibri" w:cs="Calibri"/>
          <w:sz w:val="24"/>
          <w:szCs w:val="24"/>
        </w:rPr>
        <w:t>east</w:t>
      </w:r>
      <w:r w:rsidRPr="00641A30">
        <w:rPr>
          <w:rFonts w:ascii="Calibri" w:eastAsia="Calibri" w:hAnsi="Calibri" w:cs="Calibri"/>
          <w:sz w:val="24"/>
          <w:szCs w:val="24"/>
        </w:rPr>
        <w:t xml:space="preserve"> Massachusetts (29.9%), the Cape and Islands (24.9%), and Southcoast (24.4%). This increase in emergency department discharges reflects trends following health care reform in Massachusetts and the implementation of the Affordable Care Act.</w:t>
      </w:r>
      <w:r w:rsidRPr="00641A30">
        <w:rPr>
          <w:rFonts w:ascii="Calibri" w:eastAsia="Calibri" w:hAnsi="Calibri" w:cs="Calibri"/>
          <w:sz w:val="24"/>
          <w:szCs w:val="24"/>
          <w:vertAlign w:val="superscript"/>
        </w:rPr>
        <w:endnoteReference w:id="13"/>
      </w:r>
      <w:r w:rsidRPr="00641A30">
        <w:rPr>
          <w:rFonts w:ascii="Calibri" w:eastAsia="Calibri" w:hAnsi="Calibri" w:cs="Calibri"/>
          <w:sz w:val="24"/>
          <w:szCs w:val="24"/>
          <w:vertAlign w:val="superscript"/>
        </w:rPr>
        <w:t>,</w:t>
      </w:r>
      <w:r w:rsidRPr="00641A30">
        <w:rPr>
          <w:rFonts w:ascii="Calibri" w:eastAsia="Calibri" w:hAnsi="Calibri" w:cs="Calibri"/>
          <w:sz w:val="24"/>
          <w:szCs w:val="24"/>
          <w:vertAlign w:val="superscript"/>
        </w:rPr>
        <w:endnoteReference w:id="14"/>
      </w:r>
    </w:p>
    <w:p w14:paraId="6032692C" w14:textId="77777777" w:rsidR="00D130D7" w:rsidRPr="00641A30" w:rsidRDefault="00D130D7" w:rsidP="00E552D2">
      <w:pPr>
        <w:pStyle w:val="Heading4"/>
        <w:spacing w:line="360" w:lineRule="auto"/>
      </w:pPr>
      <w:r w:rsidRPr="00641A30">
        <w:t>Emergency Department Discharges by Age</w:t>
      </w:r>
    </w:p>
    <w:p w14:paraId="6E9FA7AC" w14:textId="77777777" w:rsidR="00641A30" w:rsidRDefault="00D130D7" w:rsidP="00641A30">
      <w:pPr>
        <w:spacing w:line="360" w:lineRule="auto"/>
        <w:ind w:right="-360"/>
        <w:rPr>
          <w:rFonts w:ascii="Calibri" w:eastAsia="Calibri" w:hAnsi="Calibri" w:cs="Calibri"/>
          <w:sz w:val="24"/>
          <w:szCs w:val="24"/>
        </w:rPr>
      </w:pPr>
      <w:r w:rsidRPr="00641A30">
        <w:rPr>
          <w:rFonts w:ascii="Calibri" w:eastAsia="Calibri" w:hAnsi="Calibri" w:cs="Calibri"/>
          <w:sz w:val="24"/>
          <w:szCs w:val="24"/>
        </w:rPr>
        <w:t xml:space="preserve">In 2012, approximately two-thirds (65%) of emergency department discharges in Massachusetts were among persons 20 to 64 years of age. One in five (23%) emergency department discharges was among individuals from birth to 19 years of age. </w:t>
      </w:r>
      <w:bookmarkStart w:id="3" w:name="_Hlk487488936"/>
    </w:p>
    <w:p w14:paraId="1EC35342" w14:textId="7DF05A28" w:rsidR="00D130D7" w:rsidRPr="00641A30" w:rsidRDefault="00D130D7" w:rsidP="00641A30">
      <w:pPr>
        <w:spacing w:line="360" w:lineRule="auto"/>
        <w:ind w:right="-360"/>
        <w:jc w:val="center"/>
        <w:rPr>
          <w:sz w:val="24"/>
          <w:szCs w:val="24"/>
        </w:rPr>
      </w:pPr>
      <w:r w:rsidRPr="00641A30">
        <w:rPr>
          <w:sz w:val="24"/>
          <w:szCs w:val="24"/>
        </w:rPr>
        <w:t>Figure 7.5</w:t>
      </w:r>
    </w:p>
    <w:p w14:paraId="465DCE0A" w14:textId="5352AB4B" w:rsidR="00D130D7" w:rsidRPr="00641A30" w:rsidRDefault="00D130D7" w:rsidP="00E552D2">
      <w:pPr>
        <w:pStyle w:val="SHAFigureNumber"/>
        <w:spacing w:line="360" w:lineRule="auto"/>
        <w:rPr>
          <w:sz w:val="24"/>
          <w:szCs w:val="24"/>
        </w:rPr>
      </w:pPr>
      <w:r w:rsidRPr="00641A30">
        <w:rPr>
          <w:sz w:val="24"/>
          <w:szCs w:val="24"/>
        </w:rPr>
        <w:t>Emergency Department Discharges, by Age, Ma</w:t>
      </w:r>
      <w:r w:rsidR="00BA0713" w:rsidRPr="00641A30">
        <w:rPr>
          <w:sz w:val="24"/>
          <w:szCs w:val="24"/>
        </w:rPr>
        <w:t xml:space="preserve">ssachusetts, </w:t>
      </w:r>
      <w:proofErr w:type="gramStart"/>
      <w:r w:rsidR="00BA0713" w:rsidRPr="00641A30">
        <w:rPr>
          <w:sz w:val="24"/>
          <w:szCs w:val="24"/>
        </w:rPr>
        <w:t>Fiscal</w:t>
      </w:r>
      <w:proofErr w:type="gramEnd"/>
      <w:r w:rsidR="00BA0713" w:rsidRPr="00641A30">
        <w:rPr>
          <w:sz w:val="24"/>
          <w:szCs w:val="24"/>
        </w:rPr>
        <w:t xml:space="preserve"> Year 2</w:t>
      </w:r>
      <w:r w:rsidRPr="00641A30">
        <w:rPr>
          <w:sz w:val="24"/>
          <w:szCs w:val="24"/>
        </w:rPr>
        <w:t>012</w:t>
      </w:r>
    </w:p>
    <w:p w14:paraId="17B61EEA" w14:textId="14864592" w:rsidR="00D130D7" w:rsidRDefault="00D865C3" w:rsidP="00E552D2">
      <w:pPr>
        <w:spacing w:line="360" w:lineRule="auto"/>
        <w:ind w:right="-360"/>
        <w:jc w:val="center"/>
        <w:rPr>
          <w:rFonts w:ascii="Calibri" w:eastAsia="Calibri" w:hAnsi="Calibri" w:cs="Calibri"/>
        </w:rPr>
      </w:pPr>
      <w:r>
        <w:drawing>
          <wp:inline distT="0" distB="0" distL="0" distR="0" wp14:anchorId="7E27B82B" wp14:editId="32D60B5A">
            <wp:extent cx="4572000" cy="1989667"/>
            <wp:effectExtent l="0" t="0" r="0" b="0"/>
            <wp:docPr id="207" name="Chart 207" descr="This horizontal bar graph of emergency department (ED) discharges shows that in fiscal year 2012, approximately two-thirds (65%) of ED discharges in Massachusetts were among persons 20to 64 years of age. One in five (23%) ED discharges was among individuals from birth to 19 years of age, and 13% were among individuals 65 years and older. Source: CHIA, Acute Care Hospitalization Trends in Massachusetts">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6F209FC5-47A9-4D35-8948-A4A89EF1828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6"/>
              </a:graphicData>
            </a:graphic>
          </wp:inline>
        </w:drawing>
      </w:r>
    </w:p>
    <w:p w14:paraId="40CCC336" w14:textId="77777777" w:rsidR="00D130D7" w:rsidRPr="00641A30" w:rsidRDefault="00D130D7" w:rsidP="00E552D2">
      <w:pPr>
        <w:pStyle w:val="SHAFigureNote"/>
        <w:spacing w:line="360" w:lineRule="auto"/>
        <w:rPr>
          <w:rFonts w:ascii="Aileron Heavy" w:hAnsi="Aileron Heavy"/>
          <w:sz w:val="24"/>
          <w:szCs w:val="24"/>
        </w:rPr>
      </w:pPr>
      <w:r w:rsidRPr="00641A30">
        <w:rPr>
          <w:sz w:val="24"/>
          <w:szCs w:val="24"/>
        </w:rPr>
        <w:lastRenderedPageBreak/>
        <w:t xml:space="preserve">SOURCE: CHIA, ACUTE CARE HOSPITALIZATION TRENDS IN MASSACHUSETTS </w:t>
      </w:r>
    </w:p>
    <w:bookmarkEnd w:id="3"/>
    <w:p w14:paraId="0A69BE0B" w14:textId="27784EBD" w:rsidR="00D130D7" w:rsidRPr="00641A30" w:rsidRDefault="00D130D7" w:rsidP="00E552D2">
      <w:pPr>
        <w:pStyle w:val="Heading4"/>
        <w:spacing w:line="360" w:lineRule="auto"/>
      </w:pPr>
      <w:r w:rsidRPr="00641A30">
        <w:t>Emergency Department Discharges by Payer Type</w:t>
      </w:r>
    </w:p>
    <w:p w14:paraId="15AC7428" w14:textId="77777777" w:rsidR="00D130D7" w:rsidRPr="00641A30" w:rsidRDefault="00D130D7" w:rsidP="00E552D2">
      <w:pPr>
        <w:keepNext/>
        <w:keepLines/>
        <w:spacing w:line="360" w:lineRule="auto"/>
        <w:ind w:right="-360"/>
        <w:rPr>
          <w:rFonts w:ascii="Calibri" w:eastAsia="Calibri" w:hAnsi="Calibri" w:cs="Calibri"/>
          <w:sz w:val="24"/>
          <w:szCs w:val="24"/>
        </w:rPr>
      </w:pPr>
      <w:r w:rsidRPr="00641A30">
        <w:rPr>
          <w:rFonts w:ascii="Calibri" w:eastAsia="Calibri" w:hAnsi="Calibri" w:cs="Calibri"/>
          <w:sz w:val="24"/>
          <w:szCs w:val="24"/>
        </w:rPr>
        <w:t xml:space="preserve">Patients with private health insurance (33%) and Medicaid (31%) each represented one-third of emergency department discharges in Massachusetts in 2012. Nearly one in five (18%) patients discharged from emergency departments across the Commonwealth had Medicare coverage in 2012. </w:t>
      </w:r>
    </w:p>
    <w:p w14:paraId="13F0D2F0" w14:textId="77777777" w:rsidR="00D130D7" w:rsidRPr="00641A30" w:rsidRDefault="00D130D7" w:rsidP="00E552D2">
      <w:pPr>
        <w:pStyle w:val="SHAFigureNumber"/>
        <w:spacing w:line="360" w:lineRule="auto"/>
        <w:rPr>
          <w:sz w:val="24"/>
          <w:szCs w:val="24"/>
        </w:rPr>
      </w:pPr>
      <w:bookmarkStart w:id="4" w:name="_Hlk487488955"/>
      <w:r w:rsidRPr="00641A30">
        <w:rPr>
          <w:sz w:val="24"/>
          <w:szCs w:val="24"/>
        </w:rPr>
        <w:t>Figure 7.6</w:t>
      </w:r>
    </w:p>
    <w:p w14:paraId="18D901B4" w14:textId="201528C4" w:rsidR="00D130D7" w:rsidRPr="00641A30" w:rsidRDefault="00D130D7" w:rsidP="00E552D2">
      <w:pPr>
        <w:pStyle w:val="SHAFigureNumber"/>
        <w:spacing w:line="360" w:lineRule="auto"/>
        <w:rPr>
          <w:sz w:val="24"/>
          <w:szCs w:val="24"/>
        </w:rPr>
      </w:pPr>
      <w:r w:rsidRPr="00641A30">
        <w:rPr>
          <w:sz w:val="24"/>
          <w:szCs w:val="24"/>
        </w:rPr>
        <w:t xml:space="preserve">Emergency Department Discharges, by Payer, Massachusetts, </w:t>
      </w:r>
      <w:proofErr w:type="gramStart"/>
      <w:r w:rsidRPr="00641A30">
        <w:rPr>
          <w:sz w:val="24"/>
          <w:szCs w:val="24"/>
        </w:rPr>
        <w:t>Fiscal</w:t>
      </w:r>
      <w:proofErr w:type="gramEnd"/>
      <w:r w:rsidRPr="00641A30">
        <w:rPr>
          <w:sz w:val="24"/>
          <w:szCs w:val="24"/>
        </w:rPr>
        <w:t xml:space="preserve"> Year</w:t>
      </w:r>
      <w:r w:rsidR="00BA0713" w:rsidRPr="00641A30">
        <w:rPr>
          <w:sz w:val="24"/>
          <w:szCs w:val="24"/>
        </w:rPr>
        <w:t xml:space="preserve"> </w:t>
      </w:r>
      <w:r w:rsidRPr="00641A30">
        <w:rPr>
          <w:sz w:val="24"/>
          <w:szCs w:val="24"/>
        </w:rPr>
        <w:t>2012</w:t>
      </w:r>
    </w:p>
    <w:p w14:paraId="536626F4" w14:textId="2C8B7916" w:rsidR="00F23431" w:rsidRDefault="00757C0E" w:rsidP="00E552D2">
      <w:pPr>
        <w:spacing w:line="360" w:lineRule="auto"/>
        <w:ind w:right="-360"/>
        <w:jc w:val="center"/>
        <w:rPr>
          <w:rFonts w:ascii="Calibri" w:eastAsia="Calibri" w:hAnsi="Calibri" w:cs="Calibri"/>
        </w:rPr>
      </w:pPr>
      <w:r>
        <w:drawing>
          <wp:inline distT="0" distB="0" distL="0" distR="0" wp14:anchorId="7DB116B5" wp14:editId="0C9532B6">
            <wp:extent cx="5124450" cy="1964267"/>
            <wp:effectExtent l="0" t="0" r="0" b="0"/>
            <wp:docPr id="24" name="Chart 24" descr="This vertical bar graph shows the proportions of emergency department discharges by payer type in fiscal year 2012. Patients with private health insurance (33%) and Medicaid (31%) each represented one-third of emergency department discharges in Massachusetts in 2012. Nearly one in five (18%) patients discharged from emergency departments across the Commonwealth had Medicare coverage in 2012. Other payers and Commonwealth Care Alliance make up the remaining 14% and 3% of the ED discharges, respectively. Source: CHIA, Acute Care Hospitalization Trends in Massachusetts">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60CBA781-4A9C-40A2-9998-38EBF744D85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7"/>
              </a:graphicData>
            </a:graphic>
          </wp:inline>
        </w:drawing>
      </w:r>
    </w:p>
    <w:p w14:paraId="10F1497E" w14:textId="77777777" w:rsidR="00F23431" w:rsidRPr="0077573F" w:rsidRDefault="00F23431" w:rsidP="00E552D2">
      <w:pPr>
        <w:pStyle w:val="SHAFigureNote"/>
        <w:spacing w:line="360" w:lineRule="auto"/>
        <w:rPr>
          <w:rFonts w:ascii="Aileron Heavy" w:hAnsi="Aileron Heavy"/>
          <w:sz w:val="22"/>
          <w:szCs w:val="22"/>
        </w:rPr>
      </w:pPr>
      <w:r w:rsidRPr="0077573F">
        <w:rPr>
          <w:sz w:val="22"/>
          <w:szCs w:val="22"/>
        </w:rPr>
        <w:t xml:space="preserve">SOURCE: CHIA, ACUTE CARE HOSPITALIZATION TRENDS IN MASSACHUSETTS </w:t>
      </w:r>
    </w:p>
    <w:bookmarkEnd w:id="4"/>
    <w:p w14:paraId="0F76D5B2" w14:textId="77777777" w:rsidR="00D130D7" w:rsidRDefault="00D130D7" w:rsidP="00E552D2">
      <w:pPr>
        <w:pStyle w:val="Heading1"/>
        <w:spacing w:line="360" w:lineRule="auto"/>
      </w:pPr>
      <w:r>
        <w:t xml:space="preserve">Health Care Quality </w:t>
      </w:r>
    </w:p>
    <w:p w14:paraId="5CF0C81B" w14:textId="77777777" w:rsidR="00D130D7" w:rsidRPr="00641A30" w:rsidRDefault="00D130D7" w:rsidP="00E552D2">
      <w:pPr>
        <w:spacing w:line="360" w:lineRule="auto"/>
        <w:ind w:right="-360"/>
        <w:rPr>
          <w:sz w:val="24"/>
          <w:szCs w:val="24"/>
        </w:rPr>
      </w:pPr>
      <w:r w:rsidRPr="00641A30">
        <w:rPr>
          <w:sz w:val="24"/>
          <w:szCs w:val="24"/>
        </w:rPr>
        <w:t>This section discusses trends and disparities relating to health care quality from the perspective of two key MDPH responsibilities specifically related to safety of care and timeliness of care and a few examples.</w:t>
      </w:r>
    </w:p>
    <w:p w14:paraId="1C39A7BA" w14:textId="77777777" w:rsidR="00D130D7" w:rsidRPr="00641A30" w:rsidRDefault="00D130D7" w:rsidP="00E552D2">
      <w:pPr>
        <w:pStyle w:val="Heading3"/>
        <w:spacing w:line="360" w:lineRule="auto"/>
        <w:rPr>
          <w:sz w:val="24"/>
          <w:szCs w:val="24"/>
        </w:rPr>
      </w:pPr>
      <w:r w:rsidRPr="00641A30">
        <w:rPr>
          <w:sz w:val="24"/>
          <w:szCs w:val="24"/>
        </w:rPr>
        <w:t>Safety: Trends/Disparities</w:t>
      </w:r>
    </w:p>
    <w:p w14:paraId="6AE43DF8" w14:textId="77777777" w:rsidR="00D130D7" w:rsidRPr="00641A30" w:rsidRDefault="00D130D7" w:rsidP="00E552D2">
      <w:pPr>
        <w:pStyle w:val="Heading4"/>
        <w:spacing w:line="360" w:lineRule="auto"/>
      </w:pPr>
      <w:r w:rsidRPr="00641A30">
        <w:t>Falls and Pressure Ulcers in Health Care Settings</w:t>
      </w:r>
    </w:p>
    <w:p w14:paraId="512A4429" w14:textId="77777777" w:rsidR="00D130D7" w:rsidRPr="00641A30" w:rsidRDefault="00D130D7" w:rsidP="00E552D2">
      <w:pPr>
        <w:spacing w:line="360" w:lineRule="auto"/>
        <w:ind w:right="-360"/>
        <w:rPr>
          <w:sz w:val="24"/>
          <w:szCs w:val="24"/>
        </w:rPr>
      </w:pPr>
      <w:r w:rsidRPr="00641A30">
        <w:rPr>
          <w:sz w:val="24"/>
          <w:szCs w:val="24"/>
        </w:rPr>
        <w:t xml:space="preserve">MDPH uses an adverse event identification and reporting framework developed by the National Quality Forum (NQF) to identify trends and disparities to confront health care safety issues. This framework translates a set of adverse events into measurable, evidence-based outcomes called Serious Reportable Events (SRE). Falls and </w:t>
      </w:r>
      <w:r w:rsidRPr="00641A30">
        <w:rPr>
          <w:sz w:val="24"/>
          <w:szCs w:val="24"/>
        </w:rPr>
        <w:lastRenderedPageBreak/>
        <w:t>pressure ulcers (bed sores) are two of the SREs that MDPH and reports annually.  MDPH also monitors and evaluates the quality of cardiac care delivered in Massachusetts by collecting patient-specific outcome data from all hospitals that perform certain cardiac procedures.</w:t>
      </w:r>
    </w:p>
    <w:p w14:paraId="5D85B67A" w14:textId="77777777" w:rsidR="00D130D7" w:rsidRPr="00641A30" w:rsidRDefault="00D130D7" w:rsidP="00E552D2">
      <w:pPr>
        <w:pStyle w:val="ListParagraph"/>
        <w:numPr>
          <w:ilvl w:val="0"/>
          <w:numId w:val="123"/>
        </w:numPr>
        <w:tabs>
          <w:tab w:val="left" w:pos="6480"/>
        </w:tabs>
        <w:spacing w:line="360" w:lineRule="auto"/>
        <w:ind w:right="-360"/>
        <w:rPr>
          <w:sz w:val="24"/>
          <w:szCs w:val="24"/>
        </w:rPr>
      </w:pPr>
      <w:r w:rsidRPr="00641A30">
        <w:rPr>
          <w:sz w:val="24"/>
          <w:szCs w:val="24"/>
        </w:rPr>
        <w:t>From 2011 to 2015, the number of serious injuries or deaths after a fall increased 52.2%. (203 falls in 2011 vs. 309 falls in 2013)</w:t>
      </w:r>
    </w:p>
    <w:p w14:paraId="6DB66180" w14:textId="0862DAA3" w:rsidR="00D130D7" w:rsidRPr="00641A30" w:rsidRDefault="00D130D7" w:rsidP="00E552D2">
      <w:pPr>
        <w:pStyle w:val="ListParagraph"/>
        <w:numPr>
          <w:ilvl w:val="0"/>
          <w:numId w:val="123"/>
        </w:numPr>
        <w:tabs>
          <w:tab w:val="left" w:pos="6480"/>
        </w:tabs>
        <w:spacing w:line="360" w:lineRule="auto"/>
        <w:ind w:right="-360"/>
        <w:rPr>
          <w:sz w:val="24"/>
          <w:szCs w:val="24"/>
        </w:rPr>
      </w:pPr>
      <w:r w:rsidRPr="00641A30">
        <w:rPr>
          <w:sz w:val="24"/>
          <w:szCs w:val="24"/>
        </w:rPr>
        <w:t xml:space="preserve">The number of pressure ulcers in acute care settings tripled from 2011 to 2015 (64 ulcers vs. 228 ulcers, respectively). </w:t>
      </w:r>
      <w:r w:rsidR="0077573F" w:rsidRPr="00641A30">
        <w:rPr>
          <w:sz w:val="24"/>
          <w:szCs w:val="24"/>
        </w:rPr>
        <w:t>During</w:t>
      </w:r>
      <w:r w:rsidRPr="00641A30">
        <w:rPr>
          <w:sz w:val="24"/>
          <w:szCs w:val="24"/>
        </w:rPr>
        <w:t xml:space="preserve"> this period, the sharpest increase in falls and pressure ulcers in acute care settings occurred from 2012 to 2013.</w:t>
      </w:r>
    </w:p>
    <w:p w14:paraId="08C75D05" w14:textId="77777777" w:rsidR="00D130D7" w:rsidRPr="00641A30" w:rsidRDefault="00D130D7" w:rsidP="00E552D2">
      <w:pPr>
        <w:pStyle w:val="SHAFigureNumber"/>
        <w:spacing w:line="360" w:lineRule="auto"/>
        <w:rPr>
          <w:sz w:val="24"/>
          <w:szCs w:val="24"/>
        </w:rPr>
      </w:pPr>
      <w:r w:rsidRPr="00641A30">
        <w:rPr>
          <w:sz w:val="24"/>
          <w:szCs w:val="24"/>
        </w:rPr>
        <w:t xml:space="preserve">Figure 7.7 </w:t>
      </w:r>
    </w:p>
    <w:p w14:paraId="6348437C" w14:textId="27C4FB12" w:rsidR="00D130D7" w:rsidRPr="00641A30" w:rsidRDefault="00D130D7" w:rsidP="00E552D2">
      <w:pPr>
        <w:pStyle w:val="SHAFigureNumber"/>
        <w:spacing w:line="360" w:lineRule="auto"/>
        <w:rPr>
          <w:rFonts w:ascii="Times New Roman" w:hAnsi="Times New Roman"/>
          <w:sz w:val="24"/>
          <w:szCs w:val="24"/>
        </w:rPr>
      </w:pPr>
      <w:r w:rsidRPr="00641A30">
        <w:rPr>
          <w:sz w:val="24"/>
          <w:szCs w:val="24"/>
        </w:rPr>
        <w:t xml:space="preserve">Number of </w:t>
      </w:r>
      <w:proofErr w:type="gramStart"/>
      <w:r w:rsidRPr="00641A30">
        <w:rPr>
          <w:sz w:val="24"/>
          <w:szCs w:val="24"/>
        </w:rPr>
        <w:t>Falls</w:t>
      </w:r>
      <w:proofErr w:type="gramEnd"/>
      <w:r w:rsidRPr="00641A30">
        <w:rPr>
          <w:sz w:val="24"/>
          <w:szCs w:val="24"/>
        </w:rPr>
        <w:t xml:space="preserve"> with Serious Injury and Pressure Ulcers in Acute Care Hos</w:t>
      </w:r>
      <w:r w:rsidR="00BA0713" w:rsidRPr="00641A30">
        <w:rPr>
          <w:sz w:val="24"/>
          <w:szCs w:val="24"/>
        </w:rPr>
        <w:t xml:space="preserve">pitals, Massachusetts, </w:t>
      </w:r>
      <w:r w:rsidR="00BF0D65" w:rsidRPr="00641A30">
        <w:rPr>
          <w:sz w:val="24"/>
          <w:szCs w:val="24"/>
        </w:rPr>
        <w:t>2011-2015</w:t>
      </w:r>
    </w:p>
    <w:p w14:paraId="6651CE80" w14:textId="1FA9DF12" w:rsidR="00D130D7" w:rsidRDefault="00D865C3" w:rsidP="00E552D2">
      <w:pPr>
        <w:pStyle w:val="fignum1"/>
        <w:spacing w:line="360" w:lineRule="auto"/>
        <w:ind w:left="-360" w:right="-360"/>
        <w:jc w:val="center"/>
        <w:rPr>
          <w:b/>
        </w:rPr>
      </w:pPr>
      <w:r>
        <w:rPr>
          <w:noProof/>
        </w:rPr>
        <w:drawing>
          <wp:inline distT="0" distB="0" distL="0" distR="0" wp14:anchorId="52DF7527" wp14:editId="26EDC695">
            <wp:extent cx="5620385" cy="2904978"/>
            <wp:effectExtent l="0" t="0" r="18415" b="10160"/>
            <wp:docPr id="209" name="Chart 209" descr="This bar graph shows the number of falls with serious injury and pressure ulcers in acute care hospitals from 2011-2015.  In 2011 there were 203 serious injury or death from falls, in 2012 there were 179, in 2013 there were 282, in 2014 there were 290, and in 2015 there were 309.  In 2011 there were 64 stage 3, 4, or unstageable pressure ulcers, in 2012 there were 93, in 2013 there were 230, in 2014 there were 224, and in 2015 there were 228.">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8A97FD3E-16C1-4C92-A7DF-5872E9AA65D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8"/>
              </a:graphicData>
            </a:graphic>
          </wp:inline>
        </w:drawing>
      </w:r>
    </w:p>
    <w:p w14:paraId="71C07859" w14:textId="4E7FD71D" w:rsidR="00D130D7" w:rsidRDefault="00D130D7" w:rsidP="00E552D2">
      <w:pPr>
        <w:spacing w:line="360" w:lineRule="auto"/>
        <w:ind w:right="-360"/>
        <w:rPr>
          <w:sz w:val="24"/>
          <w:szCs w:val="24"/>
        </w:rPr>
      </w:pPr>
      <w:r w:rsidRPr="0044423B">
        <w:t>M</w:t>
      </w:r>
      <w:r w:rsidRPr="00641A30">
        <w:rPr>
          <w:sz w:val="24"/>
          <w:szCs w:val="24"/>
        </w:rPr>
        <w:t>uch of these increases were the result of the adoption of new, more expansive NQF definitions in 2012</w:t>
      </w:r>
      <w:r w:rsidRPr="00641A30">
        <w:rPr>
          <w:sz w:val="24"/>
          <w:szCs w:val="24"/>
          <w:vertAlign w:val="superscript"/>
        </w:rPr>
        <w:endnoteReference w:id="15"/>
      </w:r>
      <w:r w:rsidRPr="00641A30">
        <w:rPr>
          <w:sz w:val="24"/>
          <w:szCs w:val="24"/>
        </w:rPr>
        <w:t xml:space="preserve"> and MDPH will contin</w:t>
      </w:r>
      <w:r w:rsidR="003D14D9" w:rsidRPr="00641A30">
        <w:rPr>
          <w:sz w:val="24"/>
          <w:szCs w:val="24"/>
        </w:rPr>
        <w:t xml:space="preserve">ue to monitor. </w:t>
      </w:r>
      <w:r w:rsidR="003D14D9" w:rsidRPr="00641A30">
        <w:rPr>
          <w:b/>
          <w:sz w:val="24"/>
          <w:szCs w:val="24"/>
        </w:rPr>
        <w:t xml:space="preserve">Figure 7.7 </w:t>
      </w:r>
      <w:r w:rsidRPr="00641A30">
        <w:rPr>
          <w:sz w:val="24"/>
          <w:szCs w:val="24"/>
        </w:rPr>
        <w:t xml:space="preserve">shows the trends in Massachusetts in these safety categories in acute care hospitals identified through the NQF framework. </w:t>
      </w:r>
    </w:p>
    <w:p w14:paraId="08BFA74C" w14:textId="77777777" w:rsidR="00641A30" w:rsidRDefault="00641A30" w:rsidP="00E552D2">
      <w:pPr>
        <w:spacing w:line="360" w:lineRule="auto"/>
        <w:ind w:right="-360"/>
        <w:rPr>
          <w:sz w:val="24"/>
          <w:szCs w:val="24"/>
        </w:rPr>
      </w:pPr>
    </w:p>
    <w:p w14:paraId="3B81BE57" w14:textId="77777777" w:rsidR="00641A30" w:rsidRPr="00641A30" w:rsidRDefault="00641A30" w:rsidP="00E552D2">
      <w:pPr>
        <w:spacing w:line="360" w:lineRule="auto"/>
        <w:ind w:right="-360"/>
        <w:rPr>
          <w:sz w:val="24"/>
          <w:szCs w:val="24"/>
        </w:rPr>
      </w:pPr>
    </w:p>
    <w:p w14:paraId="7FD5F174" w14:textId="77777777" w:rsidR="00D130D7" w:rsidRPr="00641A30" w:rsidRDefault="00D130D7" w:rsidP="00E552D2">
      <w:pPr>
        <w:pStyle w:val="Heading4"/>
        <w:spacing w:line="360" w:lineRule="auto"/>
      </w:pPr>
      <w:r w:rsidRPr="00641A30">
        <w:lastRenderedPageBreak/>
        <w:t xml:space="preserve">Cardiac Surgery and Coronary Intervention </w:t>
      </w:r>
    </w:p>
    <w:p w14:paraId="4D9CEA8C" w14:textId="57FA1E4B" w:rsidR="00D130D7" w:rsidRPr="00641A30" w:rsidRDefault="00D130D7" w:rsidP="00E552D2">
      <w:pPr>
        <w:spacing w:line="360" w:lineRule="auto"/>
        <w:ind w:right="-360"/>
        <w:rPr>
          <w:sz w:val="24"/>
          <w:szCs w:val="24"/>
        </w:rPr>
      </w:pPr>
      <w:r w:rsidRPr="00641A30">
        <w:rPr>
          <w:sz w:val="24"/>
          <w:szCs w:val="24"/>
        </w:rPr>
        <w:t>Massachusetts hospitals that perform coronary artery bypass graft (CABG) and percutaneous coronary intervention (PCI) procedures</w:t>
      </w:r>
      <w:r w:rsidR="00760D8A" w:rsidRPr="00641A30">
        <w:rPr>
          <w:sz w:val="24"/>
          <w:szCs w:val="24"/>
        </w:rPr>
        <w:t xml:space="preserve"> are required to report patient-</w:t>
      </w:r>
      <w:r w:rsidRPr="00641A30">
        <w:rPr>
          <w:sz w:val="24"/>
          <w:szCs w:val="24"/>
        </w:rPr>
        <w:t>specific outcome data to MDPH on an annual basis. Risk-standardized, 30-day mortality is one of several indicators used to assess safety and quality of care.</w:t>
      </w:r>
    </w:p>
    <w:p w14:paraId="17DEDCFF" w14:textId="77777777" w:rsidR="00D130D7" w:rsidRPr="00641A30" w:rsidRDefault="00D130D7" w:rsidP="00E552D2">
      <w:pPr>
        <w:spacing w:line="360" w:lineRule="auto"/>
        <w:ind w:right="-360"/>
        <w:rPr>
          <w:sz w:val="24"/>
          <w:szCs w:val="24"/>
        </w:rPr>
      </w:pPr>
      <w:r w:rsidRPr="00641A30">
        <w:rPr>
          <w:sz w:val="24"/>
          <w:szCs w:val="24"/>
        </w:rPr>
        <w:t>In Fiscal Year 2014, Massachusetts had 7,546 hospital admissions in which at least one cardiac surgery was performed. Of these admissions, 3,063 (40.6%) involved bypass surgery. Of these admissions, 48 (1.6%) patients died within 30 days of surgery.</w:t>
      </w:r>
    </w:p>
    <w:p w14:paraId="5BD0D7D6" w14:textId="519A51BD" w:rsidR="00D130D7" w:rsidRPr="00641A30" w:rsidRDefault="00D130D7" w:rsidP="00E552D2">
      <w:pPr>
        <w:spacing w:line="360" w:lineRule="auto"/>
        <w:ind w:right="-360"/>
        <w:rPr>
          <w:sz w:val="24"/>
          <w:szCs w:val="24"/>
        </w:rPr>
      </w:pPr>
      <w:r w:rsidRPr="00641A30">
        <w:rPr>
          <w:sz w:val="24"/>
          <w:szCs w:val="24"/>
        </w:rPr>
        <w:t xml:space="preserve">In Fiscal Year 2014, Massachusetts had 12,439 admissions in which at least one PCI (heart attack) procedure was performed. Of these admissions, 40 patients died within 30 days of surgery, </w:t>
      </w:r>
      <w:r w:rsidR="009E7ECB" w:rsidRPr="00641A30">
        <w:rPr>
          <w:sz w:val="24"/>
          <w:szCs w:val="24"/>
        </w:rPr>
        <w:t xml:space="preserve">which equates to </w:t>
      </w:r>
      <w:r w:rsidRPr="00641A30">
        <w:rPr>
          <w:sz w:val="24"/>
          <w:szCs w:val="24"/>
        </w:rPr>
        <w:t>0.4%.</w:t>
      </w:r>
      <w:r w:rsidRPr="00641A30">
        <w:rPr>
          <w:rStyle w:val="EndnoteReference"/>
          <w:sz w:val="24"/>
          <w:szCs w:val="24"/>
        </w:rPr>
        <w:endnoteReference w:id="16"/>
      </w:r>
      <w:r w:rsidRPr="00641A30">
        <w:rPr>
          <w:sz w:val="24"/>
          <w:szCs w:val="24"/>
        </w:rPr>
        <w:t xml:space="preserve"> </w:t>
      </w:r>
    </w:p>
    <w:p w14:paraId="75F5053B" w14:textId="77777777" w:rsidR="00D130D7" w:rsidRPr="00641A30" w:rsidRDefault="00D130D7" w:rsidP="00E552D2">
      <w:pPr>
        <w:spacing w:line="360" w:lineRule="auto"/>
        <w:ind w:right="-360"/>
        <w:rPr>
          <w:i/>
          <w:sz w:val="24"/>
          <w:szCs w:val="24"/>
        </w:rPr>
      </w:pPr>
      <w:r w:rsidRPr="00641A30">
        <w:rPr>
          <w:sz w:val="24"/>
          <w:szCs w:val="24"/>
        </w:rPr>
        <w:t xml:space="preserve">No adverse trends or disparities have been identified in CABG measure of safety, but MDPH’s data collection process will allow it to quickly identify adverse trends and disparities that may arise. </w:t>
      </w:r>
    </w:p>
    <w:p w14:paraId="53D69621" w14:textId="77777777" w:rsidR="00D130D7" w:rsidRPr="00641A30" w:rsidRDefault="00D130D7" w:rsidP="00E552D2">
      <w:pPr>
        <w:pStyle w:val="Heading3"/>
        <w:spacing w:line="360" w:lineRule="auto"/>
        <w:rPr>
          <w:sz w:val="24"/>
          <w:szCs w:val="24"/>
        </w:rPr>
      </w:pPr>
      <w:r w:rsidRPr="00641A30">
        <w:rPr>
          <w:sz w:val="24"/>
          <w:szCs w:val="24"/>
        </w:rPr>
        <w:t xml:space="preserve">Timeliness: Trends/Disparities </w:t>
      </w:r>
    </w:p>
    <w:p w14:paraId="6A4A46D4" w14:textId="3A918BF8" w:rsidR="00641A30" w:rsidRDefault="00D130D7" w:rsidP="00E552D2">
      <w:pPr>
        <w:spacing w:line="360" w:lineRule="auto"/>
        <w:ind w:right="-360"/>
        <w:rPr>
          <w:sz w:val="24"/>
          <w:szCs w:val="24"/>
        </w:rPr>
      </w:pPr>
      <w:r w:rsidRPr="00641A30">
        <w:rPr>
          <w:sz w:val="24"/>
          <w:szCs w:val="24"/>
          <w:shd w:val="clear" w:color="auto" w:fill="FFFFFF"/>
        </w:rPr>
        <w:t>The timeliness of receiving health care is critically important in sudden events, especially strokes.</w:t>
      </w:r>
      <w:r w:rsidRPr="00641A30">
        <w:rPr>
          <w:sz w:val="24"/>
          <w:szCs w:val="24"/>
        </w:rPr>
        <w:t xml:space="preserve"> In </w:t>
      </w:r>
      <w:r w:rsidR="00DC6891" w:rsidRPr="00641A30">
        <w:rPr>
          <w:b/>
          <w:sz w:val="24"/>
          <w:szCs w:val="24"/>
        </w:rPr>
        <w:t>F</w:t>
      </w:r>
      <w:r w:rsidRPr="00641A30">
        <w:rPr>
          <w:b/>
          <w:sz w:val="24"/>
          <w:szCs w:val="24"/>
        </w:rPr>
        <w:t>igure</w:t>
      </w:r>
      <w:r w:rsidR="00DC6891" w:rsidRPr="00641A30">
        <w:rPr>
          <w:b/>
          <w:sz w:val="24"/>
          <w:szCs w:val="24"/>
        </w:rPr>
        <w:t xml:space="preserve"> 7.8</w:t>
      </w:r>
      <w:r w:rsidRPr="00641A30">
        <w:rPr>
          <w:sz w:val="24"/>
          <w:szCs w:val="24"/>
        </w:rPr>
        <w:t>, the trend indicates increased improvement in receiving emergency care within three hours.</w:t>
      </w:r>
    </w:p>
    <w:p w14:paraId="7CB36C14" w14:textId="77777777" w:rsidR="00641A30" w:rsidRDefault="00641A30">
      <w:pPr>
        <w:spacing w:before="0"/>
        <w:ind w:left="0" w:right="0"/>
        <w:jc w:val="left"/>
        <w:rPr>
          <w:sz w:val="24"/>
          <w:szCs w:val="24"/>
        </w:rPr>
      </w:pPr>
      <w:r>
        <w:rPr>
          <w:sz w:val="24"/>
          <w:szCs w:val="24"/>
        </w:rPr>
        <w:br w:type="page"/>
      </w:r>
    </w:p>
    <w:p w14:paraId="3E8C20DC" w14:textId="77777777" w:rsidR="00D130D7" w:rsidRPr="00641A30" w:rsidRDefault="00D130D7" w:rsidP="00E552D2">
      <w:pPr>
        <w:pStyle w:val="SHAFigureNumber"/>
        <w:spacing w:line="360" w:lineRule="auto"/>
        <w:rPr>
          <w:sz w:val="24"/>
          <w:szCs w:val="24"/>
        </w:rPr>
      </w:pPr>
      <w:r w:rsidRPr="00641A30">
        <w:rPr>
          <w:sz w:val="24"/>
          <w:szCs w:val="24"/>
        </w:rPr>
        <w:lastRenderedPageBreak/>
        <w:t>Figure 7.8</w:t>
      </w:r>
    </w:p>
    <w:p w14:paraId="5BE478A7" w14:textId="26E98BF2" w:rsidR="008656E4" w:rsidRPr="00641A30" w:rsidRDefault="008656E4" w:rsidP="00E552D2">
      <w:pPr>
        <w:pStyle w:val="SHAFigureNumber"/>
        <w:spacing w:line="360" w:lineRule="auto"/>
        <w:contextualSpacing/>
        <w:rPr>
          <w:sz w:val="24"/>
          <w:szCs w:val="24"/>
        </w:rPr>
      </w:pPr>
      <w:r w:rsidRPr="00641A30">
        <w:rPr>
          <w:sz w:val="24"/>
          <w:szCs w:val="24"/>
        </w:rPr>
        <w:t>Percent of All Stroke Patients w</w:t>
      </w:r>
      <w:r w:rsidR="00D130D7" w:rsidRPr="00641A30">
        <w:rPr>
          <w:sz w:val="24"/>
          <w:szCs w:val="24"/>
        </w:rPr>
        <w:t xml:space="preserve">ho </w:t>
      </w:r>
      <w:proofErr w:type="gramStart"/>
      <w:r w:rsidR="00D130D7" w:rsidRPr="00641A30">
        <w:rPr>
          <w:sz w:val="24"/>
          <w:szCs w:val="24"/>
        </w:rPr>
        <w:t>Arrived</w:t>
      </w:r>
      <w:proofErr w:type="gramEnd"/>
      <w:r w:rsidR="00D130D7" w:rsidRPr="00641A30">
        <w:rPr>
          <w:sz w:val="24"/>
          <w:szCs w:val="24"/>
        </w:rPr>
        <w:t xml:space="preserve"> in Emergency Department </w:t>
      </w:r>
      <w:r w:rsidR="00760D8A" w:rsidRPr="00641A30">
        <w:rPr>
          <w:sz w:val="24"/>
          <w:szCs w:val="24"/>
        </w:rPr>
        <w:t>w</w:t>
      </w:r>
      <w:r w:rsidR="00D130D7" w:rsidRPr="00641A30">
        <w:rPr>
          <w:sz w:val="24"/>
          <w:szCs w:val="24"/>
        </w:rPr>
        <w:t xml:space="preserve">ithin 3 hours, </w:t>
      </w:r>
    </w:p>
    <w:p w14:paraId="20D57CB4" w14:textId="78FB4DCC" w:rsidR="00D130D7" w:rsidRPr="00641A30" w:rsidRDefault="00D130D7" w:rsidP="00E552D2">
      <w:pPr>
        <w:pStyle w:val="SHAFigureNumber"/>
        <w:spacing w:line="360" w:lineRule="auto"/>
        <w:contextualSpacing/>
        <w:rPr>
          <w:sz w:val="24"/>
          <w:szCs w:val="24"/>
        </w:rPr>
      </w:pPr>
      <w:r w:rsidRPr="00641A30">
        <w:rPr>
          <w:sz w:val="24"/>
          <w:szCs w:val="24"/>
        </w:rPr>
        <w:t>Massachusetts, 2008-2016</w:t>
      </w:r>
    </w:p>
    <w:p w14:paraId="391DC4A1" w14:textId="11C15428" w:rsidR="00D130D7" w:rsidRDefault="00D130D7" w:rsidP="00E552D2">
      <w:pPr>
        <w:pStyle w:val="fignum1"/>
        <w:keepNext/>
        <w:keepLines/>
        <w:spacing w:line="360" w:lineRule="auto"/>
        <w:ind w:left="-360" w:right="-360"/>
        <w:jc w:val="center"/>
        <w:rPr>
          <w:b/>
        </w:rPr>
      </w:pPr>
      <w:r w:rsidRPr="00641A30">
        <w:rPr>
          <w:b/>
          <w:sz w:val="24"/>
          <w:szCs w:val="24"/>
        </w:rPr>
        <w:t xml:space="preserve"> </w:t>
      </w:r>
      <w:r w:rsidR="00D865C3">
        <w:rPr>
          <w:noProof/>
        </w:rPr>
        <w:drawing>
          <wp:inline distT="0" distB="0" distL="0" distR="0" wp14:anchorId="40C640CC" wp14:editId="0AB86AEB">
            <wp:extent cx="5943600" cy="2163445"/>
            <wp:effectExtent l="0" t="0" r="0" b="8255"/>
            <wp:docPr id="210" name="Chart 210" descr="This line graph shows the percent of all stroke patients who arrived in the emergency department within 3 hours from 2008-2016. In 2008 there were 25.9%, in 2009 there were 28.5%, in 2010 there were 28%, in 2011 there were 28.3%, in 2012 there were 30.8%, in 2013 there were 29.4%, in 2014 there were 28.5%, in 2015 there were 28.6%, and in 2016 there were 29.6%.">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38A4560D-E79F-4AC7-BAD4-8A61302623D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9"/>
              </a:graphicData>
            </a:graphic>
          </wp:inline>
        </w:drawing>
      </w:r>
    </w:p>
    <w:p w14:paraId="460D3A04" w14:textId="77777777" w:rsidR="00D130D7" w:rsidRDefault="00D130D7" w:rsidP="00E552D2">
      <w:pPr>
        <w:pStyle w:val="Heading2"/>
        <w:spacing w:line="360" w:lineRule="auto"/>
      </w:pPr>
      <w:r>
        <w:t xml:space="preserve">Local and Regional Public Health </w:t>
      </w:r>
    </w:p>
    <w:p w14:paraId="04778A04" w14:textId="77777777" w:rsidR="00D130D7" w:rsidRPr="00641A30" w:rsidRDefault="00D130D7" w:rsidP="00E552D2">
      <w:pPr>
        <w:spacing w:line="360" w:lineRule="auto"/>
        <w:ind w:right="-360"/>
        <w:rPr>
          <w:sz w:val="24"/>
          <w:szCs w:val="24"/>
        </w:rPr>
      </w:pPr>
      <w:r w:rsidRPr="00641A30">
        <w:rPr>
          <w:sz w:val="24"/>
          <w:szCs w:val="24"/>
        </w:rPr>
        <w:t xml:space="preserve">A decentralized system of 351 local public health authorities (local boards of health and local health departments) plays an important role in the Massachusetts public health system. The Commonwealth has the highest number of local health departments in the country. </w:t>
      </w:r>
    </w:p>
    <w:p w14:paraId="78F677C4" w14:textId="77777777" w:rsidR="00D130D7" w:rsidRPr="00641A30" w:rsidRDefault="00D130D7" w:rsidP="00E552D2">
      <w:pPr>
        <w:spacing w:line="360" w:lineRule="auto"/>
        <w:ind w:right="-360"/>
        <w:rPr>
          <w:sz w:val="24"/>
          <w:szCs w:val="24"/>
        </w:rPr>
      </w:pPr>
      <w:r w:rsidRPr="00641A30">
        <w:rPr>
          <w:sz w:val="24"/>
          <w:szCs w:val="24"/>
        </w:rPr>
        <w:t>These local public health authorities work in partnership with MDPH and others to deliver a core set of services. Local public health authorities are charged with a broad set of responsibilities for enforcement of state sanitary, environmental, housing, and health codes, including:</w:t>
      </w:r>
    </w:p>
    <w:p w14:paraId="225DA2E0" w14:textId="77777777" w:rsidR="00D130D7" w:rsidRPr="00641A30" w:rsidRDefault="00D130D7" w:rsidP="00E552D2">
      <w:pPr>
        <w:pStyle w:val="ListParagraph"/>
        <w:numPr>
          <w:ilvl w:val="0"/>
          <w:numId w:val="108"/>
        </w:numPr>
        <w:tabs>
          <w:tab w:val="left" w:pos="6480"/>
        </w:tabs>
        <w:spacing w:line="360" w:lineRule="auto"/>
        <w:ind w:right="-360"/>
        <w:rPr>
          <w:sz w:val="24"/>
          <w:szCs w:val="24"/>
        </w:rPr>
      </w:pPr>
      <w:r w:rsidRPr="00641A30">
        <w:rPr>
          <w:sz w:val="24"/>
          <w:szCs w:val="24"/>
        </w:rPr>
        <w:t>Protection of the food supply through inspections of restaurants and other food establishments</w:t>
      </w:r>
    </w:p>
    <w:p w14:paraId="7D3E2AD6" w14:textId="77777777" w:rsidR="00D130D7" w:rsidRPr="00641A30" w:rsidRDefault="00D130D7" w:rsidP="00E552D2">
      <w:pPr>
        <w:pStyle w:val="ListParagraph"/>
        <w:numPr>
          <w:ilvl w:val="0"/>
          <w:numId w:val="108"/>
        </w:numPr>
        <w:tabs>
          <w:tab w:val="left" w:pos="6480"/>
        </w:tabs>
        <w:spacing w:line="360" w:lineRule="auto"/>
        <w:ind w:right="-360"/>
        <w:rPr>
          <w:sz w:val="24"/>
          <w:szCs w:val="24"/>
        </w:rPr>
      </w:pPr>
      <w:r w:rsidRPr="00641A30">
        <w:rPr>
          <w:sz w:val="24"/>
          <w:szCs w:val="24"/>
        </w:rPr>
        <w:t>Inspections and permitting of septic systems, landfills, and other solid waste facilities</w:t>
      </w:r>
    </w:p>
    <w:p w14:paraId="54FE4E2D" w14:textId="77777777" w:rsidR="00D130D7" w:rsidRPr="00641A30" w:rsidRDefault="00D130D7" w:rsidP="00E552D2">
      <w:pPr>
        <w:pStyle w:val="ListParagraph"/>
        <w:numPr>
          <w:ilvl w:val="0"/>
          <w:numId w:val="108"/>
        </w:numPr>
        <w:tabs>
          <w:tab w:val="left" w:pos="6480"/>
        </w:tabs>
        <w:spacing w:line="360" w:lineRule="auto"/>
        <w:ind w:right="-360"/>
        <w:rPr>
          <w:sz w:val="24"/>
          <w:szCs w:val="24"/>
        </w:rPr>
      </w:pPr>
      <w:r w:rsidRPr="00641A30">
        <w:rPr>
          <w:sz w:val="24"/>
          <w:szCs w:val="24"/>
        </w:rPr>
        <w:t>Health care and disease control, including timely reporting and response to communicable diseases, occupational health and safety violations, food poisoning, and rabies</w:t>
      </w:r>
    </w:p>
    <w:p w14:paraId="3B09E6B2" w14:textId="77777777" w:rsidR="00D130D7" w:rsidRPr="00641A30" w:rsidRDefault="00D130D7" w:rsidP="00E552D2">
      <w:pPr>
        <w:pStyle w:val="ListParagraph"/>
        <w:numPr>
          <w:ilvl w:val="0"/>
          <w:numId w:val="108"/>
        </w:numPr>
        <w:tabs>
          <w:tab w:val="left" w:pos="6480"/>
        </w:tabs>
        <w:spacing w:line="360" w:lineRule="auto"/>
        <w:ind w:right="-360"/>
        <w:rPr>
          <w:sz w:val="24"/>
          <w:szCs w:val="24"/>
        </w:rPr>
      </w:pPr>
      <w:r w:rsidRPr="00641A30">
        <w:rPr>
          <w:sz w:val="24"/>
          <w:szCs w:val="24"/>
        </w:rPr>
        <w:t>Inspections of pools, beaches, camps, motels, and mobile home parks</w:t>
      </w:r>
    </w:p>
    <w:p w14:paraId="05E4060C" w14:textId="1380E8B0" w:rsidR="00D130D7" w:rsidRPr="00641A30" w:rsidRDefault="00D130D7" w:rsidP="00E552D2">
      <w:pPr>
        <w:pStyle w:val="ListParagraph"/>
        <w:numPr>
          <w:ilvl w:val="0"/>
          <w:numId w:val="108"/>
        </w:numPr>
        <w:tabs>
          <w:tab w:val="left" w:pos="6480"/>
        </w:tabs>
        <w:spacing w:line="360" w:lineRule="auto"/>
        <w:ind w:right="-360"/>
        <w:rPr>
          <w:sz w:val="24"/>
          <w:szCs w:val="24"/>
        </w:rPr>
      </w:pPr>
      <w:r w:rsidRPr="00641A30">
        <w:rPr>
          <w:sz w:val="24"/>
          <w:szCs w:val="24"/>
        </w:rPr>
        <w:t>Enforcement of state lead poisoning regulations and sanitary code</w:t>
      </w:r>
      <w:r w:rsidR="009E7ECB" w:rsidRPr="00641A30">
        <w:rPr>
          <w:sz w:val="24"/>
          <w:szCs w:val="24"/>
        </w:rPr>
        <w:t>s</w:t>
      </w:r>
      <w:r w:rsidRPr="00641A30">
        <w:rPr>
          <w:sz w:val="24"/>
          <w:szCs w:val="24"/>
        </w:rPr>
        <w:t xml:space="preserve"> in housing</w:t>
      </w:r>
    </w:p>
    <w:p w14:paraId="17C8A37F" w14:textId="77777777" w:rsidR="00D130D7" w:rsidRPr="00641A30" w:rsidRDefault="00D130D7" w:rsidP="00E552D2">
      <w:pPr>
        <w:pStyle w:val="ListParagraph"/>
        <w:numPr>
          <w:ilvl w:val="0"/>
          <w:numId w:val="108"/>
        </w:numPr>
        <w:tabs>
          <w:tab w:val="left" w:pos="6480"/>
        </w:tabs>
        <w:spacing w:line="360" w:lineRule="auto"/>
        <w:ind w:right="-360"/>
        <w:rPr>
          <w:sz w:val="24"/>
          <w:szCs w:val="24"/>
        </w:rPr>
      </w:pPr>
      <w:r w:rsidRPr="00641A30">
        <w:rPr>
          <w:sz w:val="24"/>
          <w:szCs w:val="24"/>
        </w:rPr>
        <w:t>Enforcing tobacco laws</w:t>
      </w:r>
    </w:p>
    <w:p w14:paraId="07350E44" w14:textId="77777777" w:rsidR="00D130D7" w:rsidRPr="00641A30" w:rsidRDefault="00D130D7" w:rsidP="00E552D2">
      <w:pPr>
        <w:pStyle w:val="ListParagraph"/>
        <w:numPr>
          <w:ilvl w:val="0"/>
          <w:numId w:val="108"/>
        </w:numPr>
        <w:tabs>
          <w:tab w:val="left" w:pos="6480"/>
        </w:tabs>
        <w:spacing w:line="360" w:lineRule="auto"/>
        <w:ind w:right="-360"/>
        <w:rPr>
          <w:sz w:val="24"/>
          <w:szCs w:val="24"/>
        </w:rPr>
      </w:pPr>
      <w:r w:rsidRPr="00641A30">
        <w:rPr>
          <w:sz w:val="24"/>
          <w:szCs w:val="24"/>
        </w:rPr>
        <w:lastRenderedPageBreak/>
        <w:t>Developing, testing, and building awareness of emergency preparedness plans for a wide range of hazards</w:t>
      </w:r>
    </w:p>
    <w:p w14:paraId="1970F2FD" w14:textId="77777777" w:rsidR="00D130D7" w:rsidRPr="00641A30" w:rsidRDefault="00D130D7" w:rsidP="00E552D2">
      <w:pPr>
        <w:pStyle w:val="Heading3"/>
        <w:spacing w:line="360" w:lineRule="auto"/>
        <w:rPr>
          <w:sz w:val="24"/>
          <w:szCs w:val="24"/>
        </w:rPr>
      </w:pPr>
      <w:r w:rsidRPr="00641A30">
        <w:rPr>
          <w:sz w:val="24"/>
          <w:szCs w:val="24"/>
        </w:rPr>
        <w:t>Trends/Disparities</w:t>
      </w:r>
    </w:p>
    <w:p w14:paraId="1D2694CD" w14:textId="536B6767" w:rsidR="00D130D7" w:rsidRPr="00641A30" w:rsidRDefault="00D130D7" w:rsidP="00E552D2">
      <w:pPr>
        <w:shd w:val="clear" w:color="auto" w:fill="FFFFFF"/>
        <w:spacing w:line="360" w:lineRule="auto"/>
        <w:ind w:right="-360"/>
        <w:rPr>
          <w:sz w:val="24"/>
          <w:szCs w:val="24"/>
        </w:rPr>
      </w:pPr>
      <w:r w:rsidRPr="00641A30">
        <w:rPr>
          <w:sz w:val="24"/>
          <w:szCs w:val="24"/>
        </w:rPr>
        <w:t xml:space="preserve">Local public health services are primarily funded by local property tax revenues and fees. Inadequate funding for local public health is a key contributor to disparities in the delivery of core public health services across communities in the Commonwealth. Unlike many other states, Massachusetts does not provide </w:t>
      </w:r>
      <w:r w:rsidR="009E7ECB" w:rsidRPr="00641A30">
        <w:rPr>
          <w:sz w:val="24"/>
          <w:szCs w:val="24"/>
        </w:rPr>
        <w:t xml:space="preserve">base </w:t>
      </w:r>
      <w:r w:rsidRPr="00641A30">
        <w:rPr>
          <w:sz w:val="24"/>
          <w:szCs w:val="24"/>
        </w:rPr>
        <w:t>funding to local public health authorities for core public health services. Inadequate local public health funding is a key contributor to disparities in the availability of core public health services at the local level in Massachusetts.</w:t>
      </w:r>
    </w:p>
    <w:p w14:paraId="6C273B7C" w14:textId="77777777" w:rsidR="00D130D7" w:rsidRPr="00641A30" w:rsidRDefault="00D130D7" w:rsidP="00E552D2">
      <w:pPr>
        <w:shd w:val="clear" w:color="auto" w:fill="FFFFFF"/>
        <w:spacing w:line="360" w:lineRule="auto"/>
        <w:ind w:right="-360"/>
        <w:rPr>
          <w:sz w:val="24"/>
          <w:szCs w:val="24"/>
        </w:rPr>
      </w:pPr>
      <w:r w:rsidRPr="00641A30">
        <w:rPr>
          <w:sz w:val="24"/>
          <w:szCs w:val="24"/>
        </w:rPr>
        <w:t xml:space="preserve">Within the past decade, public health advocates have promoted voluntary accreditation as a means to advance state, local, and tribal health departments beyond a minimum set of services and standards. A principal component of accreditation through the national Public Health Accreditation Board (PHAB) is the demonstrated capacity to deliver the ten essential public health services. At this higher level of service delivery, there are also disparities among Massachusetts local public health authorities. Large communities are typically better equipped than small ones to provide at least some of the essential public health services. These disparities can be attributed to inadequate funding and limited staffing. </w:t>
      </w:r>
    </w:p>
    <w:p w14:paraId="3821FB09" w14:textId="77777777" w:rsidR="00D130D7" w:rsidRPr="00641A30" w:rsidRDefault="00D130D7" w:rsidP="00E552D2">
      <w:pPr>
        <w:shd w:val="clear" w:color="auto" w:fill="FFFFFF"/>
        <w:spacing w:line="360" w:lineRule="auto"/>
        <w:ind w:right="-360"/>
        <w:rPr>
          <w:sz w:val="24"/>
          <w:szCs w:val="24"/>
        </w:rPr>
      </w:pPr>
      <w:r w:rsidRPr="00641A30">
        <w:rPr>
          <w:sz w:val="24"/>
          <w:szCs w:val="24"/>
        </w:rPr>
        <w:t xml:space="preserve">The MDPH approach to addressing inequities in core public health service delivery builds on the strengths of the local public health system. Some initiatives are particularly promising in addressing disparities in the provision of core services and the ten essential services. These initiatives include 1) technical assistance for </w:t>
      </w:r>
      <w:hyperlink r:id="rId190" w:history="1">
        <w:r w:rsidRPr="00641A30">
          <w:rPr>
            <w:rStyle w:val="Hyperlink"/>
            <w:sz w:val="24"/>
            <w:szCs w:val="24"/>
          </w:rPr>
          <w:t>public health accreditation</w:t>
        </w:r>
      </w:hyperlink>
      <w:r w:rsidRPr="00641A30">
        <w:rPr>
          <w:sz w:val="24"/>
          <w:szCs w:val="24"/>
        </w:rPr>
        <w:t xml:space="preserve">, 2) supporting the formation of </w:t>
      </w:r>
      <w:hyperlink r:id="rId191" w:history="1">
        <w:r w:rsidRPr="00641A30">
          <w:rPr>
            <w:rStyle w:val="Hyperlink"/>
            <w:sz w:val="24"/>
            <w:szCs w:val="24"/>
          </w:rPr>
          <w:t>public health districts or other shared service arrangements</w:t>
        </w:r>
      </w:hyperlink>
      <w:r w:rsidRPr="00641A30">
        <w:rPr>
          <w:sz w:val="24"/>
          <w:szCs w:val="24"/>
        </w:rPr>
        <w:t xml:space="preserve">, and 3) providing funding for municipalities to lead public health program and policy initiatives for tobacco control, wellness, addiction, and emergency preparedness. The trend over the past several years has been towards stronger relationships between MDPH and local public health authorities and more robust support for the important role of local health authorities in the Massachusetts public health system. </w:t>
      </w:r>
    </w:p>
    <w:p w14:paraId="0AA84CD5" w14:textId="77777777" w:rsidR="00D130D7" w:rsidRPr="00641A30" w:rsidRDefault="00D130D7" w:rsidP="00E552D2">
      <w:pPr>
        <w:shd w:val="clear" w:color="auto" w:fill="FFFFFF"/>
        <w:spacing w:line="360" w:lineRule="auto"/>
        <w:ind w:right="-360"/>
        <w:rPr>
          <w:sz w:val="24"/>
          <w:szCs w:val="24"/>
        </w:rPr>
      </w:pPr>
      <w:r w:rsidRPr="00641A30">
        <w:rPr>
          <w:sz w:val="24"/>
          <w:szCs w:val="24"/>
        </w:rPr>
        <w:t xml:space="preserve">Nearly one-third of Massachusetts communities are part of a public health district or other cross-jurisdictional sharing agreement </w:t>
      </w:r>
      <w:r w:rsidRPr="00641A30">
        <w:rPr>
          <w:b/>
          <w:sz w:val="24"/>
          <w:szCs w:val="24"/>
        </w:rPr>
        <w:t>(see Figure 7.9).</w:t>
      </w:r>
      <w:r w:rsidRPr="00641A30">
        <w:rPr>
          <w:sz w:val="24"/>
          <w:szCs w:val="24"/>
        </w:rPr>
        <w:t xml:space="preserve"> Serving about 20% of the population, these formal arrangements not only have demonstrated value in ensuring the delivery of core services but also enhance local capacity to provide some of the ten essential services. With their strong tradition of local autonomy, some Massachusetts cities </w:t>
      </w:r>
      <w:r w:rsidRPr="00641A30">
        <w:rPr>
          <w:sz w:val="24"/>
          <w:szCs w:val="24"/>
        </w:rPr>
        <w:lastRenderedPageBreak/>
        <w:t>and towns have been less receptive than others to public health collaboration across jurisdictional boundaries.</w:t>
      </w:r>
      <w:r w:rsidRPr="00641A30">
        <w:rPr>
          <w:rStyle w:val="EndnoteReference"/>
          <w:sz w:val="24"/>
          <w:szCs w:val="24"/>
        </w:rPr>
        <w:endnoteReference w:id="17"/>
      </w:r>
      <w:r w:rsidRPr="00641A30">
        <w:rPr>
          <w:sz w:val="24"/>
          <w:szCs w:val="24"/>
        </w:rPr>
        <w:t xml:space="preserve"> The following efforts are among those in which Massachusetts has been working to advance cross-jurisdictional sharing:</w:t>
      </w:r>
    </w:p>
    <w:p w14:paraId="75984292" w14:textId="7F8911B5" w:rsidR="00D130D7" w:rsidRPr="00641A30" w:rsidRDefault="00D130D7" w:rsidP="00E552D2">
      <w:pPr>
        <w:pStyle w:val="ListParagraph"/>
        <w:numPr>
          <w:ilvl w:val="0"/>
          <w:numId w:val="122"/>
        </w:numPr>
        <w:shd w:val="clear" w:color="auto" w:fill="FFFFFF"/>
        <w:spacing w:line="360" w:lineRule="auto"/>
        <w:ind w:right="-360"/>
        <w:rPr>
          <w:sz w:val="24"/>
          <w:szCs w:val="24"/>
        </w:rPr>
      </w:pPr>
      <w:r w:rsidRPr="00641A30">
        <w:rPr>
          <w:sz w:val="24"/>
          <w:szCs w:val="24"/>
        </w:rPr>
        <w:t xml:space="preserve">MDPH has been </w:t>
      </w:r>
      <w:r w:rsidR="00860E22" w:rsidRPr="00641A30">
        <w:rPr>
          <w:sz w:val="24"/>
          <w:szCs w:val="24"/>
        </w:rPr>
        <w:t xml:space="preserve">a </w:t>
      </w:r>
      <w:r w:rsidRPr="00641A30">
        <w:rPr>
          <w:sz w:val="24"/>
          <w:szCs w:val="24"/>
        </w:rPr>
        <w:t xml:space="preserve">participant in the Massachusetts Public Health Regionalization Project since its inception over a decade ago. Comprised of a diverse set of public health leaders, the project is dedicated to “strengthen[ing] the Massachusetts public health system by creating a sustainable, regional system for equitable delivery of local public health services across the Commonwealth”. </w:t>
      </w:r>
    </w:p>
    <w:p w14:paraId="6D3EC7E8" w14:textId="5110D4C2" w:rsidR="00D130D7" w:rsidRPr="00641A30" w:rsidRDefault="00D130D7" w:rsidP="00E552D2">
      <w:pPr>
        <w:pStyle w:val="ListParagraph"/>
        <w:numPr>
          <w:ilvl w:val="0"/>
          <w:numId w:val="122"/>
        </w:numPr>
        <w:shd w:val="clear" w:color="auto" w:fill="FFFFFF"/>
        <w:spacing w:line="360" w:lineRule="auto"/>
        <w:ind w:right="-360"/>
        <w:rPr>
          <w:sz w:val="24"/>
          <w:szCs w:val="24"/>
        </w:rPr>
      </w:pPr>
      <w:r w:rsidRPr="00641A30">
        <w:rPr>
          <w:sz w:val="24"/>
          <w:szCs w:val="24"/>
        </w:rPr>
        <w:t>In 2009, MDP</w:t>
      </w:r>
      <w:r w:rsidR="00F259CB" w:rsidRPr="00641A30">
        <w:rPr>
          <w:sz w:val="24"/>
          <w:szCs w:val="24"/>
        </w:rPr>
        <w:t>H obtained funding from the US</w:t>
      </w:r>
      <w:r w:rsidRPr="00641A30">
        <w:rPr>
          <w:sz w:val="24"/>
          <w:szCs w:val="24"/>
        </w:rPr>
        <w:t xml:space="preserve"> Centers for Disease Control and Prevention to support five new cross-jurisdictional sharing arrangements through the Public Health District Incentive Grant Program. </w:t>
      </w:r>
    </w:p>
    <w:p w14:paraId="4E95B913" w14:textId="71CB8F42" w:rsidR="00D130D7" w:rsidRPr="00641A30" w:rsidRDefault="00D130D7" w:rsidP="00E552D2">
      <w:pPr>
        <w:pStyle w:val="ListParagraph"/>
        <w:numPr>
          <w:ilvl w:val="0"/>
          <w:numId w:val="122"/>
        </w:numPr>
        <w:shd w:val="clear" w:color="auto" w:fill="FFFFFF"/>
        <w:spacing w:line="360" w:lineRule="auto"/>
        <w:ind w:right="-360"/>
        <w:rPr>
          <w:sz w:val="24"/>
          <w:szCs w:val="24"/>
        </w:rPr>
      </w:pPr>
      <w:r w:rsidRPr="00641A30">
        <w:rPr>
          <w:sz w:val="24"/>
          <w:szCs w:val="24"/>
        </w:rPr>
        <w:t>The Special Commission on Local and Regional Public Health, convened in June 2017, is charged with assessing the effectiveness and efficiency of the local public health system and making recommendations for improvement.</w:t>
      </w:r>
    </w:p>
    <w:p w14:paraId="4B2A6942" w14:textId="3FDDA4F3" w:rsidR="00D130D7" w:rsidRPr="00641A30" w:rsidRDefault="004807EB" w:rsidP="00641A30">
      <w:pPr>
        <w:spacing w:before="0"/>
        <w:ind w:left="0" w:right="0"/>
        <w:jc w:val="center"/>
        <w:rPr>
          <w:b/>
          <w:sz w:val="24"/>
          <w:szCs w:val="24"/>
        </w:rPr>
      </w:pPr>
      <w:bookmarkStart w:id="5" w:name="_Hlk494371023"/>
      <w:r w:rsidRPr="00641A30">
        <w:rPr>
          <w:sz w:val="24"/>
          <w:szCs w:val="24"/>
        </w:rPr>
        <w:br w:type="page"/>
      </w:r>
      <w:r w:rsidR="00332A07" w:rsidRPr="00641A30">
        <w:rPr>
          <w:b/>
          <w:sz w:val="24"/>
          <w:szCs w:val="24"/>
        </w:rPr>
        <w:lastRenderedPageBreak/>
        <w:t>Figure 7.9</w:t>
      </w:r>
    </w:p>
    <w:p w14:paraId="3514EB35" w14:textId="175CE21C" w:rsidR="00D130D7" w:rsidRPr="00641A30" w:rsidRDefault="0098050B" w:rsidP="00E552D2">
      <w:pPr>
        <w:pStyle w:val="SHAFigureNumber"/>
        <w:spacing w:line="360" w:lineRule="auto"/>
        <w:rPr>
          <w:sz w:val="24"/>
          <w:szCs w:val="24"/>
        </w:rPr>
      </w:pPr>
      <w:r w:rsidRPr="00641A30">
        <w:rPr>
          <w:sz w:val="24"/>
          <w:szCs w:val="24"/>
        </w:rPr>
        <w:t>Public Health Districts and Communities in Shared Services Arrangements</w:t>
      </w:r>
      <w:r w:rsidR="00D130D7" w:rsidRPr="00641A30">
        <w:rPr>
          <w:sz w:val="24"/>
          <w:szCs w:val="24"/>
        </w:rPr>
        <w:t>, 2017</w:t>
      </w:r>
    </w:p>
    <w:bookmarkEnd w:id="5"/>
    <w:p w14:paraId="7E902F1C" w14:textId="065D3B80" w:rsidR="00D130D7" w:rsidRDefault="009E7ECB" w:rsidP="004807EB">
      <w:pPr>
        <w:keepNext/>
        <w:keepLines/>
        <w:spacing w:line="360" w:lineRule="auto"/>
        <w:ind w:right="-360"/>
        <w:jc w:val="center"/>
        <w:rPr>
          <w:sz w:val="24"/>
          <w:szCs w:val="24"/>
        </w:rPr>
      </w:pPr>
      <w:r>
        <w:rPr>
          <w:sz w:val="24"/>
          <w:szCs w:val="24"/>
        </w:rPr>
        <w:drawing>
          <wp:inline distT="0" distB="0" distL="0" distR="0" wp14:anchorId="41C05625" wp14:editId="7E601DD5">
            <wp:extent cx="5350546" cy="3745382"/>
            <wp:effectExtent l="0" t="0" r="254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_9_PublicHealthDistricts_Shaded.jpg"/>
                    <pic:cNvPicPr/>
                  </pic:nvPicPr>
                  <pic:blipFill>
                    <a:blip r:embed="rId192" cstate="print">
                      <a:extLst>
                        <a:ext uri="{28A0092B-C50C-407E-A947-70E740481C1C}">
                          <a14:useLocalDpi xmlns:a14="http://schemas.microsoft.com/office/drawing/2010/main" val="0"/>
                        </a:ext>
                      </a:extLst>
                    </a:blip>
                    <a:stretch>
                      <a:fillRect/>
                    </a:stretch>
                  </pic:blipFill>
                  <pic:spPr>
                    <a:xfrm>
                      <a:off x="0" y="0"/>
                      <a:ext cx="5353818" cy="3747672"/>
                    </a:xfrm>
                    <a:prstGeom prst="rect">
                      <a:avLst/>
                    </a:prstGeom>
                  </pic:spPr>
                </pic:pic>
              </a:graphicData>
            </a:graphic>
          </wp:inline>
        </w:drawing>
      </w:r>
    </w:p>
    <w:p w14:paraId="7C6C43B9" w14:textId="77777777" w:rsidR="00D130D7" w:rsidRPr="003F257A" w:rsidRDefault="00D130D7" w:rsidP="00E552D2">
      <w:pPr>
        <w:pStyle w:val="Heading2"/>
        <w:spacing w:line="360" w:lineRule="auto"/>
        <w:ind w:right="-360"/>
      </w:pPr>
      <w:r>
        <w:t>Oral Health</w:t>
      </w:r>
    </w:p>
    <w:p w14:paraId="606F0877" w14:textId="4805B8FF" w:rsidR="00D130D7" w:rsidRPr="00641A30" w:rsidRDefault="00D130D7" w:rsidP="00E552D2">
      <w:pPr>
        <w:spacing w:line="360" w:lineRule="auto"/>
        <w:ind w:right="-360"/>
        <w:rPr>
          <w:rFonts w:ascii="Calibri" w:eastAsia="Calibri" w:hAnsi="Calibri"/>
          <w:sz w:val="24"/>
          <w:szCs w:val="24"/>
        </w:rPr>
      </w:pPr>
      <w:r w:rsidRPr="008624BD">
        <w:rPr>
          <w:rFonts w:ascii="Calibri" w:eastAsia="Calibri" w:hAnsi="Calibri"/>
        </w:rPr>
        <w:t>A</w:t>
      </w:r>
      <w:r w:rsidRPr="00641A30">
        <w:rPr>
          <w:rFonts w:ascii="Calibri" w:eastAsia="Calibri" w:hAnsi="Calibri"/>
          <w:sz w:val="24"/>
          <w:szCs w:val="24"/>
        </w:rPr>
        <w:t xml:space="preserve"> healthy mouth is essential to overall health. Poor oral health can affect nutrition, learning, growth and development, self-esteem, quality of life, employability, and systemic health. When oral health is compromised</w:t>
      </w:r>
      <w:r w:rsidR="0077573F" w:rsidRPr="00641A30">
        <w:rPr>
          <w:rFonts w:ascii="Calibri" w:eastAsia="Calibri" w:hAnsi="Calibri"/>
          <w:sz w:val="24"/>
          <w:szCs w:val="24"/>
        </w:rPr>
        <w:t>,</w:t>
      </w:r>
      <w:r w:rsidRPr="00641A30">
        <w:rPr>
          <w:rFonts w:ascii="Calibri" w:eastAsia="Calibri" w:hAnsi="Calibri"/>
          <w:sz w:val="24"/>
          <w:szCs w:val="24"/>
        </w:rPr>
        <w:t xml:space="preserve"> it can lead to increased risk for diseases such as cardiovascular disease or stroke. Oral disease has been linked to complications in pregnancy and childbirth and to respiratory, gastrointestinal, rheumatologic, and cardiovascular disease.</w:t>
      </w:r>
      <w:r w:rsidRPr="00641A30">
        <w:rPr>
          <w:rFonts w:ascii="Calibri" w:eastAsia="Calibri" w:hAnsi="Calibri"/>
          <w:sz w:val="24"/>
          <w:szCs w:val="24"/>
          <w:vertAlign w:val="superscript"/>
        </w:rPr>
        <w:endnoteReference w:id="18"/>
      </w:r>
      <w:r w:rsidRPr="00641A30">
        <w:rPr>
          <w:rFonts w:ascii="Calibri" w:eastAsia="Calibri" w:hAnsi="Calibri"/>
          <w:sz w:val="24"/>
          <w:szCs w:val="24"/>
        </w:rPr>
        <w:t xml:space="preserve"> Emerging evidence suggests a two-way relationship between diabetes and periodontitis, with diabetes increasing the risk for periodontitis, and periodontal inflammation negatively affecting glycemic control.</w:t>
      </w:r>
      <w:r w:rsidRPr="00641A30">
        <w:rPr>
          <w:rFonts w:ascii="Calibri" w:eastAsia="Calibri" w:hAnsi="Calibri"/>
          <w:sz w:val="24"/>
          <w:szCs w:val="24"/>
          <w:vertAlign w:val="superscript"/>
        </w:rPr>
        <w:endnoteReference w:id="19"/>
      </w:r>
      <w:r w:rsidRPr="00641A30">
        <w:rPr>
          <w:rFonts w:ascii="Calibri" w:eastAsia="Calibri" w:hAnsi="Calibri"/>
          <w:sz w:val="24"/>
          <w:szCs w:val="24"/>
        </w:rPr>
        <w:t xml:space="preserve"> Individuals with diabetes who receive periodontal intervention may lower their medical costs.</w:t>
      </w:r>
      <w:r w:rsidRPr="00641A30">
        <w:rPr>
          <w:rFonts w:ascii="Calibri" w:eastAsia="Calibri" w:hAnsi="Calibri"/>
          <w:sz w:val="24"/>
          <w:szCs w:val="24"/>
          <w:vertAlign w:val="superscript"/>
        </w:rPr>
        <w:endnoteReference w:id="20"/>
      </w:r>
      <w:r w:rsidRPr="00641A30">
        <w:rPr>
          <w:rFonts w:ascii="Calibri" w:eastAsia="Calibri" w:hAnsi="Calibri"/>
          <w:sz w:val="24"/>
          <w:szCs w:val="24"/>
        </w:rPr>
        <w:t xml:space="preserve"> Dental caries, or tooth decay, is the most common chronic disease among children and adolescents. Nationally, more than 51 million school hours are lost each year due to oral health issues.</w:t>
      </w:r>
      <w:r w:rsidRPr="00641A30">
        <w:rPr>
          <w:rFonts w:ascii="Calibri" w:eastAsia="Calibri" w:hAnsi="Calibri"/>
          <w:sz w:val="24"/>
          <w:szCs w:val="24"/>
          <w:vertAlign w:val="superscript"/>
        </w:rPr>
        <w:endnoteReference w:id="21"/>
      </w:r>
      <w:r w:rsidRPr="00641A30">
        <w:rPr>
          <w:rFonts w:ascii="Calibri" w:eastAsia="Calibri" w:hAnsi="Calibri"/>
          <w:sz w:val="24"/>
          <w:szCs w:val="24"/>
        </w:rPr>
        <w:t xml:space="preserve"> </w:t>
      </w:r>
    </w:p>
    <w:p w14:paraId="1EA4AB9A" w14:textId="0DBEE78D" w:rsidR="00D130D7" w:rsidRPr="00641A30" w:rsidRDefault="00D130D7" w:rsidP="00E552D2">
      <w:pPr>
        <w:spacing w:line="360" w:lineRule="auto"/>
        <w:ind w:right="-360"/>
        <w:rPr>
          <w:rFonts w:ascii="Calibri" w:eastAsia="Calibri" w:hAnsi="Calibri"/>
          <w:sz w:val="24"/>
          <w:szCs w:val="24"/>
        </w:rPr>
      </w:pPr>
      <w:r w:rsidRPr="00641A30">
        <w:rPr>
          <w:rFonts w:ascii="Calibri" w:eastAsia="Calibri" w:hAnsi="Calibri"/>
          <w:sz w:val="24"/>
          <w:szCs w:val="24"/>
        </w:rPr>
        <w:lastRenderedPageBreak/>
        <w:t>There are notable racial/ethnic disparities in oral health care utilization for children, adults, and pregnant women. Insurance status is often a barrier to accessing oral health care, along with lack of adequate transportation to attend an appointment. Improving access to oral health services and preventive measures, such as community water fluoridation, is important to preventing and treating oral diseases. Basic knowledge about oral health and its importance to overall health could lead to improved health outcomes across the life course.</w:t>
      </w:r>
    </w:p>
    <w:p w14:paraId="0062CA0D" w14:textId="77777777" w:rsidR="00D130D7" w:rsidRPr="00641A30" w:rsidRDefault="00D130D7" w:rsidP="00E552D2">
      <w:pPr>
        <w:pStyle w:val="Heading3"/>
        <w:spacing w:line="360" w:lineRule="auto"/>
        <w:rPr>
          <w:rFonts w:eastAsia="Times New Roman"/>
          <w:sz w:val="24"/>
          <w:szCs w:val="24"/>
          <w:lang w:val="fr-FR"/>
        </w:rPr>
      </w:pPr>
      <w:r w:rsidRPr="00641A30">
        <w:rPr>
          <w:rFonts w:eastAsia="Times New Roman"/>
          <w:sz w:val="24"/>
          <w:szCs w:val="24"/>
          <w:lang w:val="fr-FR"/>
        </w:rPr>
        <w:t>Trends/Disparities</w:t>
      </w:r>
    </w:p>
    <w:p w14:paraId="68EE1682" w14:textId="77777777" w:rsidR="00D130D7" w:rsidRPr="00641A30" w:rsidRDefault="00D130D7" w:rsidP="00E552D2">
      <w:pPr>
        <w:pStyle w:val="Heading4"/>
        <w:spacing w:line="360" w:lineRule="auto"/>
      </w:pPr>
      <w:r w:rsidRPr="00641A30">
        <w:t xml:space="preserve">Dental Care Utilization </w:t>
      </w:r>
    </w:p>
    <w:p w14:paraId="10E26581" w14:textId="77777777" w:rsidR="00D130D7" w:rsidRPr="00641A30" w:rsidRDefault="00D130D7" w:rsidP="00E552D2">
      <w:pPr>
        <w:spacing w:line="360" w:lineRule="auto"/>
        <w:ind w:right="-360"/>
        <w:rPr>
          <w:rFonts w:ascii="Calibri" w:eastAsia="Calibri" w:hAnsi="Calibri"/>
          <w:sz w:val="24"/>
          <w:szCs w:val="24"/>
        </w:rPr>
      </w:pPr>
      <w:r w:rsidRPr="00641A30">
        <w:rPr>
          <w:rFonts w:ascii="Calibri" w:eastAsia="Calibri" w:hAnsi="Calibri"/>
          <w:sz w:val="24"/>
          <w:szCs w:val="24"/>
        </w:rPr>
        <w:t>Experts locate the root causes of disparities in oral health outcomes in structural factors: the geographic dispersion of oral health care systems, uneven access to linguistically and culturally appropriate oral health care services, and differences in health care coverage according to income, to name just a few sources of inequity. There are clear racial/ethnic disparities in dental visit rates among all age groups in Massachusetts.</w:t>
      </w:r>
    </w:p>
    <w:p w14:paraId="585CB36B" w14:textId="6F04A9A7" w:rsidR="00D130D7" w:rsidRPr="00641A30" w:rsidRDefault="00D130D7" w:rsidP="00E552D2">
      <w:pPr>
        <w:pStyle w:val="Heading4"/>
        <w:spacing w:line="360" w:lineRule="auto"/>
        <w:rPr>
          <w:rFonts w:ascii="Calibri" w:eastAsia="Calibri" w:hAnsi="Calibri"/>
          <w:color w:val="000000" w:themeColor="text1"/>
        </w:rPr>
      </w:pPr>
      <w:r w:rsidRPr="00641A30">
        <w:t>Children and Adolescents</w:t>
      </w:r>
    </w:p>
    <w:p w14:paraId="775BFA7E" w14:textId="06AE3320" w:rsidR="00D130D7" w:rsidRPr="00641A30" w:rsidRDefault="00D130D7" w:rsidP="00E552D2">
      <w:pPr>
        <w:spacing w:line="360" w:lineRule="auto"/>
        <w:ind w:right="-360"/>
        <w:rPr>
          <w:rFonts w:ascii="Calibri" w:eastAsia="Calibri" w:hAnsi="Calibri"/>
          <w:sz w:val="24"/>
          <w:szCs w:val="24"/>
        </w:rPr>
      </w:pPr>
      <w:r w:rsidRPr="00641A30">
        <w:rPr>
          <w:rFonts w:ascii="Calibri" w:eastAsia="Calibri" w:hAnsi="Calibri"/>
          <w:sz w:val="24"/>
          <w:szCs w:val="24"/>
        </w:rPr>
        <w:t>Results from the Youth Risk Behavior Surveillance System in 2015</w:t>
      </w:r>
      <w:r w:rsidRPr="00641A30">
        <w:rPr>
          <w:rStyle w:val="EndnoteReference"/>
          <w:rFonts w:ascii="Calibri" w:eastAsia="Calibri" w:hAnsi="Calibri"/>
          <w:color w:val="000000" w:themeColor="text1"/>
          <w:sz w:val="24"/>
          <w:szCs w:val="24"/>
        </w:rPr>
        <w:endnoteReference w:id="22"/>
      </w:r>
      <w:r w:rsidRPr="00641A30">
        <w:rPr>
          <w:rFonts w:ascii="Calibri" w:eastAsia="Calibri" w:hAnsi="Calibri"/>
          <w:sz w:val="24"/>
          <w:szCs w:val="24"/>
        </w:rPr>
        <w:t xml:space="preserve"> show that nearly 9 out of 10 middle and high school students in Massachusetts reported seeing a dentist in the past year. For Massachuset</w:t>
      </w:r>
      <w:r w:rsidR="007812CC" w:rsidRPr="00641A30">
        <w:rPr>
          <w:rFonts w:ascii="Calibri" w:eastAsia="Calibri" w:hAnsi="Calibri"/>
          <w:sz w:val="24"/>
          <w:szCs w:val="24"/>
        </w:rPr>
        <w:t>ts high school students only 78</w:t>
      </w:r>
      <w:r w:rsidRPr="00641A30">
        <w:rPr>
          <w:rFonts w:ascii="Calibri" w:eastAsia="Calibri" w:hAnsi="Calibri"/>
          <w:sz w:val="24"/>
          <w:szCs w:val="24"/>
        </w:rPr>
        <w:t>% of Black non-Hispanic students and 82.1% of Hispanic students reported a dental visit, compared to 84.4% Asian non-Hispanics and 93.2% White non-Hispanic</w:t>
      </w:r>
      <w:r w:rsidR="0077573F" w:rsidRPr="00641A30">
        <w:rPr>
          <w:rFonts w:ascii="Calibri" w:eastAsia="Calibri" w:hAnsi="Calibri"/>
          <w:sz w:val="24"/>
          <w:szCs w:val="24"/>
        </w:rPr>
        <w:t>.</w:t>
      </w:r>
    </w:p>
    <w:p w14:paraId="1EA59FD3" w14:textId="77777777" w:rsidR="00D130D7" w:rsidRPr="00641A30" w:rsidRDefault="00D130D7" w:rsidP="00E552D2">
      <w:pPr>
        <w:pStyle w:val="Heading4"/>
        <w:spacing w:line="360" w:lineRule="auto"/>
      </w:pPr>
      <w:r w:rsidRPr="00641A30">
        <w:t>Adults</w:t>
      </w:r>
    </w:p>
    <w:p w14:paraId="52F1126E" w14:textId="77777777" w:rsidR="00D130D7" w:rsidRPr="00641A30" w:rsidRDefault="00D130D7" w:rsidP="00E552D2">
      <w:pPr>
        <w:spacing w:line="360" w:lineRule="auto"/>
        <w:ind w:right="-360"/>
        <w:rPr>
          <w:rFonts w:ascii="Calibri" w:eastAsia="Calibri" w:hAnsi="Calibri"/>
          <w:sz w:val="24"/>
          <w:szCs w:val="24"/>
        </w:rPr>
      </w:pPr>
      <w:r w:rsidRPr="00641A30">
        <w:rPr>
          <w:rFonts w:ascii="Calibri" w:eastAsia="Calibri" w:hAnsi="Calibri"/>
          <w:sz w:val="24"/>
          <w:szCs w:val="24"/>
        </w:rPr>
        <w:t>Among Massachusetts adults, Behavioral Risk Factor Surveillance System data</w:t>
      </w:r>
      <w:r w:rsidRPr="00641A30">
        <w:rPr>
          <w:rStyle w:val="EndnoteReference"/>
          <w:rFonts w:ascii="Calibri" w:eastAsia="Calibri" w:hAnsi="Calibri"/>
          <w:sz w:val="24"/>
          <w:szCs w:val="24"/>
        </w:rPr>
        <w:endnoteReference w:id="23"/>
      </w:r>
      <w:r w:rsidRPr="00641A30">
        <w:rPr>
          <w:rFonts w:ascii="Calibri" w:eastAsia="Calibri" w:hAnsi="Calibri"/>
          <w:sz w:val="24"/>
          <w:szCs w:val="24"/>
        </w:rPr>
        <w:t xml:space="preserve"> suggests that the percentage reporting a dental visit in the past year decreased between 2010 and 2014, but still remains higher than the national average. </w:t>
      </w:r>
    </w:p>
    <w:p w14:paraId="055CE952" w14:textId="77777777" w:rsidR="00D130D7" w:rsidRPr="00641A30" w:rsidRDefault="00D130D7" w:rsidP="00E552D2">
      <w:pPr>
        <w:pStyle w:val="ListParagraph"/>
        <w:numPr>
          <w:ilvl w:val="0"/>
          <w:numId w:val="3"/>
        </w:numPr>
        <w:spacing w:line="360" w:lineRule="auto"/>
        <w:ind w:right="-360"/>
        <w:rPr>
          <w:rFonts w:ascii="Calibri" w:eastAsia="Calibri" w:hAnsi="Calibri"/>
          <w:sz w:val="24"/>
          <w:szCs w:val="24"/>
        </w:rPr>
      </w:pPr>
      <w:r w:rsidRPr="00641A30">
        <w:rPr>
          <w:rFonts w:ascii="Calibri" w:eastAsia="Calibri" w:hAnsi="Calibri"/>
          <w:sz w:val="24"/>
          <w:szCs w:val="24"/>
        </w:rPr>
        <w:t xml:space="preserve">In 2014, 74.7% of Massachusetts adults reported a dental visit in the past year. A greater proportion of White non-Hispanic (76.4%) and Asian non-Hispanic (74.9%) adults reported a dental visit in the past year compared with Black non-Hispanic (65.6%) and Hispanic (68.1%) adults. </w:t>
      </w:r>
    </w:p>
    <w:p w14:paraId="586F9CB8" w14:textId="08A1D92C" w:rsidR="00D130D7" w:rsidRPr="00641A30" w:rsidRDefault="00D130D7" w:rsidP="00E552D2">
      <w:pPr>
        <w:pStyle w:val="ListParagraph"/>
        <w:numPr>
          <w:ilvl w:val="0"/>
          <w:numId w:val="3"/>
        </w:numPr>
        <w:spacing w:line="360" w:lineRule="auto"/>
        <w:ind w:right="-360"/>
        <w:rPr>
          <w:rFonts w:ascii="Calibri" w:eastAsia="Calibri" w:hAnsi="Calibri"/>
          <w:sz w:val="24"/>
          <w:szCs w:val="24"/>
        </w:rPr>
      </w:pPr>
      <w:r w:rsidRPr="00641A30">
        <w:rPr>
          <w:rFonts w:ascii="Calibri" w:eastAsia="Calibri" w:hAnsi="Calibri"/>
          <w:sz w:val="24"/>
          <w:szCs w:val="24"/>
        </w:rPr>
        <w:t>The percentage of adults who reported a dental visit in the past year increases with household income. Only 59.4% of adults making $25</w:t>
      </w:r>
      <w:r w:rsidR="007812CC" w:rsidRPr="00641A30">
        <w:rPr>
          <w:rFonts w:ascii="Calibri" w:eastAsia="Calibri" w:hAnsi="Calibri"/>
          <w:sz w:val="24"/>
          <w:szCs w:val="24"/>
        </w:rPr>
        <w:t>,000 had a visit compared to 86</w:t>
      </w:r>
      <w:r w:rsidRPr="00641A30">
        <w:rPr>
          <w:rFonts w:ascii="Calibri" w:eastAsia="Calibri" w:hAnsi="Calibri"/>
          <w:sz w:val="24"/>
          <w:szCs w:val="24"/>
        </w:rPr>
        <w:t xml:space="preserve">% of adults making $75,000 or more. </w:t>
      </w:r>
      <w:r w:rsidRPr="00641A30">
        <w:rPr>
          <w:rFonts w:ascii="Calibri" w:eastAsia="Calibri" w:hAnsi="Calibri"/>
          <w:sz w:val="24"/>
          <w:szCs w:val="24"/>
        </w:rPr>
        <w:lastRenderedPageBreak/>
        <w:t xml:space="preserve">Those with higher levels of education are also more likely to have had a dental visit in the past year (&lt;high school: 59.7%; high school 67.7%; some college: 74.6%; college or more: 84.3%). </w:t>
      </w:r>
    </w:p>
    <w:p w14:paraId="4CDC25F2" w14:textId="77777777" w:rsidR="00D130D7" w:rsidRPr="00641A30" w:rsidRDefault="00D130D7" w:rsidP="00E552D2">
      <w:pPr>
        <w:pStyle w:val="Heading4"/>
        <w:spacing w:line="360" w:lineRule="auto"/>
      </w:pPr>
      <w:r w:rsidRPr="00641A30">
        <w:t>Pregnant Women</w:t>
      </w:r>
    </w:p>
    <w:p w14:paraId="34A88C5B" w14:textId="54DEA2E9" w:rsidR="00D130D7" w:rsidRPr="00641A30" w:rsidRDefault="00D130D7" w:rsidP="00E552D2">
      <w:pPr>
        <w:spacing w:line="360" w:lineRule="auto"/>
        <w:ind w:right="-360"/>
        <w:rPr>
          <w:rFonts w:ascii="Calibri" w:eastAsia="Calibri" w:hAnsi="Calibri"/>
          <w:sz w:val="24"/>
          <w:szCs w:val="24"/>
        </w:rPr>
      </w:pPr>
      <w:r w:rsidRPr="00641A30">
        <w:rPr>
          <w:rFonts w:ascii="Calibri" w:eastAsia="Calibri" w:hAnsi="Calibri"/>
          <w:sz w:val="24"/>
          <w:szCs w:val="24"/>
        </w:rPr>
        <w:t>In Massachusetts between 2013 and 2014, the Pregnancy Risk Assessment and Monitoring System</w:t>
      </w:r>
      <w:r w:rsidRPr="00641A30">
        <w:rPr>
          <w:rStyle w:val="EndnoteReference"/>
          <w:rFonts w:ascii="Calibri" w:eastAsia="Calibri" w:hAnsi="Calibri"/>
          <w:sz w:val="24"/>
          <w:szCs w:val="24"/>
        </w:rPr>
        <w:endnoteReference w:id="24"/>
      </w:r>
      <w:r w:rsidRPr="00641A30">
        <w:rPr>
          <w:rFonts w:ascii="Calibri" w:eastAsia="Calibri" w:hAnsi="Calibri"/>
          <w:sz w:val="24"/>
          <w:szCs w:val="24"/>
        </w:rPr>
        <w:t xml:space="preserve"> suggests that 71.7% of women had their teeth cleaned in the year before pregnancy and only 62.2% of women had their teeth cleaned during pregnancy. As shown in </w:t>
      </w:r>
      <w:r w:rsidRPr="00641A30">
        <w:rPr>
          <w:rFonts w:ascii="Calibri" w:eastAsia="Calibri" w:hAnsi="Calibri"/>
          <w:b/>
          <w:sz w:val="24"/>
          <w:szCs w:val="24"/>
        </w:rPr>
        <w:t xml:space="preserve">Figure </w:t>
      </w:r>
      <w:r w:rsidR="00F259CB" w:rsidRPr="00641A30">
        <w:rPr>
          <w:rFonts w:ascii="Calibri" w:eastAsia="Calibri" w:hAnsi="Calibri"/>
          <w:b/>
          <w:sz w:val="24"/>
          <w:szCs w:val="24"/>
        </w:rPr>
        <w:t>7.10</w:t>
      </w:r>
      <w:r w:rsidRPr="00641A30">
        <w:rPr>
          <w:rFonts w:ascii="Calibri" w:eastAsia="Calibri" w:hAnsi="Calibri"/>
          <w:b/>
          <w:sz w:val="24"/>
          <w:szCs w:val="24"/>
        </w:rPr>
        <w:t>,</w:t>
      </w:r>
      <w:r w:rsidRPr="00641A30">
        <w:rPr>
          <w:rFonts w:ascii="Calibri" w:eastAsia="Calibri" w:hAnsi="Calibri"/>
          <w:sz w:val="24"/>
          <w:szCs w:val="24"/>
        </w:rPr>
        <w:t xml:space="preserve"> there are several disparities in dental visits among women: </w:t>
      </w:r>
    </w:p>
    <w:p w14:paraId="411D57EC" w14:textId="4927481A" w:rsidR="00D130D7" w:rsidRPr="00641A30" w:rsidRDefault="00D130D7" w:rsidP="00E552D2">
      <w:pPr>
        <w:pStyle w:val="ListParagraph"/>
        <w:numPr>
          <w:ilvl w:val="0"/>
          <w:numId w:val="109"/>
        </w:numPr>
        <w:spacing w:line="360" w:lineRule="auto"/>
        <w:ind w:right="-360"/>
        <w:rPr>
          <w:rFonts w:ascii="Calibri" w:eastAsia="Calibri" w:hAnsi="Calibri"/>
          <w:sz w:val="24"/>
          <w:szCs w:val="24"/>
        </w:rPr>
      </w:pPr>
      <w:r w:rsidRPr="00641A30">
        <w:rPr>
          <w:rFonts w:ascii="Calibri" w:eastAsia="Calibri" w:hAnsi="Calibri"/>
          <w:sz w:val="24"/>
          <w:szCs w:val="24"/>
        </w:rPr>
        <w:t>Among pregnant women, between 2013 and 2014 a greater percentage of White non-Hispanic women reported a dental visit in the past year (78.4%) and during pregnancy (67.3%) compared to other racial/ethnic groups. Black non-Hispanic women had the lowest prevalence of dental visit</w:t>
      </w:r>
      <w:r w:rsidR="007812CC" w:rsidRPr="00641A30">
        <w:rPr>
          <w:rFonts w:ascii="Calibri" w:eastAsia="Calibri" w:hAnsi="Calibri"/>
          <w:sz w:val="24"/>
          <w:szCs w:val="24"/>
        </w:rPr>
        <w:t>s in the past year (57</w:t>
      </w:r>
      <w:r w:rsidRPr="00641A30">
        <w:rPr>
          <w:rFonts w:ascii="Calibri" w:eastAsia="Calibri" w:hAnsi="Calibri"/>
          <w:sz w:val="24"/>
          <w:szCs w:val="24"/>
        </w:rPr>
        <w:t xml:space="preserve">%) and during pregnancy (49.2%). </w:t>
      </w:r>
    </w:p>
    <w:p w14:paraId="1DC2E2E9" w14:textId="77777777" w:rsidR="00D130D7" w:rsidRPr="00641A30" w:rsidRDefault="00D130D7" w:rsidP="00E552D2">
      <w:pPr>
        <w:pStyle w:val="ListParagraph"/>
        <w:numPr>
          <w:ilvl w:val="0"/>
          <w:numId w:val="109"/>
        </w:numPr>
        <w:spacing w:line="360" w:lineRule="auto"/>
        <w:ind w:right="-360"/>
        <w:rPr>
          <w:rFonts w:ascii="Calibri" w:eastAsia="Calibri" w:hAnsi="Calibri"/>
          <w:sz w:val="24"/>
          <w:szCs w:val="24"/>
        </w:rPr>
      </w:pPr>
      <w:r w:rsidRPr="00641A30">
        <w:rPr>
          <w:rFonts w:ascii="Calibri" w:eastAsia="Calibri" w:hAnsi="Calibri"/>
          <w:sz w:val="24"/>
          <w:szCs w:val="24"/>
        </w:rPr>
        <w:t xml:space="preserve">Between 2013 and 2014, a lower percentage of those who were living at or below 100% of the federal poverty level reported having their teeth cleaned before (57%) or during (50%) pregnancy compared to those above 100% of the federal poverty level (78% and 67%, respectively). </w:t>
      </w:r>
    </w:p>
    <w:p w14:paraId="3F0CFB31" w14:textId="350DD44C" w:rsidR="00641A30" w:rsidRDefault="00641A30">
      <w:pPr>
        <w:spacing w:before="0"/>
        <w:ind w:left="0" w:right="0"/>
        <w:jc w:val="left"/>
        <w:rPr>
          <w:rFonts w:ascii="Calibri" w:eastAsia="Calibri" w:hAnsi="Calibri"/>
          <w:sz w:val="24"/>
          <w:szCs w:val="24"/>
        </w:rPr>
      </w:pPr>
      <w:r>
        <w:rPr>
          <w:rFonts w:ascii="Calibri" w:eastAsia="Calibri" w:hAnsi="Calibri"/>
          <w:sz w:val="24"/>
          <w:szCs w:val="24"/>
        </w:rPr>
        <w:br w:type="page"/>
      </w:r>
    </w:p>
    <w:p w14:paraId="6E962F2A" w14:textId="77777777" w:rsidR="007F5F23" w:rsidRPr="00641A30" w:rsidRDefault="007F5F23" w:rsidP="00E552D2">
      <w:pPr>
        <w:pStyle w:val="ListParagraph"/>
        <w:spacing w:line="360" w:lineRule="auto"/>
        <w:ind w:left="360" w:right="-360"/>
        <w:rPr>
          <w:rFonts w:ascii="Calibri" w:eastAsia="Calibri" w:hAnsi="Calibri"/>
          <w:sz w:val="24"/>
          <w:szCs w:val="24"/>
        </w:rPr>
      </w:pPr>
    </w:p>
    <w:p w14:paraId="5887C6E1" w14:textId="77777777" w:rsidR="00D130D7" w:rsidRPr="00641A30" w:rsidRDefault="00D130D7" w:rsidP="00E552D2">
      <w:pPr>
        <w:pStyle w:val="SHAFigureNumber"/>
        <w:spacing w:line="360" w:lineRule="auto"/>
        <w:rPr>
          <w:sz w:val="24"/>
          <w:szCs w:val="24"/>
        </w:rPr>
      </w:pPr>
      <w:r w:rsidRPr="00641A30">
        <w:rPr>
          <w:sz w:val="24"/>
          <w:szCs w:val="24"/>
        </w:rPr>
        <w:t>Figure 7.10</w:t>
      </w:r>
    </w:p>
    <w:p w14:paraId="6BE59574" w14:textId="62CD9A85" w:rsidR="00D130D7" w:rsidRPr="00641A30" w:rsidRDefault="00D130D7" w:rsidP="00E552D2">
      <w:pPr>
        <w:pStyle w:val="SHAFigureNumber"/>
        <w:spacing w:line="360" w:lineRule="auto"/>
        <w:rPr>
          <w:rFonts w:eastAsia="Times New Roman" w:cs="Calibri"/>
          <w:noProof/>
          <w:color w:val="000000"/>
          <w:sz w:val="24"/>
          <w:szCs w:val="24"/>
        </w:rPr>
      </w:pPr>
      <w:r w:rsidRPr="00641A30">
        <w:rPr>
          <w:rFonts w:eastAsia="Times New Roman" w:cs="Calibri"/>
          <w:color w:val="000000"/>
          <w:sz w:val="24"/>
          <w:szCs w:val="24"/>
        </w:rPr>
        <w:t>Percent of Pr</w:t>
      </w:r>
      <w:r w:rsidR="00760D8A" w:rsidRPr="00641A30">
        <w:rPr>
          <w:rFonts w:eastAsia="Times New Roman" w:cs="Calibri"/>
          <w:color w:val="000000"/>
          <w:sz w:val="24"/>
          <w:szCs w:val="24"/>
        </w:rPr>
        <w:t>egnant Women w</w:t>
      </w:r>
      <w:r w:rsidRPr="00641A30">
        <w:rPr>
          <w:rFonts w:eastAsia="Times New Roman" w:cs="Calibri"/>
          <w:color w:val="000000"/>
          <w:sz w:val="24"/>
          <w:szCs w:val="24"/>
        </w:rPr>
        <w:t xml:space="preserve">ho </w:t>
      </w:r>
      <w:proofErr w:type="gramStart"/>
      <w:r w:rsidRPr="00641A30">
        <w:rPr>
          <w:rFonts w:eastAsia="Times New Roman" w:cs="Calibri"/>
          <w:color w:val="000000"/>
          <w:sz w:val="24"/>
          <w:szCs w:val="24"/>
        </w:rPr>
        <w:t>Had</w:t>
      </w:r>
      <w:proofErr w:type="gramEnd"/>
      <w:r w:rsidRPr="00641A30">
        <w:rPr>
          <w:rFonts w:eastAsia="Times New Roman" w:cs="Calibri"/>
          <w:color w:val="000000"/>
          <w:sz w:val="24"/>
          <w:szCs w:val="24"/>
        </w:rPr>
        <w:t xml:space="preserve"> Their Teeth Clean</w:t>
      </w:r>
      <w:r w:rsidR="00760D8A" w:rsidRPr="00641A30">
        <w:rPr>
          <w:rFonts w:eastAsia="Times New Roman" w:cs="Calibri"/>
          <w:color w:val="000000"/>
          <w:sz w:val="24"/>
          <w:szCs w:val="24"/>
        </w:rPr>
        <w:t>ed, b</w:t>
      </w:r>
      <w:r w:rsidR="00100ABE" w:rsidRPr="00641A30">
        <w:rPr>
          <w:rFonts w:eastAsia="Times New Roman" w:cs="Calibri"/>
          <w:color w:val="000000"/>
          <w:sz w:val="24"/>
          <w:szCs w:val="24"/>
        </w:rPr>
        <w:t>y Race/Ethnicity, 2013</w:t>
      </w:r>
    </w:p>
    <w:p w14:paraId="524DAC84" w14:textId="39FD7ED8" w:rsidR="00DA0412" w:rsidRPr="00641A30" w:rsidRDefault="00DA0412" w:rsidP="00E552D2">
      <w:pPr>
        <w:pStyle w:val="SHAFigureNumber"/>
        <w:spacing w:line="360" w:lineRule="auto"/>
        <w:rPr>
          <w:rFonts w:eastAsia="Times New Roman" w:cs="Calibri"/>
          <w:noProof/>
          <w:color w:val="000000"/>
          <w:sz w:val="24"/>
          <w:szCs w:val="24"/>
        </w:rPr>
      </w:pPr>
      <w:r w:rsidRPr="00641A30">
        <w:rPr>
          <w:noProof/>
          <w:sz w:val="24"/>
          <w:szCs w:val="24"/>
        </w:rPr>
        <w:drawing>
          <wp:inline distT="0" distB="0" distL="0" distR="0" wp14:anchorId="4CF804AD" wp14:editId="27DF64D8">
            <wp:extent cx="5759532" cy="3230088"/>
            <wp:effectExtent l="0" t="0" r="12700" b="27940"/>
            <wp:docPr id="211" name="Chart 211" descr="This bar chart illustrates racial/ethnic disparities in dental visits among pregnant women. Among pregnant women, between 2013 and 2014 a greater percentage of White non-Hispanic women reported a dental visit in the past year (78.4%) and during pregnancy (67.3%) compared to other racial/ethnic groups. Black non-Hispanic women had the lowest prevalence of dental visits in the past year (57.0%) and during pregnancy (49.2%). 58.8% of Asian non-Hispanic women had their teeth cleaned in the past year and only 54.2% during pregnancy. Hispanic women had a slightly higher prevalence of dental visits in the past year (64.3% and during pregnancy (56.2%). ">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E8D4C1F7-0D5A-4411-BBA1-CB9C20533CF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3"/>
              </a:graphicData>
            </a:graphic>
          </wp:inline>
        </w:drawing>
      </w:r>
    </w:p>
    <w:p w14:paraId="61A37CAC" w14:textId="77777777" w:rsidR="00D130D7" w:rsidRPr="00641A30" w:rsidRDefault="00D130D7" w:rsidP="00E552D2">
      <w:pPr>
        <w:pStyle w:val="Heading4"/>
        <w:spacing w:line="360" w:lineRule="auto"/>
        <w:rPr>
          <w:rFonts w:cs="Times New Roman"/>
          <w:noProof w:val="0"/>
        </w:rPr>
      </w:pPr>
      <w:r w:rsidRPr="00641A30">
        <w:t>Older Adults</w:t>
      </w:r>
    </w:p>
    <w:p w14:paraId="4B9A0427" w14:textId="77777777" w:rsidR="0077573F" w:rsidRPr="00641A30" w:rsidRDefault="0077573F" w:rsidP="00E552D2">
      <w:pPr>
        <w:spacing w:line="360" w:lineRule="auto"/>
        <w:ind w:right="-360"/>
        <w:rPr>
          <w:rFonts w:ascii="Calibri" w:eastAsia="Calibri" w:hAnsi="Calibri"/>
          <w:sz w:val="24"/>
          <w:szCs w:val="24"/>
        </w:rPr>
      </w:pPr>
      <w:r w:rsidRPr="00641A30">
        <w:rPr>
          <w:rFonts w:ascii="Calibri" w:eastAsia="Calibri" w:hAnsi="Calibri"/>
          <w:sz w:val="24"/>
          <w:szCs w:val="24"/>
        </w:rPr>
        <w:t>Regardless of age, individuals with special health care needs often do not receive needed oral health care due to a lack of dental providers with expertise to treat them. Massachusetts is unique in that it has six specialized dental clinics operated by Tufts Dental Facilities to serve individuals with intellectual and/or developmental disabilities. In Fiscal Year 2016, Tufts Dental Facilities served 7,068 patients during more than 24,000 visits.</w:t>
      </w:r>
    </w:p>
    <w:p w14:paraId="57F2C44D" w14:textId="77777777" w:rsidR="00D130D7" w:rsidRPr="00641A30" w:rsidRDefault="00D130D7" w:rsidP="00E552D2">
      <w:pPr>
        <w:pStyle w:val="ListParagraph"/>
        <w:numPr>
          <w:ilvl w:val="0"/>
          <w:numId w:val="210"/>
        </w:numPr>
        <w:spacing w:line="360" w:lineRule="auto"/>
        <w:ind w:right="-360"/>
        <w:rPr>
          <w:rFonts w:ascii="Calibri" w:eastAsia="Calibri" w:hAnsi="Calibri"/>
          <w:sz w:val="24"/>
          <w:szCs w:val="24"/>
        </w:rPr>
      </w:pPr>
      <w:r w:rsidRPr="00641A30">
        <w:rPr>
          <w:rFonts w:ascii="Calibri" w:eastAsia="Calibri" w:hAnsi="Calibri"/>
          <w:sz w:val="24"/>
          <w:szCs w:val="24"/>
        </w:rPr>
        <w:t>In 2014, 15.6% of Massachusetts adults had six or more teeth missing.</w:t>
      </w:r>
    </w:p>
    <w:p w14:paraId="17619471" w14:textId="77777777" w:rsidR="00D130D7" w:rsidRPr="00641A30" w:rsidRDefault="00D130D7" w:rsidP="00E552D2">
      <w:pPr>
        <w:pStyle w:val="ListParagraph"/>
        <w:numPr>
          <w:ilvl w:val="0"/>
          <w:numId w:val="210"/>
        </w:numPr>
        <w:spacing w:line="360" w:lineRule="auto"/>
        <w:ind w:right="-360"/>
        <w:rPr>
          <w:rFonts w:ascii="Calibri" w:eastAsia="Calibri" w:hAnsi="Calibri"/>
          <w:sz w:val="24"/>
          <w:szCs w:val="24"/>
        </w:rPr>
      </w:pPr>
      <w:r w:rsidRPr="00641A30">
        <w:rPr>
          <w:rFonts w:ascii="Calibri" w:eastAsia="Calibri" w:hAnsi="Calibri"/>
          <w:sz w:val="24"/>
          <w:szCs w:val="24"/>
        </w:rPr>
        <w:t>In 2009, 60% of residents in long-term care facilities had some natural teeth. Of these, 59% had untreated decay and 7% had urgent dental needs.</w:t>
      </w:r>
      <w:r w:rsidRPr="00641A30">
        <w:rPr>
          <w:rStyle w:val="EndnoteReference"/>
          <w:rFonts w:ascii="Calibri" w:eastAsia="Calibri" w:hAnsi="Calibri"/>
          <w:sz w:val="24"/>
          <w:szCs w:val="24"/>
        </w:rPr>
        <w:endnoteReference w:id="25"/>
      </w:r>
      <w:r w:rsidRPr="00641A30">
        <w:rPr>
          <w:rFonts w:ascii="Calibri" w:eastAsia="Calibri" w:hAnsi="Calibri"/>
          <w:sz w:val="24"/>
          <w:szCs w:val="24"/>
        </w:rPr>
        <w:t xml:space="preserve"> </w:t>
      </w:r>
    </w:p>
    <w:p w14:paraId="3058B21C" w14:textId="77777777" w:rsidR="00D130D7" w:rsidRPr="00641A30" w:rsidRDefault="00D130D7" w:rsidP="00E552D2">
      <w:pPr>
        <w:pStyle w:val="Heading4"/>
        <w:spacing w:line="360" w:lineRule="auto"/>
      </w:pPr>
      <w:r w:rsidRPr="00641A30">
        <w:t>Insurance Status</w:t>
      </w:r>
    </w:p>
    <w:p w14:paraId="55B5998A" w14:textId="77777777" w:rsidR="00D130D7" w:rsidRPr="00641A30" w:rsidRDefault="00D130D7" w:rsidP="00E552D2">
      <w:pPr>
        <w:spacing w:line="360" w:lineRule="auto"/>
        <w:ind w:right="-360"/>
        <w:rPr>
          <w:rFonts w:ascii="Calibri" w:eastAsia="Calibri" w:hAnsi="Calibri"/>
          <w:sz w:val="24"/>
          <w:szCs w:val="24"/>
        </w:rPr>
      </w:pPr>
      <w:r w:rsidRPr="00641A30">
        <w:rPr>
          <w:rFonts w:ascii="Calibri" w:eastAsia="Calibri" w:hAnsi="Calibri"/>
          <w:sz w:val="24"/>
          <w:szCs w:val="24"/>
        </w:rPr>
        <w:t xml:space="preserve">Health insurance is an important determinant of access to dental oral health care. According to the Centers for Medicare and Medicaid Services (CMS), in Fiscal Year 2015 there were 668,111 individuals under the age of 21 </w:t>
      </w:r>
      <w:r w:rsidRPr="00641A30">
        <w:rPr>
          <w:rFonts w:ascii="Calibri" w:eastAsia="Calibri" w:hAnsi="Calibri"/>
          <w:sz w:val="24"/>
          <w:szCs w:val="24"/>
        </w:rPr>
        <w:lastRenderedPageBreak/>
        <w:t>enrolled in MassHealth for at least 90 continuous days and of those only 55.1% received any dental oral health care.</w:t>
      </w:r>
      <w:r w:rsidRPr="00641A30">
        <w:rPr>
          <w:rFonts w:ascii="Calibri" w:eastAsia="Calibri" w:hAnsi="Calibri"/>
          <w:sz w:val="24"/>
          <w:szCs w:val="24"/>
          <w:vertAlign w:val="superscript"/>
        </w:rPr>
        <w:t xml:space="preserve">16 </w:t>
      </w:r>
      <w:r w:rsidRPr="00641A30">
        <w:rPr>
          <w:rFonts w:ascii="Calibri" w:eastAsia="Calibri" w:hAnsi="Calibri"/>
          <w:sz w:val="24"/>
          <w:szCs w:val="24"/>
        </w:rPr>
        <w:t xml:space="preserve">The proportion of dental providers who accept MassHealth insurance remains low. Approximately 45% of dentists reported treating patients with MassHealth insurance. Only 28% of those dentists reported that patients on MassHealth insurance made up more than half of their patient population. </w:t>
      </w:r>
    </w:p>
    <w:p w14:paraId="32D013E8" w14:textId="77777777" w:rsidR="00D130D7" w:rsidRPr="00641A30" w:rsidRDefault="00D130D7" w:rsidP="00E552D2">
      <w:pPr>
        <w:pStyle w:val="Heading4"/>
        <w:spacing w:line="360" w:lineRule="auto"/>
        <w:rPr>
          <w:rFonts w:ascii="Calibri" w:hAnsi="Calibri"/>
          <w:lang w:val="fr-FR"/>
        </w:rPr>
      </w:pPr>
      <w:r w:rsidRPr="00641A30">
        <w:t>Water Fluoridation</w:t>
      </w:r>
    </w:p>
    <w:p w14:paraId="73987DC6" w14:textId="52779F2C" w:rsidR="00945BDC" w:rsidRPr="00641A30" w:rsidRDefault="00D130D7" w:rsidP="00E552D2">
      <w:pPr>
        <w:spacing w:line="360" w:lineRule="auto"/>
        <w:ind w:right="-360"/>
        <w:rPr>
          <w:rFonts w:ascii="Calibri" w:eastAsia="Calibri" w:hAnsi="Calibri"/>
          <w:sz w:val="24"/>
          <w:szCs w:val="24"/>
        </w:rPr>
      </w:pPr>
      <w:r w:rsidRPr="00641A30">
        <w:rPr>
          <w:rFonts w:ascii="Calibri" w:eastAsia="Calibri" w:hAnsi="Calibri"/>
          <w:sz w:val="24"/>
          <w:szCs w:val="24"/>
        </w:rPr>
        <w:t>Community water fluoridation has been shown to prevent up to 25% of tooth decay in children and adults.</w:t>
      </w:r>
      <w:r w:rsidRPr="00641A30">
        <w:rPr>
          <w:rStyle w:val="EndnoteReference"/>
          <w:rFonts w:ascii="Calibri" w:eastAsia="Calibri" w:hAnsi="Calibri"/>
          <w:sz w:val="24"/>
          <w:szCs w:val="24"/>
        </w:rPr>
        <w:endnoteReference w:id="26"/>
      </w:r>
      <w:r w:rsidRPr="00641A30">
        <w:rPr>
          <w:rFonts w:ascii="Calibri" w:eastAsia="Calibri" w:hAnsi="Calibri"/>
          <w:sz w:val="24"/>
          <w:szCs w:val="24"/>
        </w:rPr>
        <w:t xml:space="preserve"> Fluoride is a naturally occurring element in many water supplies in trace amounts. In public water supply systems the fluoride level is adjusted to an optimal level to improve oral health in children. Fluoride is safe, odorless, colorless, and tasteless. More than 3.9 million people in Massachusetts receive the health and economic benefits of fluoridation. As of February 2017 more cities and towns in the eastern and central regions of Massachusetts are fluoridated, with few or no cities and towns in western Massachusetts and the cape cod region being fluoridated.</w:t>
      </w:r>
    </w:p>
    <w:p w14:paraId="3C1E149C" w14:textId="0CDA43CB" w:rsidR="00D130D7" w:rsidRPr="00641A30" w:rsidRDefault="00D130D7" w:rsidP="00641A30">
      <w:pPr>
        <w:spacing w:before="0"/>
        <w:ind w:left="0" w:right="0"/>
        <w:jc w:val="center"/>
        <w:rPr>
          <w:rFonts w:ascii="Times New Roman" w:hAnsi="Times New Roman"/>
          <w:b/>
          <w:sz w:val="24"/>
          <w:szCs w:val="24"/>
        </w:rPr>
      </w:pPr>
      <w:bookmarkStart w:id="6" w:name="_Hlk494371060"/>
      <w:r w:rsidRPr="00641A30">
        <w:rPr>
          <w:b/>
        </w:rPr>
        <w:t>Figure 7.11</w:t>
      </w:r>
    </w:p>
    <w:p w14:paraId="69096BED" w14:textId="77777777" w:rsidR="00D130D7" w:rsidRDefault="00D130D7" w:rsidP="00E552D2">
      <w:pPr>
        <w:pStyle w:val="SHAFigureNumber"/>
        <w:spacing w:line="360" w:lineRule="auto"/>
      </w:pPr>
      <w:r w:rsidRPr="00860E22">
        <w:t>Fluoridated Towns and Cities, Massachusetts, 2017</w:t>
      </w:r>
    </w:p>
    <w:bookmarkEnd w:id="6"/>
    <w:p w14:paraId="297E5956" w14:textId="074D002B" w:rsidR="00D130D7" w:rsidRDefault="00860E22" w:rsidP="00E552D2">
      <w:pPr>
        <w:spacing w:line="360" w:lineRule="auto"/>
        <w:ind w:right="-360"/>
        <w:jc w:val="center"/>
      </w:pPr>
      <w:r>
        <w:drawing>
          <wp:inline distT="0" distB="0" distL="0" distR="0" wp14:anchorId="300C1344" wp14:editId="527DB2DC">
            <wp:extent cx="6209535" cy="3763108"/>
            <wp:effectExtent l="0" t="0" r="1270" b="8890"/>
            <wp:docPr id="241" name="Picture 241" descr="This map of Massachusetts shows the cities and towns that are fluoridated. As of February 2017, more cities and towns in the eastern and metro-Boston area of Massachusetts are fluoridated, with few or no cities and towns in western Massachusetts and the cape cod region being fluorid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 name="7_11_FlourideTowns.jpg"/>
                    <pic:cNvPicPr/>
                  </pic:nvPicPr>
                  <pic:blipFill rotWithShape="1">
                    <a:blip r:embed="rId194" cstate="print">
                      <a:extLst>
                        <a:ext uri="{28A0092B-C50C-407E-A947-70E740481C1C}">
                          <a14:useLocalDpi xmlns:a14="http://schemas.microsoft.com/office/drawing/2010/main" val="0"/>
                        </a:ext>
                      </a:extLst>
                    </a:blip>
                    <a:srcRect t="8899" b="4527"/>
                    <a:stretch/>
                  </pic:blipFill>
                  <pic:spPr bwMode="auto">
                    <a:xfrm>
                      <a:off x="0" y="0"/>
                      <a:ext cx="6216369" cy="3767249"/>
                    </a:xfrm>
                    <a:prstGeom prst="rect">
                      <a:avLst/>
                    </a:prstGeom>
                    <a:ln>
                      <a:noFill/>
                    </a:ln>
                    <a:extLst>
                      <a:ext uri="{53640926-AAD7-44D8-BBD7-CCE9431645EC}">
                        <a14:shadowObscured xmlns:a14="http://schemas.microsoft.com/office/drawing/2010/main"/>
                      </a:ext>
                    </a:extLst>
                  </pic:spPr>
                </pic:pic>
              </a:graphicData>
            </a:graphic>
          </wp:inline>
        </w:drawing>
      </w:r>
    </w:p>
    <w:p w14:paraId="6F3603D8" w14:textId="77777777" w:rsidR="00D130D7" w:rsidRPr="00B06E88" w:rsidRDefault="00D130D7" w:rsidP="00E552D2">
      <w:pPr>
        <w:pStyle w:val="Heading2"/>
        <w:spacing w:line="360" w:lineRule="auto"/>
      </w:pPr>
      <w:r w:rsidRPr="00B06E88">
        <w:lastRenderedPageBreak/>
        <w:t>Mental Health</w:t>
      </w:r>
    </w:p>
    <w:p w14:paraId="063E59E0" w14:textId="1E145642" w:rsidR="00D130D7" w:rsidRPr="00641A30" w:rsidRDefault="00D130D7" w:rsidP="00E552D2">
      <w:pPr>
        <w:spacing w:line="360" w:lineRule="auto"/>
        <w:ind w:right="-360"/>
        <w:rPr>
          <w:color w:val="000000" w:themeColor="text1"/>
          <w:sz w:val="24"/>
          <w:szCs w:val="24"/>
        </w:rPr>
      </w:pPr>
      <w:r w:rsidRPr="00641A30">
        <w:rPr>
          <w:color w:val="000000" w:themeColor="text1"/>
          <w:sz w:val="24"/>
          <w:szCs w:val="24"/>
        </w:rPr>
        <w:t xml:space="preserve">Approximately one out of seven </w:t>
      </w:r>
      <w:r w:rsidR="00373F3B" w:rsidRPr="00641A30">
        <w:rPr>
          <w:color w:val="000000" w:themeColor="text1"/>
          <w:sz w:val="24"/>
          <w:szCs w:val="24"/>
        </w:rPr>
        <w:t>W</w:t>
      </w:r>
      <w:r w:rsidRPr="00641A30">
        <w:rPr>
          <w:color w:val="000000" w:themeColor="text1"/>
          <w:sz w:val="24"/>
          <w:szCs w:val="24"/>
        </w:rPr>
        <w:t>hite</w:t>
      </w:r>
      <w:r w:rsidR="00373F3B" w:rsidRPr="00641A30">
        <w:rPr>
          <w:color w:val="000000" w:themeColor="text1"/>
          <w:sz w:val="24"/>
          <w:szCs w:val="24"/>
        </w:rPr>
        <w:t xml:space="preserve"> non-Hispanics</w:t>
      </w:r>
      <w:r w:rsidRPr="00641A30">
        <w:rPr>
          <w:color w:val="000000" w:themeColor="text1"/>
          <w:sz w:val="24"/>
          <w:szCs w:val="24"/>
        </w:rPr>
        <w:t>, one out of eight Black</w:t>
      </w:r>
      <w:r w:rsidR="00760D8A" w:rsidRPr="00641A30">
        <w:rPr>
          <w:color w:val="000000" w:themeColor="text1"/>
          <w:sz w:val="24"/>
          <w:szCs w:val="24"/>
        </w:rPr>
        <w:t xml:space="preserve"> non-Hispanic</w:t>
      </w:r>
      <w:r w:rsidRPr="00641A30">
        <w:rPr>
          <w:color w:val="000000" w:themeColor="text1"/>
          <w:sz w:val="24"/>
          <w:szCs w:val="24"/>
        </w:rPr>
        <w:t>s, and one out of six Latin</w:t>
      </w:r>
      <w:r w:rsidR="00FC0BF4" w:rsidRPr="00641A30">
        <w:rPr>
          <w:color w:val="000000" w:themeColor="text1"/>
          <w:sz w:val="24"/>
          <w:szCs w:val="24"/>
        </w:rPr>
        <w:t>os living in Massachusetts reported experiencing</w:t>
      </w:r>
      <w:r w:rsidRPr="00641A30">
        <w:rPr>
          <w:color w:val="000000" w:themeColor="text1"/>
          <w:sz w:val="24"/>
          <w:szCs w:val="24"/>
        </w:rPr>
        <w:t xml:space="preserve"> a mental health disorder in the last year. Looking at specifics of mental health, Latinos have higher rates of depression and poor self-repo</w:t>
      </w:r>
      <w:r w:rsidR="00760D8A" w:rsidRPr="00641A30">
        <w:rPr>
          <w:color w:val="000000" w:themeColor="text1"/>
          <w:sz w:val="24"/>
          <w:szCs w:val="24"/>
        </w:rPr>
        <w:t>rted mental health compared to White non-Hispanic</w:t>
      </w:r>
      <w:r w:rsidRPr="00641A30">
        <w:rPr>
          <w:color w:val="000000" w:themeColor="text1"/>
          <w:sz w:val="24"/>
          <w:szCs w:val="24"/>
        </w:rPr>
        <w:t xml:space="preserve">, patterns that </w:t>
      </w:r>
      <w:r w:rsidR="00754175" w:rsidRPr="00641A30">
        <w:rPr>
          <w:color w:val="000000" w:themeColor="text1"/>
          <w:sz w:val="24"/>
          <w:szCs w:val="24"/>
        </w:rPr>
        <w:t>are not seen in the overall US</w:t>
      </w:r>
      <w:r w:rsidRPr="00641A30">
        <w:rPr>
          <w:color w:val="000000" w:themeColor="text1"/>
          <w:sz w:val="24"/>
          <w:szCs w:val="24"/>
        </w:rPr>
        <w:t xml:space="preserve"> population.</w:t>
      </w:r>
      <w:r w:rsidRPr="00641A30">
        <w:rPr>
          <w:rStyle w:val="EndnoteReference"/>
          <w:color w:val="000000" w:themeColor="text1"/>
          <w:sz w:val="24"/>
          <w:szCs w:val="24"/>
        </w:rPr>
        <w:endnoteReference w:id="27"/>
      </w:r>
      <w:r w:rsidRPr="00641A30">
        <w:rPr>
          <w:color w:val="000000" w:themeColor="text1"/>
          <w:sz w:val="24"/>
          <w:szCs w:val="24"/>
        </w:rPr>
        <w:t xml:space="preserve"> As Massachusetts struggles to address the opioid crisis, one of MDPH’s goals is to improve coordination between substance use</w:t>
      </w:r>
      <w:r w:rsidR="00754175" w:rsidRPr="00641A30">
        <w:rPr>
          <w:color w:val="000000" w:themeColor="text1"/>
          <w:sz w:val="24"/>
          <w:szCs w:val="24"/>
        </w:rPr>
        <w:t xml:space="preserve"> disorder</w:t>
      </w:r>
      <w:r w:rsidRPr="00641A30">
        <w:rPr>
          <w:color w:val="000000" w:themeColor="text1"/>
          <w:sz w:val="24"/>
          <w:szCs w:val="24"/>
        </w:rPr>
        <w:t xml:space="preserve"> and mental health issues. </w:t>
      </w:r>
      <w:r w:rsidR="00754175" w:rsidRPr="00641A30">
        <w:rPr>
          <w:color w:val="000000" w:themeColor="text1"/>
          <w:sz w:val="24"/>
          <w:szCs w:val="24"/>
        </w:rPr>
        <w:t>Additonal mental h</w:t>
      </w:r>
      <w:r w:rsidRPr="00641A30">
        <w:rPr>
          <w:color w:val="000000" w:themeColor="text1"/>
          <w:sz w:val="24"/>
          <w:szCs w:val="24"/>
        </w:rPr>
        <w:t>ealth</w:t>
      </w:r>
      <w:r w:rsidR="00754175" w:rsidRPr="00641A30">
        <w:rPr>
          <w:color w:val="000000" w:themeColor="text1"/>
          <w:sz w:val="24"/>
          <w:szCs w:val="24"/>
        </w:rPr>
        <w:t xml:space="preserve"> information can be found</w:t>
      </w:r>
      <w:r w:rsidRPr="00641A30">
        <w:rPr>
          <w:color w:val="000000" w:themeColor="text1"/>
          <w:sz w:val="24"/>
          <w:szCs w:val="24"/>
        </w:rPr>
        <w:t xml:space="preserve"> in Chapters 5</w:t>
      </w:r>
      <w:r w:rsidR="00760D8A" w:rsidRPr="00641A30">
        <w:rPr>
          <w:color w:val="000000" w:themeColor="text1"/>
          <w:sz w:val="24"/>
          <w:szCs w:val="24"/>
        </w:rPr>
        <w:t>, 6,</w:t>
      </w:r>
      <w:r w:rsidRPr="00641A30">
        <w:rPr>
          <w:color w:val="000000" w:themeColor="text1"/>
          <w:sz w:val="24"/>
          <w:szCs w:val="24"/>
        </w:rPr>
        <w:t xml:space="preserve"> and 8.</w:t>
      </w:r>
    </w:p>
    <w:p w14:paraId="210AA923" w14:textId="6FE2AD1D" w:rsidR="00D130D7" w:rsidRPr="00641A30" w:rsidRDefault="00D130D7" w:rsidP="00E552D2">
      <w:pPr>
        <w:pStyle w:val="Heading3"/>
        <w:spacing w:line="360" w:lineRule="auto"/>
        <w:rPr>
          <w:sz w:val="24"/>
          <w:szCs w:val="24"/>
        </w:rPr>
      </w:pPr>
      <w:r w:rsidRPr="00641A30">
        <w:rPr>
          <w:sz w:val="24"/>
          <w:szCs w:val="24"/>
        </w:rPr>
        <w:t>Trends/Disparities</w:t>
      </w:r>
    </w:p>
    <w:p w14:paraId="3107777C" w14:textId="77777777" w:rsidR="00D130D7" w:rsidRPr="00641A30" w:rsidRDefault="00D130D7" w:rsidP="00E552D2">
      <w:pPr>
        <w:pStyle w:val="Heading4"/>
        <w:spacing w:line="360" w:lineRule="auto"/>
      </w:pPr>
      <w:r w:rsidRPr="00641A30">
        <w:t>Utilization</w:t>
      </w:r>
    </w:p>
    <w:p w14:paraId="067FACBD" w14:textId="77777777" w:rsidR="00D130D7" w:rsidRPr="00641A30" w:rsidRDefault="00D130D7" w:rsidP="00E552D2">
      <w:pPr>
        <w:spacing w:line="360" w:lineRule="auto"/>
        <w:ind w:right="-360"/>
        <w:rPr>
          <w:color w:val="000000" w:themeColor="text1"/>
          <w:sz w:val="24"/>
          <w:szCs w:val="24"/>
        </w:rPr>
      </w:pPr>
      <w:r w:rsidRPr="00641A30">
        <w:rPr>
          <w:color w:val="000000" w:themeColor="text1"/>
          <w:sz w:val="24"/>
          <w:szCs w:val="24"/>
        </w:rPr>
        <w:t>Among those with mental illness, Latinos were less likely to receive any mental health care in the last year in Massachusetts, with disparities similar to the rest of the US.</w:t>
      </w:r>
      <w:r w:rsidRPr="00641A30">
        <w:rPr>
          <w:rStyle w:val="EndnoteReference"/>
          <w:color w:val="000000" w:themeColor="text1"/>
          <w:sz w:val="24"/>
          <w:szCs w:val="24"/>
        </w:rPr>
        <w:endnoteReference w:id="28"/>
      </w:r>
    </w:p>
    <w:p w14:paraId="6B127638" w14:textId="77777777" w:rsidR="00D130D7" w:rsidRPr="00641A30" w:rsidRDefault="00D130D7" w:rsidP="00E552D2">
      <w:pPr>
        <w:pStyle w:val="Heading4"/>
        <w:spacing w:line="360" w:lineRule="auto"/>
      </w:pPr>
      <w:r w:rsidRPr="00641A30">
        <w:t>Older Adults</w:t>
      </w:r>
    </w:p>
    <w:p w14:paraId="3E4E3EF3" w14:textId="77777777" w:rsidR="00D130D7" w:rsidRPr="00641A30" w:rsidRDefault="00D130D7" w:rsidP="00E552D2">
      <w:pPr>
        <w:spacing w:line="360" w:lineRule="auto"/>
        <w:ind w:right="-360"/>
        <w:rPr>
          <w:color w:val="000000" w:themeColor="text1"/>
          <w:sz w:val="24"/>
          <w:szCs w:val="24"/>
        </w:rPr>
      </w:pPr>
      <w:r w:rsidRPr="00641A30">
        <w:rPr>
          <w:color w:val="000000" w:themeColor="text1"/>
          <w:sz w:val="24"/>
          <w:szCs w:val="24"/>
        </w:rPr>
        <w:t>As the number of elderly rises, nearly one in five will suffer from, one or more mental health and/or substance use conditions. One clear trend is the growing risk of avoidable arrest and incarceration. In Massachusetts, approximately 25% of state correctional inmates and up to 50% of county jail and house of correction detainees and inmates receive mental health services. At MCI Framingham, a correctional facility for female offenders, up to 70% of the women awaiting trial or serving sentences receive mental health services.</w:t>
      </w:r>
      <w:r w:rsidRPr="00641A30">
        <w:rPr>
          <w:rStyle w:val="EndnoteReference"/>
          <w:color w:val="000000" w:themeColor="text1"/>
          <w:sz w:val="24"/>
          <w:szCs w:val="24"/>
        </w:rPr>
        <w:endnoteReference w:id="29"/>
      </w:r>
      <w:r w:rsidRPr="00641A30">
        <w:rPr>
          <w:color w:val="000000" w:themeColor="text1"/>
          <w:sz w:val="24"/>
          <w:szCs w:val="24"/>
        </w:rPr>
        <w:t xml:space="preserve"> </w:t>
      </w:r>
    </w:p>
    <w:p w14:paraId="5AD1CCD0" w14:textId="77777777" w:rsidR="00D130D7" w:rsidRPr="00641A30" w:rsidRDefault="00D130D7" w:rsidP="00E552D2">
      <w:pPr>
        <w:spacing w:line="360" w:lineRule="auto"/>
        <w:ind w:right="-360"/>
        <w:rPr>
          <w:color w:val="000000" w:themeColor="text1"/>
          <w:sz w:val="24"/>
          <w:szCs w:val="24"/>
        </w:rPr>
      </w:pPr>
      <w:r w:rsidRPr="00641A30">
        <w:rPr>
          <w:color w:val="000000" w:themeColor="text1"/>
          <w:sz w:val="24"/>
          <w:szCs w:val="24"/>
        </w:rPr>
        <w:t xml:space="preserve">Disparities also exist in access to mental health services. Emergency Service Programs (ESPs) are community-based, recovery-oriented services which offer behavioral health crisis assessment, intervention, and stabilization services. Currently, only children and adults who receive MassHealth benefits receive coverage for ESP services. </w:t>
      </w:r>
    </w:p>
    <w:p w14:paraId="10CFE9D9" w14:textId="77777777" w:rsidR="00641A30" w:rsidRDefault="00641A30">
      <w:pPr>
        <w:spacing w:before="0"/>
        <w:ind w:left="0" w:right="0"/>
        <w:jc w:val="left"/>
        <w:rPr>
          <w:b/>
          <w:sz w:val="30"/>
          <w:szCs w:val="30"/>
        </w:rPr>
      </w:pPr>
      <w:r>
        <w:br w:type="page"/>
      </w:r>
    </w:p>
    <w:p w14:paraId="6B0D487D" w14:textId="129C4A02" w:rsidR="00D130D7" w:rsidRDefault="00D130D7" w:rsidP="00E552D2">
      <w:pPr>
        <w:pStyle w:val="Heading2"/>
        <w:spacing w:line="360" w:lineRule="auto"/>
      </w:pPr>
      <w:r>
        <w:lastRenderedPageBreak/>
        <w:t>Health Care Workforce</w:t>
      </w:r>
    </w:p>
    <w:p w14:paraId="77A2E57C" w14:textId="77777777" w:rsidR="00D130D7" w:rsidRPr="00641A30" w:rsidRDefault="00D130D7" w:rsidP="00E552D2">
      <w:pPr>
        <w:spacing w:line="360" w:lineRule="auto"/>
        <w:ind w:right="-360"/>
        <w:rPr>
          <w:sz w:val="24"/>
          <w:szCs w:val="24"/>
        </w:rPr>
      </w:pPr>
      <w:r w:rsidRPr="00641A30">
        <w:rPr>
          <w:sz w:val="24"/>
          <w:szCs w:val="24"/>
        </w:rPr>
        <w:t>This section describes the health care workforce in Massachusetts in regards to:</w:t>
      </w:r>
    </w:p>
    <w:p w14:paraId="3F4AAC79" w14:textId="77777777" w:rsidR="00D130D7" w:rsidRPr="00641A30" w:rsidRDefault="00D130D7" w:rsidP="00E552D2">
      <w:pPr>
        <w:pStyle w:val="ListParagraph"/>
        <w:numPr>
          <w:ilvl w:val="0"/>
          <w:numId w:val="110"/>
        </w:numPr>
        <w:tabs>
          <w:tab w:val="left" w:pos="6480"/>
        </w:tabs>
        <w:spacing w:line="360" w:lineRule="auto"/>
        <w:ind w:right="-360"/>
        <w:rPr>
          <w:sz w:val="24"/>
          <w:szCs w:val="24"/>
        </w:rPr>
      </w:pPr>
      <w:r w:rsidRPr="00641A30">
        <w:rPr>
          <w:sz w:val="24"/>
          <w:szCs w:val="24"/>
        </w:rPr>
        <w:t>Physicians</w:t>
      </w:r>
    </w:p>
    <w:p w14:paraId="2EC7837C" w14:textId="77777777" w:rsidR="00D130D7" w:rsidRPr="00641A30" w:rsidRDefault="00D130D7" w:rsidP="00E552D2">
      <w:pPr>
        <w:pStyle w:val="ListParagraph"/>
        <w:numPr>
          <w:ilvl w:val="0"/>
          <w:numId w:val="110"/>
        </w:numPr>
        <w:tabs>
          <w:tab w:val="left" w:pos="6480"/>
        </w:tabs>
        <w:spacing w:line="360" w:lineRule="auto"/>
        <w:ind w:right="-360"/>
        <w:rPr>
          <w:sz w:val="24"/>
          <w:szCs w:val="24"/>
        </w:rPr>
      </w:pPr>
      <w:r w:rsidRPr="00641A30">
        <w:rPr>
          <w:sz w:val="24"/>
          <w:szCs w:val="24"/>
        </w:rPr>
        <w:t>Nurses</w:t>
      </w:r>
    </w:p>
    <w:p w14:paraId="370C0A9B" w14:textId="77777777" w:rsidR="00D130D7" w:rsidRPr="00641A30" w:rsidRDefault="00D130D7" w:rsidP="00E552D2">
      <w:pPr>
        <w:pStyle w:val="ListParagraph"/>
        <w:numPr>
          <w:ilvl w:val="0"/>
          <w:numId w:val="110"/>
        </w:numPr>
        <w:tabs>
          <w:tab w:val="left" w:pos="6480"/>
        </w:tabs>
        <w:spacing w:line="360" w:lineRule="auto"/>
        <w:ind w:right="-360"/>
        <w:rPr>
          <w:sz w:val="24"/>
          <w:szCs w:val="24"/>
        </w:rPr>
      </w:pPr>
      <w:r w:rsidRPr="00641A30">
        <w:rPr>
          <w:sz w:val="24"/>
          <w:szCs w:val="24"/>
        </w:rPr>
        <w:t>Pharmacists</w:t>
      </w:r>
    </w:p>
    <w:p w14:paraId="63FFBEFD" w14:textId="77777777" w:rsidR="00D130D7" w:rsidRPr="00641A30" w:rsidRDefault="00D130D7" w:rsidP="00E552D2">
      <w:pPr>
        <w:pStyle w:val="ListParagraph"/>
        <w:numPr>
          <w:ilvl w:val="0"/>
          <w:numId w:val="110"/>
        </w:numPr>
        <w:tabs>
          <w:tab w:val="left" w:pos="6480"/>
        </w:tabs>
        <w:spacing w:line="360" w:lineRule="auto"/>
        <w:ind w:right="-360"/>
        <w:rPr>
          <w:sz w:val="24"/>
          <w:szCs w:val="24"/>
        </w:rPr>
      </w:pPr>
      <w:r w:rsidRPr="00641A30">
        <w:rPr>
          <w:sz w:val="24"/>
          <w:szCs w:val="24"/>
        </w:rPr>
        <w:t>Emergency Medical Technicians</w:t>
      </w:r>
    </w:p>
    <w:p w14:paraId="654ED237" w14:textId="77777777" w:rsidR="00D130D7" w:rsidRPr="00641A30" w:rsidRDefault="00D130D7" w:rsidP="00E552D2">
      <w:pPr>
        <w:pStyle w:val="ListParagraph"/>
        <w:numPr>
          <w:ilvl w:val="0"/>
          <w:numId w:val="110"/>
        </w:numPr>
        <w:tabs>
          <w:tab w:val="left" w:pos="6480"/>
        </w:tabs>
        <w:spacing w:line="360" w:lineRule="auto"/>
        <w:ind w:right="-360"/>
        <w:rPr>
          <w:sz w:val="24"/>
          <w:szCs w:val="24"/>
        </w:rPr>
      </w:pPr>
      <w:r w:rsidRPr="00641A30">
        <w:rPr>
          <w:sz w:val="24"/>
          <w:szCs w:val="24"/>
        </w:rPr>
        <w:t>Community Health Workers</w:t>
      </w:r>
    </w:p>
    <w:p w14:paraId="1BE36DCF" w14:textId="77777777" w:rsidR="00D130D7" w:rsidRPr="00641A30" w:rsidRDefault="00D130D7" w:rsidP="00E552D2">
      <w:pPr>
        <w:pStyle w:val="ListParagraph"/>
        <w:numPr>
          <w:ilvl w:val="0"/>
          <w:numId w:val="110"/>
        </w:numPr>
        <w:tabs>
          <w:tab w:val="left" w:pos="6480"/>
        </w:tabs>
        <w:spacing w:line="360" w:lineRule="auto"/>
        <w:ind w:right="-360"/>
        <w:rPr>
          <w:sz w:val="24"/>
          <w:szCs w:val="24"/>
        </w:rPr>
      </w:pPr>
      <w:r w:rsidRPr="00641A30">
        <w:rPr>
          <w:sz w:val="24"/>
          <w:szCs w:val="24"/>
        </w:rPr>
        <w:t>Mental Health Professionals</w:t>
      </w:r>
    </w:p>
    <w:p w14:paraId="7EF87244" w14:textId="77777777" w:rsidR="00D130D7" w:rsidRPr="00641A30" w:rsidRDefault="00D130D7" w:rsidP="00E552D2">
      <w:pPr>
        <w:pStyle w:val="ListParagraph"/>
        <w:numPr>
          <w:ilvl w:val="0"/>
          <w:numId w:val="110"/>
        </w:numPr>
        <w:tabs>
          <w:tab w:val="left" w:pos="6480"/>
        </w:tabs>
        <w:spacing w:line="360" w:lineRule="auto"/>
        <w:ind w:right="-360"/>
        <w:rPr>
          <w:sz w:val="24"/>
          <w:szCs w:val="24"/>
        </w:rPr>
      </w:pPr>
      <w:r w:rsidRPr="00641A30">
        <w:rPr>
          <w:sz w:val="24"/>
          <w:szCs w:val="24"/>
        </w:rPr>
        <w:t>Dental workers</w:t>
      </w:r>
    </w:p>
    <w:p w14:paraId="1C449344" w14:textId="1097A2B3" w:rsidR="00D130D7" w:rsidRPr="00641A30" w:rsidRDefault="00D130D7" w:rsidP="00E552D2">
      <w:pPr>
        <w:spacing w:line="360" w:lineRule="auto"/>
        <w:ind w:right="-360"/>
        <w:rPr>
          <w:sz w:val="24"/>
          <w:szCs w:val="24"/>
        </w:rPr>
      </w:pPr>
      <w:r w:rsidRPr="00641A30">
        <w:rPr>
          <w:sz w:val="24"/>
          <w:szCs w:val="24"/>
        </w:rPr>
        <w:t>Overall, licensure totals indicate a large availability of health-related professionals in the Commonwealth. These health professionals contribute to increasing access to health care in Massachusetts by creating an infrastructure of regulated, skil</w:t>
      </w:r>
      <w:r w:rsidR="0077573F" w:rsidRPr="00641A30">
        <w:rPr>
          <w:sz w:val="24"/>
          <w:szCs w:val="24"/>
        </w:rPr>
        <w:t>led workers. While the overall health care w</w:t>
      </w:r>
      <w:r w:rsidRPr="00641A30">
        <w:rPr>
          <w:sz w:val="24"/>
          <w:szCs w:val="24"/>
        </w:rPr>
        <w:t>orkforce trends are generally positive, disparities have been found and are described below.</w:t>
      </w:r>
    </w:p>
    <w:p w14:paraId="0DD25539" w14:textId="77777777" w:rsidR="00D130D7" w:rsidRPr="00641A30" w:rsidRDefault="00D130D7" w:rsidP="00E552D2">
      <w:pPr>
        <w:pStyle w:val="Heading3"/>
        <w:spacing w:line="360" w:lineRule="auto"/>
        <w:rPr>
          <w:sz w:val="24"/>
          <w:szCs w:val="24"/>
        </w:rPr>
      </w:pPr>
      <w:r w:rsidRPr="00641A30">
        <w:rPr>
          <w:sz w:val="24"/>
          <w:szCs w:val="24"/>
        </w:rPr>
        <w:t>Trends/Disparities</w:t>
      </w:r>
    </w:p>
    <w:p w14:paraId="2452678C" w14:textId="5D4E79C9" w:rsidR="00921F35" w:rsidRPr="00641A30" w:rsidRDefault="00D130D7" w:rsidP="00945BDC">
      <w:pPr>
        <w:spacing w:line="360" w:lineRule="auto"/>
        <w:ind w:right="-360"/>
        <w:rPr>
          <w:sz w:val="24"/>
          <w:szCs w:val="24"/>
        </w:rPr>
      </w:pPr>
      <w:r w:rsidRPr="00641A30">
        <w:rPr>
          <w:sz w:val="24"/>
          <w:szCs w:val="24"/>
        </w:rPr>
        <w:t>In summary, Massachusetts health professions licensure totals over the past five years increased 24.7% from Fiscal Year 2011 (193,775 licensees) to Fiscal Year 2015 (241,579 licensees). The number of licensees increased for most health-related professions, with the exception of nursing home administrators and emergency medical services (</w:t>
      </w:r>
      <w:r w:rsidR="00DC6891" w:rsidRPr="00641A30">
        <w:rPr>
          <w:sz w:val="24"/>
          <w:szCs w:val="24"/>
        </w:rPr>
        <w:t xml:space="preserve">certified EMTs). </w:t>
      </w:r>
      <w:r w:rsidR="00DC6891" w:rsidRPr="00641A30">
        <w:rPr>
          <w:b/>
          <w:sz w:val="24"/>
          <w:szCs w:val="24"/>
        </w:rPr>
        <w:t>F</w:t>
      </w:r>
      <w:r w:rsidRPr="00641A30">
        <w:rPr>
          <w:b/>
          <w:sz w:val="24"/>
          <w:szCs w:val="24"/>
        </w:rPr>
        <w:t>igure</w:t>
      </w:r>
      <w:r w:rsidR="00DC6891" w:rsidRPr="00641A30">
        <w:rPr>
          <w:b/>
          <w:sz w:val="24"/>
          <w:szCs w:val="24"/>
        </w:rPr>
        <w:t xml:space="preserve"> 7.12</w:t>
      </w:r>
      <w:r w:rsidRPr="00641A30">
        <w:rPr>
          <w:b/>
          <w:sz w:val="24"/>
          <w:szCs w:val="24"/>
        </w:rPr>
        <w:t xml:space="preserve"> </w:t>
      </w:r>
      <w:r w:rsidRPr="00641A30">
        <w:rPr>
          <w:sz w:val="24"/>
          <w:szCs w:val="24"/>
        </w:rPr>
        <w:t xml:space="preserve">is an example of the continuing positive trend in attracting health care professionals across all spectrums of the workforce. </w:t>
      </w:r>
    </w:p>
    <w:p w14:paraId="279FF757" w14:textId="7BF29531" w:rsidR="00D130D7" w:rsidRPr="00641A30" w:rsidRDefault="00332A07" w:rsidP="00E552D2">
      <w:pPr>
        <w:pStyle w:val="SHAFigureNumber"/>
        <w:spacing w:line="360" w:lineRule="auto"/>
        <w:rPr>
          <w:sz w:val="24"/>
          <w:szCs w:val="24"/>
        </w:rPr>
      </w:pPr>
      <w:r w:rsidRPr="00641A30">
        <w:rPr>
          <w:sz w:val="24"/>
          <w:szCs w:val="24"/>
        </w:rPr>
        <w:t>Figure 7.12</w:t>
      </w:r>
      <w:r w:rsidR="00D130D7" w:rsidRPr="00641A30">
        <w:rPr>
          <w:sz w:val="24"/>
          <w:szCs w:val="24"/>
        </w:rPr>
        <w:t xml:space="preserve"> </w:t>
      </w:r>
    </w:p>
    <w:p w14:paraId="3EE09EAB" w14:textId="5E40587F" w:rsidR="00D130D7" w:rsidRPr="00641A30" w:rsidRDefault="00D130D7" w:rsidP="00E552D2">
      <w:pPr>
        <w:pStyle w:val="SHAFigureNumber"/>
        <w:spacing w:line="360" w:lineRule="auto"/>
        <w:rPr>
          <w:sz w:val="24"/>
          <w:szCs w:val="24"/>
        </w:rPr>
      </w:pPr>
      <w:r w:rsidRPr="00641A30">
        <w:rPr>
          <w:sz w:val="24"/>
          <w:szCs w:val="24"/>
        </w:rPr>
        <w:t>Trend</w:t>
      </w:r>
      <w:r w:rsidR="00754175" w:rsidRPr="00641A30">
        <w:rPr>
          <w:sz w:val="24"/>
          <w:szCs w:val="24"/>
        </w:rPr>
        <w:t>s</w:t>
      </w:r>
      <w:r w:rsidRPr="00641A30">
        <w:rPr>
          <w:sz w:val="24"/>
          <w:szCs w:val="24"/>
        </w:rPr>
        <w:t xml:space="preserve"> in the </w:t>
      </w:r>
      <w:r w:rsidR="00754175" w:rsidRPr="00641A30">
        <w:rPr>
          <w:sz w:val="24"/>
          <w:szCs w:val="24"/>
        </w:rPr>
        <w:t>G</w:t>
      </w:r>
      <w:r w:rsidRPr="00641A30">
        <w:rPr>
          <w:sz w:val="24"/>
          <w:szCs w:val="24"/>
        </w:rPr>
        <w:t>rowth of Total Number of MDPH Licensees, Fiscal Years 2011-2015</w:t>
      </w:r>
    </w:p>
    <w:tbl>
      <w:tblPr>
        <w:tblW w:w="9715" w:type="dxa"/>
        <w:jc w:val="center"/>
        <w:tblCellMar>
          <w:top w:w="15" w:type="dxa"/>
          <w:bottom w:w="15" w:type="dxa"/>
        </w:tblCellMar>
        <w:tblLook w:val="04A0" w:firstRow="1" w:lastRow="0" w:firstColumn="1" w:lastColumn="0" w:noHBand="0" w:noVBand="1"/>
        <w:tblDescription w:val="This table illustrates Massachusetts health professions licensure totals over the past five years increased 24.7% from 193,775 licenses in Fiscal Year 2011 to 241,579 licensees. The Board of Registration in Dentistry licensees increased by 33% (5,922 licenses); the Board of Registration of Genetic Counselors licenses increased by 34% (50 licenses); the Board of Registration in Nursing licensees increased by 11% (15,291 licenses); the Board of Registration of Perfusionists licensees increased by 17% (18 licenses); the Board of Registration of Pharmacy increased by 16% (4,033 licenses); the Board of Registration of Physician Assistants increased by 32% (707 licenses); the Board of Respiratory Care increased by 53% (1,064 licenses). The Office of Emergency Medical Services (Certified EMTs) had a 4% decrease in the number of licensees during this time. There was no significant change in the number of licensees from the Board of Registration of Nursing Home Administrators."/>
      </w:tblPr>
      <w:tblGrid>
        <w:gridCol w:w="3088"/>
        <w:gridCol w:w="1006"/>
        <w:gridCol w:w="1006"/>
        <w:gridCol w:w="1006"/>
        <w:gridCol w:w="1006"/>
        <w:gridCol w:w="1006"/>
        <w:gridCol w:w="922"/>
        <w:gridCol w:w="675"/>
      </w:tblGrid>
      <w:tr w:rsidR="00100ABE" w:rsidRPr="00641A30" w14:paraId="2F716187" w14:textId="338DA69F" w:rsidTr="0097398C">
        <w:trPr>
          <w:trHeight w:val="321"/>
          <w:jc w:val="center"/>
        </w:trPr>
        <w:tc>
          <w:tcPr>
            <w:tcW w:w="3404" w:type="dxa"/>
            <w:tcBorders>
              <w:top w:val="single" w:sz="4" w:space="0" w:color="auto"/>
              <w:left w:val="single" w:sz="4" w:space="0" w:color="auto"/>
              <w:bottom w:val="single" w:sz="4" w:space="0" w:color="auto"/>
              <w:right w:val="single" w:sz="4" w:space="0" w:color="auto"/>
            </w:tcBorders>
            <w:shd w:val="clear" w:color="auto" w:fill="C6DBEF"/>
            <w:vAlign w:val="bottom"/>
            <w:hideMark/>
          </w:tcPr>
          <w:p w14:paraId="4A33ECB3" w14:textId="77777777" w:rsidR="00100ABE" w:rsidRPr="00641A30" w:rsidRDefault="00100ABE" w:rsidP="00E552D2">
            <w:pPr>
              <w:spacing w:before="0" w:after="0" w:line="360" w:lineRule="auto"/>
              <w:ind w:left="0" w:right="0"/>
              <w:jc w:val="left"/>
              <w:rPr>
                <w:rFonts w:ascii="Calibri" w:eastAsia="Times New Roman" w:hAnsi="Calibri" w:cs="Times New Roman"/>
                <w:b/>
                <w:bCs/>
                <w:noProof w:val="0"/>
                <w:color w:val="000000"/>
                <w:sz w:val="24"/>
                <w:szCs w:val="24"/>
              </w:rPr>
            </w:pPr>
          </w:p>
        </w:tc>
        <w:tc>
          <w:tcPr>
            <w:tcW w:w="960" w:type="dxa"/>
            <w:tcBorders>
              <w:top w:val="single" w:sz="4" w:space="0" w:color="auto"/>
              <w:left w:val="single" w:sz="4" w:space="0" w:color="auto"/>
              <w:bottom w:val="nil"/>
              <w:right w:val="single" w:sz="4" w:space="0" w:color="auto"/>
            </w:tcBorders>
            <w:shd w:val="clear" w:color="auto" w:fill="C6DBEF"/>
            <w:vAlign w:val="bottom"/>
            <w:hideMark/>
          </w:tcPr>
          <w:p w14:paraId="450C5C0E" w14:textId="77777777" w:rsidR="00100ABE" w:rsidRPr="00641A30" w:rsidRDefault="00100ABE" w:rsidP="00E552D2">
            <w:pPr>
              <w:spacing w:before="0" w:after="0" w:line="360" w:lineRule="auto"/>
              <w:ind w:left="0" w:right="0"/>
              <w:jc w:val="center"/>
              <w:rPr>
                <w:rFonts w:ascii="Calibri" w:eastAsia="Times New Roman" w:hAnsi="Calibri" w:cs="Times New Roman"/>
                <w:b/>
                <w:bCs/>
                <w:noProof w:val="0"/>
                <w:color w:val="000000"/>
                <w:sz w:val="24"/>
                <w:szCs w:val="24"/>
              </w:rPr>
            </w:pPr>
            <w:r w:rsidRPr="00641A30">
              <w:rPr>
                <w:rFonts w:ascii="Calibri" w:eastAsia="Times New Roman" w:hAnsi="Calibri" w:cs="Times New Roman"/>
                <w:b/>
                <w:bCs/>
                <w:noProof w:val="0"/>
                <w:color w:val="000000"/>
                <w:sz w:val="24"/>
                <w:szCs w:val="24"/>
              </w:rPr>
              <w:t>FY2011</w:t>
            </w:r>
          </w:p>
        </w:tc>
        <w:tc>
          <w:tcPr>
            <w:tcW w:w="960" w:type="dxa"/>
            <w:tcBorders>
              <w:top w:val="single" w:sz="4" w:space="0" w:color="auto"/>
              <w:left w:val="single" w:sz="4" w:space="0" w:color="auto"/>
              <w:bottom w:val="nil"/>
              <w:right w:val="single" w:sz="4" w:space="0" w:color="auto"/>
            </w:tcBorders>
            <w:shd w:val="clear" w:color="auto" w:fill="C6DBEF"/>
            <w:vAlign w:val="bottom"/>
            <w:hideMark/>
          </w:tcPr>
          <w:p w14:paraId="06345470" w14:textId="77777777" w:rsidR="00100ABE" w:rsidRPr="00641A30" w:rsidRDefault="00100ABE" w:rsidP="00E552D2">
            <w:pPr>
              <w:spacing w:before="0" w:after="0" w:line="360" w:lineRule="auto"/>
              <w:ind w:left="0" w:right="0"/>
              <w:jc w:val="center"/>
              <w:rPr>
                <w:rFonts w:ascii="Calibri" w:eastAsia="Times New Roman" w:hAnsi="Calibri" w:cs="Times New Roman"/>
                <w:b/>
                <w:bCs/>
                <w:noProof w:val="0"/>
                <w:color w:val="000000"/>
                <w:sz w:val="24"/>
                <w:szCs w:val="24"/>
              </w:rPr>
            </w:pPr>
            <w:r w:rsidRPr="00641A30">
              <w:rPr>
                <w:rFonts w:ascii="Calibri" w:eastAsia="Times New Roman" w:hAnsi="Calibri" w:cs="Times New Roman"/>
                <w:b/>
                <w:bCs/>
                <w:noProof w:val="0"/>
                <w:color w:val="000000"/>
                <w:sz w:val="24"/>
                <w:szCs w:val="24"/>
              </w:rPr>
              <w:t>FY2012</w:t>
            </w:r>
          </w:p>
        </w:tc>
        <w:tc>
          <w:tcPr>
            <w:tcW w:w="959" w:type="dxa"/>
            <w:tcBorders>
              <w:top w:val="single" w:sz="4" w:space="0" w:color="auto"/>
              <w:left w:val="single" w:sz="4" w:space="0" w:color="auto"/>
              <w:bottom w:val="nil"/>
              <w:right w:val="single" w:sz="4" w:space="0" w:color="auto"/>
            </w:tcBorders>
            <w:shd w:val="clear" w:color="auto" w:fill="C6DBEF"/>
            <w:vAlign w:val="bottom"/>
            <w:hideMark/>
          </w:tcPr>
          <w:p w14:paraId="20980DE1" w14:textId="77777777" w:rsidR="00100ABE" w:rsidRPr="00641A30" w:rsidRDefault="00100ABE" w:rsidP="00E552D2">
            <w:pPr>
              <w:spacing w:before="0" w:after="0" w:line="360" w:lineRule="auto"/>
              <w:ind w:left="0" w:right="0"/>
              <w:jc w:val="center"/>
              <w:rPr>
                <w:rFonts w:ascii="Calibri" w:eastAsia="Times New Roman" w:hAnsi="Calibri" w:cs="Times New Roman"/>
                <w:b/>
                <w:bCs/>
                <w:noProof w:val="0"/>
                <w:color w:val="000000"/>
                <w:sz w:val="24"/>
                <w:szCs w:val="24"/>
              </w:rPr>
            </w:pPr>
            <w:r w:rsidRPr="00641A30">
              <w:rPr>
                <w:rFonts w:ascii="Calibri" w:eastAsia="Times New Roman" w:hAnsi="Calibri" w:cs="Times New Roman"/>
                <w:b/>
                <w:bCs/>
                <w:noProof w:val="0"/>
                <w:color w:val="000000"/>
                <w:sz w:val="24"/>
                <w:szCs w:val="24"/>
              </w:rPr>
              <w:t>FY2013</w:t>
            </w:r>
          </w:p>
        </w:tc>
        <w:tc>
          <w:tcPr>
            <w:tcW w:w="959" w:type="dxa"/>
            <w:tcBorders>
              <w:top w:val="single" w:sz="4" w:space="0" w:color="auto"/>
              <w:left w:val="single" w:sz="4" w:space="0" w:color="auto"/>
              <w:bottom w:val="nil"/>
              <w:right w:val="single" w:sz="4" w:space="0" w:color="auto"/>
            </w:tcBorders>
            <w:shd w:val="clear" w:color="auto" w:fill="C6DBEF"/>
            <w:vAlign w:val="bottom"/>
            <w:hideMark/>
          </w:tcPr>
          <w:p w14:paraId="04592544" w14:textId="77777777" w:rsidR="00100ABE" w:rsidRPr="00641A30" w:rsidRDefault="00100ABE" w:rsidP="00E552D2">
            <w:pPr>
              <w:spacing w:before="0" w:after="0" w:line="360" w:lineRule="auto"/>
              <w:ind w:left="0" w:right="0"/>
              <w:jc w:val="center"/>
              <w:rPr>
                <w:rFonts w:ascii="Calibri" w:eastAsia="Times New Roman" w:hAnsi="Calibri" w:cs="Times New Roman"/>
                <w:b/>
                <w:bCs/>
                <w:noProof w:val="0"/>
                <w:color w:val="000000"/>
                <w:sz w:val="24"/>
                <w:szCs w:val="24"/>
              </w:rPr>
            </w:pPr>
            <w:r w:rsidRPr="00641A30">
              <w:rPr>
                <w:rFonts w:ascii="Calibri" w:eastAsia="Times New Roman" w:hAnsi="Calibri" w:cs="Times New Roman"/>
                <w:b/>
                <w:bCs/>
                <w:noProof w:val="0"/>
                <w:color w:val="000000"/>
                <w:sz w:val="24"/>
                <w:szCs w:val="24"/>
              </w:rPr>
              <w:t>FY2014</w:t>
            </w:r>
          </w:p>
        </w:tc>
        <w:tc>
          <w:tcPr>
            <w:tcW w:w="858" w:type="dxa"/>
            <w:tcBorders>
              <w:top w:val="single" w:sz="4" w:space="0" w:color="auto"/>
              <w:left w:val="single" w:sz="4" w:space="0" w:color="auto"/>
              <w:bottom w:val="nil"/>
              <w:right w:val="single" w:sz="4" w:space="0" w:color="auto"/>
            </w:tcBorders>
            <w:shd w:val="clear" w:color="auto" w:fill="C6DBEF"/>
            <w:vAlign w:val="bottom"/>
            <w:hideMark/>
          </w:tcPr>
          <w:p w14:paraId="6AF761D7" w14:textId="77777777" w:rsidR="00100ABE" w:rsidRPr="00641A30" w:rsidRDefault="00100ABE" w:rsidP="00E552D2">
            <w:pPr>
              <w:spacing w:before="0" w:after="0" w:line="360" w:lineRule="auto"/>
              <w:ind w:left="0" w:right="0"/>
              <w:jc w:val="center"/>
              <w:rPr>
                <w:rFonts w:ascii="Calibri" w:eastAsia="Times New Roman" w:hAnsi="Calibri" w:cs="Times New Roman"/>
                <w:b/>
                <w:bCs/>
                <w:noProof w:val="0"/>
                <w:color w:val="000000"/>
                <w:sz w:val="24"/>
                <w:szCs w:val="24"/>
              </w:rPr>
            </w:pPr>
            <w:r w:rsidRPr="00641A30">
              <w:rPr>
                <w:rFonts w:ascii="Calibri" w:eastAsia="Times New Roman" w:hAnsi="Calibri" w:cs="Times New Roman"/>
                <w:b/>
                <w:bCs/>
                <w:noProof w:val="0"/>
                <w:color w:val="000000"/>
                <w:sz w:val="24"/>
                <w:szCs w:val="24"/>
              </w:rPr>
              <w:t>FY2015</w:t>
            </w:r>
          </w:p>
        </w:tc>
        <w:tc>
          <w:tcPr>
            <w:tcW w:w="930" w:type="dxa"/>
            <w:tcBorders>
              <w:top w:val="single" w:sz="4" w:space="0" w:color="auto"/>
              <w:left w:val="single" w:sz="4" w:space="0" w:color="auto"/>
              <w:bottom w:val="nil"/>
              <w:right w:val="single" w:sz="4" w:space="0" w:color="auto"/>
            </w:tcBorders>
            <w:shd w:val="clear" w:color="auto" w:fill="C6DBEF"/>
            <w:vAlign w:val="bottom"/>
          </w:tcPr>
          <w:p w14:paraId="1EEE4927" w14:textId="4A1403E8" w:rsidR="00100ABE" w:rsidRPr="00641A30" w:rsidRDefault="00100ABE" w:rsidP="00E552D2">
            <w:pPr>
              <w:spacing w:before="0" w:after="0" w:line="360" w:lineRule="auto"/>
              <w:ind w:left="0" w:right="0"/>
              <w:jc w:val="center"/>
              <w:rPr>
                <w:rFonts w:ascii="Calibri" w:eastAsia="Times New Roman" w:hAnsi="Calibri" w:cs="Times New Roman"/>
                <w:b/>
                <w:bCs/>
                <w:noProof w:val="0"/>
                <w:color w:val="000000"/>
                <w:sz w:val="24"/>
                <w:szCs w:val="24"/>
              </w:rPr>
            </w:pPr>
            <w:r w:rsidRPr="00641A30">
              <w:rPr>
                <w:rFonts w:ascii="Symbol" w:eastAsia="Times New Roman" w:hAnsi="Symbol" w:cs="Times New Roman"/>
                <w:b/>
                <w:bCs/>
                <w:noProof w:val="0"/>
                <w:color w:val="000000"/>
                <w:sz w:val="24"/>
                <w:szCs w:val="24"/>
              </w:rPr>
              <w:t></w:t>
            </w:r>
            <w:r w:rsidRPr="00641A30">
              <w:rPr>
                <w:rFonts w:ascii="Symbol" w:eastAsia="Times New Roman" w:hAnsi="Symbol" w:cs="Times New Roman"/>
                <w:b/>
                <w:bCs/>
                <w:noProof w:val="0"/>
                <w:color w:val="000000"/>
                <w:sz w:val="24"/>
                <w:szCs w:val="24"/>
              </w:rPr>
              <w:t></w:t>
            </w:r>
            <w:r w:rsidRPr="00641A30">
              <w:rPr>
                <w:rFonts w:eastAsia="Times New Roman" w:cs="Times New Roman"/>
                <w:b/>
                <w:bCs/>
                <w:noProof w:val="0"/>
                <w:color w:val="000000"/>
                <w:sz w:val="24"/>
                <w:szCs w:val="24"/>
              </w:rPr>
              <w:t>11-15</w:t>
            </w:r>
          </w:p>
        </w:tc>
        <w:tc>
          <w:tcPr>
            <w:tcW w:w="685" w:type="dxa"/>
            <w:tcBorders>
              <w:top w:val="single" w:sz="4" w:space="0" w:color="auto"/>
              <w:left w:val="single" w:sz="4" w:space="0" w:color="auto"/>
              <w:bottom w:val="nil"/>
              <w:right w:val="single" w:sz="4" w:space="0" w:color="auto"/>
            </w:tcBorders>
            <w:shd w:val="clear" w:color="auto" w:fill="C6DBEF"/>
            <w:vAlign w:val="bottom"/>
          </w:tcPr>
          <w:p w14:paraId="5C3DFB4D" w14:textId="7CE6BC03" w:rsidR="00100ABE" w:rsidRPr="00641A30" w:rsidRDefault="00100ABE" w:rsidP="00E552D2">
            <w:pPr>
              <w:spacing w:before="0" w:after="0" w:line="360" w:lineRule="auto"/>
              <w:ind w:left="0" w:right="0"/>
              <w:jc w:val="center"/>
              <w:rPr>
                <w:rFonts w:ascii="Calibri" w:eastAsia="Times New Roman" w:hAnsi="Calibri" w:cs="Times New Roman"/>
                <w:b/>
                <w:bCs/>
                <w:noProof w:val="0"/>
                <w:color w:val="000000"/>
                <w:sz w:val="24"/>
                <w:szCs w:val="24"/>
              </w:rPr>
            </w:pPr>
            <w:r w:rsidRPr="00641A30">
              <w:rPr>
                <w:rFonts w:ascii="Symbol" w:eastAsia="Times New Roman" w:hAnsi="Symbol" w:cs="Times New Roman"/>
                <w:b/>
                <w:bCs/>
                <w:noProof w:val="0"/>
                <w:color w:val="000000"/>
                <w:sz w:val="24"/>
                <w:szCs w:val="24"/>
              </w:rPr>
              <w:t></w:t>
            </w:r>
            <w:r w:rsidRPr="00641A30">
              <w:rPr>
                <w:rFonts w:ascii="Symbol" w:eastAsia="Times New Roman" w:hAnsi="Symbol" w:cs="Times New Roman"/>
                <w:b/>
                <w:bCs/>
                <w:noProof w:val="0"/>
                <w:color w:val="000000"/>
                <w:sz w:val="24"/>
                <w:szCs w:val="24"/>
              </w:rPr>
              <w:t></w:t>
            </w:r>
            <w:r w:rsidRPr="00641A30">
              <w:rPr>
                <w:rFonts w:ascii="Symbol" w:eastAsia="Times New Roman" w:hAnsi="Symbol" w:cs="Times New Roman"/>
                <w:b/>
                <w:bCs/>
                <w:noProof w:val="0"/>
                <w:color w:val="000000"/>
                <w:sz w:val="24"/>
                <w:szCs w:val="24"/>
              </w:rPr>
              <w:t></w:t>
            </w:r>
          </w:p>
        </w:tc>
      </w:tr>
      <w:tr w:rsidR="00100ABE" w:rsidRPr="00641A30" w14:paraId="22DC9A58" w14:textId="50DE9522" w:rsidTr="0097398C">
        <w:trPr>
          <w:trHeight w:val="481"/>
          <w:jc w:val="center"/>
        </w:trPr>
        <w:tc>
          <w:tcPr>
            <w:tcW w:w="3404" w:type="dxa"/>
            <w:tcBorders>
              <w:top w:val="single" w:sz="4" w:space="0" w:color="auto"/>
              <w:left w:val="single" w:sz="4" w:space="0" w:color="auto"/>
              <w:bottom w:val="single" w:sz="4" w:space="0" w:color="auto"/>
              <w:right w:val="single" w:sz="4" w:space="0" w:color="auto"/>
            </w:tcBorders>
            <w:shd w:val="clear" w:color="auto" w:fill="EFF3FF"/>
          </w:tcPr>
          <w:p w14:paraId="2BB74B97" w14:textId="77777777" w:rsidR="00100ABE" w:rsidRPr="00641A30" w:rsidRDefault="00100ABE" w:rsidP="00E552D2">
            <w:pPr>
              <w:spacing w:before="0" w:after="0" w:line="360" w:lineRule="auto"/>
              <w:ind w:left="0" w:right="0"/>
              <w:jc w:val="left"/>
              <w:rPr>
                <w:rFonts w:ascii="Calibri" w:eastAsia="Times New Roman" w:hAnsi="Calibri" w:cs="Times New Roman"/>
                <w:bCs/>
                <w:noProof w:val="0"/>
                <w:color w:val="000000"/>
                <w:sz w:val="24"/>
                <w:szCs w:val="24"/>
              </w:rPr>
            </w:pPr>
            <w:r w:rsidRPr="00641A30">
              <w:rPr>
                <w:rFonts w:eastAsia="Times New Roman" w:cs="Times New Roman"/>
                <w:bCs/>
                <w:noProof w:val="0"/>
                <w:color w:val="000000"/>
                <w:sz w:val="24"/>
                <w:szCs w:val="24"/>
              </w:rPr>
              <w:t xml:space="preserve">Board of Certification of Community Health Workers </w:t>
            </w:r>
            <w:r w:rsidRPr="00641A30">
              <w:rPr>
                <w:rFonts w:eastAsia="Times New Roman" w:cs="Times New Roman"/>
                <w:bCs/>
                <w:noProof w:val="0"/>
                <w:color w:val="000000"/>
                <w:sz w:val="24"/>
                <w:szCs w:val="24"/>
              </w:rPr>
              <w:lastRenderedPageBreak/>
              <w:t>*</w:t>
            </w:r>
          </w:p>
        </w:tc>
        <w:tc>
          <w:tcPr>
            <w:tcW w:w="960" w:type="dxa"/>
            <w:tcBorders>
              <w:top w:val="single" w:sz="4" w:space="0" w:color="auto"/>
              <w:left w:val="single" w:sz="4" w:space="0" w:color="auto"/>
              <w:bottom w:val="single" w:sz="4" w:space="0" w:color="auto"/>
              <w:right w:val="single" w:sz="4" w:space="0" w:color="auto"/>
            </w:tcBorders>
            <w:shd w:val="clear" w:color="auto" w:fill="EFF3FF"/>
          </w:tcPr>
          <w:p w14:paraId="31DBA7A3" w14:textId="77777777" w:rsidR="00100ABE" w:rsidRPr="00641A30" w:rsidRDefault="00100ABE" w:rsidP="00E552D2">
            <w:pPr>
              <w:spacing w:before="0" w:after="0" w:line="360" w:lineRule="auto"/>
              <w:ind w:left="0" w:right="0"/>
              <w:jc w:val="center"/>
              <w:rPr>
                <w:rFonts w:ascii="Calibri" w:eastAsia="Times New Roman" w:hAnsi="Calibri" w:cs="Times New Roman"/>
                <w:noProof w:val="0"/>
                <w:color w:val="000000"/>
                <w:sz w:val="24"/>
                <w:szCs w:val="24"/>
              </w:rPr>
            </w:pPr>
            <w:r w:rsidRPr="00641A30">
              <w:rPr>
                <w:rFonts w:eastAsia="Times New Roman" w:cs="Times New Roman"/>
                <w:noProof w:val="0"/>
                <w:color w:val="000000"/>
                <w:sz w:val="24"/>
                <w:szCs w:val="24"/>
              </w:rPr>
              <w:lastRenderedPageBreak/>
              <w:t>0</w:t>
            </w:r>
          </w:p>
        </w:tc>
        <w:tc>
          <w:tcPr>
            <w:tcW w:w="960" w:type="dxa"/>
            <w:tcBorders>
              <w:top w:val="single" w:sz="4" w:space="0" w:color="auto"/>
              <w:left w:val="single" w:sz="4" w:space="0" w:color="auto"/>
              <w:bottom w:val="single" w:sz="4" w:space="0" w:color="auto"/>
              <w:right w:val="single" w:sz="4" w:space="0" w:color="auto"/>
            </w:tcBorders>
            <w:shd w:val="clear" w:color="auto" w:fill="EFF3FF"/>
          </w:tcPr>
          <w:p w14:paraId="52BAF281" w14:textId="77777777" w:rsidR="00100ABE" w:rsidRPr="00641A30" w:rsidRDefault="00100ABE" w:rsidP="00E552D2">
            <w:pPr>
              <w:spacing w:before="0" w:after="0" w:line="360" w:lineRule="auto"/>
              <w:ind w:left="0" w:right="0"/>
              <w:jc w:val="center"/>
              <w:rPr>
                <w:rFonts w:ascii="Calibri" w:eastAsia="Times New Roman" w:hAnsi="Calibri" w:cs="Times New Roman"/>
                <w:noProof w:val="0"/>
                <w:color w:val="000000"/>
                <w:sz w:val="24"/>
                <w:szCs w:val="24"/>
              </w:rPr>
            </w:pPr>
            <w:r w:rsidRPr="00641A30">
              <w:rPr>
                <w:rFonts w:eastAsia="Times New Roman" w:cs="Times New Roman"/>
                <w:noProof w:val="0"/>
                <w:color w:val="000000"/>
                <w:sz w:val="24"/>
                <w:szCs w:val="24"/>
              </w:rPr>
              <w:t>0</w:t>
            </w:r>
          </w:p>
        </w:tc>
        <w:tc>
          <w:tcPr>
            <w:tcW w:w="959" w:type="dxa"/>
            <w:tcBorders>
              <w:top w:val="single" w:sz="4" w:space="0" w:color="auto"/>
              <w:left w:val="single" w:sz="4" w:space="0" w:color="auto"/>
              <w:bottom w:val="single" w:sz="4" w:space="0" w:color="auto"/>
              <w:right w:val="single" w:sz="4" w:space="0" w:color="auto"/>
            </w:tcBorders>
            <w:shd w:val="clear" w:color="auto" w:fill="EFF3FF"/>
          </w:tcPr>
          <w:p w14:paraId="68F613FB" w14:textId="77777777" w:rsidR="00100ABE" w:rsidRPr="00641A30" w:rsidRDefault="00100ABE" w:rsidP="00E552D2">
            <w:pPr>
              <w:spacing w:before="0" w:after="0" w:line="360" w:lineRule="auto"/>
              <w:ind w:left="0" w:right="0"/>
              <w:jc w:val="center"/>
              <w:rPr>
                <w:rFonts w:ascii="Calibri" w:eastAsia="Times New Roman" w:hAnsi="Calibri" w:cs="Times New Roman"/>
                <w:noProof w:val="0"/>
                <w:color w:val="000000"/>
                <w:sz w:val="24"/>
                <w:szCs w:val="24"/>
              </w:rPr>
            </w:pPr>
            <w:r w:rsidRPr="00641A30">
              <w:rPr>
                <w:rFonts w:eastAsia="Times New Roman" w:cs="Times New Roman"/>
                <w:noProof w:val="0"/>
                <w:color w:val="000000"/>
                <w:sz w:val="24"/>
                <w:szCs w:val="24"/>
              </w:rPr>
              <w:t>0</w:t>
            </w:r>
          </w:p>
        </w:tc>
        <w:tc>
          <w:tcPr>
            <w:tcW w:w="959" w:type="dxa"/>
            <w:tcBorders>
              <w:top w:val="single" w:sz="4" w:space="0" w:color="auto"/>
              <w:left w:val="single" w:sz="4" w:space="0" w:color="auto"/>
              <w:bottom w:val="single" w:sz="4" w:space="0" w:color="auto"/>
              <w:right w:val="single" w:sz="4" w:space="0" w:color="auto"/>
            </w:tcBorders>
            <w:shd w:val="clear" w:color="auto" w:fill="EFF3FF"/>
          </w:tcPr>
          <w:p w14:paraId="43696B36" w14:textId="77777777" w:rsidR="00100ABE" w:rsidRPr="00641A30" w:rsidRDefault="00100ABE" w:rsidP="00E552D2">
            <w:pPr>
              <w:spacing w:before="0" w:after="0" w:line="360" w:lineRule="auto"/>
              <w:ind w:left="0" w:right="0"/>
              <w:jc w:val="center"/>
              <w:rPr>
                <w:rFonts w:ascii="Calibri" w:eastAsia="Times New Roman" w:hAnsi="Calibri" w:cs="Times New Roman"/>
                <w:noProof w:val="0"/>
                <w:color w:val="000000"/>
                <w:sz w:val="24"/>
                <w:szCs w:val="24"/>
              </w:rPr>
            </w:pPr>
            <w:r w:rsidRPr="00641A30">
              <w:rPr>
                <w:rFonts w:eastAsia="Times New Roman" w:cs="Times New Roman"/>
                <w:noProof w:val="0"/>
                <w:color w:val="000000"/>
                <w:sz w:val="24"/>
                <w:szCs w:val="24"/>
              </w:rPr>
              <w:t>0</w:t>
            </w:r>
          </w:p>
        </w:tc>
        <w:tc>
          <w:tcPr>
            <w:tcW w:w="858" w:type="dxa"/>
            <w:tcBorders>
              <w:top w:val="single" w:sz="4" w:space="0" w:color="auto"/>
              <w:left w:val="single" w:sz="4" w:space="0" w:color="auto"/>
              <w:bottom w:val="single" w:sz="4" w:space="0" w:color="auto"/>
              <w:right w:val="single" w:sz="4" w:space="0" w:color="auto"/>
            </w:tcBorders>
            <w:shd w:val="clear" w:color="auto" w:fill="EFF3FF"/>
          </w:tcPr>
          <w:p w14:paraId="3E42C717" w14:textId="77777777" w:rsidR="00100ABE" w:rsidRPr="00641A30" w:rsidRDefault="00100ABE" w:rsidP="00E552D2">
            <w:pPr>
              <w:spacing w:before="0" w:after="0" w:line="360" w:lineRule="auto"/>
              <w:ind w:left="0" w:right="0"/>
              <w:jc w:val="center"/>
              <w:rPr>
                <w:rFonts w:ascii="Calibri" w:eastAsia="Times New Roman" w:hAnsi="Calibri" w:cs="Times New Roman"/>
                <w:noProof w:val="0"/>
                <w:color w:val="000000"/>
                <w:sz w:val="24"/>
                <w:szCs w:val="24"/>
              </w:rPr>
            </w:pPr>
            <w:r w:rsidRPr="00641A30">
              <w:rPr>
                <w:rFonts w:eastAsia="Times New Roman" w:cs="Times New Roman"/>
                <w:noProof w:val="0"/>
                <w:color w:val="000000"/>
                <w:sz w:val="24"/>
                <w:szCs w:val="24"/>
              </w:rPr>
              <w:t>0</w:t>
            </w:r>
          </w:p>
        </w:tc>
        <w:tc>
          <w:tcPr>
            <w:tcW w:w="930" w:type="dxa"/>
            <w:tcBorders>
              <w:top w:val="single" w:sz="4" w:space="0" w:color="auto"/>
              <w:left w:val="single" w:sz="4" w:space="0" w:color="auto"/>
              <w:bottom w:val="single" w:sz="4" w:space="0" w:color="auto"/>
              <w:right w:val="single" w:sz="4" w:space="0" w:color="auto"/>
            </w:tcBorders>
            <w:shd w:val="clear" w:color="auto" w:fill="EFF3FF"/>
          </w:tcPr>
          <w:p w14:paraId="608598D3" w14:textId="7EDD26DB" w:rsidR="00100ABE" w:rsidRPr="00641A30" w:rsidRDefault="00100ABE" w:rsidP="00E552D2">
            <w:pPr>
              <w:spacing w:before="0" w:after="0" w:line="360" w:lineRule="auto"/>
              <w:ind w:left="0" w:right="0"/>
              <w:jc w:val="center"/>
              <w:rPr>
                <w:rFonts w:eastAsia="Times New Roman" w:cs="Times New Roman"/>
                <w:noProof w:val="0"/>
                <w:color w:val="000000"/>
                <w:sz w:val="24"/>
                <w:szCs w:val="24"/>
              </w:rPr>
            </w:pPr>
            <w:r w:rsidRPr="00641A30">
              <w:rPr>
                <w:sz w:val="24"/>
                <w:szCs w:val="24"/>
              </w:rPr>
              <w:t>0</w:t>
            </w:r>
          </w:p>
        </w:tc>
        <w:tc>
          <w:tcPr>
            <w:tcW w:w="685" w:type="dxa"/>
            <w:tcBorders>
              <w:top w:val="single" w:sz="4" w:space="0" w:color="auto"/>
              <w:left w:val="single" w:sz="4" w:space="0" w:color="auto"/>
              <w:bottom w:val="single" w:sz="4" w:space="0" w:color="auto"/>
              <w:right w:val="single" w:sz="4" w:space="0" w:color="auto"/>
            </w:tcBorders>
            <w:shd w:val="clear" w:color="auto" w:fill="EFF3FF"/>
          </w:tcPr>
          <w:p w14:paraId="060C233B" w14:textId="0528907B" w:rsidR="00100ABE" w:rsidRPr="00641A30" w:rsidRDefault="00100ABE" w:rsidP="00E552D2">
            <w:pPr>
              <w:spacing w:before="0" w:after="0" w:line="360" w:lineRule="auto"/>
              <w:ind w:left="0" w:right="0"/>
              <w:jc w:val="center"/>
              <w:rPr>
                <w:rFonts w:eastAsia="Times New Roman" w:cs="Times New Roman"/>
                <w:noProof w:val="0"/>
                <w:color w:val="000000"/>
                <w:sz w:val="24"/>
                <w:szCs w:val="24"/>
              </w:rPr>
            </w:pPr>
            <w:r w:rsidRPr="00641A30">
              <w:rPr>
                <w:sz w:val="24"/>
                <w:szCs w:val="24"/>
              </w:rPr>
              <w:t>N/A</w:t>
            </w:r>
          </w:p>
        </w:tc>
      </w:tr>
      <w:tr w:rsidR="00100ABE" w:rsidRPr="00641A30" w14:paraId="3ADC01C2" w14:textId="1AB034CD" w:rsidTr="0097398C">
        <w:trPr>
          <w:trHeight w:val="481"/>
          <w:jc w:val="center"/>
        </w:trPr>
        <w:tc>
          <w:tcPr>
            <w:tcW w:w="3404" w:type="dxa"/>
            <w:tcBorders>
              <w:top w:val="single" w:sz="4" w:space="0" w:color="auto"/>
              <w:left w:val="single" w:sz="4" w:space="0" w:color="auto"/>
              <w:bottom w:val="single" w:sz="4" w:space="0" w:color="auto"/>
              <w:right w:val="single" w:sz="4" w:space="0" w:color="auto"/>
            </w:tcBorders>
            <w:hideMark/>
          </w:tcPr>
          <w:p w14:paraId="0419E568" w14:textId="77777777" w:rsidR="00100ABE" w:rsidRPr="00641A30" w:rsidRDefault="00100ABE" w:rsidP="00E552D2">
            <w:pPr>
              <w:spacing w:before="0" w:after="0" w:line="360" w:lineRule="auto"/>
              <w:ind w:left="0" w:right="0"/>
              <w:jc w:val="left"/>
              <w:rPr>
                <w:rFonts w:ascii="Calibri" w:eastAsia="Times New Roman" w:hAnsi="Calibri" w:cs="Times New Roman"/>
                <w:bCs/>
                <w:noProof w:val="0"/>
                <w:color w:val="000000"/>
                <w:sz w:val="24"/>
                <w:szCs w:val="24"/>
              </w:rPr>
            </w:pPr>
            <w:r w:rsidRPr="00641A30">
              <w:rPr>
                <w:rFonts w:ascii="Calibri" w:eastAsia="Times New Roman" w:hAnsi="Calibri" w:cs="Times New Roman"/>
                <w:bCs/>
                <w:noProof w:val="0"/>
                <w:color w:val="000000"/>
                <w:sz w:val="24"/>
                <w:szCs w:val="24"/>
              </w:rPr>
              <w:lastRenderedPageBreak/>
              <w:t>Board of Registration in Dentistry</w:t>
            </w:r>
          </w:p>
        </w:tc>
        <w:tc>
          <w:tcPr>
            <w:tcW w:w="960" w:type="dxa"/>
            <w:tcBorders>
              <w:top w:val="single" w:sz="4" w:space="0" w:color="auto"/>
              <w:left w:val="single" w:sz="4" w:space="0" w:color="auto"/>
              <w:bottom w:val="single" w:sz="4" w:space="0" w:color="auto"/>
              <w:right w:val="single" w:sz="4" w:space="0" w:color="auto"/>
            </w:tcBorders>
            <w:hideMark/>
          </w:tcPr>
          <w:p w14:paraId="70828C89" w14:textId="77777777" w:rsidR="00100ABE" w:rsidRPr="00641A30" w:rsidRDefault="00100ABE" w:rsidP="00E552D2">
            <w:pPr>
              <w:spacing w:before="0" w:after="0" w:line="360" w:lineRule="auto"/>
              <w:ind w:left="0" w:right="0"/>
              <w:jc w:val="center"/>
              <w:rPr>
                <w:rFonts w:ascii="Calibri" w:eastAsia="Times New Roman" w:hAnsi="Calibri" w:cs="Times New Roman"/>
                <w:noProof w:val="0"/>
                <w:color w:val="000000"/>
                <w:sz w:val="24"/>
                <w:szCs w:val="24"/>
              </w:rPr>
            </w:pPr>
            <w:r w:rsidRPr="00641A30">
              <w:rPr>
                <w:rFonts w:ascii="Calibri" w:eastAsia="Times New Roman" w:hAnsi="Calibri" w:cs="Times New Roman"/>
                <w:noProof w:val="0"/>
                <w:color w:val="000000"/>
                <w:sz w:val="24"/>
                <w:szCs w:val="24"/>
              </w:rPr>
              <w:t>18,191</w:t>
            </w:r>
          </w:p>
        </w:tc>
        <w:tc>
          <w:tcPr>
            <w:tcW w:w="960" w:type="dxa"/>
            <w:tcBorders>
              <w:top w:val="single" w:sz="4" w:space="0" w:color="auto"/>
              <w:left w:val="single" w:sz="4" w:space="0" w:color="auto"/>
              <w:bottom w:val="single" w:sz="4" w:space="0" w:color="auto"/>
              <w:right w:val="single" w:sz="4" w:space="0" w:color="auto"/>
            </w:tcBorders>
            <w:hideMark/>
          </w:tcPr>
          <w:p w14:paraId="5B566817" w14:textId="77777777" w:rsidR="00100ABE" w:rsidRPr="00641A30" w:rsidRDefault="00100ABE" w:rsidP="00E552D2">
            <w:pPr>
              <w:spacing w:before="0" w:after="0" w:line="360" w:lineRule="auto"/>
              <w:ind w:left="0" w:right="0"/>
              <w:jc w:val="center"/>
              <w:rPr>
                <w:rFonts w:ascii="Calibri" w:eastAsia="Times New Roman" w:hAnsi="Calibri" w:cs="Times New Roman"/>
                <w:noProof w:val="0"/>
                <w:color w:val="000000"/>
                <w:sz w:val="24"/>
                <w:szCs w:val="24"/>
              </w:rPr>
            </w:pPr>
            <w:r w:rsidRPr="00641A30">
              <w:rPr>
                <w:rFonts w:ascii="Calibri" w:eastAsia="Times New Roman" w:hAnsi="Calibri" w:cs="Times New Roman"/>
                <w:noProof w:val="0"/>
                <w:color w:val="000000"/>
                <w:sz w:val="24"/>
                <w:szCs w:val="24"/>
              </w:rPr>
              <w:t>18,230</w:t>
            </w:r>
          </w:p>
        </w:tc>
        <w:tc>
          <w:tcPr>
            <w:tcW w:w="959" w:type="dxa"/>
            <w:tcBorders>
              <w:top w:val="single" w:sz="4" w:space="0" w:color="auto"/>
              <w:left w:val="single" w:sz="4" w:space="0" w:color="auto"/>
              <w:bottom w:val="single" w:sz="4" w:space="0" w:color="auto"/>
              <w:right w:val="single" w:sz="4" w:space="0" w:color="auto"/>
            </w:tcBorders>
            <w:hideMark/>
          </w:tcPr>
          <w:p w14:paraId="1CE4322B" w14:textId="77777777" w:rsidR="00100ABE" w:rsidRPr="00641A30" w:rsidRDefault="00100ABE" w:rsidP="00E552D2">
            <w:pPr>
              <w:spacing w:before="0" w:after="0" w:line="360" w:lineRule="auto"/>
              <w:ind w:left="0" w:right="0"/>
              <w:jc w:val="center"/>
              <w:rPr>
                <w:rFonts w:ascii="Calibri" w:eastAsia="Times New Roman" w:hAnsi="Calibri" w:cs="Times New Roman"/>
                <w:noProof w:val="0"/>
                <w:color w:val="000000"/>
                <w:sz w:val="24"/>
                <w:szCs w:val="24"/>
              </w:rPr>
            </w:pPr>
            <w:r w:rsidRPr="00641A30">
              <w:rPr>
                <w:rFonts w:ascii="Calibri" w:eastAsia="Times New Roman" w:hAnsi="Calibri" w:cs="Times New Roman"/>
                <w:noProof w:val="0"/>
                <w:color w:val="000000"/>
                <w:sz w:val="24"/>
                <w:szCs w:val="24"/>
              </w:rPr>
              <w:t>18,349</w:t>
            </w:r>
          </w:p>
        </w:tc>
        <w:tc>
          <w:tcPr>
            <w:tcW w:w="959" w:type="dxa"/>
            <w:tcBorders>
              <w:top w:val="single" w:sz="4" w:space="0" w:color="auto"/>
              <w:left w:val="single" w:sz="4" w:space="0" w:color="auto"/>
              <w:bottom w:val="single" w:sz="4" w:space="0" w:color="auto"/>
              <w:right w:val="single" w:sz="4" w:space="0" w:color="auto"/>
            </w:tcBorders>
            <w:hideMark/>
          </w:tcPr>
          <w:p w14:paraId="7965601A" w14:textId="77777777" w:rsidR="00100ABE" w:rsidRPr="00641A30" w:rsidRDefault="00100ABE" w:rsidP="00E552D2">
            <w:pPr>
              <w:spacing w:before="0" w:after="0" w:line="360" w:lineRule="auto"/>
              <w:ind w:left="0" w:right="0"/>
              <w:jc w:val="center"/>
              <w:rPr>
                <w:rFonts w:ascii="Calibri" w:eastAsia="Times New Roman" w:hAnsi="Calibri" w:cs="Times New Roman"/>
                <w:noProof w:val="0"/>
                <w:color w:val="000000"/>
                <w:sz w:val="24"/>
                <w:szCs w:val="24"/>
              </w:rPr>
            </w:pPr>
            <w:r w:rsidRPr="00641A30">
              <w:rPr>
                <w:rFonts w:ascii="Calibri" w:eastAsia="Times New Roman" w:hAnsi="Calibri" w:cs="Times New Roman"/>
                <w:noProof w:val="0"/>
                <w:color w:val="000000"/>
                <w:sz w:val="24"/>
                <w:szCs w:val="24"/>
              </w:rPr>
              <w:t>18,827</w:t>
            </w:r>
          </w:p>
        </w:tc>
        <w:tc>
          <w:tcPr>
            <w:tcW w:w="858" w:type="dxa"/>
            <w:tcBorders>
              <w:top w:val="single" w:sz="4" w:space="0" w:color="auto"/>
              <w:left w:val="single" w:sz="4" w:space="0" w:color="auto"/>
              <w:bottom w:val="single" w:sz="4" w:space="0" w:color="auto"/>
              <w:right w:val="single" w:sz="4" w:space="0" w:color="auto"/>
            </w:tcBorders>
            <w:hideMark/>
          </w:tcPr>
          <w:p w14:paraId="4124C666" w14:textId="77777777" w:rsidR="00100ABE" w:rsidRPr="00641A30" w:rsidRDefault="00100ABE" w:rsidP="00E552D2">
            <w:pPr>
              <w:spacing w:before="0" w:after="0" w:line="360" w:lineRule="auto"/>
              <w:ind w:left="0" w:right="0"/>
              <w:jc w:val="center"/>
              <w:rPr>
                <w:rFonts w:ascii="Calibri" w:eastAsia="Times New Roman" w:hAnsi="Calibri" w:cs="Times New Roman"/>
                <w:noProof w:val="0"/>
                <w:color w:val="000000"/>
                <w:sz w:val="24"/>
                <w:szCs w:val="24"/>
              </w:rPr>
            </w:pPr>
            <w:r w:rsidRPr="00641A30">
              <w:rPr>
                <w:rFonts w:ascii="Calibri" w:eastAsia="Times New Roman" w:hAnsi="Calibri" w:cs="Times New Roman"/>
                <w:noProof w:val="0"/>
                <w:color w:val="000000"/>
                <w:sz w:val="24"/>
                <w:szCs w:val="24"/>
              </w:rPr>
              <w:t>24,113</w:t>
            </w:r>
          </w:p>
        </w:tc>
        <w:tc>
          <w:tcPr>
            <w:tcW w:w="930" w:type="dxa"/>
            <w:tcBorders>
              <w:top w:val="single" w:sz="4" w:space="0" w:color="auto"/>
              <w:left w:val="single" w:sz="4" w:space="0" w:color="auto"/>
              <w:bottom w:val="single" w:sz="4" w:space="0" w:color="auto"/>
              <w:right w:val="single" w:sz="4" w:space="0" w:color="auto"/>
            </w:tcBorders>
          </w:tcPr>
          <w:p w14:paraId="66BABD5D" w14:textId="003B67F9" w:rsidR="00100ABE" w:rsidRPr="00641A30" w:rsidRDefault="00100ABE" w:rsidP="00E552D2">
            <w:pPr>
              <w:spacing w:before="0" w:after="0" w:line="360" w:lineRule="auto"/>
              <w:ind w:left="0" w:right="0"/>
              <w:jc w:val="center"/>
              <w:rPr>
                <w:rFonts w:ascii="Calibri" w:eastAsia="Times New Roman" w:hAnsi="Calibri" w:cs="Times New Roman"/>
                <w:noProof w:val="0"/>
                <w:color w:val="000000"/>
                <w:sz w:val="24"/>
                <w:szCs w:val="24"/>
              </w:rPr>
            </w:pPr>
            <w:r w:rsidRPr="00641A30">
              <w:rPr>
                <w:sz w:val="24"/>
                <w:szCs w:val="24"/>
              </w:rPr>
              <w:t>5,922</w:t>
            </w:r>
          </w:p>
        </w:tc>
        <w:tc>
          <w:tcPr>
            <w:tcW w:w="685" w:type="dxa"/>
            <w:tcBorders>
              <w:top w:val="single" w:sz="4" w:space="0" w:color="auto"/>
              <w:left w:val="single" w:sz="4" w:space="0" w:color="auto"/>
              <w:bottom w:val="single" w:sz="4" w:space="0" w:color="auto"/>
              <w:right w:val="single" w:sz="4" w:space="0" w:color="auto"/>
            </w:tcBorders>
          </w:tcPr>
          <w:p w14:paraId="74E64FF2" w14:textId="02107229" w:rsidR="00100ABE" w:rsidRPr="00641A30" w:rsidRDefault="00100ABE" w:rsidP="00E552D2">
            <w:pPr>
              <w:spacing w:before="0" w:after="0" w:line="360" w:lineRule="auto"/>
              <w:ind w:left="0" w:right="0"/>
              <w:jc w:val="center"/>
              <w:rPr>
                <w:rFonts w:ascii="Calibri" w:eastAsia="Times New Roman" w:hAnsi="Calibri" w:cs="Times New Roman"/>
                <w:noProof w:val="0"/>
                <w:color w:val="000000"/>
                <w:sz w:val="24"/>
                <w:szCs w:val="24"/>
              </w:rPr>
            </w:pPr>
            <w:r w:rsidRPr="00641A30">
              <w:rPr>
                <w:sz w:val="24"/>
                <w:szCs w:val="24"/>
              </w:rPr>
              <w:t>33%</w:t>
            </w:r>
          </w:p>
        </w:tc>
      </w:tr>
      <w:tr w:rsidR="00100ABE" w:rsidRPr="00641A30" w14:paraId="6A9C329D" w14:textId="4295EEF3" w:rsidTr="0097398C">
        <w:trPr>
          <w:trHeight w:val="248"/>
          <w:jc w:val="center"/>
        </w:trPr>
        <w:tc>
          <w:tcPr>
            <w:tcW w:w="3404" w:type="dxa"/>
            <w:tcBorders>
              <w:top w:val="single" w:sz="4" w:space="0" w:color="auto"/>
              <w:left w:val="single" w:sz="4" w:space="0" w:color="auto"/>
              <w:bottom w:val="single" w:sz="4" w:space="0" w:color="auto"/>
              <w:right w:val="single" w:sz="4" w:space="0" w:color="auto"/>
            </w:tcBorders>
            <w:shd w:val="clear" w:color="auto" w:fill="EFF3FF"/>
            <w:hideMark/>
          </w:tcPr>
          <w:p w14:paraId="253C4CFD" w14:textId="77777777" w:rsidR="00100ABE" w:rsidRPr="00641A30" w:rsidRDefault="00100ABE" w:rsidP="00E552D2">
            <w:pPr>
              <w:spacing w:before="0" w:after="0" w:line="360" w:lineRule="auto"/>
              <w:ind w:left="0" w:right="0"/>
              <w:jc w:val="left"/>
              <w:rPr>
                <w:rFonts w:ascii="Calibri" w:eastAsia="Times New Roman" w:hAnsi="Calibri" w:cs="Times New Roman"/>
                <w:bCs/>
                <w:noProof w:val="0"/>
                <w:color w:val="000000"/>
                <w:sz w:val="24"/>
                <w:szCs w:val="24"/>
              </w:rPr>
            </w:pPr>
            <w:r w:rsidRPr="00641A30">
              <w:rPr>
                <w:rFonts w:ascii="Calibri" w:eastAsia="Times New Roman" w:hAnsi="Calibri" w:cs="Times New Roman"/>
                <w:bCs/>
                <w:noProof w:val="0"/>
                <w:color w:val="000000"/>
                <w:sz w:val="24"/>
                <w:szCs w:val="24"/>
              </w:rPr>
              <w:t>Board of Registration of Genetic Counselors</w:t>
            </w:r>
          </w:p>
        </w:tc>
        <w:tc>
          <w:tcPr>
            <w:tcW w:w="960" w:type="dxa"/>
            <w:tcBorders>
              <w:top w:val="single" w:sz="4" w:space="0" w:color="auto"/>
              <w:left w:val="single" w:sz="4" w:space="0" w:color="auto"/>
              <w:bottom w:val="single" w:sz="4" w:space="0" w:color="auto"/>
              <w:right w:val="single" w:sz="4" w:space="0" w:color="auto"/>
            </w:tcBorders>
            <w:shd w:val="clear" w:color="auto" w:fill="EFF3FF"/>
            <w:hideMark/>
          </w:tcPr>
          <w:p w14:paraId="156253C3" w14:textId="77777777" w:rsidR="00100ABE" w:rsidRPr="00641A30" w:rsidRDefault="00100ABE" w:rsidP="00E552D2">
            <w:pPr>
              <w:spacing w:before="0" w:after="0" w:line="360" w:lineRule="auto"/>
              <w:ind w:left="0" w:right="0"/>
              <w:jc w:val="center"/>
              <w:rPr>
                <w:rFonts w:ascii="Calibri" w:eastAsia="Times New Roman" w:hAnsi="Calibri" w:cs="Times New Roman"/>
                <w:noProof w:val="0"/>
                <w:color w:val="000000"/>
                <w:sz w:val="24"/>
                <w:szCs w:val="24"/>
              </w:rPr>
            </w:pPr>
            <w:r w:rsidRPr="00641A30">
              <w:rPr>
                <w:rFonts w:ascii="Calibri" w:eastAsia="Times New Roman" w:hAnsi="Calibri" w:cs="Times New Roman"/>
                <w:noProof w:val="0"/>
                <w:color w:val="000000"/>
                <w:sz w:val="24"/>
                <w:szCs w:val="24"/>
              </w:rPr>
              <w:t>146</w:t>
            </w:r>
          </w:p>
        </w:tc>
        <w:tc>
          <w:tcPr>
            <w:tcW w:w="960" w:type="dxa"/>
            <w:tcBorders>
              <w:top w:val="single" w:sz="4" w:space="0" w:color="auto"/>
              <w:left w:val="single" w:sz="4" w:space="0" w:color="auto"/>
              <w:bottom w:val="single" w:sz="4" w:space="0" w:color="auto"/>
              <w:right w:val="single" w:sz="4" w:space="0" w:color="auto"/>
            </w:tcBorders>
            <w:shd w:val="clear" w:color="auto" w:fill="EFF3FF"/>
            <w:hideMark/>
          </w:tcPr>
          <w:p w14:paraId="78342F1C" w14:textId="77777777" w:rsidR="00100ABE" w:rsidRPr="00641A30" w:rsidRDefault="00100ABE" w:rsidP="00E552D2">
            <w:pPr>
              <w:spacing w:before="0" w:after="0" w:line="360" w:lineRule="auto"/>
              <w:ind w:left="0" w:right="0"/>
              <w:jc w:val="center"/>
              <w:rPr>
                <w:rFonts w:ascii="Calibri" w:eastAsia="Times New Roman" w:hAnsi="Calibri" w:cs="Times New Roman"/>
                <w:noProof w:val="0"/>
                <w:color w:val="000000"/>
                <w:sz w:val="24"/>
                <w:szCs w:val="24"/>
              </w:rPr>
            </w:pPr>
            <w:r w:rsidRPr="00641A30">
              <w:rPr>
                <w:rFonts w:ascii="Calibri" w:eastAsia="Times New Roman" w:hAnsi="Calibri" w:cs="Times New Roman"/>
                <w:noProof w:val="0"/>
                <w:color w:val="000000"/>
                <w:sz w:val="24"/>
                <w:szCs w:val="24"/>
              </w:rPr>
              <w:t>165</w:t>
            </w:r>
          </w:p>
        </w:tc>
        <w:tc>
          <w:tcPr>
            <w:tcW w:w="959" w:type="dxa"/>
            <w:tcBorders>
              <w:top w:val="single" w:sz="4" w:space="0" w:color="auto"/>
              <w:left w:val="single" w:sz="4" w:space="0" w:color="auto"/>
              <w:bottom w:val="single" w:sz="4" w:space="0" w:color="auto"/>
              <w:right w:val="single" w:sz="4" w:space="0" w:color="auto"/>
            </w:tcBorders>
            <w:shd w:val="clear" w:color="auto" w:fill="EFF3FF"/>
            <w:hideMark/>
          </w:tcPr>
          <w:p w14:paraId="05004C1F" w14:textId="77777777" w:rsidR="00100ABE" w:rsidRPr="00641A30" w:rsidRDefault="00100ABE" w:rsidP="00E552D2">
            <w:pPr>
              <w:spacing w:before="0" w:after="0" w:line="360" w:lineRule="auto"/>
              <w:ind w:left="0" w:right="0"/>
              <w:jc w:val="center"/>
              <w:rPr>
                <w:rFonts w:ascii="Calibri" w:eastAsia="Times New Roman" w:hAnsi="Calibri" w:cs="Times New Roman"/>
                <w:noProof w:val="0"/>
                <w:color w:val="000000"/>
                <w:sz w:val="24"/>
                <w:szCs w:val="24"/>
              </w:rPr>
            </w:pPr>
            <w:r w:rsidRPr="00641A30">
              <w:rPr>
                <w:rFonts w:ascii="Calibri" w:eastAsia="Times New Roman" w:hAnsi="Calibri" w:cs="Times New Roman"/>
                <w:noProof w:val="0"/>
                <w:color w:val="000000"/>
                <w:sz w:val="24"/>
                <w:szCs w:val="24"/>
              </w:rPr>
              <w:t>170</w:t>
            </w:r>
          </w:p>
        </w:tc>
        <w:tc>
          <w:tcPr>
            <w:tcW w:w="959" w:type="dxa"/>
            <w:tcBorders>
              <w:top w:val="single" w:sz="4" w:space="0" w:color="auto"/>
              <w:left w:val="single" w:sz="4" w:space="0" w:color="auto"/>
              <w:bottom w:val="single" w:sz="4" w:space="0" w:color="auto"/>
              <w:right w:val="single" w:sz="4" w:space="0" w:color="auto"/>
            </w:tcBorders>
            <w:shd w:val="clear" w:color="auto" w:fill="EFF3FF"/>
            <w:hideMark/>
          </w:tcPr>
          <w:p w14:paraId="7774F9FB" w14:textId="77777777" w:rsidR="00100ABE" w:rsidRPr="00641A30" w:rsidRDefault="00100ABE" w:rsidP="00E552D2">
            <w:pPr>
              <w:spacing w:before="0" w:after="0" w:line="360" w:lineRule="auto"/>
              <w:ind w:left="0" w:right="0"/>
              <w:jc w:val="center"/>
              <w:rPr>
                <w:rFonts w:ascii="Calibri" w:eastAsia="Times New Roman" w:hAnsi="Calibri" w:cs="Times New Roman"/>
                <w:noProof w:val="0"/>
                <w:color w:val="000000"/>
                <w:sz w:val="24"/>
                <w:szCs w:val="24"/>
              </w:rPr>
            </w:pPr>
            <w:r w:rsidRPr="00641A30">
              <w:rPr>
                <w:rFonts w:ascii="Calibri" w:eastAsia="Times New Roman" w:hAnsi="Calibri" w:cs="Times New Roman"/>
                <w:noProof w:val="0"/>
                <w:color w:val="000000"/>
                <w:sz w:val="24"/>
                <w:szCs w:val="24"/>
              </w:rPr>
              <w:t>190</w:t>
            </w:r>
          </w:p>
        </w:tc>
        <w:tc>
          <w:tcPr>
            <w:tcW w:w="858" w:type="dxa"/>
            <w:tcBorders>
              <w:top w:val="single" w:sz="4" w:space="0" w:color="auto"/>
              <w:left w:val="single" w:sz="4" w:space="0" w:color="auto"/>
              <w:bottom w:val="single" w:sz="4" w:space="0" w:color="auto"/>
              <w:right w:val="single" w:sz="4" w:space="0" w:color="auto"/>
            </w:tcBorders>
            <w:shd w:val="clear" w:color="auto" w:fill="EFF3FF"/>
            <w:hideMark/>
          </w:tcPr>
          <w:p w14:paraId="5DA6FF47" w14:textId="77777777" w:rsidR="00100ABE" w:rsidRPr="00641A30" w:rsidRDefault="00100ABE" w:rsidP="00E552D2">
            <w:pPr>
              <w:spacing w:before="0" w:after="0" w:line="360" w:lineRule="auto"/>
              <w:ind w:left="0" w:right="0"/>
              <w:jc w:val="center"/>
              <w:rPr>
                <w:rFonts w:ascii="Calibri" w:eastAsia="Times New Roman" w:hAnsi="Calibri" w:cs="Times New Roman"/>
                <w:noProof w:val="0"/>
                <w:color w:val="000000"/>
                <w:sz w:val="24"/>
                <w:szCs w:val="24"/>
              </w:rPr>
            </w:pPr>
            <w:r w:rsidRPr="00641A30">
              <w:rPr>
                <w:rFonts w:ascii="Calibri" w:eastAsia="Times New Roman" w:hAnsi="Calibri" w:cs="Times New Roman"/>
                <w:noProof w:val="0"/>
                <w:color w:val="000000"/>
                <w:sz w:val="24"/>
                <w:szCs w:val="24"/>
              </w:rPr>
              <w:t>196</w:t>
            </w:r>
          </w:p>
        </w:tc>
        <w:tc>
          <w:tcPr>
            <w:tcW w:w="930" w:type="dxa"/>
            <w:tcBorders>
              <w:top w:val="single" w:sz="4" w:space="0" w:color="auto"/>
              <w:left w:val="single" w:sz="4" w:space="0" w:color="auto"/>
              <w:bottom w:val="single" w:sz="4" w:space="0" w:color="auto"/>
              <w:right w:val="single" w:sz="4" w:space="0" w:color="auto"/>
            </w:tcBorders>
            <w:shd w:val="clear" w:color="auto" w:fill="EFF3FF"/>
          </w:tcPr>
          <w:p w14:paraId="7C43E5F9" w14:textId="4BF832F0" w:rsidR="00100ABE" w:rsidRPr="00641A30" w:rsidRDefault="00100ABE" w:rsidP="00E552D2">
            <w:pPr>
              <w:spacing w:before="0" w:after="0" w:line="360" w:lineRule="auto"/>
              <w:ind w:left="0" w:right="0"/>
              <w:jc w:val="center"/>
              <w:rPr>
                <w:rFonts w:ascii="Calibri" w:eastAsia="Times New Roman" w:hAnsi="Calibri" w:cs="Times New Roman"/>
                <w:noProof w:val="0"/>
                <w:color w:val="000000"/>
                <w:sz w:val="24"/>
                <w:szCs w:val="24"/>
              </w:rPr>
            </w:pPr>
            <w:r w:rsidRPr="00641A30">
              <w:rPr>
                <w:sz w:val="24"/>
                <w:szCs w:val="24"/>
              </w:rPr>
              <w:t>50</w:t>
            </w:r>
          </w:p>
        </w:tc>
        <w:tc>
          <w:tcPr>
            <w:tcW w:w="685" w:type="dxa"/>
            <w:tcBorders>
              <w:top w:val="single" w:sz="4" w:space="0" w:color="auto"/>
              <w:left w:val="single" w:sz="4" w:space="0" w:color="auto"/>
              <w:bottom w:val="single" w:sz="4" w:space="0" w:color="auto"/>
              <w:right w:val="single" w:sz="4" w:space="0" w:color="auto"/>
            </w:tcBorders>
            <w:shd w:val="clear" w:color="auto" w:fill="EFF3FF"/>
          </w:tcPr>
          <w:p w14:paraId="0CFCB9D2" w14:textId="0BC6F134" w:rsidR="00100ABE" w:rsidRPr="00641A30" w:rsidRDefault="00100ABE" w:rsidP="00E552D2">
            <w:pPr>
              <w:spacing w:before="0" w:after="0" w:line="360" w:lineRule="auto"/>
              <w:ind w:left="0" w:right="0"/>
              <w:jc w:val="center"/>
              <w:rPr>
                <w:rFonts w:ascii="Calibri" w:eastAsia="Times New Roman" w:hAnsi="Calibri" w:cs="Times New Roman"/>
                <w:noProof w:val="0"/>
                <w:color w:val="000000"/>
                <w:sz w:val="24"/>
                <w:szCs w:val="24"/>
              </w:rPr>
            </w:pPr>
            <w:r w:rsidRPr="00641A30">
              <w:rPr>
                <w:sz w:val="24"/>
                <w:szCs w:val="24"/>
              </w:rPr>
              <w:t>34%</w:t>
            </w:r>
          </w:p>
        </w:tc>
      </w:tr>
      <w:tr w:rsidR="00100ABE" w:rsidRPr="00641A30" w14:paraId="56C96021" w14:textId="56716316" w:rsidTr="0097398C">
        <w:trPr>
          <w:trHeight w:val="364"/>
          <w:jc w:val="center"/>
        </w:trPr>
        <w:tc>
          <w:tcPr>
            <w:tcW w:w="3404" w:type="dxa"/>
            <w:tcBorders>
              <w:top w:val="single" w:sz="4" w:space="0" w:color="auto"/>
              <w:left w:val="single" w:sz="4" w:space="0" w:color="auto"/>
              <w:bottom w:val="single" w:sz="4" w:space="0" w:color="auto"/>
              <w:right w:val="single" w:sz="4" w:space="0" w:color="auto"/>
            </w:tcBorders>
          </w:tcPr>
          <w:p w14:paraId="054E997D" w14:textId="77777777" w:rsidR="00100ABE" w:rsidRPr="00641A30" w:rsidRDefault="00100ABE" w:rsidP="00E552D2">
            <w:pPr>
              <w:spacing w:before="0" w:after="0" w:line="360" w:lineRule="auto"/>
              <w:ind w:left="0" w:right="0"/>
              <w:jc w:val="left"/>
              <w:rPr>
                <w:rFonts w:ascii="Calibri" w:eastAsia="Times New Roman" w:hAnsi="Calibri" w:cs="Times New Roman"/>
                <w:bCs/>
                <w:noProof w:val="0"/>
                <w:color w:val="000000"/>
                <w:sz w:val="24"/>
                <w:szCs w:val="24"/>
              </w:rPr>
            </w:pPr>
            <w:r w:rsidRPr="00641A30">
              <w:rPr>
                <w:rFonts w:ascii="Calibri" w:eastAsia="Times New Roman" w:hAnsi="Calibri" w:cs="Times New Roman"/>
                <w:bCs/>
                <w:noProof w:val="0"/>
                <w:color w:val="000000"/>
                <w:sz w:val="24"/>
                <w:szCs w:val="24"/>
              </w:rPr>
              <w:t>Board of Registration in Naturopathy **</w:t>
            </w:r>
          </w:p>
        </w:tc>
        <w:tc>
          <w:tcPr>
            <w:tcW w:w="960" w:type="dxa"/>
            <w:tcBorders>
              <w:top w:val="single" w:sz="4" w:space="0" w:color="auto"/>
              <w:left w:val="single" w:sz="4" w:space="0" w:color="auto"/>
              <w:bottom w:val="single" w:sz="4" w:space="0" w:color="auto"/>
              <w:right w:val="single" w:sz="4" w:space="0" w:color="auto"/>
            </w:tcBorders>
          </w:tcPr>
          <w:p w14:paraId="33630BD4" w14:textId="77777777" w:rsidR="00100ABE" w:rsidRPr="00641A30" w:rsidRDefault="00100ABE" w:rsidP="00E552D2">
            <w:pPr>
              <w:spacing w:before="0" w:after="0" w:line="360" w:lineRule="auto"/>
              <w:ind w:left="0" w:right="0"/>
              <w:jc w:val="center"/>
              <w:rPr>
                <w:rFonts w:ascii="Calibri" w:eastAsia="Times New Roman" w:hAnsi="Calibri" w:cs="Times New Roman"/>
                <w:noProof w:val="0"/>
                <w:color w:val="000000"/>
                <w:sz w:val="24"/>
                <w:szCs w:val="24"/>
              </w:rPr>
            </w:pPr>
            <w:r w:rsidRPr="00641A30">
              <w:rPr>
                <w:rFonts w:ascii="Calibri" w:eastAsia="Times New Roman" w:hAnsi="Calibri" w:cs="Times New Roman"/>
                <w:noProof w:val="0"/>
                <w:color w:val="000000"/>
                <w:sz w:val="24"/>
                <w:szCs w:val="24"/>
              </w:rPr>
              <w:t>0</w:t>
            </w:r>
          </w:p>
        </w:tc>
        <w:tc>
          <w:tcPr>
            <w:tcW w:w="960" w:type="dxa"/>
            <w:tcBorders>
              <w:top w:val="single" w:sz="4" w:space="0" w:color="auto"/>
              <w:left w:val="single" w:sz="4" w:space="0" w:color="auto"/>
              <w:bottom w:val="single" w:sz="4" w:space="0" w:color="auto"/>
              <w:right w:val="single" w:sz="4" w:space="0" w:color="auto"/>
            </w:tcBorders>
          </w:tcPr>
          <w:p w14:paraId="79C99F6D" w14:textId="77777777" w:rsidR="00100ABE" w:rsidRPr="00641A30" w:rsidRDefault="00100ABE" w:rsidP="00E552D2">
            <w:pPr>
              <w:spacing w:before="0" w:after="0" w:line="360" w:lineRule="auto"/>
              <w:ind w:left="0" w:right="0"/>
              <w:jc w:val="center"/>
              <w:rPr>
                <w:rFonts w:ascii="Calibri" w:eastAsia="Times New Roman" w:hAnsi="Calibri" w:cs="Times New Roman"/>
                <w:noProof w:val="0"/>
                <w:color w:val="000000"/>
                <w:sz w:val="24"/>
                <w:szCs w:val="24"/>
              </w:rPr>
            </w:pPr>
            <w:r w:rsidRPr="00641A30">
              <w:rPr>
                <w:rFonts w:ascii="Calibri" w:eastAsia="Times New Roman" w:hAnsi="Calibri" w:cs="Times New Roman"/>
                <w:noProof w:val="0"/>
                <w:color w:val="000000"/>
                <w:sz w:val="24"/>
                <w:szCs w:val="24"/>
              </w:rPr>
              <w:t>0</w:t>
            </w:r>
          </w:p>
        </w:tc>
        <w:tc>
          <w:tcPr>
            <w:tcW w:w="959" w:type="dxa"/>
            <w:tcBorders>
              <w:top w:val="single" w:sz="4" w:space="0" w:color="auto"/>
              <w:left w:val="single" w:sz="4" w:space="0" w:color="auto"/>
              <w:bottom w:val="single" w:sz="4" w:space="0" w:color="auto"/>
              <w:right w:val="single" w:sz="4" w:space="0" w:color="auto"/>
            </w:tcBorders>
          </w:tcPr>
          <w:p w14:paraId="46F60984" w14:textId="77777777" w:rsidR="00100ABE" w:rsidRPr="00641A30" w:rsidRDefault="00100ABE" w:rsidP="00E552D2">
            <w:pPr>
              <w:spacing w:before="0" w:after="0" w:line="360" w:lineRule="auto"/>
              <w:ind w:left="0" w:right="0"/>
              <w:jc w:val="center"/>
              <w:rPr>
                <w:rFonts w:ascii="Calibri" w:eastAsia="Times New Roman" w:hAnsi="Calibri" w:cs="Times New Roman"/>
                <w:noProof w:val="0"/>
                <w:color w:val="000000"/>
                <w:sz w:val="24"/>
                <w:szCs w:val="24"/>
              </w:rPr>
            </w:pPr>
            <w:r w:rsidRPr="00641A30">
              <w:rPr>
                <w:rFonts w:ascii="Calibri" w:eastAsia="Times New Roman" w:hAnsi="Calibri" w:cs="Times New Roman"/>
                <w:noProof w:val="0"/>
                <w:color w:val="000000"/>
                <w:sz w:val="24"/>
                <w:szCs w:val="24"/>
              </w:rPr>
              <w:t>0</w:t>
            </w:r>
          </w:p>
        </w:tc>
        <w:tc>
          <w:tcPr>
            <w:tcW w:w="959" w:type="dxa"/>
            <w:tcBorders>
              <w:top w:val="single" w:sz="4" w:space="0" w:color="auto"/>
              <w:left w:val="single" w:sz="4" w:space="0" w:color="auto"/>
              <w:bottom w:val="single" w:sz="4" w:space="0" w:color="auto"/>
              <w:right w:val="single" w:sz="4" w:space="0" w:color="auto"/>
            </w:tcBorders>
          </w:tcPr>
          <w:p w14:paraId="67D7DC9A" w14:textId="77777777" w:rsidR="00100ABE" w:rsidRPr="00641A30" w:rsidRDefault="00100ABE" w:rsidP="00E552D2">
            <w:pPr>
              <w:spacing w:before="0" w:after="0" w:line="360" w:lineRule="auto"/>
              <w:ind w:left="0" w:right="0"/>
              <w:jc w:val="center"/>
              <w:rPr>
                <w:rFonts w:ascii="Calibri" w:eastAsia="Times New Roman" w:hAnsi="Calibri" w:cs="Times New Roman"/>
                <w:noProof w:val="0"/>
                <w:color w:val="000000"/>
                <w:sz w:val="24"/>
                <w:szCs w:val="24"/>
              </w:rPr>
            </w:pPr>
            <w:r w:rsidRPr="00641A30">
              <w:rPr>
                <w:rFonts w:ascii="Calibri" w:eastAsia="Times New Roman" w:hAnsi="Calibri" w:cs="Times New Roman"/>
                <w:noProof w:val="0"/>
                <w:color w:val="000000"/>
                <w:sz w:val="24"/>
                <w:szCs w:val="24"/>
              </w:rPr>
              <w:t>0</w:t>
            </w:r>
          </w:p>
        </w:tc>
        <w:tc>
          <w:tcPr>
            <w:tcW w:w="858" w:type="dxa"/>
            <w:tcBorders>
              <w:top w:val="single" w:sz="4" w:space="0" w:color="auto"/>
              <w:left w:val="single" w:sz="4" w:space="0" w:color="auto"/>
              <w:bottom w:val="single" w:sz="4" w:space="0" w:color="auto"/>
              <w:right w:val="single" w:sz="4" w:space="0" w:color="auto"/>
            </w:tcBorders>
          </w:tcPr>
          <w:p w14:paraId="5F36DD01" w14:textId="77777777" w:rsidR="00100ABE" w:rsidRPr="00641A30" w:rsidRDefault="00100ABE" w:rsidP="00E552D2">
            <w:pPr>
              <w:spacing w:before="0" w:after="0" w:line="360" w:lineRule="auto"/>
              <w:ind w:left="0" w:right="0"/>
              <w:jc w:val="center"/>
              <w:rPr>
                <w:rFonts w:ascii="Calibri" w:eastAsia="Times New Roman" w:hAnsi="Calibri" w:cs="Times New Roman"/>
                <w:noProof w:val="0"/>
                <w:color w:val="000000"/>
                <w:sz w:val="24"/>
                <w:szCs w:val="24"/>
              </w:rPr>
            </w:pPr>
            <w:r w:rsidRPr="00641A30">
              <w:rPr>
                <w:rFonts w:ascii="Calibri" w:eastAsia="Times New Roman" w:hAnsi="Calibri" w:cs="Times New Roman"/>
                <w:noProof w:val="0"/>
                <w:color w:val="000000"/>
                <w:sz w:val="24"/>
                <w:szCs w:val="24"/>
              </w:rPr>
              <w:t>0</w:t>
            </w:r>
          </w:p>
        </w:tc>
        <w:tc>
          <w:tcPr>
            <w:tcW w:w="930" w:type="dxa"/>
            <w:tcBorders>
              <w:top w:val="single" w:sz="4" w:space="0" w:color="auto"/>
              <w:left w:val="single" w:sz="4" w:space="0" w:color="auto"/>
              <w:bottom w:val="single" w:sz="4" w:space="0" w:color="auto"/>
              <w:right w:val="single" w:sz="4" w:space="0" w:color="auto"/>
            </w:tcBorders>
          </w:tcPr>
          <w:p w14:paraId="01C9956B" w14:textId="6A200B24" w:rsidR="00100ABE" w:rsidRPr="00641A30" w:rsidRDefault="00100ABE" w:rsidP="00E552D2">
            <w:pPr>
              <w:spacing w:before="0" w:after="0" w:line="360" w:lineRule="auto"/>
              <w:ind w:left="0" w:right="0"/>
              <w:jc w:val="center"/>
              <w:rPr>
                <w:rFonts w:ascii="Calibri" w:eastAsia="Times New Roman" w:hAnsi="Calibri" w:cs="Times New Roman"/>
                <w:noProof w:val="0"/>
                <w:color w:val="000000"/>
                <w:sz w:val="24"/>
                <w:szCs w:val="24"/>
              </w:rPr>
            </w:pPr>
            <w:r w:rsidRPr="00641A30">
              <w:rPr>
                <w:sz w:val="24"/>
                <w:szCs w:val="24"/>
              </w:rPr>
              <w:t>0</w:t>
            </w:r>
          </w:p>
        </w:tc>
        <w:tc>
          <w:tcPr>
            <w:tcW w:w="685" w:type="dxa"/>
            <w:tcBorders>
              <w:top w:val="single" w:sz="4" w:space="0" w:color="auto"/>
              <w:left w:val="single" w:sz="4" w:space="0" w:color="auto"/>
              <w:bottom w:val="single" w:sz="4" w:space="0" w:color="auto"/>
              <w:right w:val="single" w:sz="4" w:space="0" w:color="auto"/>
            </w:tcBorders>
          </w:tcPr>
          <w:p w14:paraId="56F32CDD" w14:textId="6A584735" w:rsidR="00100ABE" w:rsidRPr="00641A30" w:rsidRDefault="00100ABE" w:rsidP="00E552D2">
            <w:pPr>
              <w:spacing w:before="0" w:after="0" w:line="360" w:lineRule="auto"/>
              <w:ind w:left="0" w:right="0"/>
              <w:jc w:val="center"/>
              <w:rPr>
                <w:rFonts w:ascii="Calibri" w:eastAsia="Times New Roman" w:hAnsi="Calibri" w:cs="Times New Roman"/>
                <w:noProof w:val="0"/>
                <w:color w:val="000000"/>
                <w:sz w:val="24"/>
                <w:szCs w:val="24"/>
              </w:rPr>
            </w:pPr>
            <w:r w:rsidRPr="00641A30">
              <w:rPr>
                <w:sz w:val="24"/>
                <w:szCs w:val="24"/>
              </w:rPr>
              <w:t>N/A</w:t>
            </w:r>
          </w:p>
        </w:tc>
      </w:tr>
      <w:tr w:rsidR="00100ABE" w:rsidRPr="00641A30" w14:paraId="3EEE4A55" w14:textId="4A0D0D60" w:rsidTr="0097398C">
        <w:trPr>
          <w:trHeight w:val="364"/>
          <w:jc w:val="center"/>
        </w:trPr>
        <w:tc>
          <w:tcPr>
            <w:tcW w:w="3404" w:type="dxa"/>
            <w:tcBorders>
              <w:top w:val="single" w:sz="4" w:space="0" w:color="auto"/>
              <w:left w:val="single" w:sz="4" w:space="0" w:color="auto"/>
              <w:bottom w:val="single" w:sz="4" w:space="0" w:color="auto"/>
              <w:right w:val="single" w:sz="4" w:space="0" w:color="auto"/>
            </w:tcBorders>
            <w:shd w:val="clear" w:color="auto" w:fill="EFF3FF"/>
            <w:hideMark/>
          </w:tcPr>
          <w:p w14:paraId="0679B9FE" w14:textId="77777777" w:rsidR="00100ABE" w:rsidRPr="00641A30" w:rsidRDefault="00100ABE" w:rsidP="00E552D2">
            <w:pPr>
              <w:spacing w:before="0" w:after="0" w:line="360" w:lineRule="auto"/>
              <w:ind w:left="0" w:right="0"/>
              <w:jc w:val="left"/>
              <w:rPr>
                <w:rFonts w:ascii="Calibri" w:eastAsia="Times New Roman" w:hAnsi="Calibri" w:cs="Times New Roman"/>
                <w:bCs/>
                <w:noProof w:val="0"/>
                <w:color w:val="000000"/>
                <w:sz w:val="24"/>
                <w:szCs w:val="24"/>
              </w:rPr>
            </w:pPr>
            <w:r w:rsidRPr="00641A30">
              <w:rPr>
                <w:rFonts w:ascii="Calibri" w:eastAsia="Times New Roman" w:hAnsi="Calibri" w:cs="Times New Roman"/>
                <w:bCs/>
                <w:noProof w:val="0"/>
                <w:color w:val="000000"/>
                <w:sz w:val="24"/>
                <w:szCs w:val="24"/>
              </w:rPr>
              <w:t>Board of Registration of Nursing Home Administrators</w:t>
            </w:r>
          </w:p>
        </w:tc>
        <w:tc>
          <w:tcPr>
            <w:tcW w:w="960" w:type="dxa"/>
            <w:tcBorders>
              <w:top w:val="single" w:sz="4" w:space="0" w:color="auto"/>
              <w:left w:val="single" w:sz="4" w:space="0" w:color="auto"/>
              <w:bottom w:val="single" w:sz="4" w:space="0" w:color="auto"/>
              <w:right w:val="single" w:sz="4" w:space="0" w:color="auto"/>
            </w:tcBorders>
            <w:shd w:val="clear" w:color="auto" w:fill="EFF3FF"/>
            <w:hideMark/>
          </w:tcPr>
          <w:p w14:paraId="06E0FD40" w14:textId="77777777" w:rsidR="00100ABE" w:rsidRPr="00641A30" w:rsidRDefault="00100ABE" w:rsidP="00E552D2">
            <w:pPr>
              <w:spacing w:before="0" w:after="0" w:line="360" w:lineRule="auto"/>
              <w:ind w:left="0" w:right="0"/>
              <w:jc w:val="center"/>
              <w:rPr>
                <w:rFonts w:ascii="Calibri" w:eastAsia="Times New Roman" w:hAnsi="Calibri" w:cs="Times New Roman"/>
                <w:noProof w:val="0"/>
                <w:color w:val="000000"/>
                <w:sz w:val="24"/>
                <w:szCs w:val="24"/>
              </w:rPr>
            </w:pPr>
            <w:r w:rsidRPr="00641A30">
              <w:rPr>
                <w:rFonts w:ascii="Calibri" w:eastAsia="Times New Roman" w:hAnsi="Calibri" w:cs="Times New Roman"/>
                <w:noProof w:val="0"/>
                <w:color w:val="000000"/>
                <w:sz w:val="24"/>
                <w:szCs w:val="24"/>
              </w:rPr>
              <w:t>995</w:t>
            </w:r>
          </w:p>
        </w:tc>
        <w:tc>
          <w:tcPr>
            <w:tcW w:w="960" w:type="dxa"/>
            <w:tcBorders>
              <w:top w:val="single" w:sz="4" w:space="0" w:color="auto"/>
              <w:left w:val="single" w:sz="4" w:space="0" w:color="auto"/>
              <w:bottom w:val="single" w:sz="4" w:space="0" w:color="auto"/>
              <w:right w:val="single" w:sz="4" w:space="0" w:color="auto"/>
            </w:tcBorders>
            <w:shd w:val="clear" w:color="auto" w:fill="EFF3FF"/>
            <w:hideMark/>
          </w:tcPr>
          <w:p w14:paraId="006027AB" w14:textId="77777777" w:rsidR="00100ABE" w:rsidRPr="00641A30" w:rsidRDefault="00100ABE" w:rsidP="00E552D2">
            <w:pPr>
              <w:spacing w:before="0" w:after="0" w:line="360" w:lineRule="auto"/>
              <w:ind w:left="0" w:right="0"/>
              <w:jc w:val="center"/>
              <w:rPr>
                <w:rFonts w:ascii="Calibri" w:eastAsia="Times New Roman" w:hAnsi="Calibri" w:cs="Times New Roman"/>
                <w:noProof w:val="0"/>
                <w:color w:val="000000"/>
                <w:sz w:val="24"/>
                <w:szCs w:val="24"/>
              </w:rPr>
            </w:pPr>
            <w:r w:rsidRPr="00641A30">
              <w:rPr>
                <w:rFonts w:ascii="Calibri" w:eastAsia="Times New Roman" w:hAnsi="Calibri" w:cs="Times New Roman"/>
                <w:noProof w:val="0"/>
                <w:color w:val="000000"/>
                <w:sz w:val="24"/>
                <w:szCs w:val="24"/>
              </w:rPr>
              <w:t>970</w:t>
            </w:r>
          </w:p>
        </w:tc>
        <w:tc>
          <w:tcPr>
            <w:tcW w:w="959" w:type="dxa"/>
            <w:tcBorders>
              <w:top w:val="single" w:sz="4" w:space="0" w:color="auto"/>
              <w:left w:val="single" w:sz="4" w:space="0" w:color="auto"/>
              <w:bottom w:val="single" w:sz="4" w:space="0" w:color="auto"/>
              <w:right w:val="single" w:sz="4" w:space="0" w:color="auto"/>
            </w:tcBorders>
            <w:shd w:val="clear" w:color="auto" w:fill="EFF3FF"/>
            <w:hideMark/>
          </w:tcPr>
          <w:p w14:paraId="03DE6D11" w14:textId="77777777" w:rsidR="00100ABE" w:rsidRPr="00641A30" w:rsidRDefault="00100ABE" w:rsidP="00E552D2">
            <w:pPr>
              <w:spacing w:before="0" w:after="0" w:line="360" w:lineRule="auto"/>
              <w:ind w:left="0" w:right="0"/>
              <w:jc w:val="center"/>
              <w:rPr>
                <w:rFonts w:ascii="Calibri" w:eastAsia="Times New Roman" w:hAnsi="Calibri" w:cs="Times New Roman"/>
                <w:noProof w:val="0"/>
                <w:color w:val="000000"/>
                <w:sz w:val="24"/>
                <w:szCs w:val="24"/>
              </w:rPr>
            </w:pPr>
            <w:r w:rsidRPr="00641A30">
              <w:rPr>
                <w:rFonts w:ascii="Calibri" w:eastAsia="Times New Roman" w:hAnsi="Calibri" w:cs="Times New Roman"/>
                <w:noProof w:val="0"/>
                <w:color w:val="000000"/>
                <w:sz w:val="24"/>
                <w:szCs w:val="24"/>
              </w:rPr>
              <w:t>1,016</w:t>
            </w:r>
          </w:p>
        </w:tc>
        <w:tc>
          <w:tcPr>
            <w:tcW w:w="959" w:type="dxa"/>
            <w:tcBorders>
              <w:top w:val="single" w:sz="4" w:space="0" w:color="auto"/>
              <w:left w:val="single" w:sz="4" w:space="0" w:color="auto"/>
              <w:bottom w:val="single" w:sz="4" w:space="0" w:color="auto"/>
              <w:right w:val="single" w:sz="4" w:space="0" w:color="auto"/>
            </w:tcBorders>
            <w:shd w:val="clear" w:color="auto" w:fill="EFF3FF"/>
            <w:hideMark/>
          </w:tcPr>
          <w:p w14:paraId="070AE385" w14:textId="77777777" w:rsidR="00100ABE" w:rsidRPr="00641A30" w:rsidRDefault="00100ABE" w:rsidP="00E552D2">
            <w:pPr>
              <w:spacing w:before="0" w:after="0" w:line="360" w:lineRule="auto"/>
              <w:ind w:left="0" w:right="0"/>
              <w:jc w:val="center"/>
              <w:rPr>
                <w:rFonts w:ascii="Calibri" w:eastAsia="Times New Roman" w:hAnsi="Calibri" w:cs="Times New Roman"/>
                <w:noProof w:val="0"/>
                <w:color w:val="000000"/>
                <w:sz w:val="24"/>
                <w:szCs w:val="24"/>
              </w:rPr>
            </w:pPr>
            <w:r w:rsidRPr="00641A30">
              <w:rPr>
                <w:rFonts w:ascii="Calibri" w:eastAsia="Times New Roman" w:hAnsi="Calibri" w:cs="Times New Roman"/>
                <w:noProof w:val="0"/>
                <w:color w:val="000000"/>
                <w:sz w:val="24"/>
                <w:szCs w:val="24"/>
              </w:rPr>
              <w:t>986</w:t>
            </w:r>
          </w:p>
        </w:tc>
        <w:tc>
          <w:tcPr>
            <w:tcW w:w="858" w:type="dxa"/>
            <w:tcBorders>
              <w:top w:val="single" w:sz="4" w:space="0" w:color="auto"/>
              <w:left w:val="single" w:sz="4" w:space="0" w:color="auto"/>
              <w:bottom w:val="single" w:sz="4" w:space="0" w:color="auto"/>
              <w:right w:val="single" w:sz="4" w:space="0" w:color="auto"/>
            </w:tcBorders>
            <w:shd w:val="clear" w:color="auto" w:fill="EFF3FF"/>
            <w:hideMark/>
          </w:tcPr>
          <w:p w14:paraId="47C72BF6" w14:textId="77777777" w:rsidR="00100ABE" w:rsidRPr="00641A30" w:rsidRDefault="00100ABE" w:rsidP="00E552D2">
            <w:pPr>
              <w:spacing w:before="0" w:after="0" w:line="360" w:lineRule="auto"/>
              <w:ind w:left="0" w:right="0"/>
              <w:jc w:val="center"/>
              <w:rPr>
                <w:rFonts w:ascii="Calibri" w:eastAsia="Times New Roman" w:hAnsi="Calibri" w:cs="Times New Roman"/>
                <w:noProof w:val="0"/>
                <w:color w:val="000000"/>
                <w:sz w:val="24"/>
                <w:szCs w:val="24"/>
              </w:rPr>
            </w:pPr>
            <w:r w:rsidRPr="00641A30">
              <w:rPr>
                <w:rFonts w:ascii="Calibri" w:eastAsia="Times New Roman" w:hAnsi="Calibri" w:cs="Times New Roman"/>
                <w:noProof w:val="0"/>
                <w:color w:val="000000"/>
                <w:sz w:val="24"/>
                <w:szCs w:val="24"/>
              </w:rPr>
              <w:t>996</w:t>
            </w:r>
          </w:p>
        </w:tc>
        <w:tc>
          <w:tcPr>
            <w:tcW w:w="930" w:type="dxa"/>
            <w:tcBorders>
              <w:top w:val="single" w:sz="4" w:space="0" w:color="auto"/>
              <w:left w:val="single" w:sz="4" w:space="0" w:color="auto"/>
              <w:bottom w:val="single" w:sz="4" w:space="0" w:color="auto"/>
              <w:right w:val="single" w:sz="4" w:space="0" w:color="auto"/>
            </w:tcBorders>
            <w:shd w:val="clear" w:color="auto" w:fill="EFF3FF"/>
          </w:tcPr>
          <w:p w14:paraId="1C18A3C3" w14:textId="57B0A201" w:rsidR="00100ABE" w:rsidRPr="00641A30" w:rsidRDefault="00100ABE" w:rsidP="00E552D2">
            <w:pPr>
              <w:spacing w:before="0" w:after="0" w:line="360" w:lineRule="auto"/>
              <w:ind w:left="0" w:right="0"/>
              <w:jc w:val="center"/>
              <w:rPr>
                <w:rFonts w:ascii="Calibri" w:eastAsia="Times New Roman" w:hAnsi="Calibri" w:cs="Times New Roman"/>
                <w:noProof w:val="0"/>
                <w:color w:val="000000"/>
                <w:sz w:val="24"/>
                <w:szCs w:val="24"/>
              </w:rPr>
            </w:pPr>
            <w:r w:rsidRPr="00641A30">
              <w:rPr>
                <w:sz w:val="24"/>
                <w:szCs w:val="24"/>
              </w:rPr>
              <w:t>1</w:t>
            </w:r>
          </w:p>
        </w:tc>
        <w:tc>
          <w:tcPr>
            <w:tcW w:w="685" w:type="dxa"/>
            <w:tcBorders>
              <w:top w:val="single" w:sz="4" w:space="0" w:color="auto"/>
              <w:left w:val="single" w:sz="4" w:space="0" w:color="auto"/>
              <w:bottom w:val="single" w:sz="4" w:space="0" w:color="auto"/>
              <w:right w:val="single" w:sz="4" w:space="0" w:color="auto"/>
            </w:tcBorders>
            <w:shd w:val="clear" w:color="auto" w:fill="EFF3FF"/>
          </w:tcPr>
          <w:p w14:paraId="71C6F5B6" w14:textId="2E43F3D4" w:rsidR="00100ABE" w:rsidRPr="00641A30" w:rsidRDefault="00100ABE" w:rsidP="00E552D2">
            <w:pPr>
              <w:spacing w:before="0" w:after="0" w:line="360" w:lineRule="auto"/>
              <w:ind w:left="0" w:right="0"/>
              <w:jc w:val="center"/>
              <w:rPr>
                <w:rFonts w:ascii="Calibri" w:eastAsia="Times New Roman" w:hAnsi="Calibri" w:cs="Times New Roman"/>
                <w:noProof w:val="0"/>
                <w:color w:val="000000"/>
                <w:sz w:val="24"/>
                <w:szCs w:val="24"/>
              </w:rPr>
            </w:pPr>
            <w:r w:rsidRPr="00641A30">
              <w:rPr>
                <w:sz w:val="24"/>
                <w:szCs w:val="24"/>
              </w:rPr>
              <w:t>0%</w:t>
            </w:r>
          </w:p>
        </w:tc>
      </w:tr>
      <w:tr w:rsidR="00100ABE" w:rsidRPr="00641A30" w14:paraId="2BED6A85" w14:textId="78CD3F26" w:rsidTr="0097398C">
        <w:trPr>
          <w:trHeight w:val="481"/>
          <w:jc w:val="center"/>
        </w:trPr>
        <w:tc>
          <w:tcPr>
            <w:tcW w:w="3404" w:type="dxa"/>
            <w:tcBorders>
              <w:top w:val="single" w:sz="4" w:space="0" w:color="auto"/>
              <w:left w:val="single" w:sz="4" w:space="0" w:color="auto"/>
              <w:bottom w:val="single" w:sz="4" w:space="0" w:color="auto"/>
              <w:right w:val="single" w:sz="4" w:space="0" w:color="auto"/>
            </w:tcBorders>
            <w:hideMark/>
          </w:tcPr>
          <w:p w14:paraId="56A66576" w14:textId="77777777" w:rsidR="00100ABE" w:rsidRPr="00641A30" w:rsidRDefault="00100ABE" w:rsidP="00E552D2">
            <w:pPr>
              <w:spacing w:before="0" w:after="0" w:line="360" w:lineRule="auto"/>
              <w:ind w:left="0" w:right="0"/>
              <w:jc w:val="left"/>
              <w:rPr>
                <w:rFonts w:ascii="Calibri" w:eastAsia="Times New Roman" w:hAnsi="Calibri" w:cs="Times New Roman"/>
                <w:bCs/>
                <w:noProof w:val="0"/>
                <w:color w:val="000000"/>
                <w:sz w:val="24"/>
                <w:szCs w:val="24"/>
              </w:rPr>
            </w:pPr>
            <w:r w:rsidRPr="00641A30">
              <w:rPr>
                <w:rFonts w:ascii="Calibri" w:eastAsia="Times New Roman" w:hAnsi="Calibri" w:cs="Times New Roman"/>
                <w:bCs/>
                <w:noProof w:val="0"/>
                <w:color w:val="000000"/>
                <w:sz w:val="24"/>
                <w:szCs w:val="24"/>
              </w:rPr>
              <w:t>Board of Registration in Nursing</w:t>
            </w:r>
          </w:p>
        </w:tc>
        <w:tc>
          <w:tcPr>
            <w:tcW w:w="960" w:type="dxa"/>
            <w:tcBorders>
              <w:top w:val="single" w:sz="4" w:space="0" w:color="auto"/>
              <w:left w:val="single" w:sz="4" w:space="0" w:color="auto"/>
              <w:bottom w:val="single" w:sz="4" w:space="0" w:color="auto"/>
              <w:right w:val="single" w:sz="4" w:space="0" w:color="auto"/>
            </w:tcBorders>
            <w:hideMark/>
          </w:tcPr>
          <w:p w14:paraId="488F3DC1" w14:textId="77777777" w:rsidR="00100ABE" w:rsidRPr="00641A30" w:rsidRDefault="00100ABE" w:rsidP="00E552D2">
            <w:pPr>
              <w:spacing w:before="0" w:after="0" w:line="360" w:lineRule="auto"/>
              <w:ind w:left="0" w:right="0"/>
              <w:jc w:val="center"/>
              <w:rPr>
                <w:rFonts w:ascii="Calibri" w:eastAsia="Times New Roman" w:hAnsi="Calibri" w:cs="Times New Roman"/>
                <w:noProof w:val="0"/>
                <w:color w:val="000000"/>
                <w:sz w:val="24"/>
                <w:szCs w:val="24"/>
              </w:rPr>
            </w:pPr>
            <w:r w:rsidRPr="00641A30">
              <w:rPr>
                <w:rFonts w:ascii="Calibri" w:eastAsia="Times New Roman" w:hAnsi="Calibri" w:cs="Times New Roman"/>
                <w:noProof w:val="0"/>
                <w:color w:val="000000"/>
                <w:sz w:val="24"/>
                <w:szCs w:val="24"/>
              </w:rPr>
              <w:t>141,934</w:t>
            </w:r>
          </w:p>
        </w:tc>
        <w:tc>
          <w:tcPr>
            <w:tcW w:w="960" w:type="dxa"/>
            <w:tcBorders>
              <w:top w:val="single" w:sz="4" w:space="0" w:color="auto"/>
              <w:left w:val="single" w:sz="4" w:space="0" w:color="auto"/>
              <w:bottom w:val="single" w:sz="4" w:space="0" w:color="auto"/>
              <w:right w:val="single" w:sz="4" w:space="0" w:color="auto"/>
            </w:tcBorders>
            <w:hideMark/>
          </w:tcPr>
          <w:p w14:paraId="3A40DF71" w14:textId="77777777" w:rsidR="00100ABE" w:rsidRPr="00641A30" w:rsidRDefault="00100ABE" w:rsidP="00E552D2">
            <w:pPr>
              <w:spacing w:before="0" w:after="0" w:line="360" w:lineRule="auto"/>
              <w:ind w:left="0" w:right="0"/>
              <w:jc w:val="center"/>
              <w:rPr>
                <w:rFonts w:ascii="Calibri" w:eastAsia="Times New Roman" w:hAnsi="Calibri" w:cs="Times New Roman"/>
                <w:noProof w:val="0"/>
                <w:color w:val="000000"/>
                <w:sz w:val="24"/>
                <w:szCs w:val="24"/>
              </w:rPr>
            </w:pPr>
            <w:r w:rsidRPr="00641A30">
              <w:rPr>
                <w:rFonts w:ascii="Calibri" w:eastAsia="Times New Roman" w:hAnsi="Calibri" w:cs="Times New Roman"/>
                <w:noProof w:val="0"/>
                <w:color w:val="000000"/>
                <w:sz w:val="24"/>
                <w:szCs w:val="24"/>
              </w:rPr>
              <w:t>143,756</w:t>
            </w:r>
          </w:p>
        </w:tc>
        <w:tc>
          <w:tcPr>
            <w:tcW w:w="959" w:type="dxa"/>
            <w:tcBorders>
              <w:top w:val="single" w:sz="4" w:space="0" w:color="auto"/>
              <w:left w:val="single" w:sz="4" w:space="0" w:color="auto"/>
              <w:bottom w:val="single" w:sz="4" w:space="0" w:color="auto"/>
              <w:right w:val="single" w:sz="4" w:space="0" w:color="auto"/>
            </w:tcBorders>
            <w:hideMark/>
          </w:tcPr>
          <w:p w14:paraId="65C8D315" w14:textId="77777777" w:rsidR="00100ABE" w:rsidRPr="00641A30" w:rsidRDefault="00100ABE" w:rsidP="00E552D2">
            <w:pPr>
              <w:spacing w:before="0" w:after="0" w:line="360" w:lineRule="auto"/>
              <w:ind w:left="0" w:right="0"/>
              <w:jc w:val="center"/>
              <w:rPr>
                <w:rFonts w:ascii="Calibri" w:eastAsia="Times New Roman" w:hAnsi="Calibri" w:cs="Times New Roman"/>
                <w:noProof w:val="0"/>
                <w:color w:val="000000"/>
                <w:sz w:val="24"/>
                <w:szCs w:val="24"/>
              </w:rPr>
            </w:pPr>
            <w:r w:rsidRPr="00641A30">
              <w:rPr>
                <w:rFonts w:ascii="Calibri" w:eastAsia="Times New Roman" w:hAnsi="Calibri" w:cs="Times New Roman"/>
                <w:noProof w:val="0"/>
                <w:color w:val="000000"/>
                <w:sz w:val="24"/>
                <w:szCs w:val="24"/>
              </w:rPr>
              <w:t>142,555</w:t>
            </w:r>
          </w:p>
        </w:tc>
        <w:tc>
          <w:tcPr>
            <w:tcW w:w="959" w:type="dxa"/>
            <w:tcBorders>
              <w:top w:val="single" w:sz="4" w:space="0" w:color="auto"/>
              <w:left w:val="single" w:sz="4" w:space="0" w:color="auto"/>
              <w:bottom w:val="single" w:sz="4" w:space="0" w:color="auto"/>
              <w:right w:val="single" w:sz="4" w:space="0" w:color="auto"/>
            </w:tcBorders>
            <w:hideMark/>
          </w:tcPr>
          <w:p w14:paraId="6456AF15" w14:textId="77777777" w:rsidR="00100ABE" w:rsidRPr="00641A30" w:rsidRDefault="00100ABE" w:rsidP="00E552D2">
            <w:pPr>
              <w:spacing w:before="0" w:after="0" w:line="360" w:lineRule="auto"/>
              <w:ind w:left="0" w:right="0"/>
              <w:jc w:val="center"/>
              <w:rPr>
                <w:rFonts w:ascii="Calibri" w:eastAsia="Times New Roman" w:hAnsi="Calibri" w:cs="Times New Roman"/>
                <w:noProof w:val="0"/>
                <w:color w:val="000000"/>
                <w:sz w:val="24"/>
                <w:szCs w:val="24"/>
              </w:rPr>
            </w:pPr>
            <w:r w:rsidRPr="00641A30">
              <w:rPr>
                <w:rFonts w:ascii="Calibri" w:eastAsia="Times New Roman" w:hAnsi="Calibri" w:cs="Times New Roman"/>
                <w:noProof w:val="0"/>
                <w:color w:val="000000"/>
                <w:sz w:val="24"/>
                <w:szCs w:val="24"/>
              </w:rPr>
              <w:t>143,638</w:t>
            </w:r>
          </w:p>
        </w:tc>
        <w:tc>
          <w:tcPr>
            <w:tcW w:w="858" w:type="dxa"/>
            <w:tcBorders>
              <w:top w:val="single" w:sz="4" w:space="0" w:color="auto"/>
              <w:left w:val="single" w:sz="4" w:space="0" w:color="auto"/>
              <w:bottom w:val="single" w:sz="4" w:space="0" w:color="auto"/>
              <w:right w:val="single" w:sz="4" w:space="0" w:color="auto"/>
            </w:tcBorders>
            <w:hideMark/>
          </w:tcPr>
          <w:p w14:paraId="6C87AC64" w14:textId="77777777" w:rsidR="00100ABE" w:rsidRPr="00641A30" w:rsidRDefault="00100ABE" w:rsidP="00E552D2">
            <w:pPr>
              <w:spacing w:before="0" w:after="0" w:line="360" w:lineRule="auto"/>
              <w:ind w:left="0" w:right="0"/>
              <w:jc w:val="center"/>
              <w:rPr>
                <w:rFonts w:ascii="Calibri" w:eastAsia="Times New Roman" w:hAnsi="Calibri" w:cs="Times New Roman"/>
                <w:noProof w:val="0"/>
                <w:color w:val="000000"/>
                <w:sz w:val="24"/>
                <w:szCs w:val="24"/>
              </w:rPr>
            </w:pPr>
            <w:r w:rsidRPr="00641A30">
              <w:rPr>
                <w:rFonts w:ascii="Calibri" w:eastAsia="Times New Roman" w:hAnsi="Calibri" w:cs="Times New Roman"/>
                <w:noProof w:val="0"/>
                <w:color w:val="000000"/>
                <w:sz w:val="24"/>
                <w:szCs w:val="24"/>
              </w:rPr>
              <w:t>157,225</w:t>
            </w:r>
          </w:p>
        </w:tc>
        <w:tc>
          <w:tcPr>
            <w:tcW w:w="930" w:type="dxa"/>
            <w:tcBorders>
              <w:top w:val="single" w:sz="4" w:space="0" w:color="auto"/>
              <w:left w:val="single" w:sz="4" w:space="0" w:color="auto"/>
              <w:bottom w:val="single" w:sz="4" w:space="0" w:color="auto"/>
              <w:right w:val="single" w:sz="4" w:space="0" w:color="auto"/>
            </w:tcBorders>
          </w:tcPr>
          <w:p w14:paraId="0FFC213D" w14:textId="7FEDE254" w:rsidR="00100ABE" w:rsidRPr="00641A30" w:rsidRDefault="00100ABE" w:rsidP="00E552D2">
            <w:pPr>
              <w:spacing w:before="0" w:after="0" w:line="360" w:lineRule="auto"/>
              <w:ind w:left="0" w:right="0"/>
              <w:jc w:val="center"/>
              <w:rPr>
                <w:rFonts w:ascii="Calibri" w:eastAsia="Times New Roman" w:hAnsi="Calibri" w:cs="Times New Roman"/>
                <w:noProof w:val="0"/>
                <w:color w:val="000000"/>
                <w:sz w:val="24"/>
                <w:szCs w:val="24"/>
              </w:rPr>
            </w:pPr>
            <w:r w:rsidRPr="00641A30">
              <w:rPr>
                <w:sz w:val="24"/>
                <w:szCs w:val="24"/>
              </w:rPr>
              <w:t>15,291</w:t>
            </w:r>
          </w:p>
        </w:tc>
        <w:tc>
          <w:tcPr>
            <w:tcW w:w="685" w:type="dxa"/>
            <w:tcBorders>
              <w:top w:val="single" w:sz="4" w:space="0" w:color="auto"/>
              <w:left w:val="single" w:sz="4" w:space="0" w:color="auto"/>
              <w:bottom w:val="single" w:sz="4" w:space="0" w:color="auto"/>
              <w:right w:val="single" w:sz="4" w:space="0" w:color="auto"/>
            </w:tcBorders>
          </w:tcPr>
          <w:p w14:paraId="74FC94B4" w14:textId="6410BA4F" w:rsidR="00100ABE" w:rsidRPr="00641A30" w:rsidRDefault="00100ABE" w:rsidP="00E552D2">
            <w:pPr>
              <w:spacing w:before="0" w:after="0" w:line="360" w:lineRule="auto"/>
              <w:ind w:left="0" w:right="0"/>
              <w:jc w:val="center"/>
              <w:rPr>
                <w:rFonts w:ascii="Calibri" w:eastAsia="Times New Roman" w:hAnsi="Calibri" w:cs="Times New Roman"/>
                <w:noProof w:val="0"/>
                <w:color w:val="000000"/>
                <w:sz w:val="24"/>
                <w:szCs w:val="24"/>
              </w:rPr>
            </w:pPr>
            <w:r w:rsidRPr="00641A30">
              <w:rPr>
                <w:sz w:val="24"/>
                <w:szCs w:val="24"/>
              </w:rPr>
              <w:t>11%</w:t>
            </w:r>
          </w:p>
        </w:tc>
      </w:tr>
      <w:tr w:rsidR="00100ABE" w:rsidRPr="00641A30" w14:paraId="7429B817" w14:textId="18E1BFFE" w:rsidTr="0097398C">
        <w:trPr>
          <w:trHeight w:val="481"/>
          <w:jc w:val="center"/>
        </w:trPr>
        <w:tc>
          <w:tcPr>
            <w:tcW w:w="3404" w:type="dxa"/>
            <w:tcBorders>
              <w:top w:val="single" w:sz="4" w:space="0" w:color="auto"/>
              <w:left w:val="single" w:sz="4" w:space="0" w:color="auto"/>
              <w:bottom w:val="single" w:sz="4" w:space="0" w:color="auto"/>
              <w:right w:val="single" w:sz="4" w:space="0" w:color="auto"/>
            </w:tcBorders>
            <w:shd w:val="clear" w:color="auto" w:fill="EFF3FF"/>
            <w:hideMark/>
          </w:tcPr>
          <w:p w14:paraId="4E1C4343" w14:textId="77777777" w:rsidR="00100ABE" w:rsidRPr="00641A30" w:rsidRDefault="00100ABE" w:rsidP="00E552D2">
            <w:pPr>
              <w:spacing w:before="0" w:after="0" w:line="360" w:lineRule="auto"/>
              <w:ind w:left="0" w:right="0"/>
              <w:jc w:val="left"/>
              <w:rPr>
                <w:rFonts w:ascii="Calibri" w:eastAsia="Times New Roman" w:hAnsi="Calibri" w:cs="Times New Roman"/>
                <w:bCs/>
                <w:noProof w:val="0"/>
                <w:color w:val="000000"/>
                <w:sz w:val="24"/>
                <w:szCs w:val="24"/>
              </w:rPr>
            </w:pPr>
            <w:r w:rsidRPr="00641A30">
              <w:rPr>
                <w:rFonts w:ascii="Calibri" w:eastAsia="Times New Roman" w:hAnsi="Calibri" w:cs="Times New Roman"/>
                <w:bCs/>
                <w:noProof w:val="0"/>
                <w:color w:val="000000"/>
                <w:sz w:val="24"/>
                <w:szCs w:val="24"/>
              </w:rPr>
              <w:t>Board of Registration of Perfusionists</w:t>
            </w:r>
          </w:p>
        </w:tc>
        <w:tc>
          <w:tcPr>
            <w:tcW w:w="960" w:type="dxa"/>
            <w:tcBorders>
              <w:top w:val="single" w:sz="4" w:space="0" w:color="auto"/>
              <w:left w:val="single" w:sz="4" w:space="0" w:color="auto"/>
              <w:bottom w:val="single" w:sz="4" w:space="0" w:color="auto"/>
              <w:right w:val="single" w:sz="4" w:space="0" w:color="auto"/>
            </w:tcBorders>
            <w:shd w:val="clear" w:color="auto" w:fill="EFF3FF"/>
            <w:hideMark/>
          </w:tcPr>
          <w:p w14:paraId="2D4D3E1A" w14:textId="77777777" w:rsidR="00100ABE" w:rsidRPr="00641A30" w:rsidRDefault="00100ABE" w:rsidP="00E552D2">
            <w:pPr>
              <w:spacing w:before="0" w:after="0" w:line="360" w:lineRule="auto"/>
              <w:ind w:left="0" w:right="0"/>
              <w:jc w:val="center"/>
              <w:rPr>
                <w:rFonts w:ascii="Calibri" w:eastAsia="Times New Roman" w:hAnsi="Calibri" w:cs="Times New Roman"/>
                <w:noProof w:val="0"/>
                <w:color w:val="000000"/>
                <w:sz w:val="24"/>
                <w:szCs w:val="24"/>
              </w:rPr>
            </w:pPr>
            <w:r w:rsidRPr="00641A30">
              <w:rPr>
                <w:rFonts w:ascii="Calibri" w:eastAsia="Times New Roman" w:hAnsi="Calibri" w:cs="Times New Roman"/>
                <w:noProof w:val="0"/>
                <w:color w:val="000000"/>
                <w:sz w:val="24"/>
                <w:szCs w:val="24"/>
              </w:rPr>
              <w:t>103</w:t>
            </w:r>
          </w:p>
        </w:tc>
        <w:tc>
          <w:tcPr>
            <w:tcW w:w="960" w:type="dxa"/>
            <w:tcBorders>
              <w:top w:val="single" w:sz="4" w:space="0" w:color="auto"/>
              <w:left w:val="single" w:sz="4" w:space="0" w:color="auto"/>
              <w:bottom w:val="single" w:sz="4" w:space="0" w:color="auto"/>
              <w:right w:val="single" w:sz="4" w:space="0" w:color="auto"/>
            </w:tcBorders>
            <w:shd w:val="clear" w:color="auto" w:fill="EFF3FF"/>
            <w:hideMark/>
          </w:tcPr>
          <w:p w14:paraId="07544058" w14:textId="77777777" w:rsidR="00100ABE" w:rsidRPr="00641A30" w:rsidRDefault="00100ABE" w:rsidP="00E552D2">
            <w:pPr>
              <w:spacing w:before="0" w:after="0" w:line="360" w:lineRule="auto"/>
              <w:ind w:left="0" w:right="0"/>
              <w:jc w:val="center"/>
              <w:rPr>
                <w:rFonts w:ascii="Calibri" w:eastAsia="Times New Roman" w:hAnsi="Calibri" w:cs="Times New Roman"/>
                <w:noProof w:val="0"/>
                <w:color w:val="000000"/>
                <w:sz w:val="24"/>
                <w:szCs w:val="24"/>
              </w:rPr>
            </w:pPr>
            <w:r w:rsidRPr="00641A30">
              <w:rPr>
                <w:rFonts w:ascii="Calibri" w:eastAsia="Times New Roman" w:hAnsi="Calibri" w:cs="Times New Roman"/>
                <w:noProof w:val="0"/>
                <w:color w:val="000000"/>
                <w:sz w:val="24"/>
                <w:szCs w:val="24"/>
              </w:rPr>
              <w:t>104</w:t>
            </w:r>
          </w:p>
        </w:tc>
        <w:tc>
          <w:tcPr>
            <w:tcW w:w="959" w:type="dxa"/>
            <w:tcBorders>
              <w:top w:val="single" w:sz="4" w:space="0" w:color="auto"/>
              <w:left w:val="single" w:sz="4" w:space="0" w:color="auto"/>
              <w:bottom w:val="single" w:sz="4" w:space="0" w:color="auto"/>
              <w:right w:val="single" w:sz="4" w:space="0" w:color="auto"/>
            </w:tcBorders>
            <w:shd w:val="clear" w:color="auto" w:fill="EFF3FF"/>
            <w:hideMark/>
          </w:tcPr>
          <w:p w14:paraId="46351BBA" w14:textId="77777777" w:rsidR="00100ABE" w:rsidRPr="00641A30" w:rsidRDefault="00100ABE" w:rsidP="00E552D2">
            <w:pPr>
              <w:spacing w:before="0" w:after="0" w:line="360" w:lineRule="auto"/>
              <w:ind w:left="0" w:right="0"/>
              <w:jc w:val="center"/>
              <w:rPr>
                <w:rFonts w:ascii="Calibri" w:eastAsia="Times New Roman" w:hAnsi="Calibri" w:cs="Times New Roman"/>
                <w:noProof w:val="0"/>
                <w:color w:val="000000"/>
                <w:sz w:val="24"/>
                <w:szCs w:val="24"/>
              </w:rPr>
            </w:pPr>
            <w:r w:rsidRPr="00641A30">
              <w:rPr>
                <w:rFonts w:ascii="Calibri" w:eastAsia="Times New Roman" w:hAnsi="Calibri" w:cs="Times New Roman"/>
                <w:noProof w:val="0"/>
                <w:color w:val="000000"/>
                <w:sz w:val="24"/>
                <w:szCs w:val="24"/>
              </w:rPr>
              <w:t>114</w:t>
            </w:r>
          </w:p>
        </w:tc>
        <w:tc>
          <w:tcPr>
            <w:tcW w:w="959" w:type="dxa"/>
            <w:tcBorders>
              <w:top w:val="single" w:sz="4" w:space="0" w:color="auto"/>
              <w:left w:val="single" w:sz="4" w:space="0" w:color="auto"/>
              <w:bottom w:val="single" w:sz="4" w:space="0" w:color="auto"/>
              <w:right w:val="single" w:sz="4" w:space="0" w:color="auto"/>
            </w:tcBorders>
            <w:shd w:val="clear" w:color="auto" w:fill="EFF3FF"/>
            <w:hideMark/>
          </w:tcPr>
          <w:p w14:paraId="7E758B67" w14:textId="77777777" w:rsidR="00100ABE" w:rsidRPr="00641A30" w:rsidRDefault="00100ABE" w:rsidP="00E552D2">
            <w:pPr>
              <w:spacing w:before="0" w:after="0" w:line="360" w:lineRule="auto"/>
              <w:ind w:left="0" w:right="0"/>
              <w:jc w:val="center"/>
              <w:rPr>
                <w:rFonts w:ascii="Calibri" w:eastAsia="Times New Roman" w:hAnsi="Calibri" w:cs="Times New Roman"/>
                <w:noProof w:val="0"/>
                <w:color w:val="000000"/>
                <w:sz w:val="24"/>
                <w:szCs w:val="24"/>
              </w:rPr>
            </w:pPr>
            <w:r w:rsidRPr="00641A30">
              <w:rPr>
                <w:rFonts w:ascii="Calibri" w:eastAsia="Times New Roman" w:hAnsi="Calibri" w:cs="Times New Roman"/>
                <w:noProof w:val="0"/>
                <w:color w:val="000000"/>
                <w:sz w:val="24"/>
                <w:szCs w:val="24"/>
              </w:rPr>
              <w:t>110</w:t>
            </w:r>
          </w:p>
        </w:tc>
        <w:tc>
          <w:tcPr>
            <w:tcW w:w="858" w:type="dxa"/>
            <w:tcBorders>
              <w:top w:val="single" w:sz="4" w:space="0" w:color="auto"/>
              <w:left w:val="single" w:sz="4" w:space="0" w:color="auto"/>
              <w:bottom w:val="single" w:sz="4" w:space="0" w:color="auto"/>
              <w:right w:val="single" w:sz="4" w:space="0" w:color="auto"/>
            </w:tcBorders>
            <w:shd w:val="clear" w:color="auto" w:fill="EFF3FF"/>
            <w:hideMark/>
          </w:tcPr>
          <w:p w14:paraId="7E71F0A4" w14:textId="77777777" w:rsidR="00100ABE" w:rsidRPr="00641A30" w:rsidRDefault="00100ABE" w:rsidP="00E552D2">
            <w:pPr>
              <w:spacing w:before="0" w:after="0" w:line="360" w:lineRule="auto"/>
              <w:ind w:left="0" w:right="0"/>
              <w:jc w:val="center"/>
              <w:rPr>
                <w:rFonts w:ascii="Calibri" w:eastAsia="Times New Roman" w:hAnsi="Calibri" w:cs="Times New Roman"/>
                <w:noProof w:val="0"/>
                <w:color w:val="000000"/>
                <w:sz w:val="24"/>
                <w:szCs w:val="24"/>
              </w:rPr>
            </w:pPr>
            <w:r w:rsidRPr="00641A30">
              <w:rPr>
                <w:rFonts w:ascii="Calibri" w:eastAsia="Times New Roman" w:hAnsi="Calibri" w:cs="Times New Roman"/>
                <w:noProof w:val="0"/>
                <w:color w:val="000000"/>
                <w:sz w:val="24"/>
                <w:szCs w:val="24"/>
              </w:rPr>
              <w:t>121</w:t>
            </w:r>
          </w:p>
        </w:tc>
        <w:tc>
          <w:tcPr>
            <w:tcW w:w="930" w:type="dxa"/>
            <w:tcBorders>
              <w:top w:val="single" w:sz="4" w:space="0" w:color="auto"/>
              <w:left w:val="single" w:sz="4" w:space="0" w:color="auto"/>
              <w:bottom w:val="single" w:sz="4" w:space="0" w:color="auto"/>
              <w:right w:val="single" w:sz="4" w:space="0" w:color="auto"/>
            </w:tcBorders>
            <w:shd w:val="clear" w:color="auto" w:fill="EFF3FF"/>
          </w:tcPr>
          <w:p w14:paraId="002344F6" w14:textId="70C84409" w:rsidR="00100ABE" w:rsidRPr="00641A30" w:rsidRDefault="00100ABE" w:rsidP="00E552D2">
            <w:pPr>
              <w:spacing w:before="0" w:after="0" w:line="360" w:lineRule="auto"/>
              <w:ind w:left="0" w:right="0"/>
              <w:jc w:val="center"/>
              <w:rPr>
                <w:rFonts w:ascii="Calibri" w:eastAsia="Times New Roman" w:hAnsi="Calibri" w:cs="Times New Roman"/>
                <w:noProof w:val="0"/>
                <w:color w:val="000000"/>
                <w:sz w:val="24"/>
                <w:szCs w:val="24"/>
              </w:rPr>
            </w:pPr>
            <w:r w:rsidRPr="00641A30">
              <w:rPr>
                <w:sz w:val="24"/>
                <w:szCs w:val="24"/>
              </w:rPr>
              <w:t>18</w:t>
            </w:r>
          </w:p>
        </w:tc>
        <w:tc>
          <w:tcPr>
            <w:tcW w:w="685" w:type="dxa"/>
            <w:tcBorders>
              <w:top w:val="single" w:sz="4" w:space="0" w:color="auto"/>
              <w:left w:val="single" w:sz="4" w:space="0" w:color="auto"/>
              <w:bottom w:val="single" w:sz="4" w:space="0" w:color="auto"/>
              <w:right w:val="single" w:sz="4" w:space="0" w:color="auto"/>
            </w:tcBorders>
            <w:shd w:val="clear" w:color="auto" w:fill="EFF3FF"/>
          </w:tcPr>
          <w:p w14:paraId="278F3DD4" w14:textId="4DE6F738" w:rsidR="00100ABE" w:rsidRPr="00641A30" w:rsidRDefault="00100ABE" w:rsidP="00E552D2">
            <w:pPr>
              <w:spacing w:before="0" w:after="0" w:line="360" w:lineRule="auto"/>
              <w:ind w:left="0" w:right="0"/>
              <w:jc w:val="center"/>
              <w:rPr>
                <w:rFonts w:ascii="Calibri" w:eastAsia="Times New Roman" w:hAnsi="Calibri" w:cs="Times New Roman"/>
                <w:noProof w:val="0"/>
                <w:color w:val="000000"/>
                <w:sz w:val="24"/>
                <w:szCs w:val="24"/>
              </w:rPr>
            </w:pPr>
            <w:r w:rsidRPr="00641A30">
              <w:rPr>
                <w:sz w:val="24"/>
                <w:szCs w:val="24"/>
              </w:rPr>
              <w:t>17%</w:t>
            </w:r>
          </w:p>
        </w:tc>
      </w:tr>
      <w:tr w:rsidR="00100ABE" w:rsidRPr="00641A30" w14:paraId="3D566F3D" w14:textId="3D43BD97" w:rsidTr="0097398C">
        <w:trPr>
          <w:trHeight w:val="481"/>
          <w:jc w:val="center"/>
        </w:trPr>
        <w:tc>
          <w:tcPr>
            <w:tcW w:w="3404" w:type="dxa"/>
            <w:tcBorders>
              <w:top w:val="single" w:sz="4" w:space="0" w:color="auto"/>
              <w:left w:val="single" w:sz="4" w:space="0" w:color="auto"/>
              <w:bottom w:val="single" w:sz="4" w:space="0" w:color="auto"/>
              <w:right w:val="single" w:sz="4" w:space="0" w:color="auto"/>
            </w:tcBorders>
            <w:hideMark/>
          </w:tcPr>
          <w:p w14:paraId="7F883593" w14:textId="77777777" w:rsidR="00100ABE" w:rsidRPr="00641A30" w:rsidRDefault="00100ABE" w:rsidP="00E552D2">
            <w:pPr>
              <w:spacing w:before="0" w:after="0" w:line="360" w:lineRule="auto"/>
              <w:ind w:left="0" w:right="0"/>
              <w:jc w:val="left"/>
              <w:rPr>
                <w:rFonts w:ascii="Calibri" w:eastAsia="Times New Roman" w:hAnsi="Calibri" w:cs="Times New Roman"/>
                <w:bCs/>
                <w:noProof w:val="0"/>
                <w:color w:val="000000"/>
                <w:sz w:val="24"/>
                <w:szCs w:val="24"/>
              </w:rPr>
            </w:pPr>
            <w:r w:rsidRPr="00641A30">
              <w:rPr>
                <w:rFonts w:ascii="Calibri" w:eastAsia="Times New Roman" w:hAnsi="Calibri" w:cs="Times New Roman"/>
                <w:bCs/>
                <w:noProof w:val="0"/>
                <w:color w:val="000000"/>
                <w:sz w:val="24"/>
                <w:szCs w:val="24"/>
              </w:rPr>
              <w:t>Board of Registration in Pharmacy</w:t>
            </w:r>
          </w:p>
        </w:tc>
        <w:tc>
          <w:tcPr>
            <w:tcW w:w="960" w:type="dxa"/>
            <w:tcBorders>
              <w:top w:val="single" w:sz="4" w:space="0" w:color="auto"/>
              <w:left w:val="single" w:sz="4" w:space="0" w:color="auto"/>
              <w:bottom w:val="single" w:sz="4" w:space="0" w:color="auto"/>
              <w:right w:val="single" w:sz="4" w:space="0" w:color="auto"/>
            </w:tcBorders>
            <w:hideMark/>
          </w:tcPr>
          <w:p w14:paraId="277C45E9" w14:textId="77777777" w:rsidR="00100ABE" w:rsidRPr="00641A30" w:rsidRDefault="00100ABE" w:rsidP="00E552D2">
            <w:pPr>
              <w:spacing w:before="0" w:after="0" w:line="360" w:lineRule="auto"/>
              <w:ind w:left="0" w:right="0"/>
              <w:jc w:val="center"/>
              <w:rPr>
                <w:rFonts w:ascii="Calibri" w:eastAsia="Times New Roman" w:hAnsi="Calibri" w:cs="Times New Roman"/>
                <w:noProof w:val="0"/>
                <w:color w:val="000000"/>
                <w:sz w:val="24"/>
                <w:szCs w:val="24"/>
              </w:rPr>
            </w:pPr>
            <w:r w:rsidRPr="00641A30">
              <w:rPr>
                <w:rFonts w:ascii="Calibri" w:eastAsia="Times New Roman" w:hAnsi="Calibri" w:cs="Times New Roman"/>
                <w:noProof w:val="0"/>
                <w:color w:val="000000"/>
                <w:sz w:val="24"/>
                <w:szCs w:val="24"/>
              </w:rPr>
              <w:t>25,902</w:t>
            </w:r>
          </w:p>
        </w:tc>
        <w:tc>
          <w:tcPr>
            <w:tcW w:w="960" w:type="dxa"/>
            <w:tcBorders>
              <w:top w:val="single" w:sz="4" w:space="0" w:color="auto"/>
              <w:left w:val="single" w:sz="4" w:space="0" w:color="auto"/>
              <w:bottom w:val="single" w:sz="4" w:space="0" w:color="auto"/>
              <w:right w:val="single" w:sz="4" w:space="0" w:color="auto"/>
            </w:tcBorders>
            <w:hideMark/>
          </w:tcPr>
          <w:p w14:paraId="6592B8B6" w14:textId="77777777" w:rsidR="00100ABE" w:rsidRPr="00641A30" w:rsidRDefault="00100ABE" w:rsidP="00E552D2">
            <w:pPr>
              <w:spacing w:before="0" w:after="0" w:line="360" w:lineRule="auto"/>
              <w:ind w:left="0" w:right="0"/>
              <w:jc w:val="center"/>
              <w:rPr>
                <w:rFonts w:ascii="Calibri" w:eastAsia="Times New Roman" w:hAnsi="Calibri" w:cs="Times New Roman"/>
                <w:noProof w:val="0"/>
                <w:color w:val="000000"/>
                <w:sz w:val="24"/>
                <w:szCs w:val="24"/>
              </w:rPr>
            </w:pPr>
            <w:r w:rsidRPr="00641A30">
              <w:rPr>
                <w:rFonts w:ascii="Calibri" w:eastAsia="Times New Roman" w:hAnsi="Calibri" w:cs="Times New Roman"/>
                <w:noProof w:val="0"/>
                <w:color w:val="000000"/>
                <w:sz w:val="24"/>
                <w:szCs w:val="24"/>
              </w:rPr>
              <w:t>27,158</w:t>
            </w:r>
          </w:p>
        </w:tc>
        <w:tc>
          <w:tcPr>
            <w:tcW w:w="959" w:type="dxa"/>
            <w:tcBorders>
              <w:top w:val="single" w:sz="4" w:space="0" w:color="auto"/>
              <w:left w:val="single" w:sz="4" w:space="0" w:color="auto"/>
              <w:bottom w:val="single" w:sz="4" w:space="0" w:color="auto"/>
              <w:right w:val="single" w:sz="4" w:space="0" w:color="auto"/>
            </w:tcBorders>
            <w:hideMark/>
          </w:tcPr>
          <w:p w14:paraId="48C4F961" w14:textId="77777777" w:rsidR="00100ABE" w:rsidRPr="00641A30" w:rsidRDefault="00100ABE" w:rsidP="00E552D2">
            <w:pPr>
              <w:spacing w:before="0" w:after="0" w:line="360" w:lineRule="auto"/>
              <w:ind w:left="0" w:right="0"/>
              <w:jc w:val="center"/>
              <w:rPr>
                <w:rFonts w:ascii="Calibri" w:eastAsia="Times New Roman" w:hAnsi="Calibri" w:cs="Times New Roman"/>
                <w:noProof w:val="0"/>
                <w:color w:val="000000"/>
                <w:sz w:val="24"/>
                <w:szCs w:val="24"/>
              </w:rPr>
            </w:pPr>
            <w:r w:rsidRPr="00641A30">
              <w:rPr>
                <w:rFonts w:ascii="Calibri" w:eastAsia="Times New Roman" w:hAnsi="Calibri" w:cs="Times New Roman"/>
                <w:noProof w:val="0"/>
                <w:color w:val="000000"/>
                <w:sz w:val="24"/>
                <w:szCs w:val="24"/>
              </w:rPr>
              <w:t>28,673</w:t>
            </w:r>
          </w:p>
        </w:tc>
        <w:tc>
          <w:tcPr>
            <w:tcW w:w="959" w:type="dxa"/>
            <w:tcBorders>
              <w:top w:val="single" w:sz="4" w:space="0" w:color="auto"/>
              <w:left w:val="single" w:sz="4" w:space="0" w:color="auto"/>
              <w:bottom w:val="single" w:sz="4" w:space="0" w:color="auto"/>
              <w:right w:val="single" w:sz="4" w:space="0" w:color="auto"/>
            </w:tcBorders>
            <w:hideMark/>
          </w:tcPr>
          <w:p w14:paraId="479FE138" w14:textId="77777777" w:rsidR="00100ABE" w:rsidRPr="00641A30" w:rsidRDefault="00100ABE" w:rsidP="00E552D2">
            <w:pPr>
              <w:spacing w:before="0" w:after="0" w:line="360" w:lineRule="auto"/>
              <w:ind w:left="0" w:right="0"/>
              <w:jc w:val="center"/>
              <w:rPr>
                <w:rFonts w:ascii="Calibri" w:eastAsia="Times New Roman" w:hAnsi="Calibri" w:cs="Times New Roman"/>
                <w:noProof w:val="0"/>
                <w:color w:val="000000"/>
                <w:sz w:val="24"/>
                <w:szCs w:val="24"/>
              </w:rPr>
            </w:pPr>
            <w:r w:rsidRPr="00641A30">
              <w:rPr>
                <w:rFonts w:ascii="Calibri" w:eastAsia="Times New Roman" w:hAnsi="Calibri" w:cs="Times New Roman"/>
                <w:noProof w:val="0"/>
                <w:color w:val="000000"/>
                <w:sz w:val="24"/>
                <w:szCs w:val="24"/>
              </w:rPr>
              <w:t>29,721</w:t>
            </w:r>
          </w:p>
        </w:tc>
        <w:tc>
          <w:tcPr>
            <w:tcW w:w="858" w:type="dxa"/>
            <w:tcBorders>
              <w:top w:val="single" w:sz="4" w:space="0" w:color="auto"/>
              <w:left w:val="single" w:sz="4" w:space="0" w:color="auto"/>
              <w:bottom w:val="single" w:sz="4" w:space="0" w:color="auto"/>
              <w:right w:val="single" w:sz="4" w:space="0" w:color="auto"/>
            </w:tcBorders>
            <w:hideMark/>
          </w:tcPr>
          <w:p w14:paraId="5B8FF929" w14:textId="77777777" w:rsidR="00100ABE" w:rsidRPr="00641A30" w:rsidRDefault="00100ABE" w:rsidP="00E552D2">
            <w:pPr>
              <w:spacing w:before="0" w:after="0" w:line="360" w:lineRule="auto"/>
              <w:ind w:left="0" w:right="0"/>
              <w:jc w:val="center"/>
              <w:rPr>
                <w:rFonts w:ascii="Calibri" w:eastAsia="Times New Roman" w:hAnsi="Calibri" w:cs="Times New Roman"/>
                <w:noProof w:val="0"/>
                <w:color w:val="000000"/>
                <w:sz w:val="24"/>
                <w:szCs w:val="24"/>
              </w:rPr>
            </w:pPr>
            <w:r w:rsidRPr="00641A30">
              <w:rPr>
                <w:rFonts w:ascii="Calibri" w:eastAsia="Times New Roman" w:hAnsi="Calibri" w:cs="Times New Roman"/>
                <w:noProof w:val="0"/>
                <w:color w:val="000000"/>
                <w:sz w:val="24"/>
                <w:szCs w:val="24"/>
              </w:rPr>
              <w:t>29,935</w:t>
            </w:r>
          </w:p>
        </w:tc>
        <w:tc>
          <w:tcPr>
            <w:tcW w:w="930" w:type="dxa"/>
            <w:tcBorders>
              <w:top w:val="single" w:sz="4" w:space="0" w:color="auto"/>
              <w:left w:val="single" w:sz="4" w:space="0" w:color="auto"/>
              <w:bottom w:val="single" w:sz="4" w:space="0" w:color="auto"/>
              <w:right w:val="single" w:sz="4" w:space="0" w:color="auto"/>
            </w:tcBorders>
          </w:tcPr>
          <w:p w14:paraId="36C3B78B" w14:textId="30A6F331" w:rsidR="00100ABE" w:rsidRPr="00641A30" w:rsidRDefault="00100ABE" w:rsidP="00E552D2">
            <w:pPr>
              <w:spacing w:before="0" w:after="0" w:line="360" w:lineRule="auto"/>
              <w:ind w:left="0" w:right="0"/>
              <w:jc w:val="center"/>
              <w:rPr>
                <w:rFonts w:ascii="Calibri" w:eastAsia="Times New Roman" w:hAnsi="Calibri" w:cs="Times New Roman"/>
                <w:noProof w:val="0"/>
                <w:color w:val="000000"/>
                <w:sz w:val="24"/>
                <w:szCs w:val="24"/>
              </w:rPr>
            </w:pPr>
            <w:r w:rsidRPr="00641A30">
              <w:rPr>
                <w:sz w:val="24"/>
                <w:szCs w:val="24"/>
              </w:rPr>
              <w:t>4,033</w:t>
            </w:r>
          </w:p>
        </w:tc>
        <w:tc>
          <w:tcPr>
            <w:tcW w:w="685" w:type="dxa"/>
            <w:tcBorders>
              <w:top w:val="single" w:sz="4" w:space="0" w:color="auto"/>
              <w:left w:val="single" w:sz="4" w:space="0" w:color="auto"/>
              <w:bottom w:val="single" w:sz="4" w:space="0" w:color="auto"/>
              <w:right w:val="single" w:sz="4" w:space="0" w:color="auto"/>
            </w:tcBorders>
          </w:tcPr>
          <w:p w14:paraId="6ACD1FF2" w14:textId="0FCC5C18" w:rsidR="00100ABE" w:rsidRPr="00641A30" w:rsidRDefault="00100ABE" w:rsidP="00E552D2">
            <w:pPr>
              <w:spacing w:before="0" w:after="0" w:line="360" w:lineRule="auto"/>
              <w:ind w:left="0" w:right="0"/>
              <w:jc w:val="center"/>
              <w:rPr>
                <w:rFonts w:ascii="Calibri" w:eastAsia="Times New Roman" w:hAnsi="Calibri" w:cs="Times New Roman"/>
                <w:noProof w:val="0"/>
                <w:color w:val="000000"/>
                <w:sz w:val="24"/>
                <w:szCs w:val="24"/>
              </w:rPr>
            </w:pPr>
            <w:r w:rsidRPr="00641A30">
              <w:rPr>
                <w:sz w:val="24"/>
                <w:szCs w:val="24"/>
              </w:rPr>
              <w:t>16%</w:t>
            </w:r>
          </w:p>
        </w:tc>
      </w:tr>
      <w:tr w:rsidR="00100ABE" w:rsidRPr="00641A30" w14:paraId="73C9F4A7" w14:textId="5A4F7BCD" w:rsidTr="0097398C">
        <w:trPr>
          <w:trHeight w:val="321"/>
          <w:jc w:val="center"/>
        </w:trPr>
        <w:tc>
          <w:tcPr>
            <w:tcW w:w="3404" w:type="dxa"/>
            <w:tcBorders>
              <w:top w:val="single" w:sz="4" w:space="0" w:color="auto"/>
              <w:left w:val="single" w:sz="4" w:space="0" w:color="auto"/>
              <w:bottom w:val="single" w:sz="4" w:space="0" w:color="auto"/>
              <w:right w:val="single" w:sz="4" w:space="0" w:color="auto"/>
            </w:tcBorders>
            <w:shd w:val="clear" w:color="auto" w:fill="EFF3FF"/>
            <w:hideMark/>
          </w:tcPr>
          <w:p w14:paraId="37F64CBB" w14:textId="77777777" w:rsidR="00100ABE" w:rsidRPr="00641A30" w:rsidRDefault="00100ABE" w:rsidP="00E552D2">
            <w:pPr>
              <w:spacing w:before="0" w:after="0" w:line="360" w:lineRule="auto"/>
              <w:ind w:left="0" w:right="0"/>
              <w:jc w:val="left"/>
              <w:rPr>
                <w:rFonts w:ascii="Calibri" w:eastAsia="Times New Roman" w:hAnsi="Calibri" w:cs="Times New Roman"/>
                <w:bCs/>
                <w:noProof w:val="0"/>
                <w:color w:val="000000"/>
                <w:sz w:val="24"/>
                <w:szCs w:val="24"/>
              </w:rPr>
            </w:pPr>
            <w:r w:rsidRPr="00641A30">
              <w:rPr>
                <w:rFonts w:ascii="Calibri" w:eastAsia="Times New Roman" w:hAnsi="Calibri" w:cs="Times New Roman"/>
                <w:bCs/>
                <w:noProof w:val="0"/>
                <w:color w:val="000000"/>
                <w:sz w:val="24"/>
                <w:szCs w:val="24"/>
              </w:rPr>
              <w:t>Board of Registration of Physician Assistants</w:t>
            </w:r>
          </w:p>
        </w:tc>
        <w:tc>
          <w:tcPr>
            <w:tcW w:w="960" w:type="dxa"/>
            <w:tcBorders>
              <w:top w:val="single" w:sz="4" w:space="0" w:color="auto"/>
              <w:left w:val="single" w:sz="4" w:space="0" w:color="auto"/>
              <w:bottom w:val="single" w:sz="4" w:space="0" w:color="auto"/>
              <w:right w:val="single" w:sz="4" w:space="0" w:color="auto"/>
            </w:tcBorders>
            <w:shd w:val="clear" w:color="auto" w:fill="EFF3FF"/>
            <w:hideMark/>
          </w:tcPr>
          <w:p w14:paraId="7EEA660A" w14:textId="77777777" w:rsidR="00100ABE" w:rsidRPr="00641A30" w:rsidRDefault="00100ABE" w:rsidP="00E552D2">
            <w:pPr>
              <w:spacing w:before="0" w:after="0" w:line="360" w:lineRule="auto"/>
              <w:ind w:left="0" w:right="0"/>
              <w:jc w:val="center"/>
              <w:rPr>
                <w:rFonts w:ascii="Calibri" w:eastAsia="Times New Roman" w:hAnsi="Calibri" w:cs="Times New Roman"/>
                <w:noProof w:val="0"/>
                <w:color w:val="000000"/>
                <w:sz w:val="24"/>
                <w:szCs w:val="24"/>
              </w:rPr>
            </w:pPr>
            <w:r w:rsidRPr="00641A30">
              <w:rPr>
                <w:rFonts w:ascii="Calibri" w:eastAsia="Times New Roman" w:hAnsi="Calibri" w:cs="Times New Roman"/>
                <w:noProof w:val="0"/>
                <w:color w:val="000000"/>
                <w:sz w:val="24"/>
                <w:szCs w:val="24"/>
              </w:rPr>
              <w:t>2,199</w:t>
            </w:r>
          </w:p>
        </w:tc>
        <w:tc>
          <w:tcPr>
            <w:tcW w:w="960" w:type="dxa"/>
            <w:tcBorders>
              <w:top w:val="single" w:sz="4" w:space="0" w:color="auto"/>
              <w:left w:val="single" w:sz="4" w:space="0" w:color="auto"/>
              <w:bottom w:val="single" w:sz="4" w:space="0" w:color="auto"/>
              <w:right w:val="single" w:sz="4" w:space="0" w:color="auto"/>
            </w:tcBorders>
            <w:shd w:val="clear" w:color="auto" w:fill="EFF3FF"/>
            <w:hideMark/>
          </w:tcPr>
          <w:p w14:paraId="0159921C" w14:textId="77777777" w:rsidR="00100ABE" w:rsidRPr="00641A30" w:rsidRDefault="00100ABE" w:rsidP="00E552D2">
            <w:pPr>
              <w:spacing w:before="0" w:after="0" w:line="360" w:lineRule="auto"/>
              <w:ind w:left="0" w:right="0"/>
              <w:jc w:val="center"/>
              <w:rPr>
                <w:rFonts w:ascii="Calibri" w:eastAsia="Times New Roman" w:hAnsi="Calibri" w:cs="Times New Roman"/>
                <w:noProof w:val="0"/>
                <w:color w:val="000000"/>
                <w:sz w:val="24"/>
                <w:szCs w:val="24"/>
              </w:rPr>
            </w:pPr>
            <w:r w:rsidRPr="00641A30">
              <w:rPr>
                <w:rFonts w:ascii="Calibri" w:eastAsia="Times New Roman" w:hAnsi="Calibri" w:cs="Times New Roman"/>
                <w:noProof w:val="0"/>
                <w:color w:val="000000"/>
                <w:sz w:val="24"/>
                <w:szCs w:val="24"/>
              </w:rPr>
              <w:t>2,437</w:t>
            </w:r>
          </w:p>
        </w:tc>
        <w:tc>
          <w:tcPr>
            <w:tcW w:w="959" w:type="dxa"/>
            <w:tcBorders>
              <w:top w:val="single" w:sz="4" w:space="0" w:color="auto"/>
              <w:left w:val="single" w:sz="4" w:space="0" w:color="auto"/>
              <w:bottom w:val="single" w:sz="4" w:space="0" w:color="auto"/>
              <w:right w:val="single" w:sz="4" w:space="0" w:color="auto"/>
            </w:tcBorders>
            <w:shd w:val="clear" w:color="auto" w:fill="EFF3FF"/>
            <w:hideMark/>
          </w:tcPr>
          <w:p w14:paraId="6446F50A" w14:textId="77777777" w:rsidR="00100ABE" w:rsidRPr="00641A30" w:rsidRDefault="00100ABE" w:rsidP="00E552D2">
            <w:pPr>
              <w:spacing w:before="0" w:after="0" w:line="360" w:lineRule="auto"/>
              <w:ind w:left="0" w:right="0"/>
              <w:jc w:val="center"/>
              <w:rPr>
                <w:rFonts w:ascii="Calibri" w:eastAsia="Times New Roman" w:hAnsi="Calibri" w:cs="Times New Roman"/>
                <w:noProof w:val="0"/>
                <w:color w:val="000000"/>
                <w:sz w:val="24"/>
                <w:szCs w:val="24"/>
              </w:rPr>
            </w:pPr>
            <w:r w:rsidRPr="00641A30">
              <w:rPr>
                <w:rFonts w:ascii="Calibri" w:eastAsia="Times New Roman" w:hAnsi="Calibri" w:cs="Times New Roman"/>
                <w:noProof w:val="0"/>
                <w:color w:val="000000"/>
                <w:sz w:val="24"/>
                <w:szCs w:val="24"/>
              </w:rPr>
              <w:t>2,479</w:t>
            </w:r>
          </w:p>
        </w:tc>
        <w:tc>
          <w:tcPr>
            <w:tcW w:w="959" w:type="dxa"/>
            <w:tcBorders>
              <w:top w:val="single" w:sz="4" w:space="0" w:color="auto"/>
              <w:left w:val="single" w:sz="4" w:space="0" w:color="auto"/>
              <w:bottom w:val="single" w:sz="4" w:space="0" w:color="auto"/>
              <w:right w:val="single" w:sz="4" w:space="0" w:color="auto"/>
            </w:tcBorders>
            <w:shd w:val="clear" w:color="auto" w:fill="EFF3FF"/>
            <w:hideMark/>
          </w:tcPr>
          <w:p w14:paraId="11337BAB" w14:textId="77777777" w:rsidR="00100ABE" w:rsidRPr="00641A30" w:rsidRDefault="00100ABE" w:rsidP="00E552D2">
            <w:pPr>
              <w:spacing w:before="0" w:after="0" w:line="360" w:lineRule="auto"/>
              <w:ind w:left="0" w:right="0"/>
              <w:jc w:val="center"/>
              <w:rPr>
                <w:rFonts w:ascii="Calibri" w:eastAsia="Times New Roman" w:hAnsi="Calibri" w:cs="Times New Roman"/>
                <w:noProof w:val="0"/>
                <w:color w:val="000000"/>
                <w:sz w:val="24"/>
                <w:szCs w:val="24"/>
              </w:rPr>
            </w:pPr>
            <w:r w:rsidRPr="00641A30">
              <w:rPr>
                <w:rFonts w:ascii="Calibri" w:eastAsia="Times New Roman" w:hAnsi="Calibri" w:cs="Times New Roman"/>
                <w:noProof w:val="0"/>
                <w:color w:val="000000"/>
                <w:sz w:val="24"/>
                <w:szCs w:val="24"/>
              </w:rPr>
              <w:t>2,808</w:t>
            </w:r>
          </w:p>
        </w:tc>
        <w:tc>
          <w:tcPr>
            <w:tcW w:w="858" w:type="dxa"/>
            <w:tcBorders>
              <w:top w:val="single" w:sz="4" w:space="0" w:color="auto"/>
              <w:left w:val="single" w:sz="4" w:space="0" w:color="auto"/>
              <w:bottom w:val="single" w:sz="4" w:space="0" w:color="auto"/>
              <w:right w:val="single" w:sz="4" w:space="0" w:color="auto"/>
            </w:tcBorders>
            <w:shd w:val="clear" w:color="auto" w:fill="EFF3FF"/>
            <w:hideMark/>
          </w:tcPr>
          <w:p w14:paraId="7F1C17CC" w14:textId="77777777" w:rsidR="00100ABE" w:rsidRPr="00641A30" w:rsidRDefault="00100ABE" w:rsidP="00E552D2">
            <w:pPr>
              <w:spacing w:before="0" w:after="0" w:line="360" w:lineRule="auto"/>
              <w:ind w:left="0" w:right="0"/>
              <w:jc w:val="center"/>
              <w:rPr>
                <w:rFonts w:ascii="Calibri" w:eastAsia="Times New Roman" w:hAnsi="Calibri" w:cs="Times New Roman"/>
                <w:noProof w:val="0"/>
                <w:color w:val="000000"/>
                <w:sz w:val="24"/>
                <w:szCs w:val="24"/>
              </w:rPr>
            </w:pPr>
            <w:r w:rsidRPr="00641A30">
              <w:rPr>
                <w:rFonts w:ascii="Calibri" w:eastAsia="Times New Roman" w:hAnsi="Calibri" w:cs="Times New Roman"/>
                <w:noProof w:val="0"/>
                <w:color w:val="000000"/>
                <w:sz w:val="24"/>
                <w:szCs w:val="24"/>
              </w:rPr>
              <w:t>2,906</w:t>
            </w:r>
          </w:p>
        </w:tc>
        <w:tc>
          <w:tcPr>
            <w:tcW w:w="930" w:type="dxa"/>
            <w:tcBorders>
              <w:top w:val="single" w:sz="4" w:space="0" w:color="auto"/>
              <w:left w:val="single" w:sz="4" w:space="0" w:color="auto"/>
              <w:bottom w:val="single" w:sz="4" w:space="0" w:color="auto"/>
              <w:right w:val="single" w:sz="4" w:space="0" w:color="auto"/>
            </w:tcBorders>
            <w:shd w:val="clear" w:color="auto" w:fill="EFF3FF"/>
          </w:tcPr>
          <w:p w14:paraId="79ED3C92" w14:textId="2DF5CE86" w:rsidR="00100ABE" w:rsidRPr="00641A30" w:rsidRDefault="00100ABE" w:rsidP="00E552D2">
            <w:pPr>
              <w:spacing w:before="0" w:after="0" w:line="360" w:lineRule="auto"/>
              <w:ind w:left="0" w:right="0"/>
              <w:jc w:val="center"/>
              <w:rPr>
                <w:rFonts w:ascii="Calibri" w:eastAsia="Times New Roman" w:hAnsi="Calibri" w:cs="Times New Roman"/>
                <w:noProof w:val="0"/>
                <w:color w:val="000000"/>
                <w:sz w:val="24"/>
                <w:szCs w:val="24"/>
              </w:rPr>
            </w:pPr>
            <w:r w:rsidRPr="00641A30">
              <w:rPr>
                <w:sz w:val="24"/>
                <w:szCs w:val="24"/>
              </w:rPr>
              <w:t>707</w:t>
            </w:r>
          </w:p>
        </w:tc>
        <w:tc>
          <w:tcPr>
            <w:tcW w:w="685" w:type="dxa"/>
            <w:tcBorders>
              <w:top w:val="single" w:sz="4" w:space="0" w:color="auto"/>
              <w:left w:val="single" w:sz="4" w:space="0" w:color="auto"/>
              <w:bottom w:val="single" w:sz="4" w:space="0" w:color="auto"/>
              <w:right w:val="single" w:sz="4" w:space="0" w:color="auto"/>
            </w:tcBorders>
            <w:shd w:val="clear" w:color="auto" w:fill="EFF3FF"/>
          </w:tcPr>
          <w:p w14:paraId="364D4F19" w14:textId="4A00C14C" w:rsidR="00100ABE" w:rsidRPr="00641A30" w:rsidRDefault="00100ABE" w:rsidP="00E552D2">
            <w:pPr>
              <w:spacing w:before="0" w:after="0" w:line="360" w:lineRule="auto"/>
              <w:ind w:left="0" w:right="0"/>
              <w:jc w:val="center"/>
              <w:rPr>
                <w:rFonts w:ascii="Calibri" w:eastAsia="Times New Roman" w:hAnsi="Calibri" w:cs="Times New Roman"/>
                <w:noProof w:val="0"/>
                <w:color w:val="000000"/>
                <w:sz w:val="24"/>
                <w:szCs w:val="24"/>
              </w:rPr>
            </w:pPr>
            <w:r w:rsidRPr="00641A30">
              <w:rPr>
                <w:sz w:val="24"/>
                <w:szCs w:val="24"/>
              </w:rPr>
              <w:t>32%</w:t>
            </w:r>
          </w:p>
        </w:tc>
      </w:tr>
      <w:tr w:rsidR="00100ABE" w:rsidRPr="00641A30" w14:paraId="21378A7F" w14:textId="4EE053F0" w:rsidTr="0097398C">
        <w:trPr>
          <w:trHeight w:val="481"/>
          <w:jc w:val="center"/>
        </w:trPr>
        <w:tc>
          <w:tcPr>
            <w:tcW w:w="3404" w:type="dxa"/>
            <w:tcBorders>
              <w:top w:val="single" w:sz="4" w:space="0" w:color="auto"/>
              <w:left w:val="single" w:sz="4" w:space="0" w:color="auto"/>
              <w:bottom w:val="single" w:sz="4" w:space="0" w:color="auto"/>
              <w:right w:val="single" w:sz="4" w:space="0" w:color="auto"/>
            </w:tcBorders>
            <w:hideMark/>
          </w:tcPr>
          <w:p w14:paraId="25BB9B23" w14:textId="77777777" w:rsidR="00100ABE" w:rsidRPr="00641A30" w:rsidRDefault="00100ABE" w:rsidP="00E552D2">
            <w:pPr>
              <w:spacing w:before="0" w:after="0" w:line="360" w:lineRule="auto"/>
              <w:ind w:left="0" w:right="0"/>
              <w:jc w:val="left"/>
              <w:rPr>
                <w:rFonts w:ascii="Calibri" w:eastAsia="Times New Roman" w:hAnsi="Calibri" w:cs="Times New Roman"/>
                <w:bCs/>
                <w:noProof w:val="0"/>
                <w:color w:val="000000"/>
                <w:sz w:val="24"/>
                <w:szCs w:val="24"/>
              </w:rPr>
            </w:pPr>
            <w:r w:rsidRPr="00641A30">
              <w:rPr>
                <w:rFonts w:ascii="Calibri" w:eastAsia="Times New Roman" w:hAnsi="Calibri" w:cs="Times New Roman"/>
                <w:bCs/>
                <w:noProof w:val="0"/>
                <w:color w:val="000000"/>
                <w:sz w:val="24"/>
                <w:szCs w:val="24"/>
              </w:rPr>
              <w:t>Board of Respiratory Care</w:t>
            </w:r>
          </w:p>
        </w:tc>
        <w:tc>
          <w:tcPr>
            <w:tcW w:w="960" w:type="dxa"/>
            <w:tcBorders>
              <w:top w:val="single" w:sz="4" w:space="0" w:color="auto"/>
              <w:left w:val="single" w:sz="4" w:space="0" w:color="auto"/>
              <w:bottom w:val="single" w:sz="4" w:space="0" w:color="auto"/>
              <w:right w:val="single" w:sz="4" w:space="0" w:color="auto"/>
            </w:tcBorders>
            <w:hideMark/>
          </w:tcPr>
          <w:p w14:paraId="293B59EB" w14:textId="77777777" w:rsidR="00100ABE" w:rsidRPr="00641A30" w:rsidRDefault="00100ABE" w:rsidP="00E552D2">
            <w:pPr>
              <w:spacing w:before="0" w:after="0" w:line="360" w:lineRule="auto"/>
              <w:ind w:left="0" w:right="0"/>
              <w:jc w:val="center"/>
              <w:rPr>
                <w:rFonts w:ascii="Calibri" w:eastAsia="Times New Roman" w:hAnsi="Calibri" w:cs="Times New Roman"/>
                <w:noProof w:val="0"/>
                <w:color w:val="000000"/>
                <w:sz w:val="24"/>
                <w:szCs w:val="24"/>
              </w:rPr>
            </w:pPr>
            <w:r w:rsidRPr="00641A30">
              <w:rPr>
                <w:rFonts w:ascii="Calibri" w:eastAsia="Times New Roman" w:hAnsi="Calibri" w:cs="Times New Roman"/>
                <w:noProof w:val="0"/>
                <w:color w:val="000000"/>
                <w:sz w:val="24"/>
                <w:szCs w:val="24"/>
              </w:rPr>
              <w:t>2,000</w:t>
            </w:r>
          </w:p>
        </w:tc>
        <w:tc>
          <w:tcPr>
            <w:tcW w:w="960" w:type="dxa"/>
            <w:tcBorders>
              <w:top w:val="single" w:sz="4" w:space="0" w:color="auto"/>
              <w:left w:val="single" w:sz="4" w:space="0" w:color="auto"/>
              <w:bottom w:val="single" w:sz="4" w:space="0" w:color="auto"/>
              <w:right w:val="single" w:sz="4" w:space="0" w:color="auto"/>
            </w:tcBorders>
            <w:hideMark/>
          </w:tcPr>
          <w:p w14:paraId="64F55BCB" w14:textId="77777777" w:rsidR="00100ABE" w:rsidRPr="00641A30" w:rsidRDefault="00100ABE" w:rsidP="00E552D2">
            <w:pPr>
              <w:spacing w:before="0" w:after="0" w:line="360" w:lineRule="auto"/>
              <w:ind w:left="0" w:right="0"/>
              <w:jc w:val="center"/>
              <w:rPr>
                <w:rFonts w:ascii="Calibri" w:eastAsia="Times New Roman" w:hAnsi="Calibri" w:cs="Times New Roman"/>
                <w:noProof w:val="0"/>
                <w:color w:val="000000"/>
                <w:sz w:val="24"/>
                <w:szCs w:val="24"/>
              </w:rPr>
            </w:pPr>
            <w:r w:rsidRPr="00641A30">
              <w:rPr>
                <w:rFonts w:ascii="Calibri" w:eastAsia="Times New Roman" w:hAnsi="Calibri" w:cs="Times New Roman"/>
                <w:noProof w:val="0"/>
                <w:color w:val="000000"/>
                <w:sz w:val="24"/>
                <w:szCs w:val="24"/>
              </w:rPr>
              <w:t>1,926</w:t>
            </w:r>
          </w:p>
        </w:tc>
        <w:tc>
          <w:tcPr>
            <w:tcW w:w="959" w:type="dxa"/>
            <w:tcBorders>
              <w:top w:val="single" w:sz="4" w:space="0" w:color="auto"/>
              <w:left w:val="single" w:sz="4" w:space="0" w:color="auto"/>
              <w:bottom w:val="single" w:sz="4" w:space="0" w:color="auto"/>
              <w:right w:val="single" w:sz="4" w:space="0" w:color="auto"/>
            </w:tcBorders>
            <w:hideMark/>
          </w:tcPr>
          <w:p w14:paraId="33CF6944" w14:textId="77777777" w:rsidR="00100ABE" w:rsidRPr="00641A30" w:rsidRDefault="00100ABE" w:rsidP="00E552D2">
            <w:pPr>
              <w:spacing w:before="0" w:after="0" w:line="360" w:lineRule="auto"/>
              <w:ind w:left="0" w:right="0"/>
              <w:jc w:val="center"/>
              <w:rPr>
                <w:rFonts w:ascii="Calibri" w:eastAsia="Times New Roman" w:hAnsi="Calibri" w:cs="Times New Roman"/>
                <w:noProof w:val="0"/>
                <w:color w:val="000000"/>
                <w:sz w:val="24"/>
                <w:szCs w:val="24"/>
              </w:rPr>
            </w:pPr>
            <w:r w:rsidRPr="00641A30">
              <w:rPr>
                <w:rFonts w:ascii="Calibri" w:eastAsia="Times New Roman" w:hAnsi="Calibri" w:cs="Times New Roman"/>
                <w:noProof w:val="0"/>
                <w:color w:val="000000"/>
                <w:sz w:val="24"/>
                <w:szCs w:val="24"/>
              </w:rPr>
              <w:t>2,990</w:t>
            </w:r>
          </w:p>
        </w:tc>
        <w:tc>
          <w:tcPr>
            <w:tcW w:w="959" w:type="dxa"/>
            <w:tcBorders>
              <w:top w:val="single" w:sz="4" w:space="0" w:color="auto"/>
              <w:left w:val="single" w:sz="4" w:space="0" w:color="auto"/>
              <w:bottom w:val="single" w:sz="4" w:space="0" w:color="auto"/>
              <w:right w:val="single" w:sz="4" w:space="0" w:color="auto"/>
            </w:tcBorders>
            <w:hideMark/>
          </w:tcPr>
          <w:p w14:paraId="37062C79" w14:textId="77777777" w:rsidR="00100ABE" w:rsidRPr="00641A30" w:rsidRDefault="00100ABE" w:rsidP="00E552D2">
            <w:pPr>
              <w:spacing w:before="0" w:after="0" w:line="360" w:lineRule="auto"/>
              <w:ind w:left="0" w:right="0"/>
              <w:jc w:val="center"/>
              <w:rPr>
                <w:rFonts w:ascii="Calibri" w:eastAsia="Times New Roman" w:hAnsi="Calibri" w:cs="Times New Roman"/>
                <w:noProof w:val="0"/>
                <w:color w:val="000000"/>
                <w:sz w:val="24"/>
                <w:szCs w:val="24"/>
              </w:rPr>
            </w:pPr>
            <w:r w:rsidRPr="00641A30">
              <w:rPr>
                <w:rFonts w:ascii="Calibri" w:eastAsia="Times New Roman" w:hAnsi="Calibri" w:cs="Times New Roman"/>
                <w:noProof w:val="0"/>
                <w:color w:val="000000"/>
                <w:sz w:val="24"/>
                <w:szCs w:val="24"/>
              </w:rPr>
              <w:t>2,838</w:t>
            </w:r>
          </w:p>
        </w:tc>
        <w:tc>
          <w:tcPr>
            <w:tcW w:w="858" w:type="dxa"/>
            <w:tcBorders>
              <w:top w:val="single" w:sz="4" w:space="0" w:color="auto"/>
              <w:left w:val="single" w:sz="4" w:space="0" w:color="auto"/>
              <w:bottom w:val="single" w:sz="4" w:space="0" w:color="auto"/>
              <w:right w:val="single" w:sz="4" w:space="0" w:color="auto"/>
            </w:tcBorders>
            <w:hideMark/>
          </w:tcPr>
          <w:p w14:paraId="02E4DE79" w14:textId="77777777" w:rsidR="00100ABE" w:rsidRPr="00641A30" w:rsidRDefault="00100ABE" w:rsidP="00E552D2">
            <w:pPr>
              <w:spacing w:before="0" w:after="0" w:line="360" w:lineRule="auto"/>
              <w:ind w:left="0" w:right="0"/>
              <w:jc w:val="center"/>
              <w:rPr>
                <w:rFonts w:ascii="Calibri" w:eastAsia="Times New Roman" w:hAnsi="Calibri" w:cs="Times New Roman"/>
                <w:noProof w:val="0"/>
                <w:color w:val="000000"/>
                <w:sz w:val="24"/>
                <w:szCs w:val="24"/>
              </w:rPr>
            </w:pPr>
            <w:r w:rsidRPr="00641A30">
              <w:rPr>
                <w:rFonts w:ascii="Calibri" w:eastAsia="Times New Roman" w:hAnsi="Calibri" w:cs="Times New Roman"/>
                <w:noProof w:val="0"/>
                <w:color w:val="000000"/>
                <w:sz w:val="24"/>
                <w:szCs w:val="24"/>
              </w:rPr>
              <w:t>3,064</w:t>
            </w:r>
          </w:p>
        </w:tc>
        <w:tc>
          <w:tcPr>
            <w:tcW w:w="930" w:type="dxa"/>
            <w:tcBorders>
              <w:top w:val="single" w:sz="4" w:space="0" w:color="auto"/>
              <w:left w:val="single" w:sz="4" w:space="0" w:color="auto"/>
              <w:bottom w:val="single" w:sz="4" w:space="0" w:color="auto"/>
              <w:right w:val="single" w:sz="4" w:space="0" w:color="auto"/>
            </w:tcBorders>
          </w:tcPr>
          <w:p w14:paraId="47704403" w14:textId="1A04598D" w:rsidR="00100ABE" w:rsidRPr="00641A30" w:rsidRDefault="00100ABE" w:rsidP="00E552D2">
            <w:pPr>
              <w:spacing w:before="0" w:after="0" w:line="360" w:lineRule="auto"/>
              <w:ind w:left="0" w:right="0"/>
              <w:jc w:val="center"/>
              <w:rPr>
                <w:rFonts w:ascii="Calibri" w:eastAsia="Times New Roman" w:hAnsi="Calibri" w:cs="Times New Roman"/>
                <w:noProof w:val="0"/>
                <w:color w:val="000000"/>
                <w:sz w:val="24"/>
                <w:szCs w:val="24"/>
              </w:rPr>
            </w:pPr>
            <w:r w:rsidRPr="00641A30">
              <w:rPr>
                <w:sz w:val="24"/>
                <w:szCs w:val="24"/>
              </w:rPr>
              <w:t>1,064</w:t>
            </w:r>
          </w:p>
        </w:tc>
        <w:tc>
          <w:tcPr>
            <w:tcW w:w="685" w:type="dxa"/>
            <w:tcBorders>
              <w:top w:val="single" w:sz="4" w:space="0" w:color="auto"/>
              <w:left w:val="single" w:sz="4" w:space="0" w:color="auto"/>
              <w:bottom w:val="single" w:sz="4" w:space="0" w:color="auto"/>
              <w:right w:val="single" w:sz="4" w:space="0" w:color="auto"/>
            </w:tcBorders>
          </w:tcPr>
          <w:p w14:paraId="0F010092" w14:textId="33EC4101" w:rsidR="00100ABE" w:rsidRPr="00641A30" w:rsidRDefault="00100ABE" w:rsidP="00E552D2">
            <w:pPr>
              <w:spacing w:before="0" w:after="0" w:line="360" w:lineRule="auto"/>
              <w:ind w:left="0" w:right="0"/>
              <w:jc w:val="center"/>
              <w:rPr>
                <w:rFonts w:ascii="Calibri" w:eastAsia="Times New Roman" w:hAnsi="Calibri" w:cs="Times New Roman"/>
                <w:noProof w:val="0"/>
                <w:color w:val="000000"/>
                <w:sz w:val="24"/>
                <w:szCs w:val="24"/>
              </w:rPr>
            </w:pPr>
            <w:r w:rsidRPr="00641A30">
              <w:rPr>
                <w:sz w:val="24"/>
                <w:szCs w:val="24"/>
              </w:rPr>
              <w:t>53%</w:t>
            </w:r>
          </w:p>
        </w:tc>
      </w:tr>
      <w:tr w:rsidR="00100ABE" w:rsidRPr="00641A30" w14:paraId="79A667B3" w14:textId="347FA779" w:rsidTr="0097398C">
        <w:trPr>
          <w:trHeight w:val="481"/>
          <w:jc w:val="center"/>
        </w:trPr>
        <w:tc>
          <w:tcPr>
            <w:tcW w:w="3404" w:type="dxa"/>
            <w:tcBorders>
              <w:top w:val="single" w:sz="4" w:space="0" w:color="auto"/>
              <w:left w:val="single" w:sz="4" w:space="0" w:color="auto"/>
              <w:bottom w:val="single" w:sz="4" w:space="0" w:color="auto"/>
              <w:right w:val="single" w:sz="4" w:space="0" w:color="auto"/>
            </w:tcBorders>
            <w:shd w:val="clear" w:color="auto" w:fill="EFF3FF"/>
          </w:tcPr>
          <w:p w14:paraId="6AC8E900" w14:textId="77777777" w:rsidR="00100ABE" w:rsidRPr="00641A30" w:rsidRDefault="00100ABE" w:rsidP="00E552D2">
            <w:pPr>
              <w:spacing w:before="0" w:after="0" w:line="360" w:lineRule="auto"/>
              <w:ind w:left="0" w:right="0"/>
              <w:jc w:val="left"/>
              <w:rPr>
                <w:rFonts w:ascii="Calibri" w:eastAsia="Times New Roman" w:hAnsi="Calibri" w:cs="Times New Roman"/>
                <w:bCs/>
                <w:noProof w:val="0"/>
                <w:color w:val="000000"/>
                <w:sz w:val="24"/>
                <w:szCs w:val="24"/>
              </w:rPr>
            </w:pPr>
            <w:r w:rsidRPr="00641A30">
              <w:rPr>
                <w:rFonts w:ascii="Calibri" w:eastAsia="Times New Roman" w:hAnsi="Calibri" w:cs="Times New Roman"/>
                <w:bCs/>
                <w:noProof w:val="0"/>
                <w:color w:val="000000"/>
                <w:sz w:val="24"/>
                <w:szCs w:val="24"/>
              </w:rPr>
              <w:t>Office of Emergency Medical Services (Certified EMTs)</w:t>
            </w:r>
          </w:p>
        </w:tc>
        <w:tc>
          <w:tcPr>
            <w:tcW w:w="960" w:type="dxa"/>
            <w:tcBorders>
              <w:top w:val="single" w:sz="4" w:space="0" w:color="auto"/>
              <w:left w:val="single" w:sz="4" w:space="0" w:color="auto"/>
              <w:bottom w:val="single" w:sz="4" w:space="0" w:color="auto"/>
              <w:right w:val="single" w:sz="4" w:space="0" w:color="auto"/>
            </w:tcBorders>
            <w:shd w:val="clear" w:color="auto" w:fill="EFF3FF"/>
          </w:tcPr>
          <w:p w14:paraId="389FA50E" w14:textId="77777777" w:rsidR="00100ABE" w:rsidRPr="00641A30" w:rsidRDefault="00100ABE" w:rsidP="00E552D2">
            <w:pPr>
              <w:spacing w:before="0" w:after="0" w:line="360" w:lineRule="auto"/>
              <w:ind w:left="0" w:right="0"/>
              <w:jc w:val="center"/>
              <w:rPr>
                <w:rFonts w:ascii="Calibri" w:eastAsia="Times New Roman" w:hAnsi="Calibri" w:cs="Times New Roman"/>
                <w:noProof w:val="0"/>
                <w:color w:val="000000"/>
                <w:sz w:val="24"/>
                <w:szCs w:val="24"/>
              </w:rPr>
            </w:pPr>
            <w:r w:rsidRPr="00641A30">
              <w:rPr>
                <w:rFonts w:ascii="Calibri" w:eastAsia="Times New Roman" w:hAnsi="Calibri" w:cs="Times New Roman"/>
                <w:noProof w:val="0"/>
                <w:color w:val="000000"/>
                <w:sz w:val="24"/>
                <w:szCs w:val="24"/>
              </w:rPr>
              <w:t>23,905</w:t>
            </w:r>
          </w:p>
        </w:tc>
        <w:tc>
          <w:tcPr>
            <w:tcW w:w="960" w:type="dxa"/>
            <w:tcBorders>
              <w:top w:val="single" w:sz="4" w:space="0" w:color="auto"/>
              <w:left w:val="single" w:sz="4" w:space="0" w:color="auto"/>
              <w:bottom w:val="single" w:sz="4" w:space="0" w:color="auto"/>
              <w:right w:val="single" w:sz="4" w:space="0" w:color="auto"/>
            </w:tcBorders>
            <w:shd w:val="clear" w:color="auto" w:fill="EFF3FF"/>
          </w:tcPr>
          <w:p w14:paraId="5F8BCDE5" w14:textId="77777777" w:rsidR="00100ABE" w:rsidRPr="00641A30" w:rsidRDefault="00100ABE" w:rsidP="00E552D2">
            <w:pPr>
              <w:spacing w:before="0" w:after="0" w:line="360" w:lineRule="auto"/>
              <w:ind w:left="0" w:right="0"/>
              <w:jc w:val="center"/>
              <w:rPr>
                <w:rFonts w:ascii="Calibri" w:eastAsia="Times New Roman" w:hAnsi="Calibri" w:cs="Times New Roman"/>
                <w:noProof w:val="0"/>
                <w:color w:val="000000"/>
                <w:sz w:val="24"/>
                <w:szCs w:val="24"/>
              </w:rPr>
            </w:pPr>
            <w:r w:rsidRPr="00641A30">
              <w:rPr>
                <w:rFonts w:ascii="Calibri" w:eastAsia="Times New Roman" w:hAnsi="Calibri" w:cs="Times New Roman"/>
                <w:noProof w:val="0"/>
                <w:color w:val="000000"/>
                <w:sz w:val="24"/>
                <w:szCs w:val="24"/>
              </w:rPr>
              <w:t>23,547</w:t>
            </w:r>
          </w:p>
        </w:tc>
        <w:tc>
          <w:tcPr>
            <w:tcW w:w="959" w:type="dxa"/>
            <w:tcBorders>
              <w:top w:val="single" w:sz="4" w:space="0" w:color="auto"/>
              <w:left w:val="single" w:sz="4" w:space="0" w:color="auto"/>
              <w:bottom w:val="single" w:sz="4" w:space="0" w:color="auto"/>
              <w:right w:val="single" w:sz="4" w:space="0" w:color="auto"/>
            </w:tcBorders>
            <w:shd w:val="clear" w:color="auto" w:fill="EFF3FF"/>
          </w:tcPr>
          <w:p w14:paraId="1166B2CB" w14:textId="77777777" w:rsidR="00100ABE" w:rsidRPr="00641A30" w:rsidRDefault="00100ABE" w:rsidP="00E552D2">
            <w:pPr>
              <w:spacing w:before="0" w:after="0" w:line="360" w:lineRule="auto"/>
              <w:ind w:left="0" w:right="0"/>
              <w:jc w:val="center"/>
              <w:rPr>
                <w:rFonts w:ascii="Calibri" w:eastAsia="Times New Roman" w:hAnsi="Calibri" w:cs="Times New Roman"/>
                <w:noProof w:val="0"/>
                <w:color w:val="000000"/>
                <w:sz w:val="24"/>
                <w:szCs w:val="24"/>
              </w:rPr>
            </w:pPr>
            <w:r w:rsidRPr="00641A30">
              <w:rPr>
                <w:rFonts w:ascii="Calibri" w:eastAsia="Times New Roman" w:hAnsi="Calibri" w:cs="Times New Roman"/>
                <w:noProof w:val="0"/>
                <w:color w:val="000000"/>
                <w:sz w:val="24"/>
                <w:szCs w:val="24"/>
              </w:rPr>
              <w:t>24,077</w:t>
            </w:r>
          </w:p>
        </w:tc>
        <w:tc>
          <w:tcPr>
            <w:tcW w:w="959" w:type="dxa"/>
            <w:tcBorders>
              <w:top w:val="single" w:sz="4" w:space="0" w:color="auto"/>
              <w:left w:val="single" w:sz="4" w:space="0" w:color="auto"/>
              <w:bottom w:val="single" w:sz="4" w:space="0" w:color="auto"/>
              <w:right w:val="single" w:sz="4" w:space="0" w:color="auto"/>
            </w:tcBorders>
            <w:shd w:val="clear" w:color="auto" w:fill="EFF3FF"/>
          </w:tcPr>
          <w:p w14:paraId="2BE5DF1A" w14:textId="77777777" w:rsidR="00100ABE" w:rsidRPr="00641A30" w:rsidRDefault="00100ABE" w:rsidP="00E552D2">
            <w:pPr>
              <w:spacing w:before="0" w:after="0" w:line="360" w:lineRule="auto"/>
              <w:ind w:left="0" w:right="0"/>
              <w:jc w:val="center"/>
              <w:rPr>
                <w:rFonts w:ascii="Calibri" w:eastAsia="Times New Roman" w:hAnsi="Calibri" w:cs="Times New Roman"/>
                <w:noProof w:val="0"/>
                <w:color w:val="000000"/>
                <w:sz w:val="24"/>
                <w:szCs w:val="24"/>
              </w:rPr>
            </w:pPr>
            <w:r w:rsidRPr="00641A30">
              <w:rPr>
                <w:rFonts w:ascii="Calibri" w:eastAsia="Times New Roman" w:hAnsi="Calibri" w:cs="Times New Roman"/>
                <w:noProof w:val="0"/>
                <w:color w:val="000000"/>
                <w:sz w:val="24"/>
                <w:szCs w:val="24"/>
              </w:rPr>
              <w:t>23,588</w:t>
            </w:r>
          </w:p>
        </w:tc>
        <w:tc>
          <w:tcPr>
            <w:tcW w:w="858" w:type="dxa"/>
            <w:tcBorders>
              <w:top w:val="single" w:sz="4" w:space="0" w:color="auto"/>
              <w:left w:val="single" w:sz="4" w:space="0" w:color="auto"/>
              <w:bottom w:val="single" w:sz="4" w:space="0" w:color="auto"/>
              <w:right w:val="single" w:sz="4" w:space="0" w:color="auto"/>
            </w:tcBorders>
            <w:shd w:val="clear" w:color="auto" w:fill="EFF3FF"/>
          </w:tcPr>
          <w:p w14:paraId="2CACBB9E" w14:textId="77777777" w:rsidR="00100ABE" w:rsidRPr="00641A30" w:rsidRDefault="00100ABE" w:rsidP="00E552D2">
            <w:pPr>
              <w:spacing w:before="0" w:after="0" w:line="360" w:lineRule="auto"/>
              <w:ind w:left="0" w:right="0"/>
              <w:jc w:val="center"/>
              <w:rPr>
                <w:rFonts w:ascii="Calibri" w:eastAsia="Times New Roman" w:hAnsi="Calibri" w:cs="Times New Roman"/>
                <w:noProof w:val="0"/>
                <w:color w:val="000000"/>
                <w:sz w:val="24"/>
                <w:szCs w:val="24"/>
              </w:rPr>
            </w:pPr>
            <w:r w:rsidRPr="00641A30">
              <w:rPr>
                <w:rFonts w:ascii="Calibri" w:eastAsia="Times New Roman" w:hAnsi="Calibri" w:cs="Times New Roman"/>
                <w:noProof w:val="0"/>
                <w:color w:val="000000"/>
                <w:sz w:val="24"/>
                <w:szCs w:val="24"/>
              </w:rPr>
              <w:t>23,023</w:t>
            </w:r>
          </w:p>
        </w:tc>
        <w:tc>
          <w:tcPr>
            <w:tcW w:w="930" w:type="dxa"/>
            <w:tcBorders>
              <w:top w:val="single" w:sz="4" w:space="0" w:color="auto"/>
              <w:left w:val="single" w:sz="4" w:space="0" w:color="auto"/>
              <w:bottom w:val="single" w:sz="4" w:space="0" w:color="auto"/>
              <w:right w:val="single" w:sz="4" w:space="0" w:color="auto"/>
            </w:tcBorders>
            <w:shd w:val="clear" w:color="auto" w:fill="EFF3FF"/>
          </w:tcPr>
          <w:p w14:paraId="200AC097" w14:textId="0986817C" w:rsidR="00100ABE" w:rsidRPr="00641A30" w:rsidRDefault="00100ABE" w:rsidP="00E552D2">
            <w:pPr>
              <w:spacing w:before="0" w:after="0" w:line="360" w:lineRule="auto"/>
              <w:ind w:left="0" w:right="0"/>
              <w:jc w:val="center"/>
              <w:rPr>
                <w:rFonts w:ascii="Calibri" w:eastAsia="Times New Roman" w:hAnsi="Calibri" w:cs="Times New Roman"/>
                <w:noProof w:val="0"/>
                <w:color w:val="000000"/>
                <w:sz w:val="24"/>
                <w:szCs w:val="24"/>
              </w:rPr>
            </w:pPr>
            <w:r w:rsidRPr="00641A30">
              <w:rPr>
                <w:sz w:val="24"/>
                <w:szCs w:val="24"/>
              </w:rPr>
              <w:t>-882</w:t>
            </w:r>
          </w:p>
        </w:tc>
        <w:tc>
          <w:tcPr>
            <w:tcW w:w="685" w:type="dxa"/>
            <w:tcBorders>
              <w:top w:val="single" w:sz="4" w:space="0" w:color="auto"/>
              <w:left w:val="single" w:sz="4" w:space="0" w:color="auto"/>
              <w:bottom w:val="single" w:sz="4" w:space="0" w:color="auto"/>
              <w:right w:val="single" w:sz="4" w:space="0" w:color="auto"/>
            </w:tcBorders>
            <w:shd w:val="clear" w:color="auto" w:fill="EFF3FF"/>
          </w:tcPr>
          <w:p w14:paraId="20489CE8" w14:textId="0822156B" w:rsidR="00100ABE" w:rsidRPr="00641A30" w:rsidRDefault="00100ABE" w:rsidP="00E552D2">
            <w:pPr>
              <w:spacing w:before="0" w:after="0" w:line="360" w:lineRule="auto"/>
              <w:ind w:left="0" w:right="0"/>
              <w:jc w:val="center"/>
              <w:rPr>
                <w:rFonts w:ascii="Calibri" w:eastAsia="Times New Roman" w:hAnsi="Calibri" w:cs="Times New Roman"/>
                <w:noProof w:val="0"/>
                <w:color w:val="000000"/>
                <w:sz w:val="24"/>
                <w:szCs w:val="24"/>
              </w:rPr>
            </w:pPr>
            <w:r w:rsidRPr="00641A30">
              <w:rPr>
                <w:sz w:val="24"/>
                <w:szCs w:val="24"/>
              </w:rPr>
              <w:t>-4%</w:t>
            </w:r>
          </w:p>
        </w:tc>
      </w:tr>
      <w:tr w:rsidR="00100ABE" w:rsidRPr="00641A30" w14:paraId="3B5496B3" w14:textId="1CB842DB" w:rsidTr="0097398C">
        <w:trPr>
          <w:trHeight w:val="481"/>
          <w:jc w:val="center"/>
        </w:trPr>
        <w:tc>
          <w:tcPr>
            <w:tcW w:w="3404" w:type="dxa"/>
            <w:tcBorders>
              <w:top w:val="single" w:sz="4" w:space="0" w:color="auto"/>
              <w:left w:val="single" w:sz="4" w:space="0" w:color="auto"/>
              <w:bottom w:val="single" w:sz="4" w:space="0" w:color="auto"/>
              <w:right w:val="single" w:sz="4" w:space="0" w:color="auto"/>
            </w:tcBorders>
            <w:hideMark/>
          </w:tcPr>
          <w:p w14:paraId="7FE52CEB" w14:textId="43C2F4F0" w:rsidR="00100ABE" w:rsidRPr="00641A30" w:rsidRDefault="00100ABE" w:rsidP="00E552D2">
            <w:pPr>
              <w:spacing w:before="0" w:after="0" w:line="360" w:lineRule="auto"/>
              <w:ind w:left="0" w:right="0"/>
              <w:jc w:val="left"/>
              <w:rPr>
                <w:rFonts w:ascii="Calibri" w:eastAsia="Times New Roman" w:hAnsi="Calibri" w:cs="Times New Roman"/>
                <w:b/>
                <w:bCs/>
                <w:noProof w:val="0"/>
                <w:color w:val="000000"/>
                <w:sz w:val="24"/>
                <w:szCs w:val="24"/>
              </w:rPr>
            </w:pPr>
            <w:r w:rsidRPr="00641A30">
              <w:rPr>
                <w:rFonts w:ascii="Calibri" w:eastAsia="Times New Roman" w:hAnsi="Calibri" w:cs="Times New Roman"/>
                <w:b/>
                <w:bCs/>
                <w:noProof w:val="0"/>
                <w:color w:val="000000"/>
                <w:sz w:val="24"/>
                <w:szCs w:val="24"/>
              </w:rPr>
              <w:t>Total</w:t>
            </w:r>
          </w:p>
        </w:tc>
        <w:tc>
          <w:tcPr>
            <w:tcW w:w="960" w:type="dxa"/>
            <w:tcBorders>
              <w:top w:val="single" w:sz="4" w:space="0" w:color="auto"/>
              <w:left w:val="single" w:sz="4" w:space="0" w:color="auto"/>
              <w:bottom w:val="single" w:sz="4" w:space="0" w:color="auto"/>
              <w:right w:val="single" w:sz="4" w:space="0" w:color="auto"/>
            </w:tcBorders>
            <w:hideMark/>
          </w:tcPr>
          <w:p w14:paraId="15F92CFC" w14:textId="77777777" w:rsidR="00100ABE" w:rsidRPr="00641A30" w:rsidRDefault="00100ABE" w:rsidP="00E552D2">
            <w:pPr>
              <w:spacing w:before="0" w:after="0" w:line="360" w:lineRule="auto"/>
              <w:ind w:left="0" w:right="0"/>
              <w:jc w:val="center"/>
              <w:rPr>
                <w:rFonts w:ascii="Calibri" w:eastAsia="Times New Roman" w:hAnsi="Calibri" w:cs="Times New Roman"/>
                <w:noProof w:val="0"/>
                <w:color w:val="000000"/>
                <w:sz w:val="24"/>
                <w:szCs w:val="24"/>
              </w:rPr>
            </w:pPr>
            <w:r w:rsidRPr="00641A30">
              <w:rPr>
                <w:rFonts w:ascii="Calibri" w:eastAsia="Times New Roman" w:hAnsi="Calibri" w:cs="Times New Roman"/>
                <w:noProof w:val="0"/>
                <w:color w:val="000000"/>
                <w:sz w:val="24"/>
                <w:szCs w:val="24"/>
              </w:rPr>
              <w:t>193,775</w:t>
            </w:r>
          </w:p>
        </w:tc>
        <w:tc>
          <w:tcPr>
            <w:tcW w:w="960" w:type="dxa"/>
            <w:tcBorders>
              <w:top w:val="single" w:sz="4" w:space="0" w:color="auto"/>
              <w:left w:val="single" w:sz="4" w:space="0" w:color="auto"/>
              <w:bottom w:val="single" w:sz="4" w:space="0" w:color="auto"/>
              <w:right w:val="single" w:sz="4" w:space="0" w:color="auto"/>
            </w:tcBorders>
            <w:hideMark/>
          </w:tcPr>
          <w:p w14:paraId="133F6B88" w14:textId="77777777" w:rsidR="00100ABE" w:rsidRPr="00641A30" w:rsidRDefault="00100ABE" w:rsidP="00E552D2">
            <w:pPr>
              <w:spacing w:before="0" w:after="0" w:line="360" w:lineRule="auto"/>
              <w:ind w:left="0" w:right="0"/>
              <w:jc w:val="center"/>
              <w:rPr>
                <w:rFonts w:ascii="Calibri" w:eastAsia="Times New Roman" w:hAnsi="Calibri" w:cs="Times New Roman"/>
                <w:noProof w:val="0"/>
                <w:color w:val="000000"/>
                <w:sz w:val="24"/>
                <w:szCs w:val="24"/>
              </w:rPr>
            </w:pPr>
            <w:r w:rsidRPr="00641A30">
              <w:rPr>
                <w:rFonts w:ascii="Calibri" w:eastAsia="Times New Roman" w:hAnsi="Calibri" w:cs="Times New Roman"/>
                <w:noProof w:val="0"/>
                <w:color w:val="000000"/>
                <w:sz w:val="24"/>
                <w:szCs w:val="24"/>
              </w:rPr>
              <w:t>218,293</w:t>
            </w:r>
          </w:p>
        </w:tc>
        <w:tc>
          <w:tcPr>
            <w:tcW w:w="959" w:type="dxa"/>
            <w:tcBorders>
              <w:top w:val="single" w:sz="4" w:space="0" w:color="auto"/>
              <w:left w:val="single" w:sz="4" w:space="0" w:color="auto"/>
              <w:bottom w:val="single" w:sz="4" w:space="0" w:color="auto"/>
              <w:right w:val="single" w:sz="4" w:space="0" w:color="auto"/>
            </w:tcBorders>
            <w:hideMark/>
          </w:tcPr>
          <w:p w14:paraId="030D0BCA" w14:textId="77777777" w:rsidR="00100ABE" w:rsidRPr="00641A30" w:rsidRDefault="00100ABE" w:rsidP="00E552D2">
            <w:pPr>
              <w:spacing w:before="0" w:after="0" w:line="360" w:lineRule="auto"/>
              <w:ind w:left="0" w:right="0"/>
              <w:jc w:val="center"/>
              <w:rPr>
                <w:rFonts w:ascii="Calibri" w:eastAsia="Times New Roman" w:hAnsi="Calibri" w:cs="Times New Roman"/>
                <w:noProof w:val="0"/>
                <w:color w:val="000000"/>
                <w:sz w:val="24"/>
                <w:szCs w:val="24"/>
                <w:highlight w:val="yellow"/>
              </w:rPr>
            </w:pPr>
            <w:r w:rsidRPr="00641A30">
              <w:rPr>
                <w:rFonts w:ascii="Calibri" w:eastAsia="Times New Roman" w:hAnsi="Calibri" w:cs="Times New Roman"/>
                <w:noProof w:val="0"/>
                <w:color w:val="000000"/>
                <w:sz w:val="24"/>
                <w:szCs w:val="24"/>
              </w:rPr>
              <w:t>220,423</w:t>
            </w:r>
          </w:p>
        </w:tc>
        <w:tc>
          <w:tcPr>
            <w:tcW w:w="959" w:type="dxa"/>
            <w:tcBorders>
              <w:top w:val="single" w:sz="4" w:space="0" w:color="auto"/>
              <w:left w:val="single" w:sz="4" w:space="0" w:color="auto"/>
              <w:bottom w:val="single" w:sz="4" w:space="0" w:color="auto"/>
              <w:right w:val="single" w:sz="4" w:space="0" w:color="auto"/>
            </w:tcBorders>
            <w:hideMark/>
          </w:tcPr>
          <w:p w14:paraId="2689ED85" w14:textId="77777777" w:rsidR="00100ABE" w:rsidRPr="00641A30" w:rsidRDefault="00100ABE" w:rsidP="00E552D2">
            <w:pPr>
              <w:spacing w:before="0" w:after="0" w:line="360" w:lineRule="auto"/>
              <w:ind w:left="0" w:right="0"/>
              <w:jc w:val="center"/>
              <w:rPr>
                <w:rFonts w:ascii="Calibri" w:eastAsia="Times New Roman" w:hAnsi="Calibri" w:cs="Times New Roman"/>
                <w:noProof w:val="0"/>
                <w:color w:val="000000"/>
                <w:sz w:val="24"/>
                <w:szCs w:val="24"/>
                <w:highlight w:val="yellow"/>
              </w:rPr>
            </w:pPr>
            <w:r w:rsidRPr="00641A30">
              <w:rPr>
                <w:rFonts w:ascii="Calibri" w:eastAsia="Times New Roman" w:hAnsi="Calibri" w:cs="Times New Roman"/>
                <w:noProof w:val="0"/>
                <w:color w:val="000000"/>
                <w:sz w:val="24"/>
                <w:szCs w:val="24"/>
              </w:rPr>
              <w:t>222,706</w:t>
            </w:r>
          </w:p>
        </w:tc>
        <w:tc>
          <w:tcPr>
            <w:tcW w:w="858" w:type="dxa"/>
            <w:tcBorders>
              <w:top w:val="single" w:sz="4" w:space="0" w:color="auto"/>
              <w:left w:val="single" w:sz="4" w:space="0" w:color="auto"/>
              <w:bottom w:val="single" w:sz="4" w:space="0" w:color="auto"/>
              <w:right w:val="single" w:sz="4" w:space="0" w:color="auto"/>
            </w:tcBorders>
            <w:hideMark/>
          </w:tcPr>
          <w:p w14:paraId="1469D672" w14:textId="77777777" w:rsidR="00100ABE" w:rsidRPr="00641A30" w:rsidRDefault="00100ABE" w:rsidP="00E552D2">
            <w:pPr>
              <w:spacing w:before="0" w:after="0" w:line="360" w:lineRule="auto"/>
              <w:ind w:left="0" w:right="0"/>
              <w:jc w:val="center"/>
              <w:rPr>
                <w:rFonts w:ascii="Calibri" w:eastAsia="Times New Roman" w:hAnsi="Calibri" w:cs="Times New Roman"/>
                <w:noProof w:val="0"/>
                <w:color w:val="000000"/>
                <w:sz w:val="24"/>
                <w:szCs w:val="24"/>
                <w:highlight w:val="yellow"/>
              </w:rPr>
            </w:pPr>
            <w:r w:rsidRPr="00641A30">
              <w:rPr>
                <w:rFonts w:ascii="Calibri" w:eastAsia="Times New Roman" w:hAnsi="Calibri" w:cs="Times New Roman"/>
                <w:noProof w:val="0"/>
                <w:color w:val="000000"/>
                <w:sz w:val="24"/>
                <w:szCs w:val="24"/>
              </w:rPr>
              <w:t>241,579</w:t>
            </w:r>
          </w:p>
        </w:tc>
        <w:tc>
          <w:tcPr>
            <w:tcW w:w="930" w:type="dxa"/>
            <w:tcBorders>
              <w:top w:val="single" w:sz="4" w:space="0" w:color="auto"/>
              <w:left w:val="single" w:sz="4" w:space="0" w:color="auto"/>
              <w:bottom w:val="single" w:sz="4" w:space="0" w:color="auto"/>
              <w:right w:val="single" w:sz="4" w:space="0" w:color="auto"/>
            </w:tcBorders>
          </w:tcPr>
          <w:p w14:paraId="0E35EB71" w14:textId="1E9C5329" w:rsidR="00100ABE" w:rsidRPr="00641A30" w:rsidRDefault="00100ABE" w:rsidP="00E552D2">
            <w:pPr>
              <w:spacing w:before="0" w:after="0" w:line="360" w:lineRule="auto"/>
              <w:ind w:left="0" w:right="0"/>
              <w:jc w:val="center"/>
              <w:rPr>
                <w:rFonts w:ascii="Calibri" w:eastAsia="Times New Roman" w:hAnsi="Calibri" w:cs="Times New Roman"/>
                <w:noProof w:val="0"/>
                <w:color w:val="000000"/>
                <w:sz w:val="24"/>
                <w:szCs w:val="24"/>
              </w:rPr>
            </w:pPr>
            <w:r w:rsidRPr="00641A30">
              <w:rPr>
                <w:sz w:val="24"/>
                <w:szCs w:val="24"/>
              </w:rPr>
              <w:t>47,804</w:t>
            </w:r>
          </w:p>
        </w:tc>
        <w:tc>
          <w:tcPr>
            <w:tcW w:w="685" w:type="dxa"/>
            <w:tcBorders>
              <w:top w:val="single" w:sz="4" w:space="0" w:color="auto"/>
              <w:left w:val="single" w:sz="4" w:space="0" w:color="auto"/>
              <w:bottom w:val="single" w:sz="4" w:space="0" w:color="auto"/>
              <w:right w:val="single" w:sz="4" w:space="0" w:color="auto"/>
            </w:tcBorders>
          </w:tcPr>
          <w:p w14:paraId="63E9857A" w14:textId="6E2F0297" w:rsidR="00100ABE" w:rsidRPr="00641A30" w:rsidRDefault="00100ABE" w:rsidP="00E552D2">
            <w:pPr>
              <w:spacing w:before="0" w:after="0" w:line="360" w:lineRule="auto"/>
              <w:ind w:left="0" w:right="0"/>
              <w:jc w:val="center"/>
              <w:rPr>
                <w:rFonts w:ascii="Calibri" w:eastAsia="Times New Roman" w:hAnsi="Calibri" w:cs="Times New Roman"/>
                <w:noProof w:val="0"/>
                <w:color w:val="000000"/>
                <w:sz w:val="24"/>
                <w:szCs w:val="24"/>
              </w:rPr>
            </w:pPr>
            <w:r w:rsidRPr="00641A30">
              <w:rPr>
                <w:sz w:val="24"/>
                <w:szCs w:val="24"/>
              </w:rPr>
              <w:t>25%</w:t>
            </w:r>
          </w:p>
        </w:tc>
      </w:tr>
    </w:tbl>
    <w:p w14:paraId="37262F37" w14:textId="3DE7B775" w:rsidR="00D130D7" w:rsidRPr="00641A30" w:rsidRDefault="0077573F" w:rsidP="00E552D2">
      <w:pPr>
        <w:spacing w:line="360" w:lineRule="auto"/>
        <w:ind w:right="-360"/>
        <w:jc w:val="center"/>
        <w:rPr>
          <w:rFonts w:cstheme="minorHAnsi"/>
          <w:color w:val="222222"/>
          <w:sz w:val="24"/>
          <w:szCs w:val="24"/>
          <w:shd w:val="clear" w:color="auto" w:fill="FFFFFF"/>
        </w:rPr>
      </w:pPr>
      <w:r w:rsidRPr="00641A30">
        <w:rPr>
          <w:rFonts w:cstheme="minorHAnsi"/>
          <w:sz w:val="24"/>
          <w:szCs w:val="24"/>
        </w:rPr>
        <w:t xml:space="preserve">NOTE: </w:t>
      </w:r>
      <w:r w:rsidR="00D130D7" w:rsidRPr="00641A30">
        <w:rPr>
          <w:rFonts w:cstheme="minorHAnsi"/>
          <w:sz w:val="24"/>
          <w:szCs w:val="24"/>
        </w:rPr>
        <w:t>*</w:t>
      </w:r>
      <w:r w:rsidR="000C310F" w:rsidRPr="00641A30">
        <w:rPr>
          <w:rFonts w:cstheme="minorHAnsi"/>
          <w:color w:val="222222"/>
          <w:sz w:val="24"/>
          <w:szCs w:val="24"/>
          <w:shd w:val="clear" w:color="auto" w:fill="FFFFFF"/>
        </w:rPr>
        <w:t xml:space="preserve">THE BOARD OF CERTIFICATION OF COMMUNITY HEALTH WORKERS WAS ESTABLISHED BY CHAPTER 322 OF THE ACTS OF 2010, WITH AN EFFECTIVE DATE OF JANUARY 1, 2012 AS A RESULT OF STATE HEALTH CARE REFORM AND IS INTENDED TO HELP INTEGRATE COMMUNITY HEALTH WORKERS INTO THE HEALTH CARE AND PUBLIC HEALTH SYSTEMS IN ORDER TO PROMOTE HEALTH EQUITY, COST CONTAINMENT, AND MANAGEMENT AND PREVENTION OF CHRONIC DISEASE. THE BOARD WILL ESTABLISH STANDARDS FOR THE EDUCATION AND TRAINING OF COMMUNITY HEALTH WORKERS AND COMMUNITY HEALTH WORKER </w:t>
      </w:r>
      <w:r w:rsidR="000C310F" w:rsidRPr="00641A30">
        <w:rPr>
          <w:rFonts w:cstheme="minorHAnsi"/>
          <w:color w:val="222222"/>
          <w:sz w:val="24"/>
          <w:szCs w:val="24"/>
          <w:shd w:val="clear" w:color="auto" w:fill="FFFFFF"/>
        </w:rPr>
        <w:lastRenderedPageBreak/>
        <w:t>TRAINERS, STANDARDS FOR THE EDUCATION AND TRAINING PROGRAM CURRICULA FOR COMMUNITY HEALTH WORKERS, AND REQUIREMENTS FOR COMMUNITY HEALTH WORKER CERTIFICATION AND RENEWAL OF CERTIFICATION. THE BOARD HAS DRAFTED REGULATIONS, CONDUCTED PUBLIC HEARINGS, AND ARE IN THE FINAL REVIEW STAGES FOR SUBMISSION FOR PROMULGATION.</w:t>
      </w:r>
    </w:p>
    <w:p w14:paraId="4EEE10D2" w14:textId="547EB93A" w:rsidR="00D130D7" w:rsidRPr="00641A30" w:rsidRDefault="0077573F" w:rsidP="00E552D2">
      <w:pPr>
        <w:spacing w:line="360" w:lineRule="auto"/>
        <w:ind w:right="-360"/>
        <w:jc w:val="center"/>
        <w:rPr>
          <w:rFonts w:cstheme="minorHAnsi"/>
          <w:color w:val="222222"/>
          <w:sz w:val="24"/>
          <w:szCs w:val="24"/>
          <w:shd w:val="clear" w:color="auto" w:fill="FFFFFF"/>
        </w:rPr>
      </w:pPr>
      <w:r w:rsidRPr="00641A30">
        <w:rPr>
          <w:rFonts w:cstheme="minorHAnsi"/>
          <w:sz w:val="24"/>
          <w:szCs w:val="24"/>
        </w:rPr>
        <w:t xml:space="preserve">NOTE: </w:t>
      </w:r>
      <w:r w:rsidR="00D130D7" w:rsidRPr="00641A30">
        <w:rPr>
          <w:rFonts w:cstheme="minorHAnsi"/>
          <w:sz w:val="24"/>
          <w:szCs w:val="24"/>
        </w:rPr>
        <w:t>**</w:t>
      </w:r>
      <w:r w:rsidR="000C310F" w:rsidRPr="00641A30">
        <w:rPr>
          <w:rFonts w:cstheme="minorHAnsi"/>
          <w:color w:val="222222"/>
          <w:sz w:val="24"/>
          <w:szCs w:val="24"/>
          <w:shd w:val="clear" w:color="auto" w:fill="FFFFFF"/>
        </w:rPr>
        <w:t>THE BOARD OF REGISTRATION IN NATUROPATHY WAS ESTABLISHED BY MASS GENERAL CHAPTER 112, SECTIONS 266 THROUGH 274 WITH AN EFFECTIVE DATE OF SEPTEMBER 1, 2017.  THE BOARD OF REGISTRATION IN NATUROPATHY IS CHARGED WITH EVALUATING THE QUALIFICATIONS OF APPLICANTS FOR LICENSURE AND GRANTING LICENSES TO THOSE WHO QUALIFY AND ESTABLISHING RULES AND REGULATIONS TO ENSURE THE INTEGRITY AND COMPETENCE OF LICENSEES.</w:t>
      </w:r>
    </w:p>
    <w:p w14:paraId="37ADADB3" w14:textId="54E58129" w:rsidR="00D130D7" w:rsidRPr="00641A30" w:rsidRDefault="00100ABE" w:rsidP="00E552D2">
      <w:pPr>
        <w:spacing w:line="360" w:lineRule="auto"/>
        <w:ind w:right="-360"/>
        <w:jc w:val="center"/>
        <w:rPr>
          <w:b/>
          <w:noProof w:val="0"/>
          <w:sz w:val="24"/>
          <w:szCs w:val="24"/>
        </w:rPr>
      </w:pPr>
      <w:r w:rsidRPr="00641A30">
        <w:rPr>
          <w:color w:val="000000" w:themeColor="text1"/>
          <w:sz w:val="24"/>
          <w:szCs w:val="24"/>
        </w:rPr>
        <w:t xml:space="preserve">NOTE: </w:t>
      </w:r>
      <w:r w:rsidRPr="00641A30">
        <w:rPr>
          <w:rFonts w:ascii="Symbol" w:eastAsia="Times New Roman" w:hAnsi="Symbol" w:cs="Times New Roman"/>
          <w:b/>
          <w:bCs/>
          <w:noProof w:val="0"/>
          <w:color w:val="000000"/>
          <w:sz w:val="24"/>
          <w:szCs w:val="24"/>
        </w:rPr>
        <w:t></w:t>
      </w:r>
      <w:r w:rsidRPr="00641A30">
        <w:rPr>
          <w:color w:val="000000" w:themeColor="text1"/>
          <w:sz w:val="24"/>
          <w:szCs w:val="24"/>
        </w:rPr>
        <w:t>=CHANGE</w:t>
      </w:r>
      <w:r w:rsidR="00D130D7" w:rsidRPr="00641A30">
        <w:rPr>
          <w:sz w:val="24"/>
          <w:szCs w:val="24"/>
        </w:rPr>
        <w:br w:type="page"/>
      </w:r>
    </w:p>
    <w:p w14:paraId="1CED6B58" w14:textId="1BDC3149" w:rsidR="00D130D7" w:rsidRPr="00641A30" w:rsidRDefault="00332A07" w:rsidP="00E552D2">
      <w:pPr>
        <w:pStyle w:val="SHAFigureNumber"/>
        <w:spacing w:line="360" w:lineRule="auto"/>
        <w:rPr>
          <w:sz w:val="24"/>
          <w:szCs w:val="24"/>
        </w:rPr>
      </w:pPr>
      <w:r w:rsidRPr="00641A30">
        <w:rPr>
          <w:sz w:val="24"/>
          <w:szCs w:val="24"/>
        </w:rPr>
        <w:lastRenderedPageBreak/>
        <w:t>Figure 7.13</w:t>
      </w:r>
      <w:r w:rsidR="00D130D7" w:rsidRPr="00641A30">
        <w:rPr>
          <w:sz w:val="24"/>
          <w:szCs w:val="24"/>
        </w:rPr>
        <w:t xml:space="preserve"> </w:t>
      </w:r>
    </w:p>
    <w:p w14:paraId="2C3DB281" w14:textId="77777777" w:rsidR="00965429" w:rsidRPr="00641A30" w:rsidRDefault="00D130D7" w:rsidP="00E552D2">
      <w:pPr>
        <w:pStyle w:val="SHAFigureNumber"/>
        <w:spacing w:line="360" w:lineRule="auto"/>
        <w:contextualSpacing/>
        <w:rPr>
          <w:sz w:val="24"/>
          <w:szCs w:val="24"/>
        </w:rPr>
      </w:pPr>
      <w:r w:rsidRPr="00641A30">
        <w:rPr>
          <w:sz w:val="24"/>
          <w:szCs w:val="24"/>
        </w:rPr>
        <w:t>Trend</w:t>
      </w:r>
      <w:r w:rsidR="00754175" w:rsidRPr="00641A30">
        <w:rPr>
          <w:sz w:val="24"/>
          <w:szCs w:val="24"/>
        </w:rPr>
        <w:t>s in the G</w:t>
      </w:r>
      <w:r w:rsidRPr="00641A30">
        <w:rPr>
          <w:sz w:val="24"/>
          <w:szCs w:val="24"/>
        </w:rPr>
        <w:t>rowth of Total Number of D</w:t>
      </w:r>
      <w:r w:rsidR="00754175" w:rsidRPr="00641A30">
        <w:rPr>
          <w:sz w:val="24"/>
          <w:szCs w:val="24"/>
        </w:rPr>
        <w:t xml:space="preserve">ivision of </w:t>
      </w:r>
      <w:r w:rsidRPr="00641A30">
        <w:rPr>
          <w:sz w:val="24"/>
          <w:szCs w:val="24"/>
        </w:rPr>
        <w:t>P</w:t>
      </w:r>
      <w:r w:rsidR="00754175" w:rsidRPr="00641A30">
        <w:rPr>
          <w:sz w:val="24"/>
          <w:szCs w:val="24"/>
        </w:rPr>
        <w:t xml:space="preserve">rofessional </w:t>
      </w:r>
      <w:r w:rsidRPr="00641A30">
        <w:rPr>
          <w:sz w:val="24"/>
          <w:szCs w:val="24"/>
        </w:rPr>
        <w:t>L</w:t>
      </w:r>
      <w:r w:rsidR="00754175" w:rsidRPr="00641A30">
        <w:rPr>
          <w:sz w:val="24"/>
          <w:szCs w:val="24"/>
        </w:rPr>
        <w:t>icensure</w:t>
      </w:r>
      <w:r w:rsidRPr="00641A30">
        <w:rPr>
          <w:sz w:val="24"/>
          <w:szCs w:val="24"/>
        </w:rPr>
        <w:t xml:space="preserve"> Licensees,</w:t>
      </w:r>
    </w:p>
    <w:p w14:paraId="5B3BD51A" w14:textId="55F4D289" w:rsidR="00D130D7" w:rsidRPr="00641A30" w:rsidRDefault="00D130D7" w:rsidP="00E552D2">
      <w:pPr>
        <w:pStyle w:val="SHAFigureNumber"/>
        <w:spacing w:line="360" w:lineRule="auto"/>
        <w:contextualSpacing/>
        <w:rPr>
          <w:sz w:val="24"/>
          <w:szCs w:val="24"/>
        </w:rPr>
      </w:pPr>
      <w:r w:rsidRPr="00641A30">
        <w:rPr>
          <w:sz w:val="24"/>
          <w:szCs w:val="24"/>
        </w:rPr>
        <w:t xml:space="preserve"> Fiscal Years</w:t>
      </w:r>
      <w:r w:rsidR="00965429" w:rsidRPr="00641A30">
        <w:rPr>
          <w:sz w:val="24"/>
          <w:szCs w:val="24"/>
        </w:rPr>
        <w:t xml:space="preserve"> (FY)</w:t>
      </w:r>
      <w:r w:rsidRPr="00641A30">
        <w:rPr>
          <w:sz w:val="24"/>
          <w:szCs w:val="24"/>
        </w:rPr>
        <w:t xml:space="preserve"> 2011-2015</w:t>
      </w:r>
    </w:p>
    <w:tbl>
      <w:tblPr>
        <w:tblW w:w="9990" w:type="dxa"/>
        <w:tblInd w:w="-252" w:type="dxa"/>
        <w:tblLayout w:type="fixed"/>
        <w:tblCellMar>
          <w:top w:w="15" w:type="dxa"/>
          <w:bottom w:w="15" w:type="dxa"/>
        </w:tblCellMar>
        <w:tblLook w:val="04A0" w:firstRow="1" w:lastRow="0" w:firstColumn="1" w:lastColumn="0" w:noHBand="0" w:noVBand="1"/>
        <w:tblDescription w:val="This table shows the trend in growth of professions licensed by the Massachusetts Division of Professional Licensure. Between 2011 and 2015, other health-related professional licensees grew by 9%, from 69,098 licensees in fiscal year 2011 to 75,661 licensees in fiscal year 2015. The Board of Allied Health Professions licensees increased by 14% (2,901 licenses); the Board of Registration of Chiropractors licensees had no significant change (0%); the Board of Registration of Dietitians and Nutritionists licensees increased by 8% (185 licenses); the Board of Registration of Dispensing Opticians licensees decreased by 4% (60 licenses); the Board of Certification of Health Officers licenses decreased by 5% (5 licenses); the Board of Registration of Hearing Instruments Specialists licensees increased 16% (26 licenses); the Board of Registration of Massage Therapy licensees increased 5% (477 licenses); the Board of Registration in Optometry licensees increased 1% (18 licenses); the Board of Registration in Podiatry licensees decreased 2% (10 licenses); the Board of Registration of Social Workers licensees increased 10% (2,099 licenses); the Board of Registration for Speech-Language Pathology and Audiology licensees increased 15% (925 licenses); and the Board of Veterinary Medicine saw no significant increase (0%, 6 licenses) during this period. "/>
      </w:tblPr>
      <w:tblGrid>
        <w:gridCol w:w="3307"/>
        <w:gridCol w:w="1031"/>
        <w:gridCol w:w="942"/>
        <w:gridCol w:w="942"/>
        <w:gridCol w:w="942"/>
        <w:gridCol w:w="942"/>
        <w:gridCol w:w="942"/>
        <w:gridCol w:w="942"/>
      </w:tblGrid>
      <w:tr w:rsidR="00100ABE" w:rsidRPr="00641A30" w14:paraId="4417809C" w14:textId="55E13017" w:rsidTr="00CD4F84">
        <w:trPr>
          <w:trHeight w:val="830"/>
        </w:trPr>
        <w:tc>
          <w:tcPr>
            <w:tcW w:w="3307" w:type="dxa"/>
            <w:tcBorders>
              <w:top w:val="single" w:sz="4" w:space="0" w:color="auto"/>
              <w:left w:val="single" w:sz="4" w:space="0" w:color="auto"/>
              <w:bottom w:val="nil"/>
              <w:right w:val="single" w:sz="4" w:space="0" w:color="auto"/>
            </w:tcBorders>
            <w:shd w:val="clear" w:color="auto" w:fill="C6DBEF"/>
            <w:vAlign w:val="bottom"/>
            <w:hideMark/>
          </w:tcPr>
          <w:p w14:paraId="216B20E3" w14:textId="77777777" w:rsidR="00100ABE" w:rsidRPr="00641A30" w:rsidRDefault="00100ABE" w:rsidP="00E552D2">
            <w:pPr>
              <w:spacing w:before="0" w:after="0" w:line="360" w:lineRule="auto"/>
              <w:ind w:left="0" w:right="0"/>
              <w:jc w:val="left"/>
              <w:rPr>
                <w:rFonts w:eastAsia="Times New Roman" w:cs="Times New Roman"/>
                <w:b/>
                <w:bCs/>
                <w:noProof w:val="0"/>
                <w:color w:val="000000"/>
                <w:sz w:val="24"/>
                <w:szCs w:val="24"/>
              </w:rPr>
            </w:pPr>
          </w:p>
        </w:tc>
        <w:tc>
          <w:tcPr>
            <w:tcW w:w="1031" w:type="dxa"/>
            <w:tcBorders>
              <w:top w:val="single" w:sz="4" w:space="0" w:color="auto"/>
              <w:left w:val="single" w:sz="4" w:space="0" w:color="auto"/>
              <w:bottom w:val="nil"/>
              <w:right w:val="single" w:sz="4" w:space="0" w:color="auto"/>
            </w:tcBorders>
            <w:shd w:val="clear" w:color="auto" w:fill="C6DBEF"/>
            <w:vAlign w:val="bottom"/>
            <w:hideMark/>
          </w:tcPr>
          <w:p w14:paraId="25D96129" w14:textId="77777777" w:rsidR="00100ABE" w:rsidRPr="00641A30" w:rsidRDefault="00100ABE" w:rsidP="00E552D2">
            <w:pPr>
              <w:spacing w:before="0" w:after="0" w:line="360" w:lineRule="auto"/>
              <w:ind w:left="0" w:right="0"/>
              <w:jc w:val="center"/>
              <w:rPr>
                <w:rFonts w:eastAsia="Times New Roman" w:cs="Times New Roman"/>
                <w:b/>
                <w:bCs/>
                <w:noProof w:val="0"/>
                <w:color w:val="000000"/>
                <w:sz w:val="24"/>
                <w:szCs w:val="24"/>
              </w:rPr>
            </w:pPr>
            <w:r w:rsidRPr="00641A30">
              <w:rPr>
                <w:rFonts w:eastAsia="Times New Roman" w:cs="Times New Roman"/>
                <w:b/>
                <w:bCs/>
                <w:noProof w:val="0"/>
                <w:color w:val="000000"/>
                <w:sz w:val="24"/>
                <w:szCs w:val="24"/>
              </w:rPr>
              <w:t>FY2011</w:t>
            </w:r>
          </w:p>
        </w:tc>
        <w:tc>
          <w:tcPr>
            <w:tcW w:w="942" w:type="dxa"/>
            <w:tcBorders>
              <w:top w:val="single" w:sz="4" w:space="0" w:color="auto"/>
              <w:left w:val="single" w:sz="4" w:space="0" w:color="auto"/>
              <w:bottom w:val="nil"/>
              <w:right w:val="single" w:sz="4" w:space="0" w:color="auto"/>
            </w:tcBorders>
            <w:shd w:val="clear" w:color="auto" w:fill="C6DBEF"/>
            <w:vAlign w:val="bottom"/>
            <w:hideMark/>
          </w:tcPr>
          <w:p w14:paraId="1F711A51" w14:textId="77777777" w:rsidR="00100ABE" w:rsidRPr="00641A30" w:rsidRDefault="00100ABE" w:rsidP="00E552D2">
            <w:pPr>
              <w:spacing w:before="0" w:after="0" w:line="360" w:lineRule="auto"/>
              <w:ind w:left="0" w:right="0"/>
              <w:jc w:val="center"/>
              <w:rPr>
                <w:rFonts w:eastAsia="Times New Roman" w:cs="Times New Roman"/>
                <w:b/>
                <w:bCs/>
                <w:noProof w:val="0"/>
                <w:color w:val="000000"/>
                <w:sz w:val="24"/>
                <w:szCs w:val="24"/>
              </w:rPr>
            </w:pPr>
            <w:r w:rsidRPr="00641A30">
              <w:rPr>
                <w:rFonts w:eastAsia="Times New Roman" w:cs="Times New Roman"/>
                <w:b/>
                <w:bCs/>
                <w:noProof w:val="0"/>
                <w:color w:val="000000"/>
                <w:sz w:val="24"/>
                <w:szCs w:val="24"/>
              </w:rPr>
              <w:t>FY2012</w:t>
            </w:r>
          </w:p>
        </w:tc>
        <w:tc>
          <w:tcPr>
            <w:tcW w:w="942" w:type="dxa"/>
            <w:tcBorders>
              <w:top w:val="single" w:sz="4" w:space="0" w:color="auto"/>
              <w:left w:val="single" w:sz="4" w:space="0" w:color="auto"/>
              <w:bottom w:val="nil"/>
              <w:right w:val="single" w:sz="4" w:space="0" w:color="auto"/>
            </w:tcBorders>
            <w:shd w:val="clear" w:color="auto" w:fill="C6DBEF"/>
            <w:vAlign w:val="bottom"/>
            <w:hideMark/>
          </w:tcPr>
          <w:p w14:paraId="510B66A6" w14:textId="77777777" w:rsidR="00100ABE" w:rsidRPr="00641A30" w:rsidRDefault="00100ABE" w:rsidP="00E552D2">
            <w:pPr>
              <w:spacing w:before="0" w:after="0" w:line="360" w:lineRule="auto"/>
              <w:ind w:left="0" w:right="0"/>
              <w:jc w:val="center"/>
              <w:rPr>
                <w:rFonts w:eastAsia="Times New Roman" w:cs="Times New Roman"/>
                <w:b/>
                <w:bCs/>
                <w:noProof w:val="0"/>
                <w:color w:val="000000"/>
                <w:sz w:val="24"/>
                <w:szCs w:val="24"/>
              </w:rPr>
            </w:pPr>
            <w:r w:rsidRPr="00641A30">
              <w:rPr>
                <w:rFonts w:eastAsia="Times New Roman" w:cs="Times New Roman"/>
                <w:b/>
                <w:bCs/>
                <w:noProof w:val="0"/>
                <w:color w:val="000000"/>
                <w:sz w:val="24"/>
                <w:szCs w:val="24"/>
              </w:rPr>
              <w:t>FY2013</w:t>
            </w:r>
          </w:p>
        </w:tc>
        <w:tc>
          <w:tcPr>
            <w:tcW w:w="942" w:type="dxa"/>
            <w:tcBorders>
              <w:top w:val="single" w:sz="4" w:space="0" w:color="auto"/>
              <w:left w:val="single" w:sz="4" w:space="0" w:color="auto"/>
              <w:bottom w:val="nil"/>
              <w:right w:val="single" w:sz="4" w:space="0" w:color="auto"/>
            </w:tcBorders>
            <w:shd w:val="clear" w:color="auto" w:fill="C6DBEF"/>
            <w:vAlign w:val="bottom"/>
            <w:hideMark/>
          </w:tcPr>
          <w:p w14:paraId="3D6DC43F" w14:textId="77777777" w:rsidR="00100ABE" w:rsidRPr="00641A30" w:rsidRDefault="00100ABE" w:rsidP="00E552D2">
            <w:pPr>
              <w:spacing w:before="0" w:after="0" w:line="360" w:lineRule="auto"/>
              <w:ind w:left="0" w:right="0"/>
              <w:jc w:val="center"/>
              <w:rPr>
                <w:rFonts w:eastAsia="Times New Roman" w:cs="Times New Roman"/>
                <w:b/>
                <w:bCs/>
                <w:noProof w:val="0"/>
                <w:color w:val="000000"/>
                <w:sz w:val="24"/>
                <w:szCs w:val="24"/>
              </w:rPr>
            </w:pPr>
            <w:r w:rsidRPr="00641A30">
              <w:rPr>
                <w:rFonts w:eastAsia="Times New Roman" w:cs="Times New Roman"/>
                <w:b/>
                <w:bCs/>
                <w:noProof w:val="0"/>
                <w:color w:val="000000"/>
                <w:sz w:val="24"/>
                <w:szCs w:val="24"/>
              </w:rPr>
              <w:t>FY2014</w:t>
            </w:r>
          </w:p>
        </w:tc>
        <w:tc>
          <w:tcPr>
            <w:tcW w:w="942" w:type="dxa"/>
            <w:tcBorders>
              <w:top w:val="single" w:sz="4" w:space="0" w:color="auto"/>
              <w:left w:val="single" w:sz="4" w:space="0" w:color="auto"/>
              <w:bottom w:val="nil"/>
              <w:right w:val="single" w:sz="4" w:space="0" w:color="auto"/>
            </w:tcBorders>
            <w:shd w:val="clear" w:color="auto" w:fill="C6DBEF"/>
            <w:vAlign w:val="bottom"/>
            <w:hideMark/>
          </w:tcPr>
          <w:p w14:paraId="370E8BD7" w14:textId="77777777" w:rsidR="00100ABE" w:rsidRPr="00641A30" w:rsidRDefault="00100ABE" w:rsidP="00E552D2">
            <w:pPr>
              <w:spacing w:before="0" w:after="0" w:line="360" w:lineRule="auto"/>
              <w:ind w:left="0" w:right="0"/>
              <w:jc w:val="center"/>
              <w:rPr>
                <w:rFonts w:eastAsia="Times New Roman" w:cs="Times New Roman"/>
                <w:b/>
                <w:bCs/>
                <w:noProof w:val="0"/>
                <w:color w:val="000000"/>
                <w:sz w:val="24"/>
                <w:szCs w:val="24"/>
              </w:rPr>
            </w:pPr>
            <w:r w:rsidRPr="00641A30">
              <w:rPr>
                <w:rFonts w:eastAsia="Times New Roman" w:cs="Times New Roman"/>
                <w:b/>
                <w:bCs/>
                <w:noProof w:val="0"/>
                <w:color w:val="000000"/>
                <w:sz w:val="24"/>
                <w:szCs w:val="24"/>
              </w:rPr>
              <w:t>FY2015</w:t>
            </w:r>
          </w:p>
        </w:tc>
        <w:tc>
          <w:tcPr>
            <w:tcW w:w="942" w:type="dxa"/>
            <w:tcBorders>
              <w:top w:val="single" w:sz="4" w:space="0" w:color="auto"/>
              <w:left w:val="single" w:sz="4" w:space="0" w:color="auto"/>
              <w:bottom w:val="nil"/>
              <w:right w:val="single" w:sz="4" w:space="0" w:color="auto"/>
            </w:tcBorders>
            <w:shd w:val="clear" w:color="auto" w:fill="C6DBEF"/>
            <w:vAlign w:val="bottom"/>
          </w:tcPr>
          <w:p w14:paraId="1EB82522" w14:textId="77777777" w:rsidR="00100ABE" w:rsidRPr="00641A30" w:rsidRDefault="00100ABE" w:rsidP="00E552D2">
            <w:pPr>
              <w:spacing w:line="360" w:lineRule="auto"/>
              <w:ind w:left="0" w:right="0"/>
              <w:jc w:val="center"/>
              <w:rPr>
                <w:rFonts w:eastAsia="Times New Roman" w:cs="Times New Roman"/>
                <w:b/>
                <w:bCs/>
                <w:noProof w:val="0"/>
                <w:color w:val="000000"/>
                <w:sz w:val="24"/>
                <w:szCs w:val="24"/>
              </w:rPr>
            </w:pPr>
            <w:r w:rsidRPr="00641A30">
              <w:rPr>
                <w:rFonts w:ascii="Symbol" w:eastAsia="Times New Roman" w:hAnsi="Symbol" w:cs="Times New Roman"/>
                <w:b/>
                <w:bCs/>
                <w:noProof w:val="0"/>
                <w:color w:val="000000"/>
                <w:sz w:val="24"/>
                <w:szCs w:val="24"/>
              </w:rPr>
              <w:t></w:t>
            </w:r>
            <w:r w:rsidRPr="00641A30">
              <w:rPr>
                <w:rFonts w:ascii="Symbol" w:eastAsia="Times New Roman" w:hAnsi="Symbol" w:cs="Times New Roman"/>
                <w:b/>
                <w:bCs/>
                <w:noProof w:val="0"/>
                <w:color w:val="000000"/>
                <w:sz w:val="24"/>
                <w:szCs w:val="24"/>
              </w:rPr>
              <w:t></w:t>
            </w:r>
            <w:r w:rsidRPr="00641A30">
              <w:rPr>
                <w:rFonts w:eastAsia="Times New Roman" w:cs="Times New Roman"/>
                <w:b/>
                <w:bCs/>
                <w:noProof w:val="0"/>
                <w:color w:val="000000"/>
                <w:sz w:val="24"/>
                <w:szCs w:val="24"/>
              </w:rPr>
              <w:t xml:space="preserve"> FY 11-15</w:t>
            </w:r>
          </w:p>
          <w:p w14:paraId="26DF2771" w14:textId="19755568" w:rsidR="00100ABE" w:rsidRPr="00641A30" w:rsidRDefault="00100ABE" w:rsidP="00E552D2">
            <w:pPr>
              <w:spacing w:before="0" w:after="0" w:line="360" w:lineRule="auto"/>
              <w:ind w:left="0" w:right="0"/>
              <w:jc w:val="center"/>
              <w:rPr>
                <w:rFonts w:eastAsia="Times New Roman" w:cs="Times New Roman"/>
                <w:b/>
                <w:bCs/>
                <w:noProof w:val="0"/>
                <w:color w:val="000000"/>
                <w:sz w:val="24"/>
                <w:szCs w:val="24"/>
              </w:rPr>
            </w:pPr>
            <w:r w:rsidRPr="00641A30">
              <w:rPr>
                <w:rFonts w:eastAsia="Times New Roman" w:cs="Times New Roman"/>
                <w:b/>
                <w:bCs/>
                <w:noProof w:val="0"/>
                <w:color w:val="000000"/>
                <w:sz w:val="24"/>
                <w:szCs w:val="24"/>
              </w:rPr>
              <w:t>#</w:t>
            </w:r>
          </w:p>
        </w:tc>
        <w:tc>
          <w:tcPr>
            <w:tcW w:w="942" w:type="dxa"/>
            <w:tcBorders>
              <w:top w:val="single" w:sz="4" w:space="0" w:color="auto"/>
              <w:left w:val="single" w:sz="4" w:space="0" w:color="auto"/>
              <w:bottom w:val="nil"/>
              <w:right w:val="single" w:sz="4" w:space="0" w:color="auto"/>
            </w:tcBorders>
            <w:shd w:val="clear" w:color="auto" w:fill="C6DBEF"/>
            <w:vAlign w:val="bottom"/>
          </w:tcPr>
          <w:p w14:paraId="3AFED3B9" w14:textId="455A3845" w:rsidR="00100ABE" w:rsidRPr="00641A30" w:rsidRDefault="00100ABE" w:rsidP="00E552D2">
            <w:pPr>
              <w:spacing w:before="0" w:after="0" w:line="360" w:lineRule="auto"/>
              <w:ind w:left="0" w:right="0"/>
              <w:jc w:val="center"/>
              <w:rPr>
                <w:rFonts w:eastAsia="Times New Roman" w:cs="Times New Roman"/>
                <w:b/>
                <w:bCs/>
                <w:noProof w:val="0"/>
                <w:color w:val="000000"/>
                <w:sz w:val="24"/>
                <w:szCs w:val="24"/>
              </w:rPr>
            </w:pPr>
            <w:r w:rsidRPr="00641A30">
              <w:rPr>
                <w:rFonts w:ascii="Symbol" w:eastAsia="Times New Roman" w:hAnsi="Symbol" w:cs="Times New Roman"/>
                <w:b/>
                <w:bCs/>
                <w:noProof w:val="0"/>
                <w:color w:val="000000"/>
                <w:sz w:val="24"/>
                <w:szCs w:val="24"/>
              </w:rPr>
              <w:t></w:t>
            </w:r>
            <w:r w:rsidRPr="00641A30">
              <w:rPr>
                <w:rFonts w:ascii="Symbol" w:eastAsia="Times New Roman" w:hAnsi="Symbol" w:cs="Times New Roman"/>
                <w:b/>
                <w:bCs/>
                <w:noProof w:val="0"/>
                <w:color w:val="000000"/>
                <w:sz w:val="24"/>
                <w:szCs w:val="24"/>
              </w:rPr>
              <w:t></w:t>
            </w:r>
            <w:r w:rsidRPr="00641A30">
              <w:rPr>
                <w:rFonts w:ascii="Symbol" w:eastAsia="Times New Roman" w:hAnsi="Symbol" w:cs="Times New Roman"/>
                <w:b/>
                <w:bCs/>
                <w:noProof w:val="0"/>
                <w:color w:val="000000"/>
                <w:sz w:val="24"/>
                <w:szCs w:val="24"/>
              </w:rPr>
              <w:t></w:t>
            </w:r>
          </w:p>
        </w:tc>
      </w:tr>
      <w:tr w:rsidR="00100ABE" w:rsidRPr="00641A30" w14:paraId="05407E06" w14:textId="5D0D333A" w:rsidTr="00FE346D">
        <w:trPr>
          <w:trHeight w:val="482"/>
        </w:trPr>
        <w:tc>
          <w:tcPr>
            <w:tcW w:w="3307" w:type="dxa"/>
            <w:tcBorders>
              <w:top w:val="single" w:sz="4" w:space="0" w:color="auto"/>
              <w:left w:val="single" w:sz="4" w:space="0" w:color="auto"/>
              <w:bottom w:val="single" w:sz="4" w:space="0" w:color="auto"/>
              <w:right w:val="single" w:sz="4" w:space="0" w:color="auto"/>
            </w:tcBorders>
            <w:shd w:val="clear" w:color="auto" w:fill="EFF3FF"/>
            <w:hideMark/>
          </w:tcPr>
          <w:p w14:paraId="54ADC1C7" w14:textId="77777777" w:rsidR="00100ABE" w:rsidRPr="00641A30" w:rsidRDefault="00100ABE" w:rsidP="00E552D2">
            <w:pPr>
              <w:spacing w:before="0" w:after="0" w:line="360" w:lineRule="auto"/>
              <w:ind w:left="0" w:right="0"/>
              <w:jc w:val="left"/>
              <w:rPr>
                <w:rFonts w:eastAsia="Times New Roman" w:cs="Times New Roman"/>
                <w:bCs/>
                <w:noProof w:val="0"/>
                <w:color w:val="000000"/>
                <w:sz w:val="24"/>
                <w:szCs w:val="24"/>
              </w:rPr>
            </w:pPr>
            <w:r w:rsidRPr="00641A30">
              <w:rPr>
                <w:rFonts w:eastAsia="Times New Roman" w:cs="Times New Roman"/>
                <w:bCs/>
                <w:noProof w:val="0"/>
                <w:color w:val="000000"/>
                <w:sz w:val="24"/>
                <w:szCs w:val="24"/>
              </w:rPr>
              <w:t>Board of Allied Health Professions</w:t>
            </w:r>
          </w:p>
        </w:tc>
        <w:tc>
          <w:tcPr>
            <w:tcW w:w="1031" w:type="dxa"/>
            <w:tcBorders>
              <w:top w:val="single" w:sz="4" w:space="0" w:color="auto"/>
              <w:left w:val="single" w:sz="4" w:space="0" w:color="auto"/>
              <w:bottom w:val="single" w:sz="4" w:space="0" w:color="auto"/>
              <w:right w:val="single" w:sz="4" w:space="0" w:color="auto"/>
            </w:tcBorders>
            <w:shd w:val="clear" w:color="auto" w:fill="EFF3FF"/>
            <w:hideMark/>
          </w:tcPr>
          <w:p w14:paraId="28EFD8B8" w14:textId="77777777" w:rsidR="00100ABE" w:rsidRPr="00641A30" w:rsidRDefault="00100ABE" w:rsidP="00E552D2">
            <w:pPr>
              <w:spacing w:before="0" w:after="0" w:line="360" w:lineRule="auto"/>
              <w:ind w:left="0" w:right="0"/>
              <w:jc w:val="center"/>
              <w:rPr>
                <w:rFonts w:eastAsia="Times New Roman" w:cs="Times New Roman"/>
                <w:noProof w:val="0"/>
                <w:color w:val="000000"/>
                <w:sz w:val="24"/>
                <w:szCs w:val="24"/>
              </w:rPr>
            </w:pPr>
            <w:r w:rsidRPr="00641A30">
              <w:rPr>
                <w:rFonts w:eastAsia="Times New Roman" w:cs="Times New Roman"/>
                <w:noProof w:val="0"/>
                <w:color w:val="000000"/>
                <w:sz w:val="24"/>
                <w:szCs w:val="24"/>
              </w:rPr>
              <w:t>20,845</w:t>
            </w:r>
          </w:p>
        </w:tc>
        <w:tc>
          <w:tcPr>
            <w:tcW w:w="942" w:type="dxa"/>
            <w:tcBorders>
              <w:top w:val="single" w:sz="4" w:space="0" w:color="auto"/>
              <w:left w:val="single" w:sz="4" w:space="0" w:color="auto"/>
              <w:bottom w:val="single" w:sz="4" w:space="0" w:color="auto"/>
              <w:right w:val="single" w:sz="4" w:space="0" w:color="auto"/>
            </w:tcBorders>
            <w:shd w:val="clear" w:color="auto" w:fill="EFF3FF"/>
            <w:hideMark/>
          </w:tcPr>
          <w:p w14:paraId="1459D420" w14:textId="77777777" w:rsidR="00100ABE" w:rsidRPr="00641A30" w:rsidRDefault="00100ABE" w:rsidP="00E552D2">
            <w:pPr>
              <w:spacing w:before="0" w:after="0" w:line="360" w:lineRule="auto"/>
              <w:ind w:left="0" w:right="0"/>
              <w:jc w:val="center"/>
              <w:rPr>
                <w:rFonts w:eastAsia="Times New Roman" w:cs="Times New Roman"/>
                <w:noProof w:val="0"/>
                <w:color w:val="000000"/>
                <w:sz w:val="24"/>
                <w:szCs w:val="24"/>
              </w:rPr>
            </w:pPr>
            <w:r w:rsidRPr="00641A30">
              <w:rPr>
                <w:rFonts w:eastAsia="Times New Roman" w:cs="Times New Roman"/>
                <w:noProof w:val="0"/>
                <w:color w:val="000000"/>
                <w:sz w:val="24"/>
                <w:szCs w:val="24"/>
              </w:rPr>
              <w:t>21,415</w:t>
            </w:r>
          </w:p>
        </w:tc>
        <w:tc>
          <w:tcPr>
            <w:tcW w:w="942" w:type="dxa"/>
            <w:tcBorders>
              <w:top w:val="single" w:sz="4" w:space="0" w:color="auto"/>
              <w:left w:val="single" w:sz="4" w:space="0" w:color="auto"/>
              <w:bottom w:val="single" w:sz="4" w:space="0" w:color="auto"/>
              <w:right w:val="single" w:sz="4" w:space="0" w:color="auto"/>
            </w:tcBorders>
            <w:shd w:val="clear" w:color="auto" w:fill="EFF3FF"/>
            <w:hideMark/>
          </w:tcPr>
          <w:p w14:paraId="552B9BD3" w14:textId="77777777" w:rsidR="00100ABE" w:rsidRPr="00641A30" w:rsidRDefault="00100ABE" w:rsidP="00E552D2">
            <w:pPr>
              <w:spacing w:before="0" w:after="0" w:line="360" w:lineRule="auto"/>
              <w:ind w:left="0" w:right="0"/>
              <w:jc w:val="center"/>
              <w:rPr>
                <w:rFonts w:eastAsia="Times New Roman" w:cs="Times New Roman"/>
                <w:noProof w:val="0"/>
                <w:color w:val="000000"/>
                <w:sz w:val="24"/>
                <w:szCs w:val="24"/>
              </w:rPr>
            </w:pPr>
            <w:r w:rsidRPr="00641A30">
              <w:rPr>
                <w:rFonts w:eastAsia="Times New Roman" w:cs="Times New Roman"/>
                <w:noProof w:val="0"/>
                <w:color w:val="000000"/>
                <w:sz w:val="24"/>
                <w:szCs w:val="24"/>
              </w:rPr>
              <w:t>22,022</w:t>
            </w:r>
          </w:p>
        </w:tc>
        <w:tc>
          <w:tcPr>
            <w:tcW w:w="942" w:type="dxa"/>
            <w:tcBorders>
              <w:top w:val="single" w:sz="4" w:space="0" w:color="auto"/>
              <w:left w:val="single" w:sz="4" w:space="0" w:color="auto"/>
              <w:bottom w:val="single" w:sz="4" w:space="0" w:color="auto"/>
              <w:right w:val="single" w:sz="4" w:space="0" w:color="auto"/>
            </w:tcBorders>
            <w:shd w:val="clear" w:color="auto" w:fill="EFF3FF"/>
            <w:hideMark/>
          </w:tcPr>
          <w:p w14:paraId="0505E372" w14:textId="77777777" w:rsidR="00100ABE" w:rsidRPr="00641A30" w:rsidRDefault="00100ABE" w:rsidP="00E552D2">
            <w:pPr>
              <w:spacing w:before="0" w:after="0" w:line="360" w:lineRule="auto"/>
              <w:ind w:left="0" w:right="0"/>
              <w:jc w:val="center"/>
              <w:rPr>
                <w:rFonts w:eastAsia="Times New Roman" w:cs="Times New Roman"/>
                <w:noProof w:val="0"/>
                <w:color w:val="000000"/>
                <w:sz w:val="24"/>
                <w:szCs w:val="24"/>
              </w:rPr>
            </w:pPr>
            <w:r w:rsidRPr="00641A30">
              <w:rPr>
                <w:rFonts w:eastAsia="Times New Roman" w:cs="Times New Roman"/>
                <w:noProof w:val="0"/>
                <w:color w:val="000000"/>
                <w:sz w:val="24"/>
                <w:szCs w:val="24"/>
              </w:rPr>
              <w:t>22,650</w:t>
            </w:r>
          </w:p>
        </w:tc>
        <w:tc>
          <w:tcPr>
            <w:tcW w:w="942" w:type="dxa"/>
            <w:tcBorders>
              <w:top w:val="single" w:sz="4" w:space="0" w:color="auto"/>
              <w:left w:val="single" w:sz="4" w:space="0" w:color="auto"/>
              <w:bottom w:val="single" w:sz="4" w:space="0" w:color="auto"/>
              <w:right w:val="single" w:sz="4" w:space="0" w:color="auto"/>
            </w:tcBorders>
            <w:shd w:val="clear" w:color="auto" w:fill="EFF3FF"/>
            <w:hideMark/>
          </w:tcPr>
          <w:p w14:paraId="4DF32E35" w14:textId="77777777" w:rsidR="00100ABE" w:rsidRPr="00641A30" w:rsidRDefault="00100ABE" w:rsidP="00E552D2">
            <w:pPr>
              <w:spacing w:before="0" w:after="0" w:line="360" w:lineRule="auto"/>
              <w:ind w:left="0" w:right="0"/>
              <w:jc w:val="center"/>
              <w:rPr>
                <w:rFonts w:eastAsia="Times New Roman" w:cs="Times New Roman"/>
                <w:noProof w:val="0"/>
                <w:color w:val="000000"/>
                <w:sz w:val="24"/>
                <w:szCs w:val="24"/>
              </w:rPr>
            </w:pPr>
            <w:r w:rsidRPr="00641A30">
              <w:rPr>
                <w:rFonts w:eastAsia="Times New Roman" w:cs="Times New Roman"/>
                <w:noProof w:val="0"/>
                <w:color w:val="000000"/>
                <w:sz w:val="24"/>
                <w:szCs w:val="24"/>
              </w:rPr>
              <w:t>23,746</w:t>
            </w:r>
          </w:p>
        </w:tc>
        <w:tc>
          <w:tcPr>
            <w:tcW w:w="942" w:type="dxa"/>
            <w:tcBorders>
              <w:top w:val="single" w:sz="4" w:space="0" w:color="auto"/>
              <w:left w:val="single" w:sz="4" w:space="0" w:color="auto"/>
              <w:bottom w:val="single" w:sz="4" w:space="0" w:color="auto"/>
              <w:right w:val="single" w:sz="4" w:space="0" w:color="auto"/>
            </w:tcBorders>
            <w:shd w:val="clear" w:color="auto" w:fill="EFF3FF"/>
          </w:tcPr>
          <w:p w14:paraId="3D277538" w14:textId="312D7F77" w:rsidR="00100ABE" w:rsidRPr="00641A30" w:rsidRDefault="00100ABE" w:rsidP="00E552D2">
            <w:pPr>
              <w:spacing w:before="0" w:after="0" w:line="360" w:lineRule="auto"/>
              <w:ind w:left="0" w:right="0"/>
              <w:jc w:val="center"/>
              <w:rPr>
                <w:rFonts w:eastAsia="Times New Roman" w:cs="Times New Roman"/>
                <w:noProof w:val="0"/>
                <w:color w:val="000000"/>
                <w:sz w:val="24"/>
                <w:szCs w:val="24"/>
              </w:rPr>
            </w:pPr>
            <w:r w:rsidRPr="00641A30">
              <w:rPr>
                <w:rFonts w:eastAsia="Times New Roman" w:cs="Times New Roman"/>
                <w:noProof w:val="0"/>
                <w:color w:val="000000"/>
                <w:sz w:val="24"/>
                <w:szCs w:val="24"/>
              </w:rPr>
              <w:t>2,901</w:t>
            </w:r>
          </w:p>
        </w:tc>
        <w:tc>
          <w:tcPr>
            <w:tcW w:w="942" w:type="dxa"/>
            <w:tcBorders>
              <w:top w:val="single" w:sz="4" w:space="0" w:color="auto"/>
              <w:left w:val="single" w:sz="4" w:space="0" w:color="auto"/>
              <w:bottom w:val="single" w:sz="4" w:space="0" w:color="auto"/>
              <w:right w:val="single" w:sz="4" w:space="0" w:color="auto"/>
            </w:tcBorders>
            <w:shd w:val="clear" w:color="auto" w:fill="EFF3FF"/>
          </w:tcPr>
          <w:p w14:paraId="5E731BCC" w14:textId="397FCE40" w:rsidR="00100ABE" w:rsidRPr="00641A30" w:rsidRDefault="00100ABE" w:rsidP="00E552D2">
            <w:pPr>
              <w:spacing w:before="0" w:after="0" w:line="360" w:lineRule="auto"/>
              <w:ind w:left="0" w:right="0"/>
              <w:jc w:val="center"/>
              <w:rPr>
                <w:rFonts w:eastAsia="Times New Roman" w:cs="Times New Roman"/>
                <w:noProof w:val="0"/>
                <w:color w:val="000000"/>
                <w:sz w:val="24"/>
                <w:szCs w:val="24"/>
              </w:rPr>
            </w:pPr>
            <w:r w:rsidRPr="00641A30">
              <w:rPr>
                <w:rFonts w:eastAsia="Times New Roman" w:cs="Times New Roman"/>
                <w:noProof w:val="0"/>
                <w:color w:val="000000"/>
                <w:sz w:val="24"/>
                <w:szCs w:val="24"/>
              </w:rPr>
              <w:t>14%</w:t>
            </w:r>
          </w:p>
        </w:tc>
      </w:tr>
      <w:tr w:rsidR="00100ABE" w:rsidRPr="00641A30" w14:paraId="0E8E7A88" w14:textId="00FE5840" w:rsidTr="00FE346D">
        <w:trPr>
          <w:trHeight w:val="482"/>
        </w:trPr>
        <w:tc>
          <w:tcPr>
            <w:tcW w:w="3307" w:type="dxa"/>
            <w:tcBorders>
              <w:top w:val="single" w:sz="4" w:space="0" w:color="auto"/>
              <w:left w:val="single" w:sz="4" w:space="0" w:color="auto"/>
              <w:bottom w:val="single" w:sz="4" w:space="0" w:color="auto"/>
              <w:right w:val="single" w:sz="4" w:space="0" w:color="auto"/>
            </w:tcBorders>
            <w:hideMark/>
          </w:tcPr>
          <w:p w14:paraId="162F6CB2" w14:textId="77777777" w:rsidR="00100ABE" w:rsidRPr="00641A30" w:rsidRDefault="00100ABE" w:rsidP="00E552D2">
            <w:pPr>
              <w:spacing w:before="0" w:after="0" w:line="360" w:lineRule="auto"/>
              <w:ind w:left="0" w:right="0"/>
              <w:jc w:val="left"/>
              <w:rPr>
                <w:rFonts w:eastAsia="Times New Roman" w:cs="Times New Roman"/>
                <w:bCs/>
                <w:noProof w:val="0"/>
                <w:color w:val="000000"/>
                <w:sz w:val="24"/>
                <w:szCs w:val="24"/>
              </w:rPr>
            </w:pPr>
            <w:r w:rsidRPr="00641A30">
              <w:rPr>
                <w:rFonts w:eastAsia="Times New Roman" w:cs="Times New Roman"/>
                <w:bCs/>
                <w:noProof w:val="0"/>
                <w:color w:val="000000"/>
                <w:sz w:val="24"/>
                <w:szCs w:val="24"/>
              </w:rPr>
              <w:t>Board of Registration of Chiropractors</w:t>
            </w:r>
          </w:p>
        </w:tc>
        <w:tc>
          <w:tcPr>
            <w:tcW w:w="1031" w:type="dxa"/>
            <w:tcBorders>
              <w:top w:val="single" w:sz="4" w:space="0" w:color="auto"/>
              <w:left w:val="single" w:sz="4" w:space="0" w:color="auto"/>
              <w:bottom w:val="single" w:sz="4" w:space="0" w:color="auto"/>
              <w:right w:val="single" w:sz="4" w:space="0" w:color="auto"/>
            </w:tcBorders>
            <w:hideMark/>
          </w:tcPr>
          <w:p w14:paraId="3469AB34" w14:textId="77777777" w:rsidR="00100ABE" w:rsidRPr="00641A30" w:rsidRDefault="00100ABE" w:rsidP="00E552D2">
            <w:pPr>
              <w:spacing w:before="0" w:after="0" w:line="360" w:lineRule="auto"/>
              <w:ind w:left="0" w:right="0"/>
              <w:jc w:val="center"/>
              <w:rPr>
                <w:rFonts w:eastAsia="Times New Roman" w:cs="Times New Roman"/>
                <w:noProof w:val="0"/>
                <w:color w:val="000000"/>
                <w:sz w:val="24"/>
                <w:szCs w:val="24"/>
              </w:rPr>
            </w:pPr>
            <w:r w:rsidRPr="00641A30">
              <w:rPr>
                <w:rFonts w:eastAsia="Times New Roman" w:cs="Times New Roman"/>
                <w:noProof w:val="0"/>
                <w:color w:val="000000"/>
                <w:sz w:val="24"/>
                <w:szCs w:val="24"/>
              </w:rPr>
              <w:t>2,114</w:t>
            </w:r>
          </w:p>
        </w:tc>
        <w:tc>
          <w:tcPr>
            <w:tcW w:w="942" w:type="dxa"/>
            <w:tcBorders>
              <w:top w:val="single" w:sz="4" w:space="0" w:color="auto"/>
              <w:left w:val="single" w:sz="4" w:space="0" w:color="auto"/>
              <w:bottom w:val="single" w:sz="4" w:space="0" w:color="auto"/>
              <w:right w:val="single" w:sz="4" w:space="0" w:color="auto"/>
            </w:tcBorders>
            <w:hideMark/>
          </w:tcPr>
          <w:p w14:paraId="54D9A8C1" w14:textId="77777777" w:rsidR="00100ABE" w:rsidRPr="00641A30" w:rsidRDefault="00100ABE" w:rsidP="00E552D2">
            <w:pPr>
              <w:spacing w:before="0" w:after="0" w:line="360" w:lineRule="auto"/>
              <w:ind w:left="0" w:right="0"/>
              <w:jc w:val="center"/>
              <w:rPr>
                <w:rFonts w:eastAsia="Times New Roman" w:cs="Times New Roman"/>
                <w:noProof w:val="0"/>
                <w:color w:val="000000"/>
                <w:sz w:val="24"/>
                <w:szCs w:val="24"/>
              </w:rPr>
            </w:pPr>
            <w:r w:rsidRPr="00641A30">
              <w:rPr>
                <w:rFonts w:eastAsia="Times New Roman" w:cs="Times New Roman"/>
                <w:noProof w:val="0"/>
                <w:color w:val="000000"/>
                <w:sz w:val="24"/>
                <w:szCs w:val="24"/>
              </w:rPr>
              <w:t>2,140</w:t>
            </w:r>
          </w:p>
        </w:tc>
        <w:tc>
          <w:tcPr>
            <w:tcW w:w="942" w:type="dxa"/>
            <w:tcBorders>
              <w:top w:val="single" w:sz="4" w:space="0" w:color="auto"/>
              <w:left w:val="single" w:sz="4" w:space="0" w:color="auto"/>
              <w:bottom w:val="single" w:sz="4" w:space="0" w:color="auto"/>
              <w:right w:val="single" w:sz="4" w:space="0" w:color="auto"/>
            </w:tcBorders>
            <w:hideMark/>
          </w:tcPr>
          <w:p w14:paraId="3D2BDD2A" w14:textId="77777777" w:rsidR="00100ABE" w:rsidRPr="00641A30" w:rsidRDefault="00100ABE" w:rsidP="00E552D2">
            <w:pPr>
              <w:spacing w:before="0" w:after="0" w:line="360" w:lineRule="auto"/>
              <w:ind w:left="0" w:right="0"/>
              <w:jc w:val="center"/>
              <w:rPr>
                <w:rFonts w:eastAsia="Times New Roman" w:cs="Times New Roman"/>
                <w:noProof w:val="0"/>
                <w:color w:val="000000"/>
                <w:sz w:val="24"/>
                <w:szCs w:val="24"/>
              </w:rPr>
            </w:pPr>
            <w:r w:rsidRPr="00641A30">
              <w:rPr>
                <w:rFonts w:eastAsia="Times New Roman" w:cs="Times New Roman"/>
                <w:noProof w:val="0"/>
                <w:color w:val="000000"/>
                <w:sz w:val="24"/>
                <w:szCs w:val="24"/>
              </w:rPr>
              <w:t>2,145</w:t>
            </w:r>
          </w:p>
        </w:tc>
        <w:tc>
          <w:tcPr>
            <w:tcW w:w="942" w:type="dxa"/>
            <w:tcBorders>
              <w:top w:val="single" w:sz="4" w:space="0" w:color="auto"/>
              <w:left w:val="single" w:sz="4" w:space="0" w:color="auto"/>
              <w:bottom w:val="single" w:sz="4" w:space="0" w:color="auto"/>
              <w:right w:val="single" w:sz="4" w:space="0" w:color="auto"/>
            </w:tcBorders>
            <w:hideMark/>
          </w:tcPr>
          <w:p w14:paraId="56D0610F" w14:textId="77777777" w:rsidR="00100ABE" w:rsidRPr="00641A30" w:rsidRDefault="00100ABE" w:rsidP="00E552D2">
            <w:pPr>
              <w:spacing w:before="0" w:after="0" w:line="360" w:lineRule="auto"/>
              <w:ind w:left="0" w:right="0"/>
              <w:jc w:val="center"/>
              <w:rPr>
                <w:rFonts w:eastAsia="Times New Roman" w:cs="Times New Roman"/>
                <w:noProof w:val="0"/>
                <w:color w:val="000000"/>
                <w:sz w:val="24"/>
                <w:szCs w:val="24"/>
              </w:rPr>
            </w:pPr>
            <w:r w:rsidRPr="00641A30">
              <w:rPr>
                <w:rFonts w:eastAsia="Times New Roman" w:cs="Times New Roman"/>
                <w:noProof w:val="0"/>
                <w:color w:val="000000"/>
                <w:sz w:val="24"/>
                <w:szCs w:val="24"/>
              </w:rPr>
              <w:t>2,124</w:t>
            </w:r>
          </w:p>
        </w:tc>
        <w:tc>
          <w:tcPr>
            <w:tcW w:w="942" w:type="dxa"/>
            <w:tcBorders>
              <w:top w:val="single" w:sz="4" w:space="0" w:color="auto"/>
              <w:left w:val="single" w:sz="4" w:space="0" w:color="auto"/>
              <w:bottom w:val="single" w:sz="4" w:space="0" w:color="auto"/>
              <w:right w:val="single" w:sz="4" w:space="0" w:color="auto"/>
            </w:tcBorders>
            <w:hideMark/>
          </w:tcPr>
          <w:p w14:paraId="13285D42" w14:textId="77777777" w:rsidR="00100ABE" w:rsidRPr="00641A30" w:rsidRDefault="00100ABE" w:rsidP="00E552D2">
            <w:pPr>
              <w:spacing w:before="0" w:after="0" w:line="360" w:lineRule="auto"/>
              <w:ind w:left="0" w:right="0"/>
              <w:jc w:val="center"/>
              <w:rPr>
                <w:rFonts w:eastAsia="Times New Roman" w:cs="Times New Roman"/>
                <w:noProof w:val="0"/>
                <w:color w:val="000000"/>
                <w:sz w:val="24"/>
                <w:szCs w:val="24"/>
              </w:rPr>
            </w:pPr>
            <w:r w:rsidRPr="00641A30">
              <w:rPr>
                <w:rFonts w:eastAsia="Times New Roman" w:cs="Times New Roman"/>
                <w:noProof w:val="0"/>
                <w:color w:val="000000"/>
                <w:sz w:val="24"/>
                <w:szCs w:val="24"/>
              </w:rPr>
              <w:t>2,115</w:t>
            </w:r>
          </w:p>
        </w:tc>
        <w:tc>
          <w:tcPr>
            <w:tcW w:w="942" w:type="dxa"/>
            <w:tcBorders>
              <w:top w:val="single" w:sz="4" w:space="0" w:color="auto"/>
              <w:left w:val="single" w:sz="4" w:space="0" w:color="auto"/>
              <w:bottom w:val="single" w:sz="4" w:space="0" w:color="auto"/>
              <w:right w:val="single" w:sz="4" w:space="0" w:color="auto"/>
            </w:tcBorders>
          </w:tcPr>
          <w:p w14:paraId="07A93347" w14:textId="771834CE" w:rsidR="00100ABE" w:rsidRPr="00641A30" w:rsidRDefault="00100ABE" w:rsidP="00E552D2">
            <w:pPr>
              <w:spacing w:before="0" w:after="0" w:line="360" w:lineRule="auto"/>
              <w:ind w:left="0" w:right="0"/>
              <w:jc w:val="center"/>
              <w:rPr>
                <w:rFonts w:eastAsia="Times New Roman" w:cs="Times New Roman"/>
                <w:noProof w:val="0"/>
                <w:color w:val="000000"/>
                <w:sz w:val="24"/>
                <w:szCs w:val="24"/>
              </w:rPr>
            </w:pPr>
            <w:r w:rsidRPr="00641A30">
              <w:rPr>
                <w:rFonts w:eastAsia="Times New Roman" w:cs="Times New Roman"/>
                <w:noProof w:val="0"/>
                <w:color w:val="000000"/>
                <w:sz w:val="24"/>
                <w:szCs w:val="24"/>
              </w:rPr>
              <w:t>1</w:t>
            </w:r>
          </w:p>
        </w:tc>
        <w:tc>
          <w:tcPr>
            <w:tcW w:w="942" w:type="dxa"/>
            <w:tcBorders>
              <w:top w:val="single" w:sz="4" w:space="0" w:color="auto"/>
              <w:left w:val="single" w:sz="4" w:space="0" w:color="auto"/>
              <w:bottom w:val="single" w:sz="4" w:space="0" w:color="auto"/>
              <w:right w:val="single" w:sz="4" w:space="0" w:color="auto"/>
            </w:tcBorders>
          </w:tcPr>
          <w:p w14:paraId="388C3B62" w14:textId="76AEAE94" w:rsidR="00100ABE" w:rsidRPr="00641A30" w:rsidRDefault="00100ABE" w:rsidP="00E552D2">
            <w:pPr>
              <w:spacing w:before="0" w:after="0" w:line="360" w:lineRule="auto"/>
              <w:ind w:left="0" w:right="0"/>
              <w:jc w:val="center"/>
              <w:rPr>
                <w:rFonts w:eastAsia="Times New Roman" w:cs="Times New Roman"/>
                <w:noProof w:val="0"/>
                <w:color w:val="000000"/>
                <w:sz w:val="24"/>
                <w:szCs w:val="24"/>
              </w:rPr>
            </w:pPr>
            <w:r w:rsidRPr="00641A30">
              <w:rPr>
                <w:rFonts w:eastAsia="Times New Roman" w:cs="Times New Roman"/>
                <w:noProof w:val="0"/>
                <w:color w:val="000000"/>
                <w:sz w:val="24"/>
                <w:szCs w:val="24"/>
              </w:rPr>
              <w:t>0%</w:t>
            </w:r>
          </w:p>
        </w:tc>
      </w:tr>
      <w:tr w:rsidR="00100ABE" w:rsidRPr="00641A30" w14:paraId="1124D078" w14:textId="76CEF7EA" w:rsidTr="00FE346D">
        <w:trPr>
          <w:trHeight w:val="581"/>
        </w:trPr>
        <w:tc>
          <w:tcPr>
            <w:tcW w:w="3307" w:type="dxa"/>
            <w:tcBorders>
              <w:top w:val="single" w:sz="4" w:space="0" w:color="auto"/>
              <w:left w:val="single" w:sz="4" w:space="0" w:color="auto"/>
              <w:bottom w:val="single" w:sz="4" w:space="0" w:color="auto"/>
              <w:right w:val="single" w:sz="4" w:space="0" w:color="auto"/>
            </w:tcBorders>
            <w:shd w:val="clear" w:color="auto" w:fill="EFF3FF"/>
            <w:hideMark/>
          </w:tcPr>
          <w:p w14:paraId="0AFF66D0" w14:textId="77777777" w:rsidR="00100ABE" w:rsidRPr="00641A30" w:rsidRDefault="00100ABE" w:rsidP="00E552D2">
            <w:pPr>
              <w:spacing w:before="0" w:after="0" w:line="360" w:lineRule="auto"/>
              <w:ind w:left="0" w:right="0"/>
              <w:jc w:val="left"/>
              <w:rPr>
                <w:rFonts w:eastAsia="Times New Roman" w:cs="Times New Roman"/>
                <w:bCs/>
                <w:noProof w:val="0"/>
                <w:color w:val="000000"/>
                <w:sz w:val="24"/>
                <w:szCs w:val="24"/>
              </w:rPr>
            </w:pPr>
            <w:r w:rsidRPr="00641A30">
              <w:rPr>
                <w:rFonts w:eastAsia="Times New Roman" w:cs="Times New Roman"/>
                <w:bCs/>
                <w:noProof w:val="0"/>
                <w:color w:val="000000"/>
                <w:sz w:val="24"/>
                <w:szCs w:val="24"/>
              </w:rPr>
              <w:t>Board of Registration of Dietitians and Nutritionists</w:t>
            </w:r>
          </w:p>
        </w:tc>
        <w:tc>
          <w:tcPr>
            <w:tcW w:w="1031" w:type="dxa"/>
            <w:tcBorders>
              <w:top w:val="single" w:sz="4" w:space="0" w:color="auto"/>
              <w:left w:val="single" w:sz="4" w:space="0" w:color="auto"/>
              <w:bottom w:val="single" w:sz="4" w:space="0" w:color="auto"/>
              <w:right w:val="single" w:sz="4" w:space="0" w:color="auto"/>
            </w:tcBorders>
            <w:shd w:val="clear" w:color="auto" w:fill="EFF3FF"/>
            <w:hideMark/>
          </w:tcPr>
          <w:p w14:paraId="0317DDE8" w14:textId="77777777" w:rsidR="00100ABE" w:rsidRPr="00641A30" w:rsidRDefault="00100ABE" w:rsidP="00E552D2">
            <w:pPr>
              <w:spacing w:before="0" w:after="0" w:line="360" w:lineRule="auto"/>
              <w:ind w:left="0" w:right="0"/>
              <w:jc w:val="center"/>
              <w:rPr>
                <w:rFonts w:eastAsia="Times New Roman" w:cs="Times New Roman"/>
                <w:noProof w:val="0"/>
                <w:color w:val="000000"/>
                <w:sz w:val="24"/>
                <w:szCs w:val="24"/>
              </w:rPr>
            </w:pPr>
            <w:r w:rsidRPr="00641A30">
              <w:rPr>
                <w:rFonts w:eastAsia="Times New Roman" w:cs="Times New Roman"/>
                <w:noProof w:val="0"/>
                <w:color w:val="000000"/>
                <w:sz w:val="24"/>
                <w:szCs w:val="24"/>
              </w:rPr>
              <w:t>2,277</w:t>
            </w:r>
          </w:p>
        </w:tc>
        <w:tc>
          <w:tcPr>
            <w:tcW w:w="942" w:type="dxa"/>
            <w:tcBorders>
              <w:top w:val="single" w:sz="4" w:space="0" w:color="auto"/>
              <w:left w:val="single" w:sz="4" w:space="0" w:color="auto"/>
              <w:bottom w:val="single" w:sz="4" w:space="0" w:color="auto"/>
              <w:right w:val="single" w:sz="4" w:space="0" w:color="auto"/>
            </w:tcBorders>
            <w:shd w:val="clear" w:color="auto" w:fill="EFF3FF"/>
            <w:hideMark/>
          </w:tcPr>
          <w:p w14:paraId="45A8C46E" w14:textId="77777777" w:rsidR="00100ABE" w:rsidRPr="00641A30" w:rsidRDefault="00100ABE" w:rsidP="00E552D2">
            <w:pPr>
              <w:spacing w:before="0" w:after="0" w:line="360" w:lineRule="auto"/>
              <w:ind w:left="0" w:right="0"/>
              <w:jc w:val="center"/>
              <w:rPr>
                <w:rFonts w:eastAsia="Times New Roman" w:cs="Times New Roman"/>
                <w:noProof w:val="0"/>
                <w:color w:val="000000"/>
                <w:sz w:val="24"/>
                <w:szCs w:val="24"/>
              </w:rPr>
            </w:pPr>
            <w:r w:rsidRPr="00641A30">
              <w:rPr>
                <w:rFonts w:eastAsia="Times New Roman" w:cs="Times New Roman"/>
                <w:noProof w:val="0"/>
                <w:color w:val="000000"/>
                <w:sz w:val="24"/>
                <w:szCs w:val="24"/>
              </w:rPr>
              <w:t>2,330</w:t>
            </w:r>
          </w:p>
        </w:tc>
        <w:tc>
          <w:tcPr>
            <w:tcW w:w="942" w:type="dxa"/>
            <w:tcBorders>
              <w:top w:val="single" w:sz="4" w:space="0" w:color="auto"/>
              <w:left w:val="single" w:sz="4" w:space="0" w:color="auto"/>
              <w:bottom w:val="single" w:sz="4" w:space="0" w:color="auto"/>
              <w:right w:val="single" w:sz="4" w:space="0" w:color="auto"/>
            </w:tcBorders>
            <w:shd w:val="clear" w:color="auto" w:fill="EFF3FF"/>
            <w:hideMark/>
          </w:tcPr>
          <w:p w14:paraId="76847DD0" w14:textId="77777777" w:rsidR="00100ABE" w:rsidRPr="00641A30" w:rsidRDefault="00100ABE" w:rsidP="00E552D2">
            <w:pPr>
              <w:spacing w:before="0" w:after="0" w:line="360" w:lineRule="auto"/>
              <w:ind w:left="0" w:right="0"/>
              <w:jc w:val="center"/>
              <w:rPr>
                <w:rFonts w:eastAsia="Times New Roman" w:cs="Times New Roman"/>
                <w:noProof w:val="0"/>
                <w:color w:val="000000"/>
                <w:sz w:val="24"/>
                <w:szCs w:val="24"/>
              </w:rPr>
            </w:pPr>
            <w:r w:rsidRPr="00641A30">
              <w:rPr>
                <w:rFonts w:eastAsia="Times New Roman" w:cs="Times New Roman"/>
                <w:noProof w:val="0"/>
                <w:color w:val="000000"/>
                <w:sz w:val="24"/>
                <w:szCs w:val="24"/>
              </w:rPr>
              <w:t>2,422</w:t>
            </w:r>
          </w:p>
        </w:tc>
        <w:tc>
          <w:tcPr>
            <w:tcW w:w="942" w:type="dxa"/>
            <w:tcBorders>
              <w:top w:val="single" w:sz="4" w:space="0" w:color="auto"/>
              <w:left w:val="single" w:sz="4" w:space="0" w:color="auto"/>
              <w:bottom w:val="single" w:sz="4" w:space="0" w:color="auto"/>
              <w:right w:val="single" w:sz="4" w:space="0" w:color="auto"/>
            </w:tcBorders>
            <w:shd w:val="clear" w:color="auto" w:fill="EFF3FF"/>
            <w:hideMark/>
          </w:tcPr>
          <w:p w14:paraId="53DB7AD7" w14:textId="77777777" w:rsidR="00100ABE" w:rsidRPr="00641A30" w:rsidRDefault="00100ABE" w:rsidP="00E552D2">
            <w:pPr>
              <w:spacing w:before="0" w:after="0" w:line="360" w:lineRule="auto"/>
              <w:ind w:left="0" w:right="0"/>
              <w:jc w:val="center"/>
              <w:rPr>
                <w:rFonts w:eastAsia="Times New Roman" w:cs="Times New Roman"/>
                <w:noProof w:val="0"/>
                <w:color w:val="000000"/>
                <w:sz w:val="24"/>
                <w:szCs w:val="24"/>
              </w:rPr>
            </w:pPr>
            <w:r w:rsidRPr="00641A30">
              <w:rPr>
                <w:rFonts w:eastAsia="Times New Roman" w:cs="Times New Roman"/>
                <w:noProof w:val="0"/>
                <w:color w:val="000000"/>
                <w:sz w:val="24"/>
                <w:szCs w:val="24"/>
              </w:rPr>
              <w:t>2,441</w:t>
            </w:r>
          </w:p>
        </w:tc>
        <w:tc>
          <w:tcPr>
            <w:tcW w:w="942" w:type="dxa"/>
            <w:tcBorders>
              <w:top w:val="single" w:sz="4" w:space="0" w:color="auto"/>
              <w:left w:val="single" w:sz="4" w:space="0" w:color="auto"/>
              <w:bottom w:val="single" w:sz="4" w:space="0" w:color="auto"/>
              <w:right w:val="single" w:sz="4" w:space="0" w:color="auto"/>
            </w:tcBorders>
            <w:shd w:val="clear" w:color="auto" w:fill="EFF3FF"/>
            <w:hideMark/>
          </w:tcPr>
          <w:p w14:paraId="260461B3" w14:textId="77777777" w:rsidR="00100ABE" w:rsidRPr="00641A30" w:rsidRDefault="00100ABE" w:rsidP="00E552D2">
            <w:pPr>
              <w:spacing w:before="0" w:after="0" w:line="360" w:lineRule="auto"/>
              <w:ind w:left="0" w:right="0"/>
              <w:jc w:val="center"/>
              <w:rPr>
                <w:rFonts w:eastAsia="Times New Roman" w:cs="Times New Roman"/>
                <w:noProof w:val="0"/>
                <w:color w:val="000000"/>
                <w:sz w:val="24"/>
                <w:szCs w:val="24"/>
              </w:rPr>
            </w:pPr>
            <w:r w:rsidRPr="00641A30">
              <w:rPr>
                <w:rFonts w:eastAsia="Times New Roman" w:cs="Times New Roman"/>
                <w:noProof w:val="0"/>
                <w:color w:val="000000"/>
                <w:sz w:val="24"/>
                <w:szCs w:val="24"/>
              </w:rPr>
              <w:t>2,462</w:t>
            </w:r>
          </w:p>
        </w:tc>
        <w:tc>
          <w:tcPr>
            <w:tcW w:w="942" w:type="dxa"/>
            <w:tcBorders>
              <w:top w:val="single" w:sz="4" w:space="0" w:color="auto"/>
              <w:left w:val="single" w:sz="4" w:space="0" w:color="auto"/>
              <w:bottom w:val="single" w:sz="4" w:space="0" w:color="auto"/>
              <w:right w:val="single" w:sz="4" w:space="0" w:color="auto"/>
            </w:tcBorders>
            <w:shd w:val="clear" w:color="auto" w:fill="EFF3FF"/>
          </w:tcPr>
          <w:p w14:paraId="662F60E6" w14:textId="266C6BC3" w:rsidR="00100ABE" w:rsidRPr="00641A30" w:rsidRDefault="00100ABE" w:rsidP="00E552D2">
            <w:pPr>
              <w:spacing w:before="0" w:after="0" w:line="360" w:lineRule="auto"/>
              <w:ind w:left="0" w:right="0"/>
              <w:jc w:val="center"/>
              <w:rPr>
                <w:rFonts w:eastAsia="Times New Roman" w:cs="Times New Roman"/>
                <w:noProof w:val="0"/>
                <w:color w:val="000000"/>
                <w:sz w:val="24"/>
                <w:szCs w:val="24"/>
              </w:rPr>
            </w:pPr>
            <w:r w:rsidRPr="00641A30">
              <w:rPr>
                <w:rFonts w:eastAsia="Times New Roman" w:cs="Times New Roman"/>
                <w:noProof w:val="0"/>
                <w:color w:val="000000"/>
                <w:sz w:val="24"/>
                <w:szCs w:val="24"/>
              </w:rPr>
              <w:t>185</w:t>
            </w:r>
          </w:p>
        </w:tc>
        <w:tc>
          <w:tcPr>
            <w:tcW w:w="942" w:type="dxa"/>
            <w:tcBorders>
              <w:top w:val="single" w:sz="4" w:space="0" w:color="auto"/>
              <w:left w:val="single" w:sz="4" w:space="0" w:color="auto"/>
              <w:bottom w:val="single" w:sz="4" w:space="0" w:color="auto"/>
              <w:right w:val="single" w:sz="4" w:space="0" w:color="auto"/>
            </w:tcBorders>
            <w:shd w:val="clear" w:color="auto" w:fill="EFF3FF"/>
          </w:tcPr>
          <w:p w14:paraId="7D09C517" w14:textId="286EE564" w:rsidR="00100ABE" w:rsidRPr="00641A30" w:rsidRDefault="00100ABE" w:rsidP="00E552D2">
            <w:pPr>
              <w:spacing w:before="0" w:after="0" w:line="360" w:lineRule="auto"/>
              <w:ind w:left="0" w:right="0"/>
              <w:jc w:val="center"/>
              <w:rPr>
                <w:rFonts w:eastAsia="Times New Roman" w:cs="Times New Roman"/>
                <w:noProof w:val="0"/>
                <w:color w:val="000000"/>
                <w:sz w:val="24"/>
                <w:szCs w:val="24"/>
              </w:rPr>
            </w:pPr>
            <w:r w:rsidRPr="00641A30">
              <w:rPr>
                <w:rFonts w:eastAsia="Times New Roman" w:cs="Times New Roman"/>
                <w:noProof w:val="0"/>
                <w:color w:val="000000"/>
                <w:sz w:val="24"/>
                <w:szCs w:val="24"/>
              </w:rPr>
              <w:t>8%</w:t>
            </w:r>
          </w:p>
        </w:tc>
      </w:tr>
      <w:tr w:rsidR="00100ABE" w:rsidRPr="00641A30" w14:paraId="3D60E1AF" w14:textId="7ADAF192" w:rsidTr="00FE346D">
        <w:trPr>
          <w:trHeight w:val="567"/>
        </w:trPr>
        <w:tc>
          <w:tcPr>
            <w:tcW w:w="3307" w:type="dxa"/>
            <w:tcBorders>
              <w:top w:val="single" w:sz="4" w:space="0" w:color="auto"/>
              <w:left w:val="single" w:sz="4" w:space="0" w:color="auto"/>
              <w:bottom w:val="single" w:sz="4" w:space="0" w:color="auto"/>
              <w:right w:val="single" w:sz="4" w:space="0" w:color="auto"/>
            </w:tcBorders>
            <w:hideMark/>
          </w:tcPr>
          <w:p w14:paraId="4C5E4729" w14:textId="77777777" w:rsidR="00100ABE" w:rsidRPr="00641A30" w:rsidRDefault="00100ABE" w:rsidP="00E552D2">
            <w:pPr>
              <w:spacing w:before="0" w:after="0" w:line="360" w:lineRule="auto"/>
              <w:ind w:left="0" w:right="0"/>
              <w:jc w:val="left"/>
              <w:rPr>
                <w:rFonts w:eastAsia="Times New Roman" w:cs="Times New Roman"/>
                <w:bCs/>
                <w:noProof w:val="0"/>
                <w:color w:val="000000"/>
                <w:sz w:val="24"/>
                <w:szCs w:val="24"/>
              </w:rPr>
            </w:pPr>
            <w:r w:rsidRPr="00641A30">
              <w:rPr>
                <w:rFonts w:eastAsia="Times New Roman" w:cs="Times New Roman"/>
                <w:bCs/>
                <w:noProof w:val="0"/>
                <w:color w:val="000000"/>
                <w:sz w:val="24"/>
                <w:szCs w:val="24"/>
              </w:rPr>
              <w:t>Board of Registration of Dispensing Opticians</w:t>
            </w:r>
          </w:p>
        </w:tc>
        <w:tc>
          <w:tcPr>
            <w:tcW w:w="1031" w:type="dxa"/>
            <w:tcBorders>
              <w:top w:val="single" w:sz="4" w:space="0" w:color="auto"/>
              <w:left w:val="single" w:sz="4" w:space="0" w:color="auto"/>
              <w:bottom w:val="single" w:sz="4" w:space="0" w:color="auto"/>
              <w:right w:val="single" w:sz="4" w:space="0" w:color="auto"/>
            </w:tcBorders>
            <w:hideMark/>
          </w:tcPr>
          <w:p w14:paraId="57DCD93E" w14:textId="77777777" w:rsidR="00100ABE" w:rsidRPr="00641A30" w:rsidRDefault="00100ABE" w:rsidP="00E552D2">
            <w:pPr>
              <w:spacing w:before="0" w:after="0" w:line="360" w:lineRule="auto"/>
              <w:ind w:left="0" w:right="0"/>
              <w:jc w:val="center"/>
              <w:rPr>
                <w:rFonts w:eastAsia="Times New Roman" w:cs="Times New Roman"/>
                <w:noProof w:val="0"/>
                <w:color w:val="000000"/>
                <w:sz w:val="24"/>
                <w:szCs w:val="24"/>
              </w:rPr>
            </w:pPr>
            <w:r w:rsidRPr="00641A30">
              <w:rPr>
                <w:rFonts w:eastAsia="Times New Roman" w:cs="Times New Roman"/>
                <w:noProof w:val="0"/>
                <w:color w:val="000000"/>
                <w:sz w:val="24"/>
                <w:szCs w:val="24"/>
              </w:rPr>
              <w:t>1,597</w:t>
            </w:r>
          </w:p>
        </w:tc>
        <w:tc>
          <w:tcPr>
            <w:tcW w:w="942" w:type="dxa"/>
            <w:tcBorders>
              <w:top w:val="single" w:sz="4" w:space="0" w:color="auto"/>
              <w:left w:val="single" w:sz="4" w:space="0" w:color="auto"/>
              <w:bottom w:val="single" w:sz="4" w:space="0" w:color="auto"/>
              <w:right w:val="single" w:sz="4" w:space="0" w:color="auto"/>
            </w:tcBorders>
            <w:hideMark/>
          </w:tcPr>
          <w:p w14:paraId="4E870833" w14:textId="77777777" w:rsidR="00100ABE" w:rsidRPr="00641A30" w:rsidRDefault="00100ABE" w:rsidP="00E552D2">
            <w:pPr>
              <w:spacing w:before="0" w:after="0" w:line="360" w:lineRule="auto"/>
              <w:ind w:left="0" w:right="0"/>
              <w:jc w:val="center"/>
              <w:rPr>
                <w:rFonts w:eastAsia="Times New Roman" w:cs="Times New Roman"/>
                <w:noProof w:val="0"/>
                <w:color w:val="000000"/>
                <w:sz w:val="24"/>
                <w:szCs w:val="24"/>
              </w:rPr>
            </w:pPr>
            <w:r w:rsidRPr="00641A30">
              <w:rPr>
                <w:rFonts w:eastAsia="Times New Roman" w:cs="Times New Roman"/>
                <w:noProof w:val="0"/>
                <w:color w:val="000000"/>
                <w:sz w:val="24"/>
                <w:szCs w:val="24"/>
              </w:rPr>
              <w:t>1,602</w:t>
            </w:r>
          </w:p>
        </w:tc>
        <w:tc>
          <w:tcPr>
            <w:tcW w:w="942" w:type="dxa"/>
            <w:tcBorders>
              <w:top w:val="single" w:sz="4" w:space="0" w:color="auto"/>
              <w:left w:val="single" w:sz="4" w:space="0" w:color="auto"/>
              <w:bottom w:val="single" w:sz="4" w:space="0" w:color="auto"/>
              <w:right w:val="single" w:sz="4" w:space="0" w:color="auto"/>
            </w:tcBorders>
            <w:hideMark/>
          </w:tcPr>
          <w:p w14:paraId="2D525CDA" w14:textId="77777777" w:rsidR="00100ABE" w:rsidRPr="00641A30" w:rsidRDefault="00100ABE" w:rsidP="00E552D2">
            <w:pPr>
              <w:spacing w:before="0" w:after="0" w:line="360" w:lineRule="auto"/>
              <w:ind w:left="0" w:right="0"/>
              <w:jc w:val="center"/>
              <w:rPr>
                <w:rFonts w:eastAsia="Times New Roman" w:cs="Times New Roman"/>
                <w:noProof w:val="0"/>
                <w:color w:val="000000"/>
                <w:sz w:val="24"/>
                <w:szCs w:val="24"/>
              </w:rPr>
            </w:pPr>
            <w:r w:rsidRPr="00641A30">
              <w:rPr>
                <w:rFonts w:eastAsia="Times New Roman" w:cs="Times New Roman"/>
                <w:noProof w:val="0"/>
                <w:color w:val="000000"/>
                <w:sz w:val="24"/>
                <w:szCs w:val="24"/>
              </w:rPr>
              <w:t>1,590</w:t>
            </w:r>
          </w:p>
        </w:tc>
        <w:tc>
          <w:tcPr>
            <w:tcW w:w="942" w:type="dxa"/>
            <w:tcBorders>
              <w:top w:val="single" w:sz="4" w:space="0" w:color="auto"/>
              <w:left w:val="single" w:sz="4" w:space="0" w:color="auto"/>
              <w:bottom w:val="single" w:sz="4" w:space="0" w:color="auto"/>
              <w:right w:val="single" w:sz="4" w:space="0" w:color="auto"/>
            </w:tcBorders>
            <w:hideMark/>
          </w:tcPr>
          <w:p w14:paraId="4BC0E63F" w14:textId="77777777" w:rsidR="00100ABE" w:rsidRPr="00641A30" w:rsidRDefault="00100ABE" w:rsidP="00E552D2">
            <w:pPr>
              <w:spacing w:before="0" w:after="0" w:line="360" w:lineRule="auto"/>
              <w:ind w:left="0" w:right="0"/>
              <w:jc w:val="center"/>
              <w:rPr>
                <w:rFonts w:eastAsia="Times New Roman" w:cs="Times New Roman"/>
                <w:noProof w:val="0"/>
                <w:color w:val="000000"/>
                <w:sz w:val="24"/>
                <w:szCs w:val="24"/>
              </w:rPr>
            </w:pPr>
            <w:r w:rsidRPr="00641A30">
              <w:rPr>
                <w:rFonts w:eastAsia="Times New Roman" w:cs="Times New Roman"/>
                <w:noProof w:val="0"/>
                <w:color w:val="000000"/>
                <w:sz w:val="24"/>
                <w:szCs w:val="24"/>
              </w:rPr>
              <w:t>1,585</w:t>
            </w:r>
          </w:p>
        </w:tc>
        <w:tc>
          <w:tcPr>
            <w:tcW w:w="942" w:type="dxa"/>
            <w:tcBorders>
              <w:top w:val="single" w:sz="4" w:space="0" w:color="auto"/>
              <w:left w:val="single" w:sz="4" w:space="0" w:color="auto"/>
              <w:bottom w:val="single" w:sz="4" w:space="0" w:color="auto"/>
              <w:right w:val="single" w:sz="4" w:space="0" w:color="auto"/>
            </w:tcBorders>
            <w:hideMark/>
          </w:tcPr>
          <w:p w14:paraId="424DCA91" w14:textId="77777777" w:rsidR="00100ABE" w:rsidRPr="00641A30" w:rsidRDefault="00100ABE" w:rsidP="00E552D2">
            <w:pPr>
              <w:spacing w:before="0" w:after="0" w:line="360" w:lineRule="auto"/>
              <w:ind w:left="0" w:right="0"/>
              <w:jc w:val="center"/>
              <w:rPr>
                <w:rFonts w:eastAsia="Times New Roman" w:cs="Times New Roman"/>
                <w:noProof w:val="0"/>
                <w:color w:val="000000"/>
                <w:sz w:val="24"/>
                <w:szCs w:val="24"/>
              </w:rPr>
            </w:pPr>
            <w:r w:rsidRPr="00641A30">
              <w:rPr>
                <w:rFonts w:eastAsia="Times New Roman" w:cs="Times New Roman"/>
                <w:noProof w:val="0"/>
                <w:color w:val="000000"/>
                <w:sz w:val="24"/>
                <w:szCs w:val="24"/>
              </w:rPr>
              <w:t>1,537</w:t>
            </w:r>
          </w:p>
        </w:tc>
        <w:tc>
          <w:tcPr>
            <w:tcW w:w="942" w:type="dxa"/>
            <w:tcBorders>
              <w:top w:val="single" w:sz="4" w:space="0" w:color="auto"/>
              <w:left w:val="single" w:sz="4" w:space="0" w:color="auto"/>
              <w:bottom w:val="single" w:sz="4" w:space="0" w:color="auto"/>
              <w:right w:val="single" w:sz="4" w:space="0" w:color="auto"/>
            </w:tcBorders>
          </w:tcPr>
          <w:p w14:paraId="593C0C1B" w14:textId="41630718" w:rsidR="00100ABE" w:rsidRPr="00641A30" w:rsidRDefault="00100ABE" w:rsidP="00E552D2">
            <w:pPr>
              <w:spacing w:before="0" w:after="0" w:line="360" w:lineRule="auto"/>
              <w:ind w:left="0" w:right="0"/>
              <w:jc w:val="center"/>
              <w:rPr>
                <w:rFonts w:eastAsia="Times New Roman" w:cs="Times New Roman"/>
                <w:noProof w:val="0"/>
                <w:color w:val="000000"/>
                <w:sz w:val="24"/>
                <w:szCs w:val="24"/>
              </w:rPr>
            </w:pPr>
            <w:r w:rsidRPr="00641A30">
              <w:rPr>
                <w:rFonts w:eastAsia="Times New Roman" w:cs="Times New Roman"/>
                <w:noProof w:val="0"/>
                <w:color w:val="000000"/>
                <w:sz w:val="24"/>
                <w:szCs w:val="24"/>
              </w:rPr>
              <w:t>-60</w:t>
            </w:r>
          </w:p>
        </w:tc>
        <w:tc>
          <w:tcPr>
            <w:tcW w:w="942" w:type="dxa"/>
            <w:tcBorders>
              <w:top w:val="single" w:sz="4" w:space="0" w:color="auto"/>
              <w:left w:val="single" w:sz="4" w:space="0" w:color="auto"/>
              <w:bottom w:val="single" w:sz="4" w:space="0" w:color="auto"/>
              <w:right w:val="single" w:sz="4" w:space="0" w:color="auto"/>
            </w:tcBorders>
          </w:tcPr>
          <w:p w14:paraId="3C7275BC" w14:textId="0F13EE6D" w:rsidR="00100ABE" w:rsidRPr="00641A30" w:rsidRDefault="00100ABE" w:rsidP="00E552D2">
            <w:pPr>
              <w:spacing w:before="0" w:after="0" w:line="360" w:lineRule="auto"/>
              <w:ind w:left="0" w:right="0"/>
              <w:jc w:val="center"/>
              <w:rPr>
                <w:rFonts w:eastAsia="Times New Roman" w:cs="Times New Roman"/>
                <w:noProof w:val="0"/>
                <w:color w:val="000000"/>
                <w:sz w:val="24"/>
                <w:szCs w:val="24"/>
              </w:rPr>
            </w:pPr>
            <w:r w:rsidRPr="00641A30">
              <w:rPr>
                <w:rFonts w:eastAsia="Times New Roman" w:cs="Times New Roman"/>
                <w:noProof w:val="0"/>
                <w:color w:val="000000"/>
                <w:sz w:val="24"/>
                <w:szCs w:val="24"/>
              </w:rPr>
              <w:t>-4%</w:t>
            </w:r>
          </w:p>
        </w:tc>
      </w:tr>
      <w:tr w:rsidR="00100ABE" w:rsidRPr="00641A30" w14:paraId="31F1599D" w14:textId="0E1B8557" w:rsidTr="00FE346D">
        <w:trPr>
          <w:trHeight w:val="466"/>
        </w:trPr>
        <w:tc>
          <w:tcPr>
            <w:tcW w:w="3307" w:type="dxa"/>
            <w:tcBorders>
              <w:top w:val="single" w:sz="4" w:space="0" w:color="auto"/>
              <w:left w:val="single" w:sz="4" w:space="0" w:color="auto"/>
              <w:bottom w:val="single" w:sz="4" w:space="0" w:color="auto"/>
              <w:right w:val="single" w:sz="4" w:space="0" w:color="auto"/>
            </w:tcBorders>
            <w:shd w:val="clear" w:color="auto" w:fill="EFF3FF"/>
            <w:hideMark/>
          </w:tcPr>
          <w:p w14:paraId="48BEDB94" w14:textId="77777777" w:rsidR="00100ABE" w:rsidRPr="00641A30" w:rsidRDefault="00100ABE" w:rsidP="00E552D2">
            <w:pPr>
              <w:spacing w:before="0" w:after="0" w:line="360" w:lineRule="auto"/>
              <w:ind w:left="0" w:right="0"/>
              <w:jc w:val="left"/>
              <w:rPr>
                <w:rFonts w:eastAsia="Times New Roman" w:cs="Times New Roman"/>
                <w:bCs/>
                <w:noProof w:val="0"/>
                <w:color w:val="000000"/>
                <w:sz w:val="24"/>
                <w:szCs w:val="24"/>
              </w:rPr>
            </w:pPr>
            <w:r w:rsidRPr="00641A30">
              <w:rPr>
                <w:rFonts w:eastAsia="Times New Roman" w:cs="Times New Roman"/>
                <w:bCs/>
                <w:noProof w:val="0"/>
                <w:color w:val="000000"/>
                <w:sz w:val="24"/>
                <w:szCs w:val="24"/>
              </w:rPr>
              <w:t>Board of Certification of Health Officers</w:t>
            </w:r>
          </w:p>
        </w:tc>
        <w:tc>
          <w:tcPr>
            <w:tcW w:w="1031" w:type="dxa"/>
            <w:tcBorders>
              <w:top w:val="single" w:sz="4" w:space="0" w:color="auto"/>
              <w:left w:val="single" w:sz="4" w:space="0" w:color="auto"/>
              <w:bottom w:val="single" w:sz="4" w:space="0" w:color="auto"/>
              <w:right w:val="single" w:sz="4" w:space="0" w:color="auto"/>
            </w:tcBorders>
            <w:shd w:val="clear" w:color="auto" w:fill="EFF3FF"/>
            <w:hideMark/>
          </w:tcPr>
          <w:p w14:paraId="5CFA90E9" w14:textId="77777777" w:rsidR="00100ABE" w:rsidRPr="00641A30" w:rsidRDefault="00100ABE" w:rsidP="00E552D2">
            <w:pPr>
              <w:spacing w:before="0" w:after="0" w:line="360" w:lineRule="auto"/>
              <w:ind w:left="0" w:right="0"/>
              <w:jc w:val="center"/>
              <w:rPr>
                <w:rFonts w:eastAsia="Times New Roman" w:cs="Times New Roman"/>
                <w:noProof w:val="0"/>
                <w:color w:val="000000"/>
                <w:sz w:val="24"/>
                <w:szCs w:val="24"/>
              </w:rPr>
            </w:pPr>
            <w:r w:rsidRPr="00641A30">
              <w:rPr>
                <w:rFonts w:eastAsia="Times New Roman" w:cs="Times New Roman"/>
                <w:noProof w:val="0"/>
                <w:color w:val="000000"/>
                <w:sz w:val="24"/>
                <w:szCs w:val="24"/>
              </w:rPr>
              <w:t>108</w:t>
            </w:r>
          </w:p>
        </w:tc>
        <w:tc>
          <w:tcPr>
            <w:tcW w:w="942" w:type="dxa"/>
            <w:tcBorders>
              <w:top w:val="single" w:sz="4" w:space="0" w:color="auto"/>
              <w:left w:val="single" w:sz="4" w:space="0" w:color="auto"/>
              <w:bottom w:val="single" w:sz="4" w:space="0" w:color="auto"/>
              <w:right w:val="single" w:sz="4" w:space="0" w:color="auto"/>
            </w:tcBorders>
            <w:shd w:val="clear" w:color="auto" w:fill="EFF3FF"/>
            <w:hideMark/>
          </w:tcPr>
          <w:p w14:paraId="139613D0" w14:textId="77777777" w:rsidR="00100ABE" w:rsidRPr="00641A30" w:rsidRDefault="00100ABE" w:rsidP="00E552D2">
            <w:pPr>
              <w:spacing w:before="0" w:after="0" w:line="360" w:lineRule="auto"/>
              <w:ind w:left="0" w:right="0"/>
              <w:jc w:val="center"/>
              <w:rPr>
                <w:rFonts w:eastAsia="Times New Roman" w:cs="Times New Roman"/>
                <w:noProof w:val="0"/>
                <w:color w:val="000000"/>
                <w:sz w:val="24"/>
                <w:szCs w:val="24"/>
              </w:rPr>
            </w:pPr>
            <w:r w:rsidRPr="00641A30">
              <w:rPr>
                <w:rFonts w:eastAsia="Times New Roman" w:cs="Times New Roman"/>
                <w:noProof w:val="0"/>
                <w:color w:val="000000"/>
                <w:sz w:val="24"/>
                <w:szCs w:val="24"/>
              </w:rPr>
              <w:t>108</w:t>
            </w:r>
          </w:p>
        </w:tc>
        <w:tc>
          <w:tcPr>
            <w:tcW w:w="942" w:type="dxa"/>
            <w:tcBorders>
              <w:top w:val="single" w:sz="4" w:space="0" w:color="auto"/>
              <w:left w:val="single" w:sz="4" w:space="0" w:color="auto"/>
              <w:bottom w:val="single" w:sz="4" w:space="0" w:color="auto"/>
              <w:right w:val="single" w:sz="4" w:space="0" w:color="auto"/>
            </w:tcBorders>
            <w:shd w:val="clear" w:color="auto" w:fill="EFF3FF"/>
            <w:hideMark/>
          </w:tcPr>
          <w:p w14:paraId="7F82CBE1" w14:textId="77777777" w:rsidR="00100ABE" w:rsidRPr="00641A30" w:rsidRDefault="00100ABE" w:rsidP="00E552D2">
            <w:pPr>
              <w:spacing w:before="0" w:after="0" w:line="360" w:lineRule="auto"/>
              <w:ind w:left="0" w:right="0"/>
              <w:jc w:val="center"/>
              <w:rPr>
                <w:rFonts w:eastAsia="Times New Roman" w:cs="Times New Roman"/>
                <w:noProof w:val="0"/>
                <w:color w:val="000000"/>
                <w:sz w:val="24"/>
                <w:szCs w:val="24"/>
              </w:rPr>
            </w:pPr>
            <w:r w:rsidRPr="00641A30">
              <w:rPr>
                <w:rFonts w:eastAsia="Times New Roman" w:cs="Times New Roman"/>
                <w:noProof w:val="0"/>
                <w:color w:val="000000"/>
                <w:sz w:val="24"/>
                <w:szCs w:val="24"/>
              </w:rPr>
              <w:t>106</w:t>
            </w:r>
          </w:p>
        </w:tc>
        <w:tc>
          <w:tcPr>
            <w:tcW w:w="942" w:type="dxa"/>
            <w:tcBorders>
              <w:top w:val="single" w:sz="4" w:space="0" w:color="auto"/>
              <w:left w:val="single" w:sz="4" w:space="0" w:color="auto"/>
              <w:bottom w:val="single" w:sz="4" w:space="0" w:color="auto"/>
              <w:right w:val="single" w:sz="4" w:space="0" w:color="auto"/>
            </w:tcBorders>
            <w:shd w:val="clear" w:color="auto" w:fill="EFF3FF"/>
            <w:hideMark/>
          </w:tcPr>
          <w:p w14:paraId="57D47537" w14:textId="77777777" w:rsidR="00100ABE" w:rsidRPr="00641A30" w:rsidRDefault="00100ABE" w:rsidP="00E552D2">
            <w:pPr>
              <w:spacing w:before="0" w:after="0" w:line="360" w:lineRule="auto"/>
              <w:ind w:left="0" w:right="0"/>
              <w:jc w:val="center"/>
              <w:rPr>
                <w:rFonts w:eastAsia="Times New Roman" w:cs="Times New Roman"/>
                <w:noProof w:val="0"/>
                <w:color w:val="000000"/>
                <w:sz w:val="24"/>
                <w:szCs w:val="24"/>
              </w:rPr>
            </w:pPr>
            <w:r w:rsidRPr="00641A30">
              <w:rPr>
                <w:rFonts w:eastAsia="Times New Roman" w:cs="Times New Roman"/>
                <w:noProof w:val="0"/>
                <w:color w:val="000000"/>
                <w:sz w:val="24"/>
                <w:szCs w:val="24"/>
              </w:rPr>
              <w:t>105</w:t>
            </w:r>
          </w:p>
        </w:tc>
        <w:tc>
          <w:tcPr>
            <w:tcW w:w="942" w:type="dxa"/>
            <w:tcBorders>
              <w:top w:val="single" w:sz="4" w:space="0" w:color="auto"/>
              <w:left w:val="single" w:sz="4" w:space="0" w:color="auto"/>
              <w:bottom w:val="single" w:sz="4" w:space="0" w:color="auto"/>
              <w:right w:val="single" w:sz="4" w:space="0" w:color="auto"/>
            </w:tcBorders>
            <w:shd w:val="clear" w:color="auto" w:fill="EFF3FF"/>
            <w:hideMark/>
          </w:tcPr>
          <w:p w14:paraId="0CA1B033" w14:textId="77777777" w:rsidR="00100ABE" w:rsidRPr="00641A30" w:rsidRDefault="00100ABE" w:rsidP="00E552D2">
            <w:pPr>
              <w:spacing w:before="0" w:after="0" w:line="360" w:lineRule="auto"/>
              <w:ind w:left="0" w:right="0"/>
              <w:jc w:val="center"/>
              <w:rPr>
                <w:rFonts w:eastAsia="Times New Roman" w:cs="Times New Roman"/>
                <w:noProof w:val="0"/>
                <w:color w:val="000000"/>
                <w:sz w:val="24"/>
                <w:szCs w:val="24"/>
              </w:rPr>
            </w:pPr>
            <w:r w:rsidRPr="00641A30">
              <w:rPr>
                <w:rFonts w:eastAsia="Times New Roman" w:cs="Times New Roman"/>
                <w:noProof w:val="0"/>
                <w:color w:val="000000"/>
                <w:sz w:val="24"/>
                <w:szCs w:val="24"/>
              </w:rPr>
              <w:t>103</w:t>
            </w:r>
          </w:p>
        </w:tc>
        <w:tc>
          <w:tcPr>
            <w:tcW w:w="942" w:type="dxa"/>
            <w:tcBorders>
              <w:top w:val="single" w:sz="4" w:space="0" w:color="auto"/>
              <w:left w:val="single" w:sz="4" w:space="0" w:color="auto"/>
              <w:bottom w:val="single" w:sz="4" w:space="0" w:color="auto"/>
              <w:right w:val="single" w:sz="4" w:space="0" w:color="auto"/>
            </w:tcBorders>
            <w:shd w:val="clear" w:color="auto" w:fill="EFF3FF"/>
          </w:tcPr>
          <w:p w14:paraId="4EBDA725" w14:textId="0AAE82C0" w:rsidR="00100ABE" w:rsidRPr="00641A30" w:rsidRDefault="00100ABE" w:rsidP="00E552D2">
            <w:pPr>
              <w:spacing w:before="0" w:after="0" w:line="360" w:lineRule="auto"/>
              <w:ind w:left="0" w:right="0"/>
              <w:jc w:val="center"/>
              <w:rPr>
                <w:rFonts w:eastAsia="Times New Roman" w:cs="Times New Roman"/>
                <w:noProof w:val="0"/>
                <w:color w:val="000000"/>
                <w:sz w:val="24"/>
                <w:szCs w:val="24"/>
              </w:rPr>
            </w:pPr>
            <w:r w:rsidRPr="00641A30">
              <w:rPr>
                <w:rFonts w:eastAsia="Times New Roman" w:cs="Times New Roman"/>
                <w:noProof w:val="0"/>
                <w:color w:val="000000"/>
                <w:sz w:val="24"/>
                <w:szCs w:val="24"/>
              </w:rPr>
              <w:t>-5</w:t>
            </w:r>
          </w:p>
        </w:tc>
        <w:tc>
          <w:tcPr>
            <w:tcW w:w="942" w:type="dxa"/>
            <w:tcBorders>
              <w:top w:val="single" w:sz="4" w:space="0" w:color="auto"/>
              <w:left w:val="single" w:sz="4" w:space="0" w:color="auto"/>
              <w:bottom w:val="single" w:sz="4" w:space="0" w:color="auto"/>
              <w:right w:val="single" w:sz="4" w:space="0" w:color="auto"/>
            </w:tcBorders>
            <w:shd w:val="clear" w:color="auto" w:fill="EFF3FF"/>
          </w:tcPr>
          <w:p w14:paraId="50D71E7D" w14:textId="63DAA73C" w:rsidR="00100ABE" w:rsidRPr="00641A30" w:rsidRDefault="00100ABE" w:rsidP="00E552D2">
            <w:pPr>
              <w:spacing w:before="0" w:after="0" w:line="360" w:lineRule="auto"/>
              <w:ind w:left="0" w:right="0"/>
              <w:jc w:val="center"/>
              <w:rPr>
                <w:rFonts w:eastAsia="Times New Roman" w:cs="Times New Roman"/>
                <w:noProof w:val="0"/>
                <w:color w:val="000000"/>
                <w:sz w:val="24"/>
                <w:szCs w:val="24"/>
              </w:rPr>
            </w:pPr>
            <w:r w:rsidRPr="00641A30">
              <w:rPr>
                <w:rFonts w:eastAsia="Times New Roman" w:cs="Times New Roman"/>
                <w:noProof w:val="0"/>
                <w:color w:val="000000"/>
                <w:sz w:val="24"/>
                <w:szCs w:val="24"/>
              </w:rPr>
              <w:t>-5%</w:t>
            </w:r>
          </w:p>
        </w:tc>
      </w:tr>
      <w:tr w:rsidR="00100ABE" w:rsidRPr="00641A30" w14:paraId="78D7216A" w14:textId="67B990FA" w:rsidTr="00FE346D">
        <w:trPr>
          <w:trHeight w:val="364"/>
        </w:trPr>
        <w:tc>
          <w:tcPr>
            <w:tcW w:w="3307" w:type="dxa"/>
            <w:tcBorders>
              <w:top w:val="single" w:sz="4" w:space="0" w:color="auto"/>
              <w:left w:val="single" w:sz="4" w:space="0" w:color="auto"/>
              <w:bottom w:val="single" w:sz="4" w:space="0" w:color="auto"/>
              <w:right w:val="single" w:sz="4" w:space="0" w:color="auto"/>
            </w:tcBorders>
            <w:hideMark/>
          </w:tcPr>
          <w:p w14:paraId="1307A1A6" w14:textId="77777777" w:rsidR="00100ABE" w:rsidRPr="00641A30" w:rsidRDefault="00100ABE" w:rsidP="00E552D2">
            <w:pPr>
              <w:spacing w:before="0" w:after="0" w:line="360" w:lineRule="auto"/>
              <w:ind w:left="0" w:right="0"/>
              <w:jc w:val="left"/>
              <w:rPr>
                <w:rFonts w:eastAsia="Times New Roman" w:cs="Times New Roman"/>
                <w:bCs/>
                <w:noProof w:val="0"/>
                <w:color w:val="000000"/>
                <w:sz w:val="24"/>
                <w:szCs w:val="24"/>
              </w:rPr>
            </w:pPr>
            <w:r w:rsidRPr="00641A30">
              <w:rPr>
                <w:rFonts w:eastAsia="Times New Roman" w:cs="Times New Roman"/>
                <w:bCs/>
                <w:noProof w:val="0"/>
                <w:color w:val="000000"/>
                <w:sz w:val="24"/>
                <w:szCs w:val="24"/>
              </w:rPr>
              <w:t>Board of Registration of Hearing Instrument Specialists</w:t>
            </w:r>
          </w:p>
        </w:tc>
        <w:tc>
          <w:tcPr>
            <w:tcW w:w="1031" w:type="dxa"/>
            <w:tcBorders>
              <w:top w:val="single" w:sz="4" w:space="0" w:color="auto"/>
              <w:left w:val="single" w:sz="4" w:space="0" w:color="auto"/>
              <w:bottom w:val="single" w:sz="4" w:space="0" w:color="auto"/>
              <w:right w:val="single" w:sz="4" w:space="0" w:color="auto"/>
            </w:tcBorders>
            <w:hideMark/>
          </w:tcPr>
          <w:p w14:paraId="26D106F7" w14:textId="77777777" w:rsidR="00100ABE" w:rsidRPr="00641A30" w:rsidRDefault="00100ABE" w:rsidP="00E552D2">
            <w:pPr>
              <w:spacing w:before="0" w:after="0" w:line="360" w:lineRule="auto"/>
              <w:ind w:left="0" w:right="0"/>
              <w:jc w:val="center"/>
              <w:rPr>
                <w:rFonts w:eastAsia="Times New Roman" w:cs="Times New Roman"/>
                <w:noProof w:val="0"/>
                <w:color w:val="000000"/>
                <w:sz w:val="24"/>
                <w:szCs w:val="24"/>
              </w:rPr>
            </w:pPr>
            <w:r w:rsidRPr="00641A30">
              <w:rPr>
                <w:rFonts w:eastAsia="Times New Roman" w:cs="Times New Roman"/>
                <w:noProof w:val="0"/>
                <w:color w:val="000000"/>
                <w:sz w:val="24"/>
                <w:szCs w:val="24"/>
              </w:rPr>
              <w:t>161</w:t>
            </w:r>
          </w:p>
        </w:tc>
        <w:tc>
          <w:tcPr>
            <w:tcW w:w="942" w:type="dxa"/>
            <w:tcBorders>
              <w:top w:val="single" w:sz="4" w:space="0" w:color="auto"/>
              <w:left w:val="single" w:sz="4" w:space="0" w:color="auto"/>
              <w:bottom w:val="single" w:sz="4" w:space="0" w:color="auto"/>
              <w:right w:val="single" w:sz="4" w:space="0" w:color="auto"/>
            </w:tcBorders>
            <w:hideMark/>
          </w:tcPr>
          <w:p w14:paraId="3C050B45" w14:textId="77777777" w:rsidR="00100ABE" w:rsidRPr="00641A30" w:rsidRDefault="00100ABE" w:rsidP="00E552D2">
            <w:pPr>
              <w:spacing w:before="0" w:after="0" w:line="360" w:lineRule="auto"/>
              <w:ind w:left="0" w:right="0"/>
              <w:jc w:val="center"/>
              <w:rPr>
                <w:rFonts w:eastAsia="Times New Roman" w:cs="Times New Roman"/>
                <w:noProof w:val="0"/>
                <w:color w:val="000000"/>
                <w:sz w:val="24"/>
                <w:szCs w:val="24"/>
              </w:rPr>
            </w:pPr>
            <w:r w:rsidRPr="00641A30">
              <w:rPr>
                <w:rFonts w:eastAsia="Times New Roman" w:cs="Times New Roman"/>
                <w:noProof w:val="0"/>
                <w:color w:val="000000"/>
                <w:sz w:val="24"/>
                <w:szCs w:val="24"/>
              </w:rPr>
              <w:t>178</w:t>
            </w:r>
          </w:p>
        </w:tc>
        <w:tc>
          <w:tcPr>
            <w:tcW w:w="942" w:type="dxa"/>
            <w:tcBorders>
              <w:top w:val="single" w:sz="4" w:space="0" w:color="auto"/>
              <w:left w:val="single" w:sz="4" w:space="0" w:color="auto"/>
              <w:bottom w:val="single" w:sz="4" w:space="0" w:color="auto"/>
              <w:right w:val="single" w:sz="4" w:space="0" w:color="auto"/>
            </w:tcBorders>
            <w:hideMark/>
          </w:tcPr>
          <w:p w14:paraId="288E323B" w14:textId="77777777" w:rsidR="00100ABE" w:rsidRPr="00641A30" w:rsidRDefault="00100ABE" w:rsidP="00E552D2">
            <w:pPr>
              <w:spacing w:before="0" w:after="0" w:line="360" w:lineRule="auto"/>
              <w:ind w:left="0" w:right="0"/>
              <w:jc w:val="center"/>
              <w:rPr>
                <w:rFonts w:eastAsia="Times New Roman" w:cs="Times New Roman"/>
                <w:noProof w:val="0"/>
                <w:color w:val="000000"/>
                <w:sz w:val="24"/>
                <w:szCs w:val="24"/>
              </w:rPr>
            </w:pPr>
            <w:r w:rsidRPr="00641A30">
              <w:rPr>
                <w:rFonts w:eastAsia="Times New Roman" w:cs="Times New Roman"/>
                <w:noProof w:val="0"/>
                <w:color w:val="000000"/>
                <w:sz w:val="24"/>
                <w:szCs w:val="24"/>
              </w:rPr>
              <w:t>168</w:t>
            </w:r>
          </w:p>
        </w:tc>
        <w:tc>
          <w:tcPr>
            <w:tcW w:w="942" w:type="dxa"/>
            <w:tcBorders>
              <w:top w:val="single" w:sz="4" w:space="0" w:color="auto"/>
              <w:left w:val="single" w:sz="4" w:space="0" w:color="auto"/>
              <w:bottom w:val="single" w:sz="4" w:space="0" w:color="auto"/>
              <w:right w:val="single" w:sz="4" w:space="0" w:color="auto"/>
            </w:tcBorders>
            <w:hideMark/>
          </w:tcPr>
          <w:p w14:paraId="7229C4F1" w14:textId="77777777" w:rsidR="00100ABE" w:rsidRPr="00641A30" w:rsidRDefault="00100ABE" w:rsidP="00E552D2">
            <w:pPr>
              <w:spacing w:before="0" w:after="0" w:line="360" w:lineRule="auto"/>
              <w:ind w:left="0" w:right="0"/>
              <w:jc w:val="center"/>
              <w:rPr>
                <w:rFonts w:eastAsia="Times New Roman" w:cs="Times New Roman"/>
                <w:noProof w:val="0"/>
                <w:color w:val="000000"/>
                <w:sz w:val="24"/>
                <w:szCs w:val="24"/>
              </w:rPr>
            </w:pPr>
            <w:r w:rsidRPr="00641A30">
              <w:rPr>
                <w:rFonts w:eastAsia="Times New Roman" w:cs="Times New Roman"/>
                <w:noProof w:val="0"/>
                <w:color w:val="000000"/>
                <w:sz w:val="24"/>
                <w:szCs w:val="24"/>
              </w:rPr>
              <w:t>490</w:t>
            </w:r>
          </w:p>
        </w:tc>
        <w:tc>
          <w:tcPr>
            <w:tcW w:w="942" w:type="dxa"/>
            <w:tcBorders>
              <w:top w:val="single" w:sz="4" w:space="0" w:color="auto"/>
              <w:left w:val="single" w:sz="4" w:space="0" w:color="auto"/>
              <w:bottom w:val="single" w:sz="4" w:space="0" w:color="auto"/>
              <w:right w:val="single" w:sz="4" w:space="0" w:color="auto"/>
            </w:tcBorders>
            <w:hideMark/>
          </w:tcPr>
          <w:p w14:paraId="477544A4" w14:textId="77777777" w:rsidR="00100ABE" w:rsidRPr="00641A30" w:rsidRDefault="00100ABE" w:rsidP="00E552D2">
            <w:pPr>
              <w:spacing w:before="0" w:after="0" w:line="360" w:lineRule="auto"/>
              <w:ind w:left="0" w:right="0"/>
              <w:jc w:val="center"/>
              <w:rPr>
                <w:rFonts w:eastAsia="Times New Roman" w:cs="Times New Roman"/>
                <w:noProof w:val="0"/>
                <w:color w:val="000000"/>
                <w:sz w:val="24"/>
                <w:szCs w:val="24"/>
              </w:rPr>
            </w:pPr>
            <w:r w:rsidRPr="00641A30">
              <w:rPr>
                <w:rFonts w:eastAsia="Times New Roman" w:cs="Times New Roman"/>
                <w:noProof w:val="0"/>
                <w:color w:val="000000"/>
                <w:sz w:val="24"/>
                <w:szCs w:val="24"/>
              </w:rPr>
              <w:t>187</w:t>
            </w:r>
          </w:p>
        </w:tc>
        <w:tc>
          <w:tcPr>
            <w:tcW w:w="942" w:type="dxa"/>
            <w:tcBorders>
              <w:top w:val="single" w:sz="4" w:space="0" w:color="auto"/>
              <w:left w:val="single" w:sz="4" w:space="0" w:color="auto"/>
              <w:bottom w:val="single" w:sz="4" w:space="0" w:color="auto"/>
              <w:right w:val="single" w:sz="4" w:space="0" w:color="auto"/>
            </w:tcBorders>
          </w:tcPr>
          <w:p w14:paraId="1B6D720A" w14:textId="564E9E6F" w:rsidR="00100ABE" w:rsidRPr="00641A30" w:rsidRDefault="00100ABE" w:rsidP="00E552D2">
            <w:pPr>
              <w:spacing w:before="0" w:after="0" w:line="360" w:lineRule="auto"/>
              <w:ind w:left="0" w:right="0"/>
              <w:jc w:val="center"/>
              <w:rPr>
                <w:rFonts w:eastAsia="Times New Roman" w:cs="Times New Roman"/>
                <w:noProof w:val="0"/>
                <w:color w:val="000000"/>
                <w:sz w:val="24"/>
                <w:szCs w:val="24"/>
              </w:rPr>
            </w:pPr>
            <w:r w:rsidRPr="00641A30">
              <w:rPr>
                <w:rFonts w:eastAsia="Times New Roman" w:cs="Times New Roman"/>
                <w:noProof w:val="0"/>
                <w:color w:val="000000"/>
                <w:sz w:val="24"/>
                <w:szCs w:val="24"/>
              </w:rPr>
              <w:t>26</w:t>
            </w:r>
          </w:p>
        </w:tc>
        <w:tc>
          <w:tcPr>
            <w:tcW w:w="942" w:type="dxa"/>
            <w:tcBorders>
              <w:top w:val="single" w:sz="4" w:space="0" w:color="auto"/>
              <w:left w:val="single" w:sz="4" w:space="0" w:color="auto"/>
              <w:bottom w:val="single" w:sz="4" w:space="0" w:color="auto"/>
              <w:right w:val="single" w:sz="4" w:space="0" w:color="auto"/>
            </w:tcBorders>
          </w:tcPr>
          <w:p w14:paraId="54FBB26B" w14:textId="2120E8E9" w:rsidR="00100ABE" w:rsidRPr="00641A30" w:rsidRDefault="00100ABE" w:rsidP="00E552D2">
            <w:pPr>
              <w:spacing w:before="0" w:after="0" w:line="360" w:lineRule="auto"/>
              <w:ind w:left="0" w:right="0"/>
              <w:jc w:val="center"/>
              <w:rPr>
                <w:rFonts w:eastAsia="Times New Roman" w:cs="Times New Roman"/>
                <w:noProof w:val="0"/>
                <w:color w:val="000000"/>
                <w:sz w:val="24"/>
                <w:szCs w:val="24"/>
              </w:rPr>
            </w:pPr>
            <w:r w:rsidRPr="00641A30">
              <w:rPr>
                <w:rFonts w:eastAsia="Times New Roman" w:cs="Times New Roman"/>
                <w:noProof w:val="0"/>
                <w:color w:val="000000"/>
                <w:sz w:val="24"/>
                <w:szCs w:val="24"/>
              </w:rPr>
              <w:t>16%</w:t>
            </w:r>
          </w:p>
        </w:tc>
      </w:tr>
      <w:tr w:rsidR="00100ABE" w:rsidRPr="00641A30" w14:paraId="16D34D5E" w14:textId="56F8866A" w:rsidTr="00FE346D">
        <w:trPr>
          <w:trHeight w:val="278"/>
        </w:trPr>
        <w:tc>
          <w:tcPr>
            <w:tcW w:w="3307" w:type="dxa"/>
            <w:tcBorders>
              <w:top w:val="single" w:sz="4" w:space="0" w:color="auto"/>
              <w:left w:val="single" w:sz="4" w:space="0" w:color="auto"/>
              <w:bottom w:val="single" w:sz="4" w:space="0" w:color="auto"/>
              <w:right w:val="single" w:sz="4" w:space="0" w:color="auto"/>
            </w:tcBorders>
            <w:shd w:val="clear" w:color="auto" w:fill="EFF3FF"/>
            <w:hideMark/>
          </w:tcPr>
          <w:p w14:paraId="7029D78A" w14:textId="77777777" w:rsidR="00100ABE" w:rsidRPr="00641A30" w:rsidRDefault="00100ABE" w:rsidP="00E552D2">
            <w:pPr>
              <w:spacing w:before="0" w:after="0" w:line="360" w:lineRule="auto"/>
              <w:ind w:left="0" w:right="0"/>
              <w:jc w:val="left"/>
              <w:rPr>
                <w:rFonts w:eastAsia="Times New Roman" w:cs="Times New Roman"/>
                <w:bCs/>
                <w:noProof w:val="0"/>
                <w:color w:val="000000"/>
                <w:sz w:val="24"/>
                <w:szCs w:val="24"/>
              </w:rPr>
            </w:pPr>
            <w:r w:rsidRPr="00641A30">
              <w:rPr>
                <w:rFonts w:eastAsia="Times New Roman" w:cs="Times New Roman"/>
                <w:bCs/>
                <w:noProof w:val="0"/>
                <w:color w:val="000000"/>
                <w:sz w:val="24"/>
                <w:szCs w:val="24"/>
              </w:rPr>
              <w:t>Board of Registration of Massage Therapy</w:t>
            </w:r>
          </w:p>
        </w:tc>
        <w:tc>
          <w:tcPr>
            <w:tcW w:w="1031" w:type="dxa"/>
            <w:tcBorders>
              <w:top w:val="single" w:sz="4" w:space="0" w:color="auto"/>
              <w:left w:val="single" w:sz="4" w:space="0" w:color="auto"/>
              <w:bottom w:val="single" w:sz="4" w:space="0" w:color="auto"/>
              <w:right w:val="single" w:sz="4" w:space="0" w:color="auto"/>
            </w:tcBorders>
            <w:shd w:val="clear" w:color="auto" w:fill="EFF3FF"/>
            <w:hideMark/>
          </w:tcPr>
          <w:p w14:paraId="103EC90A" w14:textId="77777777" w:rsidR="00100ABE" w:rsidRPr="00641A30" w:rsidRDefault="00100ABE" w:rsidP="00E552D2">
            <w:pPr>
              <w:spacing w:before="0" w:after="0" w:line="360" w:lineRule="auto"/>
              <w:ind w:left="0" w:right="0"/>
              <w:jc w:val="center"/>
              <w:rPr>
                <w:rFonts w:eastAsia="Times New Roman" w:cs="Times New Roman"/>
                <w:noProof w:val="0"/>
                <w:color w:val="000000"/>
                <w:sz w:val="24"/>
                <w:szCs w:val="24"/>
              </w:rPr>
            </w:pPr>
            <w:r w:rsidRPr="00641A30">
              <w:rPr>
                <w:rFonts w:eastAsia="Times New Roman" w:cs="Times New Roman"/>
                <w:noProof w:val="0"/>
                <w:color w:val="000000"/>
                <w:sz w:val="24"/>
                <w:szCs w:val="24"/>
              </w:rPr>
              <w:t>9,322</w:t>
            </w:r>
          </w:p>
        </w:tc>
        <w:tc>
          <w:tcPr>
            <w:tcW w:w="942" w:type="dxa"/>
            <w:tcBorders>
              <w:top w:val="single" w:sz="4" w:space="0" w:color="auto"/>
              <w:left w:val="single" w:sz="4" w:space="0" w:color="auto"/>
              <w:bottom w:val="single" w:sz="4" w:space="0" w:color="auto"/>
              <w:right w:val="single" w:sz="4" w:space="0" w:color="auto"/>
            </w:tcBorders>
            <w:shd w:val="clear" w:color="auto" w:fill="EFF3FF"/>
            <w:hideMark/>
          </w:tcPr>
          <w:p w14:paraId="53B33A81" w14:textId="77777777" w:rsidR="00100ABE" w:rsidRPr="00641A30" w:rsidRDefault="00100ABE" w:rsidP="00E552D2">
            <w:pPr>
              <w:spacing w:before="0" w:after="0" w:line="360" w:lineRule="auto"/>
              <w:ind w:left="0" w:right="0"/>
              <w:jc w:val="center"/>
              <w:rPr>
                <w:rFonts w:eastAsia="Times New Roman" w:cs="Times New Roman"/>
                <w:noProof w:val="0"/>
                <w:color w:val="000000"/>
                <w:sz w:val="24"/>
                <w:szCs w:val="24"/>
              </w:rPr>
            </w:pPr>
            <w:r w:rsidRPr="00641A30">
              <w:rPr>
                <w:rFonts w:eastAsia="Times New Roman" w:cs="Times New Roman"/>
                <w:noProof w:val="0"/>
                <w:color w:val="000000"/>
                <w:sz w:val="24"/>
                <w:szCs w:val="24"/>
              </w:rPr>
              <w:t>9,621</w:t>
            </w:r>
          </w:p>
        </w:tc>
        <w:tc>
          <w:tcPr>
            <w:tcW w:w="942" w:type="dxa"/>
            <w:tcBorders>
              <w:top w:val="single" w:sz="4" w:space="0" w:color="auto"/>
              <w:left w:val="single" w:sz="4" w:space="0" w:color="auto"/>
              <w:bottom w:val="single" w:sz="4" w:space="0" w:color="auto"/>
              <w:right w:val="single" w:sz="4" w:space="0" w:color="auto"/>
            </w:tcBorders>
            <w:shd w:val="clear" w:color="auto" w:fill="EFF3FF"/>
            <w:hideMark/>
          </w:tcPr>
          <w:p w14:paraId="1DD857B5" w14:textId="77777777" w:rsidR="00100ABE" w:rsidRPr="00641A30" w:rsidRDefault="00100ABE" w:rsidP="00E552D2">
            <w:pPr>
              <w:spacing w:before="0" w:after="0" w:line="360" w:lineRule="auto"/>
              <w:ind w:left="0" w:right="0"/>
              <w:jc w:val="center"/>
              <w:rPr>
                <w:rFonts w:eastAsia="Times New Roman" w:cs="Times New Roman"/>
                <w:noProof w:val="0"/>
                <w:color w:val="000000"/>
                <w:sz w:val="24"/>
                <w:szCs w:val="24"/>
              </w:rPr>
            </w:pPr>
            <w:r w:rsidRPr="00641A30">
              <w:rPr>
                <w:rFonts w:eastAsia="Times New Roman" w:cs="Times New Roman"/>
                <w:noProof w:val="0"/>
                <w:color w:val="000000"/>
                <w:sz w:val="24"/>
                <w:szCs w:val="24"/>
              </w:rPr>
              <w:t>9,785</w:t>
            </w:r>
          </w:p>
        </w:tc>
        <w:tc>
          <w:tcPr>
            <w:tcW w:w="942" w:type="dxa"/>
            <w:tcBorders>
              <w:top w:val="single" w:sz="4" w:space="0" w:color="auto"/>
              <w:left w:val="single" w:sz="4" w:space="0" w:color="auto"/>
              <w:bottom w:val="single" w:sz="4" w:space="0" w:color="auto"/>
              <w:right w:val="single" w:sz="4" w:space="0" w:color="auto"/>
            </w:tcBorders>
            <w:shd w:val="clear" w:color="auto" w:fill="EFF3FF"/>
            <w:hideMark/>
          </w:tcPr>
          <w:p w14:paraId="0FA9835D" w14:textId="77777777" w:rsidR="00100ABE" w:rsidRPr="00641A30" w:rsidRDefault="00100ABE" w:rsidP="00E552D2">
            <w:pPr>
              <w:spacing w:before="0" w:after="0" w:line="360" w:lineRule="auto"/>
              <w:ind w:left="0" w:right="0"/>
              <w:jc w:val="center"/>
              <w:rPr>
                <w:rFonts w:eastAsia="Times New Roman" w:cs="Times New Roman"/>
                <w:noProof w:val="0"/>
                <w:color w:val="000000"/>
                <w:sz w:val="24"/>
                <w:szCs w:val="24"/>
              </w:rPr>
            </w:pPr>
            <w:r w:rsidRPr="00641A30">
              <w:rPr>
                <w:rFonts w:eastAsia="Times New Roman" w:cs="Times New Roman"/>
                <w:noProof w:val="0"/>
                <w:color w:val="000000"/>
                <w:sz w:val="24"/>
                <w:szCs w:val="24"/>
              </w:rPr>
              <w:t>9,887</w:t>
            </w:r>
          </w:p>
        </w:tc>
        <w:tc>
          <w:tcPr>
            <w:tcW w:w="942" w:type="dxa"/>
            <w:tcBorders>
              <w:top w:val="single" w:sz="4" w:space="0" w:color="auto"/>
              <w:left w:val="single" w:sz="4" w:space="0" w:color="auto"/>
              <w:bottom w:val="single" w:sz="4" w:space="0" w:color="auto"/>
              <w:right w:val="single" w:sz="4" w:space="0" w:color="auto"/>
            </w:tcBorders>
            <w:shd w:val="clear" w:color="auto" w:fill="EFF3FF"/>
            <w:hideMark/>
          </w:tcPr>
          <w:p w14:paraId="75213AA2" w14:textId="77777777" w:rsidR="00100ABE" w:rsidRPr="00641A30" w:rsidRDefault="00100ABE" w:rsidP="00E552D2">
            <w:pPr>
              <w:spacing w:before="0" w:after="0" w:line="360" w:lineRule="auto"/>
              <w:ind w:left="0" w:right="0"/>
              <w:jc w:val="center"/>
              <w:rPr>
                <w:rFonts w:eastAsia="Times New Roman" w:cs="Times New Roman"/>
                <w:noProof w:val="0"/>
                <w:color w:val="000000"/>
                <w:sz w:val="24"/>
                <w:szCs w:val="24"/>
              </w:rPr>
            </w:pPr>
            <w:r w:rsidRPr="00641A30">
              <w:rPr>
                <w:rFonts w:eastAsia="Times New Roman" w:cs="Times New Roman"/>
                <w:noProof w:val="0"/>
                <w:color w:val="000000"/>
                <w:sz w:val="24"/>
                <w:szCs w:val="24"/>
              </w:rPr>
              <w:t>9,799</w:t>
            </w:r>
          </w:p>
        </w:tc>
        <w:tc>
          <w:tcPr>
            <w:tcW w:w="942" w:type="dxa"/>
            <w:tcBorders>
              <w:top w:val="single" w:sz="4" w:space="0" w:color="auto"/>
              <w:left w:val="single" w:sz="4" w:space="0" w:color="auto"/>
              <w:bottom w:val="single" w:sz="4" w:space="0" w:color="auto"/>
              <w:right w:val="single" w:sz="4" w:space="0" w:color="auto"/>
            </w:tcBorders>
            <w:shd w:val="clear" w:color="auto" w:fill="EFF3FF"/>
          </w:tcPr>
          <w:p w14:paraId="6FB8C345" w14:textId="0693EB4B" w:rsidR="00100ABE" w:rsidRPr="00641A30" w:rsidRDefault="00100ABE" w:rsidP="00E552D2">
            <w:pPr>
              <w:spacing w:before="0" w:after="0" w:line="360" w:lineRule="auto"/>
              <w:ind w:left="0" w:right="0"/>
              <w:jc w:val="center"/>
              <w:rPr>
                <w:rFonts w:eastAsia="Times New Roman" w:cs="Times New Roman"/>
                <w:noProof w:val="0"/>
                <w:color w:val="000000"/>
                <w:sz w:val="24"/>
                <w:szCs w:val="24"/>
              </w:rPr>
            </w:pPr>
            <w:r w:rsidRPr="00641A30">
              <w:rPr>
                <w:rFonts w:eastAsia="Times New Roman" w:cs="Times New Roman"/>
                <w:noProof w:val="0"/>
                <w:color w:val="000000"/>
                <w:sz w:val="24"/>
                <w:szCs w:val="24"/>
              </w:rPr>
              <w:t>477</w:t>
            </w:r>
          </w:p>
        </w:tc>
        <w:tc>
          <w:tcPr>
            <w:tcW w:w="942" w:type="dxa"/>
            <w:tcBorders>
              <w:top w:val="single" w:sz="4" w:space="0" w:color="auto"/>
              <w:left w:val="single" w:sz="4" w:space="0" w:color="auto"/>
              <w:bottom w:val="single" w:sz="4" w:space="0" w:color="auto"/>
              <w:right w:val="single" w:sz="4" w:space="0" w:color="auto"/>
            </w:tcBorders>
            <w:shd w:val="clear" w:color="auto" w:fill="EFF3FF"/>
          </w:tcPr>
          <w:p w14:paraId="17497EA8" w14:textId="73B65C02" w:rsidR="00100ABE" w:rsidRPr="00641A30" w:rsidRDefault="00100ABE" w:rsidP="00E552D2">
            <w:pPr>
              <w:spacing w:before="0" w:after="0" w:line="360" w:lineRule="auto"/>
              <w:ind w:left="0" w:right="0"/>
              <w:jc w:val="center"/>
              <w:rPr>
                <w:rFonts w:eastAsia="Times New Roman" w:cs="Times New Roman"/>
                <w:noProof w:val="0"/>
                <w:color w:val="000000"/>
                <w:sz w:val="24"/>
                <w:szCs w:val="24"/>
              </w:rPr>
            </w:pPr>
            <w:r w:rsidRPr="00641A30">
              <w:rPr>
                <w:rFonts w:eastAsia="Times New Roman" w:cs="Times New Roman"/>
                <w:noProof w:val="0"/>
                <w:color w:val="000000"/>
                <w:sz w:val="24"/>
                <w:szCs w:val="24"/>
              </w:rPr>
              <w:t>5%</w:t>
            </w:r>
          </w:p>
        </w:tc>
      </w:tr>
      <w:tr w:rsidR="00100ABE" w:rsidRPr="00641A30" w14:paraId="74492DB4" w14:textId="798CA6F4" w:rsidTr="00FE346D">
        <w:trPr>
          <w:trHeight w:val="482"/>
        </w:trPr>
        <w:tc>
          <w:tcPr>
            <w:tcW w:w="3307" w:type="dxa"/>
            <w:tcBorders>
              <w:top w:val="single" w:sz="4" w:space="0" w:color="auto"/>
              <w:left w:val="single" w:sz="4" w:space="0" w:color="auto"/>
              <w:bottom w:val="single" w:sz="4" w:space="0" w:color="auto"/>
              <w:right w:val="single" w:sz="4" w:space="0" w:color="auto"/>
            </w:tcBorders>
            <w:hideMark/>
          </w:tcPr>
          <w:p w14:paraId="434BD402" w14:textId="77777777" w:rsidR="00100ABE" w:rsidRPr="00641A30" w:rsidRDefault="00100ABE" w:rsidP="00E552D2">
            <w:pPr>
              <w:spacing w:before="0" w:after="0" w:line="360" w:lineRule="auto"/>
              <w:ind w:left="0" w:right="0"/>
              <w:jc w:val="left"/>
              <w:rPr>
                <w:rFonts w:eastAsia="Times New Roman" w:cs="Times New Roman"/>
                <w:bCs/>
                <w:noProof w:val="0"/>
                <w:color w:val="000000"/>
                <w:sz w:val="24"/>
                <w:szCs w:val="24"/>
              </w:rPr>
            </w:pPr>
            <w:r w:rsidRPr="00641A30">
              <w:rPr>
                <w:rFonts w:eastAsia="Times New Roman" w:cs="Times New Roman"/>
                <w:bCs/>
                <w:noProof w:val="0"/>
                <w:color w:val="000000"/>
                <w:sz w:val="24"/>
                <w:szCs w:val="24"/>
              </w:rPr>
              <w:t>Board of Registration in Optometry</w:t>
            </w:r>
          </w:p>
        </w:tc>
        <w:tc>
          <w:tcPr>
            <w:tcW w:w="1031" w:type="dxa"/>
            <w:tcBorders>
              <w:top w:val="single" w:sz="4" w:space="0" w:color="auto"/>
              <w:left w:val="single" w:sz="4" w:space="0" w:color="auto"/>
              <w:bottom w:val="single" w:sz="4" w:space="0" w:color="auto"/>
              <w:right w:val="single" w:sz="4" w:space="0" w:color="auto"/>
            </w:tcBorders>
            <w:hideMark/>
          </w:tcPr>
          <w:p w14:paraId="4F1127CB" w14:textId="77777777" w:rsidR="00100ABE" w:rsidRPr="00641A30" w:rsidRDefault="00100ABE" w:rsidP="00E552D2">
            <w:pPr>
              <w:spacing w:before="0" w:after="0" w:line="360" w:lineRule="auto"/>
              <w:ind w:left="0" w:right="0"/>
              <w:jc w:val="center"/>
              <w:rPr>
                <w:rFonts w:eastAsia="Times New Roman" w:cs="Times New Roman"/>
                <w:noProof w:val="0"/>
                <w:color w:val="000000"/>
                <w:sz w:val="24"/>
                <w:szCs w:val="24"/>
              </w:rPr>
            </w:pPr>
            <w:r w:rsidRPr="00641A30">
              <w:rPr>
                <w:rFonts w:eastAsia="Times New Roman" w:cs="Times New Roman"/>
                <w:noProof w:val="0"/>
                <w:color w:val="000000"/>
                <w:sz w:val="24"/>
                <w:szCs w:val="24"/>
              </w:rPr>
              <w:t>1,541</w:t>
            </w:r>
          </w:p>
        </w:tc>
        <w:tc>
          <w:tcPr>
            <w:tcW w:w="942" w:type="dxa"/>
            <w:tcBorders>
              <w:top w:val="single" w:sz="4" w:space="0" w:color="auto"/>
              <w:left w:val="single" w:sz="4" w:space="0" w:color="auto"/>
              <w:bottom w:val="single" w:sz="4" w:space="0" w:color="auto"/>
              <w:right w:val="single" w:sz="4" w:space="0" w:color="auto"/>
            </w:tcBorders>
            <w:hideMark/>
          </w:tcPr>
          <w:p w14:paraId="60307322" w14:textId="77777777" w:rsidR="00100ABE" w:rsidRPr="00641A30" w:rsidRDefault="00100ABE" w:rsidP="00E552D2">
            <w:pPr>
              <w:spacing w:before="0" w:after="0" w:line="360" w:lineRule="auto"/>
              <w:ind w:left="0" w:right="0"/>
              <w:jc w:val="center"/>
              <w:rPr>
                <w:rFonts w:eastAsia="Times New Roman" w:cs="Times New Roman"/>
                <w:noProof w:val="0"/>
                <w:color w:val="000000"/>
                <w:sz w:val="24"/>
                <w:szCs w:val="24"/>
              </w:rPr>
            </w:pPr>
            <w:r w:rsidRPr="00641A30">
              <w:rPr>
                <w:rFonts w:eastAsia="Times New Roman" w:cs="Times New Roman"/>
                <w:noProof w:val="0"/>
                <w:color w:val="000000"/>
                <w:sz w:val="24"/>
                <w:szCs w:val="24"/>
              </w:rPr>
              <w:t>1,546</w:t>
            </w:r>
          </w:p>
        </w:tc>
        <w:tc>
          <w:tcPr>
            <w:tcW w:w="942" w:type="dxa"/>
            <w:tcBorders>
              <w:top w:val="single" w:sz="4" w:space="0" w:color="auto"/>
              <w:left w:val="single" w:sz="4" w:space="0" w:color="auto"/>
              <w:bottom w:val="single" w:sz="4" w:space="0" w:color="auto"/>
              <w:right w:val="single" w:sz="4" w:space="0" w:color="auto"/>
            </w:tcBorders>
            <w:hideMark/>
          </w:tcPr>
          <w:p w14:paraId="3DBDB7C4" w14:textId="77777777" w:rsidR="00100ABE" w:rsidRPr="00641A30" w:rsidRDefault="00100ABE" w:rsidP="00E552D2">
            <w:pPr>
              <w:spacing w:before="0" w:after="0" w:line="360" w:lineRule="auto"/>
              <w:ind w:left="0" w:right="0"/>
              <w:jc w:val="center"/>
              <w:rPr>
                <w:rFonts w:eastAsia="Times New Roman" w:cs="Times New Roman"/>
                <w:noProof w:val="0"/>
                <w:color w:val="000000"/>
                <w:sz w:val="24"/>
                <w:szCs w:val="24"/>
              </w:rPr>
            </w:pPr>
            <w:r w:rsidRPr="00641A30">
              <w:rPr>
                <w:rFonts w:eastAsia="Times New Roman" w:cs="Times New Roman"/>
                <w:noProof w:val="0"/>
                <w:color w:val="000000"/>
                <w:sz w:val="24"/>
                <w:szCs w:val="24"/>
              </w:rPr>
              <w:t>1,554</w:t>
            </w:r>
          </w:p>
        </w:tc>
        <w:tc>
          <w:tcPr>
            <w:tcW w:w="942" w:type="dxa"/>
            <w:tcBorders>
              <w:top w:val="single" w:sz="4" w:space="0" w:color="auto"/>
              <w:left w:val="single" w:sz="4" w:space="0" w:color="auto"/>
              <w:bottom w:val="single" w:sz="4" w:space="0" w:color="auto"/>
              <w:right w:val="single" w:sz="4" w:space="0" w:color="auto"/>
            </w:tcBorders>
            <w:hideMark/>
          </w:tcPr>
          <w:p w14:paraId="323FC0EE" w14:textId="77777777" w:rsidR="00100ABE" w:rsidRPr="00641A30" w:rsidRDefault="00100ABE" w:rsidP="00E552D2">
            <w:pPr>
              <w:spacing w:before="0" w:after="0" w:line="360" w:lineRule="auto"/>
              <w:ind w:left="0" w:right="0"/>
              <w:jc w:val="center"/>
              <w:rPr>
                <w:rFonts w:eastAsia="Times New Roman" w:cs="Times New Roman"/>
                <w:noProof w:val="0"/>
                <w:color w:val="000000"/>
                <w:sz w:val="24"/>
                <w:szCs w:val="24"/>
              </w:rPr>
            </w:pPr>
            <w:r w:rsidRPr="00641A30">
              <w:rPr>
                <w:rFonts w:eastAsia="Times New Roman" w:cs="Times New Roman"/>
                <w:noProof w:val="0"/>
                <w:color w:val="000000"/>
                <w:sz w:val="24"/>
                <w:szCs w:val="24"/>
              </w:rPr>
              <w:t>1,542</w:t>
            </w:r>
          </w:p>
        </w:tc>
        <w:tc>
          <w:tcPr>
            <w:tcW w:w="942" w:type="dxa"/>
            <w:tcBorders>
              <w:top w:val="single" w:sz="4" w:space="0" w:color="auto"/>
              <w:left w:val="single" w:sz="4" w:space="0" w:color="auto"/>
              <w:bottom w:val="single" w:sz="4" w:space="0" w:color="auto"/>
              <w:right w:val="single" w:sz="4" w:space="0" w:color="auto"/>
            </w:tcBorders>
            <w:hideMark/>
          </w:tcPr>
          <w:p w14:paraId="52D9456C" w14:textId="77777777" w:rsidR="00100ABE" w:rsidRPr="00641A30" w:rsidRDefault="00100ABE" w:rsidP="00E552D2">
            <w:pPr>
              <w:spacing w:before="0" w:after="0" w:line="360" w:lineRule="auto"/>
              <w:ind w:left="0" w:right="0"/>
              <w:jc w:val="center"/>
              <w:rPr>
                <w:rFonts w:eastAsia="Times New Roman" w:cs="Times New Roman"/>
                <w:noProof w:val="0"/>
                <w:color w:val="000000"/>
                <w:sz w:val="24"/>
                <w:szCs w:val="24"/>
              </w:rPr>
            </w:pPr>
            <w:r w:rsidRPr="00641A30">
              <w:rPr>
                <w:rFonts w:eastAsia="Times New Roman" w:cs="Times New Roman"/>
                <w:noProof w:val="0"/>
                <w:color w:val="000000"/>
                <w:sz w:val="24"/>
                <w:szCs w:val="24"/>
              </w:rPr>
              <w:t>1,559</w:t>
            </w:r>
          </w:p>
        </w:tc>
        <w:tc>
          <w:tcPr>
            <w:tcW w:w="942" w:type="dxa"/>
            <w:tcBorders>
              <w:top w:val="single" w:sz="4" w:space="0" w:color="auto"/>
              <w:left w:val="single" w:sz="4" w:space="0" w:color="auto"/>
              <w:bottom w:val="single" w:sz="4" w:space="0" w:color="auto"/>
              <w:right w:val="single" w:sz="4" w:space="0" w:color="auto"/>
            </w:tcBorders>
          </w:tcPr>
          <w:p w14:paraId="06BD5C3B" w14:textId="35F4A8AC" w:rsidR="00100ABE" w:rsidRPr="00641A30" w:rsidRDefault="00100ABE" w:rsidP="00E552D2">
            <w:pPr>
              <w:spacing w:before="0" w:after="0" w:line="360" w:lineRule="auto"/>
              <w:ind w:left="0" w:right="0"/>
              <w:jc w:val="center"/>
              <w:rPr>
                <w:rFonts w:eastAsia="Times New Roman" w:cs="Times New Roman"/>
                <w:noProof w:val="0"/>
                <w:color w:val="000000"/>
                <w:sz w:val="24"/>
                <w:szCs w:val="24"/>
              </w:rPr>
            </w:pPr>
            <w:r w:rsidRPr="00641A30">
              <w:rPr>
                <w:rFonts w:eastAsia="Times New Roman" w:cs="Times New Roman"/>
                <w:noProof w:val="0"/>
                <w:color w:val="000000"/>
                <w:sz w:val="24"/>
                <w:szCs w:val="24"/>
              </w:rPr>
              <w:t>18</w:t>
            </w:r>
          </w:p>
        </w:tc>
        <w:tc>
          <w:tcPr>
            <w:tcW w:w="942" w:type="dxa"/>
            <w:tcBorders>
              <w:top w:val="single" w:sz="4" w:space="0" w:color="auto"/>
              <w:left w:val="single" w:sz="4" w:space="0" w:color="auto"/>
              <w:bottom w:val="single" w:sz="4" w:space="0" w:color="auto"/>
              <w:right w:val="single" w:sz="4" w:space="0" w:color="auto"/>
            </w:tcBorders>
          </w:tcPr>
          <w:p w14:paraId="23EDDA20" w14:textId="05F7905A" w:rsidR="00100ABE" w:rsidRPr="00641A30" w:rsidRDefault="00100ABE" w:rsidP="00E552D2">
            <w:pPr>
              <w:spacing w:before="0" w:after="0" w:line="360" w:lineRule="auto"/>
              <w:ind w:left="0" w:right="0"/>
              <w:jc w:val="center"/>
              <w:rPr>
                <w:rFonts w:eastAsia="Times New Roman" w:cs="Times New Roman"/>
                <w:noProof w:val="0"/>
                <w:color w:val="000000"/>
                <w:sz w:val="24"/>
                <w:szCs w:val="24"/>
              </w:rPr>
            </w:pPr>
            <w:r w:rsidRPr="00641A30">
              <w:rPr>
                <w:rFonts w:eastAsia="Times New Roman" w:cs="Times New Roman"/>
                <w:noProof w:val="0"/>
                <w:color w:val="000000"/>
                <w:sz w:val="24"/>
                <w:szCs w:val="24"/>
              </w:rPr>
              <w:t>1%</w:t>
            </w:r>
          </w:p>
        </w:tc>
      </w:tr>
      <w:tr w:rsidR="00100ABE" w:rsidRPr="00641A30" w14:paraId="47CC91B5" w14:textId="76D5BE49" w:rsidTr="00FE346D">
        <w:trPr>
          <w:trHeight w:val="482"/>
        </w:trPr>
        <w:tc>
          <w:tcPr>
            <w:tcW w:w="3307" w:type="dxa"/>
            <w:tcBorders>
              <w:top w:val="single" w:sz="4" w:space="0" w:color="auto"/>
              <w:left w:val="single" w:sz="4" w:space="0" w:color="auto"/>
              <w:bottom w:val="single" w:sz="4" w:space="0" w:color="auto"/>
              <w:right w:val="single" w:sz="4" w:space="0" w:color="auto"/>
            </w:tcBorders>
            <w:shd w:val="clear" w:color="auto" w:fill="EFF3FF"/>
            <w:hideMark/>
          </w:tcPr>
          <w:p w14:paraId="366B3AB1" w14:textId="77777777" w:rsidR="00100ABE" w:rsidRPr="00641A30" w:rsidRDefault="00100ABE" w:rsidP="00E552D2">
            <w:pPr>
              <w:spacing w:before="0" w:after="0" w:line="360" w:lineRule="auto"/>
              <w:ind w:left="0" w:right="0"/>
              <w:jc w:val="left"/>
              <w:rPr>
                <w:rFonts w:eastAsia="Times New Roman" w:cs="Times New Roman"/>
                <w:bCs/>
                <w:noProof w:val="0"/>
                <w:color w:val="000000"/>
                <w:sz w:val="24"/>
                <w:szCs w:val="24"/>
              </w:rPr>
            </w:pPr>
            <w:r w:rsidRPr="00641A30">
              <w:rPr>
                <w:rFonts w:eastAsia="Times New Roman" w:cs="Times New Roman"/>
                <w:bCs/>
                <w:noProof w:val="0"/>
                <w:color w:val="000000"/>
                <w:sz w:val="24"/>
                <w:szCs w:val="24"/>
              </w:rPr>
              <w:t>Board of Registration in Podiatry</w:t>
            </w:r>
          </w:p>
        </w:tc>
        <w:tc>
          <w:tcPr>
            <w:tcW w:w="1031" w:type="dxa"/>
            <w:tcBorders>
              <w:top w:val="single" w:sz="4" w:space="0" w:color="auto"/>
              <w:left w:val="single" w:sz="4" w:space="0" w:color="auto"/>
              <w:bottom w:val="single" w:sz="4" w:space="0" w:color="auto"/>
              <w:right w:val="single" w:sz="4" w:space="0" w:color="auto"/>
            </w:tcBorders>
            <w:shd w:val="clear" w:color="auto" w:fill="EFF3FF"/>
            <w:hideMark/>
          </w:tcPr>
          <w:p w14:paraId="4AB76C25" w14:textId="77777777" w:rsidR="00100ABE" w:rsidRPr="00641A30" w:rsidRDefault="00100ABE" w:rsidP="00E552D2">
            <w:pPr>
              <w:spacing w:before="0" w:after="0" w:line="360" w:lineRule="auto"/>
              <w:ind w:left="0" w:right="0"/>
              <w:jc w:val="center"/>
              <w:rPr>
                <w:rFonts w:eastAsia="Times New Roman" w:cs="Times New Roman"/>
                <w:noProof w:val="0"/>
                <w:color w:val="000000"/>
                <w:sz w:val="24"/>
                <w:szCs w:val="24"/>
              </w:rPr>
            </w:pPr>
            <w:r w:rsidRPr="00641A30">
              <w:rPr>
                <w:rFonts w:eastAsia="Times New Roman" w:cs="Times New Roman"/>
                <w:noProof w:val="0"/>
                <w:color w:val="000000"/>
                <w:sz w:val="24"/>
                <w:szCs w:val="24"/>
              </w:rPr>
              <w:t>551</w:t>
            </w:r>
          </w:p>
        </w:tc>
        <w:tc>
          <w:tcPr>
            <w:tcW w:w="942" w:type="dxa"/>
            <w:tcBorders>
              <w:top w:val="single" w:sz="4" w:space="0" w:color="auto"/>
              <w:left w:val="single" w:sz="4" w:space="0" w:color="auto"/>
              <w:bottom w:val="single" w:sz="4" w:space="0" w:color="auto"/>
              <w:right w:val="single" w:sz="4" w:space="0" w:color="auto"/>
            </w:tcBorders>
            <w:shd w:val="clear" w:color="auto" w:fill="EFF3FF"/>
            <w:hideMark/>
          </w:tcPr>
          <w:p w14:paraId="79BCAB18" w14:textId="77777777" w:rsidR="00100ABE" w:rsidRPr="00641A30" w:rsidRDefault="00100ABE" w:rsidP="00E552D2">
            <w:pPr>
              <w:spacing w:before="0" w:after="0" w:line="360" w:lineRule="auto"/>
              <w:ind w:left="0" w:right="0"/>
              <w:jc w:val="center"/>
              <w:rPr>
                <w:rFonts w:eastAsia="Times New Roman" w:cs="Times New Roman"/>
                <w:noProof w:val="0"/>
                <w:color w:val="000000"/>
                <w:sz w:val="24"/>
                <w:szCs w:val="24"/>
              </w:rPr>
            </w:pPr>
            <w:r w:rsidRPr="00641A30">
              <w:rPr>
                <w:rFonts w:eastAsia="Times New Roman" w:cs="Times New Roman"/>
                <w:noProof w:val="0"/>
                <w:color w:val="000000"/>
                <w:sz w:val="24"/>
                <w:szCs w:val="24"/>
              </w:rPr>
              <w:t>551</w:t>
            </w:r>
          </w:p>
        </w:tc>
        <w:tc>
          <w:tcPr>
            <w:tcW w:w="942" w:type="dxa"/>
            <w:tcBorders>
              <w:top w:val="single" w:sz="4" w:space="0" w:color="auto"/>
              <w:left w:val="single" w:sz="4" w:space="0" w:color="auto"/>
              <w:bottom w:val="single" w:sz="4" w:space="0" w:color="auto"/>
              <w:right w:val="single" w:sz="4" w:space="0" w:color="auto"/>
            </w:tcBorders>
            <w:shd w:val="clear" w:color="auto" w:fill="EFF3FF"/>
            <w:hideMark/>
          </w:tcPr>
          <w:p w14:paraId="55FCA7E3" w14:textId="77777777" w:rsidR="00100ABE" w:rsidRPr="00641A30" w:rsidRDefault="00100ABE" w:rsidP="00E552D2">
            <w:pPr>
              <w:spacing w:before="0" w:after="0" w:line="360" w:lineRule="auto"/>
              <w:ind w:left="0" w:right="0"/>
              <w:jc w:val="center"/>
              <w:rPr>
                <w:rFonts w:eastAsia="Times New Roman" w:cs="Times New Roman"/>
                <w:noProof w:val="0"/>
                <w:color w:val="000000"/>
                <w:sz w:val="24"/>
                <w:szCs w:val="24"/>
              </w:rPr>
            </w:pPr>
            <w:r w:rsidRPr="00641A30">
              <w:rPr>
                <w:rFonts w:eastAsia="Times New Roman" w:cs="Times New Roman"/>
                <w:noProof w:val="0"/>
                <w:color w:val="000000"/>
                <w:sz w:val="24"/>
                <w:szCs w:val="24"/>
              </w:rPr>
              <w:t>550</w:t>
            </w:r>
          </w:p>
        </w:tc>
        <w:tc>
          <w:tcPr>
            <w:tcW w:w="942" w:type="dxa"/>
            <w:tcBorders>
              <w:top w:val="single" w:sz="4" w:space="0" w:color="auto"/>
              <w:left w:val="single" w:sz="4" w:space="0" w:color="auto"/>
              <w:bottom w:val="single" w:sz="4" w:space="0" w:color="auto"/>
              <w:right w:val="single" w:sz="4" w:space="0" w:color="auto"/>
            </w:tcBorders>
            <w:shd w:val="clear" w:color="auto" w:fill="EFF3FF"/>
            <w:hideMark/>
          </w:tcPr>
          <w:p w14:paraId="58C18628" w14:textId="77777777" w:rsidR="00100ABE" w:rsidRPr="00641A30" w:rsidRDefault="00100ABE" w:rsidP="00E552D2">
            <w:pPr>
              <w:spacing w:before="0" w:after="0" w:line="360" w:lineRule="auto"/>
              <w:ind w:left="0" w:right="0"/>
              <w:jc w:val="center"/>
              <w:rPr>
                <w:rFonts w:eastAsia="Times New Roman" w:cs="Times New Roman"/>
                <w:noProof w:val="0"/>
                <w:color w:val="000000"/>
                <w:sz w:val="24"/>
                <w:szCs w:val="24"/>
              </w:rPr>
            </w:pPr>
            <w:r w:rsidRPr="00641A30">
              <w:rPr>
                <w:rFonts w:eastAsia="Times New Roman" w:cs="Times New Roman"/>
                <w:noProof w:val="0"/>
                <w:color w:val="000000"/>
                <w:sz w:val="24"/>
                <w:szCs w:val="24"/>
              </w:rPr>
              <w:t>541</w:t>
            </w:r>
          </w:p>
        </w:tc>
        <w:tc>
          <w:tcPr>
            <w:tcW w:w="942" w:type="dxa"/>
            <w:tcBorders>
              <w:top w:val="single" w:sz="4" w:space="0" w:color="auto"/>
              <w:left w:val="single" w:sz="4" w:space="0" w:color="auto"/>
              <w:bottom w:val="single" w:sz="4" w:space="0" w:color="auto"/>
              <w:right w:val="single" w:sz="4" w:space="0" w:color="auto"/>
            </w:tcBorders>
            <w:shd w:val="clear" w:color="auto" w:fill="EFF3FF"/>
            <w:hideMark/>
          </w:tcPr>
          <w:p w14:paraId="13448C71" w14:textId="77777777" w:rsidR="00100ABE" w:rsidRPr="00641A30" w:rsidRDefault="00100ABE" w:rsidP="00E552D2">
            <w:pPr>
              <w:spacing w:before="0" w:after="0" w:line="360" w:lineRule="auto"/>
              <w:ind w:left="0" w:right="0"/>
              <w:jc w:val="center"/>
              <w:rPr>
                <w:rFonts w:eastAsia="Times New Roman" w:cs="Times New Roman"/>
                <w:noProof w:val="0"/>
                <w:color w:val="000000"/>
                <w:sz w:val="24"/>
                <w:szCs w:val="24"/>
              </w:rPr>
            </w:pPr>
            <w:r w:rsidRPr="00641A30">
              <w:rPr>
                <w:rFonts w:eastAsia="Times New Roman" w:cs="Times New Roman"/>
                <w:noProof w:val="0"/>
                <w:color w:val="000000"/>
                <w:sz w:val="24"/>
                <w:szCs w:val="24"/>
              </w:rPr>
              <w:t>541</w:t>
            </w:r>
          </w:p>
        </w:tc>
        <w:tc>
          <w:tcPr>
            <w:tcW w:w="942" w:type="dxa"/>
            <w:tcBorders>
              <w:top w:val="single" w:sz="4" w:space="0" w:color="auto"/>
              <w:left w:val="single" w:sz="4" w:space="0" w:color="auto"/>
              <w:bottom w:val="single" w:sz="4" w:space="0" w:color="auto"/>
              <w:right w:val="single" w:sz="4" w:space="0" w:color="auto"/>
            </w:tcBorders>
            <w:shd w:val="clear" w:color="auto" w:fill="EFF3FF"/>
          </w:tcPr>
          <w:p w14:paraId="6037B8E4" w14:textId="05697336" w:rsidR="00100ABE" w:rsidRPr="00641A30" w:rsidRDefault="00100ABE" w:rsidP="00E552D2">
            <w:pPr>
              <w:spacing w:before="0" w:after="0" w:line="360" w:lineRule="auto"/>
              <w:ind w:left="0" w:right="0"/>
              <w:jc w:val="center"/>
              <w:rPr>
                <w:rFonts w:eastAsia="Times New Roman" w:cs="Times New Roman"/>
                <w:noProof w:val="0"/>
                <w:color w:val="000000"/>
                <w:sz w:val="24"/>
                <w:szCs w:val="24"/>
              </w:rPr>
            </w:pPr>
            <w:r w:rsidRPr="00641A30">
              <w:rPr>
                <w:rFonts w:eastAsia="Times New Roman" w:cs="Times New Roman"/>
                <w:noProof w:val="0"/>
                <w:color w:val="000000"/>
                <w:sz w:val="24"/>
                <w:szCs w:val="24"/>
              </w:rPr>
              <w:t>-10</w:t>
            </w:r>
          </w:p>
        </w:tc>
        <w:tc>
          <w:tcPr>
            <w:tcW w:w="942" w:type="dxa"/>
            <w:tcBorders>
              <w:top w:val="single" w:sz="4" w:space="0" w:color="auto"/>
              <w:left w:val="single" w:sz="4" w:space="0" w:color="auto"/>
              <w:bottom w:val="single" w:sz="4" w:space="0" w:color="auto"/>
              <w:right w:val="single" w:sz="4" w:space="0" w:color="auto"/>
            </w:tcBorders>
            <w:shd w:val="clear" w:color="auto" w:fill="EFF3FF"/>
          </w:tcPr>
          <w:p w14:paraId="00F1ED5C" w14:textId="3975A008" w:rsidR="00100ABE" w:rsidRPr="00641A30" w:rsidRDefault="00100ABE" w:rsidP="00E552D2">
            <w:pPr>
              <w:spacing w:before="0" w:after="0" w:line="360" w:lineRule="auto"/>
              <w:ind w:left="0" w:right="0"/>
              <w:jc w:val="center"/>
              <w:rPr>
                <w:rFonts w:eastAsia="Times New Roman" w:cs="Times New Roman"/>
                <w:noProof w:val="0"/>
                <w:color w:val="000000"/>
                <w:sz w:val="24"/>
                <w:szCs w:val="24"/>
              </w:rPr>
            </w:pPr>
            <w:r w:rsidRPr="00641A30">
              <w:rPr>
                <w:rFonts w:eastAsia="Times New Roman" w:cs="Times New Roman"/>
                <w:noProof w:val="0"/>
                <w:color w:val="000000"/>
                <w:sz w:val="24"/>
                <w:szCs w:val="24"/>
              </w:rPr>
              <w:t>-2%</w:t>
            </w:r>
          </w:p>
        </w:tc>
      </w:tr>
      <w:tr w:rsidR="00100ABE" w:rsidRPr="00641A30" w14:paraId="4AEF23CB" w14:textId="5C2B9931" w:rsidTr="00FE346D">
        <w:trPr>
          <w:trHeight w:val="506"/>
        </w:trPr>
        <w:tc>
          <w:tcPr>
            <w:tcW w:w="3307" w:type="dxa"/>
            <w:tcBorders>
              <w:top w:val="single" w:sz="4" w:space="0" w:color="auto"/>
              <w:left w:val="single" w:sz="4" w:space="0" w:color="auto"/>
              <w:bottom w:val="single" w:sz="4" w:space="0" w:color="auto"/>
              <w:right w:val="single" w:sz="4" w:space="0" w:color="auto"/>
            </w:tcBorders>
            <w:hideMark/>
          </w:tcPr>
          <w:p w14:paraId="0DFEB19C" w14:textId="77777777" w:rsidR="00100ABE" w:rsidRPr="00641A30" w:rsidRDefault="00100ABE" w:rsidP="00E552D2">
            <w:pPr>
              <w:spacing w:before="0" w:after="0" w:line="360" w:lineRule="auto"/>
              <w:ind w:left="0" w:right="0"/>
              <w:jc w:val="left"/>
              <w:rPr>
                <w:rFonts w:eastAsia="Times New Roman" w:cs="Times New Roman"/>
                <w:bCs/>
                <w:noProof w:val="0"/>
                <w:color w:val="000000"/>
                <w:sz w:val="24"/>
                <w:szCs w:val="24"/>
              </w:rPr>
            </w:pPr>
            <w:r w:rsidRPr="00641A30">
              <w:rPr>
                <w:rFonts w:eastAsia="Times New Roman" w:cs="Times New Roman"/>
                <w:bCs/>
                <w:noProof w:val="0"/>
                <w:color w:val="000000"/>
                <w:sz w:val="24"/>
                <w:szCs w:val="24"/>
              </w:rPr>
              <w:t>Board of Registration of Social Workers</w:t>
            </w:r>
          </w:p>
        </w:tc>
        <w:tc>
          <w:tcPr>
            <w:tcW w:w="1031" w:type="dxa"/>
            <w:tcBorders>
              <w:top w:val="single" w:sz="4" w:space="0" w:color="auto"/>
              <w:left w:val="single" w:sz="4" w:space="0" w:color="auto"/>
              <w:bottom w:val="single" w:sz="4" w:space="0" w:color="auto"/>
              <w:right w:val="single" w:sz="4" w:space="0" w:color="auto"/>
            </w:tcBorders>
            <w:hideMark/>
          </w:tcPr>
          <w:p w14:paraId="7EF073E0" w14:textId="77777777" w:rsidR="00100ABE" w:rsidRPr="00641A30" w:rsidRDefault="00100ABE" w:rsidP="00E552D2">
            <w:pPr>
              <w:spacing w:before="0" w:after="0" w:line="360" w:lineRule="auto"/>
              <w:ind w:left="0" w:right="0"/>
              <w:jc w:val="center"/>
              <w:rPr>
                <w:rFonts w:eastAsia="Times New Roman" w:cs="Times New Roman"/>
                <w:noProof w:val="0"/>
                <w:color w:val="000000"/>
                <w:sz w:val="24"/>
                <w:szCs w:val="24"/>
              </w:rPr>
            </w:pPr>
            <w:r w:rsidRPr="00641A30">
              <w:rPr>
                <w:rFonts w:eastAsia="Times New Roman" w:cs="Times New Roman"/>
                <w:noProof w:val="0"/>
                <w:color w:val="000000"/>
                <w:sz w:val="24"/>
                <w:szCs w:val="24"/>
              </w:rPr>
              <w:t>21,603</w:t>
            </w:r>
          </w:p>
        </w:tc>
        <w:tc>
          <w:tcPr>
            <w:tcW w:w="942" w:type="dxa"/>
            <w:tcBorders>
              <w:top w:val="single" w:sz="4" w:space="0" w:color="auto"/>
              <w:left w:val="single" w:sz="4" w:space="0" w:color="auto"/>
              <w:bottom w:val="single" w:sz="4" w:space="0" w:color="auto"/>
              <w:right w:val="single" w:sz="4" w:space="0" w:color="auto"/>
            </w:tcBorders>
            <w:hideMark/>
          </w:tcPr>
          <w:p w14:paraId="699A6025" w14:textId="77777777" w:rsidR="00100ABE" w:rsidRPr="00641A30" w:rsidRDefault="00100ABE" w:rsidP="00E552D2">
            <w:pPr>
              <w:spacing w:before="0" w:after="0" w:line="360" w:lineRule="auto"/>
              <w:ind w:left="0" w:right="0"/>
              <w:jc w:val="center"/>
              <w:rPr>
                <w:rFonts w:eastAsia="Times New Roman" w:cs="Times New Roman"/>
                <w:noProof w:val="0"/>
                <w:color w:val="000000"/>
                <w:sz w:val="24"/>
                <w:szCs w:val="24"/>
              </w:rPr>
            </w:pPr>
            <w:r w:rsidRPr="00641A30">
              <w:rPr>
                <w:rFonts w:eastAsia="Times New Roman" w:cs="Times New Roman"/>
                <w:noProof w:val="0"/>
                <w:color w:val="000000"/>
                <w:sz w:val="24"/>
                <w:szCs w:val="24"/>
              </w:rPr>
              <w:t>22,827</w:t>
            </w:r>
          </w:p>
        </w:tc>
        <w:tc>
          <w:tcPr>
            <w:tcW w:w="942" w:type="dxa"/>
            <w:tcBorders>
              <w:top w:val="single" w:sz="4" w:space="0" w:color="auto"/>
              <w:left w:val="single" w:sz="4" w:space="0" w:color="auto"/>
              <w:bottom w:val="single" w:sz="4" w:space="0" w:color="auto"/>
              <w:right w:val="single" w:sz="4" w:space="0" w:color="auto"/>
            </w:tcBorders>
            <w:hideMark/>
          </w:tcPr>
          <w:p w14:paraId="62674A60" w14:textId="77777777" w:rsidR="00100ABE" w:rsidRPr="00641A30" w:rsidRDefault="00100ABE" w:rsidP="00E552D2">
            <w:pPr>
              <w:spacing w:before="0" w:after="0" w:line="360" w:lineRule="auto"/>
              <w:ind w:left="0" w:right="0"/>
              <w:jc w:val="center"/>
              <w:rPr>
                <w:rFonts w:eastAsia="Times New Roman" w:cs="Times New Roman"/>
                <w:noProof w:val="0"/>
                <w:color w:val="000000"/>
                <w:sz w:val="24"/>
                <w:szCs w:val="24"/>
              </w:rPr>
            </w:pPr>
            <w:r w:rsidRPr="00641A30">
              <w:rPr>
                <w:rFonts w:eastAsia="Times New Roman" w:cs="Times New Roman"/>
                <w:noProof w:val="0"/>
                <w:color w:val="000000"/>
                <w:sz w:val="24"/>
                <w:szCs w:val="24"/>
              </w:rPr>
              <w:t>22,461</w:t>
            </w:r>
          </w:p>
        </w:tc>
        <w:tc>
          <w:tcPr>
            <w:tcW w:w="942" w:type="dxa"/>
            <w:tcBorders>
              <w:top w:val="single" w:sz="4" w:space="0" w:color="auto"/>
              <w:left w:val="single" w:sz="4" w:space="0" w:color="auto"/>
              <w:bottom w:val="single" w:sz="4" w:space="0" w:color="auto"/>
              <w:right w:val="single" w:sz="4" w:space="0" w:color="auto"/>
            </w:tcBorders>
            <w:hideMark/>
          </w:tcPr>
          <w:p w14:paraId="2F9D2409" w14:textId="77777777" w:rsidR="00100ABE" w:rsidRPr="00641A30" w:rsidRDefault="00100ABE" w:rsidP="00E552D2">
            <w:pPr>
              <w:spacing w:before="0" w:after="0" w:line="360" w:lineRule="auto"/>
              <w:ind w:left="0" w:right="0"/>
              <w:jc w:val="center"/>
              <w:rPr>
                <w:rFonts w:eastAsia="Times New Roman" w:cs="Times New Roman"/>
                <w:noProof w:val="0"/>
                <w:color w:val="000000"/>
                <w:sz w:val="24"/>
                <w:szCs w:val="24"/>
              </w:rPr>
            </w:pPr>
            <w:r w:rsidRPr="00641A30">
              <w:rPr>
                <w:rFonts w:eastAsia="Times New Roman" w:cs="Times New Roman"/>
                <w:noProof w:val="0"/>
                <w:color w:val="000000"/>
                <w:sz w:val="24"/>
                <w:szCs w:val="24"/>
              </w:rPr>
              <w:t>23,791</w:t>
            </w:r>
          </w:p>
        </w:tc>
        <w:tc>
          <w:tcPr>
            <w:tcW w:w="942" w:type="dxa"/>
            <w:tcBorders>
              <w:top w:val="single" w:sz="4" w:space="0" w:color="auto"/>
              <w:left w:val="single" w:sz="4" w:space="0" w:color="auto"/>
              <w:bottom w:val="single" w:sz="4" w:space="0" w:color="auto"/>
              <w:right w:val="single" w:sz="4" w:space="0" w:color="auto"/>
            </w:tcBorders>
            <w:hideMark/>
          </w:tcPr>
          <w:p w14:paraId="3A7C3AF9" w14:textId="77777777" w:rsidR="00100ABE" w:rsidRPr="00641A30" w:rsidRDefault="00100ABE" w:rsidP="00E552D2">
            <w:pPr>
              <w:spacing w:before="0" w:after="0" w:line="360" w:lineRule="auto"/>
              <w:ind w:left="0" w:right="0"/>
              <w:jc w:val="center"/>
              <w:rPr>
                <w:rFonts w:eastAsia="Times New Roman" w:cs="Times New Roman"/>
                <w:noProof w:val="0"/>
                <w:color w:val="000000"/>
                <w:sz w:val="24"/>
                <w:szCs w:val="24"/>
              </w:rPr>
            </w:pPr>
            <w:r w:rsidRPr="00641A30">
              <w:rPr>
                <w:rFonts w:eastAsia="Times New Roman" w:cs="Times New Roman"/>
                <w:noProof w:val="0"/>
                <w:color w:val="000000"/>
                <w:sz w:val="24"/>
                <w:szCs w:val="24"/>
              </w:rPr>
              <w:t>23,702</w:t>
            </w:r>
          </w:p>
        </w:tc>
        <w:tc>
          <w:tcPr>
            <w:tcW w:w="942" w:type="dxa"/>
            <w:tcBorders>
              <w:top w:val="single" w:sz="4" w:space="0" w:color="auto"/>
              <w:left w:val="single" w:sz="4" w:space="0" w:color="auto"/>
              <w:bottom w:val="single" w:sz="4" w:space="0" w:color="auto"/>
              <w:right w:val="single" w:sz="4" w:space="0" w:color="auto"/>
            </w:tcBorders>
          </w:tcPr>
          <w:p w14:paraId="710D8861" w14:textId="70891C55" w:rsidR="00100ABE" w:rsidRPr="00641A30" w:rsidRDefault="00100ABE" w:rsidP="00E552D2">
            <w:pPr>
              <w:spacing w:before="0" w:after="0" w:line="360" w:lineRule="auto"/>
              <w:ind w:left="0" w:right="0"/>
              <w:jc w:val="center"/>
              <w:rPr>
                <w:rFonts w:eastAsia="Times New Roman" w:cs="Times New Roman"/>
                <w:noProof w:val="0"/>
                <w:color w:val="000000"/>
                <w:sz w:val="24"/>
                <w:szCs w:val="24"/>
              </w:rPr>
            </w:pPr>
            <w:r w:rsidRPr="00641A30">
              <w:rPr>
                <w:rFonts w:eastAsia="Times New Roman" w:cs="Times New Roman"/>
                <w:noProof w:val="0"/>
                <w:color w:val="000000"/>
                <w:sz w:val="24"/>
                <w:szCs w:val="24"/>
              </w:rPr>
              <w:t>2,099</w:t>
            </w:r>
          </w:p>
        </w:tc>
        <w:tc>
          <w:tcPr>
            <w:tcW w:w="942" w:type="dxa"/>
            <w:tcBorders>
              <w:top w:val="single" w:sz="4" w:space="0" w:color="auto"/>
              <w:left w:val="single" w:sz="4" w:space="0" w:color="auto"/>
              <w:bottom w:val="single" w:sz="4" w:space="0" w:color="auto"/>
              <w:right w:val="single" w:sz="4" w:space="0" w:color="auto"/>
            </w:tcBorders>
          </w:tcPr>
          <w:p w14:paraId="0FA0E48A" w14:textId="5710E961" w:rsidR="00100ABE" w:rsidRPr="00641A30" w:rsidRDefault="00100ABE" w:rsidP="00E552D2">
            <w:pPr>
              <w:spacing w:before="0" w:after="0" w:line="360" w:lineRule="auto"/>
              <w:ind w:left="0" w:right="0"/>
              <w:jc w:val="center"/>
              <w:rPr>
                <w:rFonts w:eastAsia="Times New Roman" w:cs="Times New Roman"/>
                <w:noProof w:val="0"/>
                <w:color w:val="000000"/>
                <w:sz w:val="24"/>
                <w:szCs w:val="24"/>
              </w:rPr>
            </w:pPr>
            <w:r w:rsidRPr="00641A30">
              <w:rPr>
                <w:rFonts w:eastAsia="Times New Roman" w:cs="Times New Roman"/>
                <w:noProof w:val="0"/>
                <w:color w:val="000000"/>
                <w:sz w:val="24"/>
                <w:szCs w:val="24"/>
              </w:rPr>
              <w:t>10%</w:t>
            </w:r>
          </w:p>
        </w:tc>
      </w:tr>
      <w:tr w:rsidR="00100ABE" w:rsidRPr="00641A30" w14:paraId="4425B1C9" w14:textId="2A6C4B1D" w:rsidTr="00FE346D">
        <w:trPr>
          <w:trHeight w:val="482"/>
        </w:trPr>
        <w:tc>
          <w:tcPr>
            <w:tcW w:w="3307" w:type="dxa"/>
            <w:tcBorders>
              <w:top w:val="single" w:sz="4" w:space="0" w:color="auto"/>
              <w:left w:val="single" w:sz="4" w:space="0" w:color="auto"/>
              <w:bottom w:val="single" w:sz="4" w:space="0" w:color="auto"/>
              <w:right w:val="single" w:sz="4" w:space="0" w:color="auto"/>
            </w:tcBorders>
            <w:shd w:val="clear" w:color="auto" w:fill="EFF3FF"/>
            <w:hideMark/>
          </w:tcPr>
          <w:p w14:paraId="533D0B92" w14:textId="77777777" w:rsidR="00100ABE" w:rsidRPr="00641A30" w:rsidRDefault="00100ABE" w:rsidP="00E552D2">
            <w:pPr>
              <w:spacing w:before="0" w:after="0" w:line="360" w:lineRule="auto"/>
              <w:ind w:left="0" w:right="0"/>
              <w:jc w:val="left"/>
              <w:rPr>
                <w:rFonts w:eastAsia="Times New Roman" w:cs="Times New Roman"/>
                <w:bCs/>
                <w:noProof w:val="0"/>
                <w:color w:val="000000"/>
                <w:sz w:val="24"/>
                <w:szCs w:val="24"/>
              </w:rPr>
            </w:pPr>
            <w:r w:rsidRPr="00641A30">
              <w:rPr>
                <w:rFonts w:eastAsia="Times New Roman" w:cs="Times New Roman"/>
                <w:bCs/>
                <w:noProof w:val="0"/>
                <w:color w:val="000000"/>
                <w:sz w:val="24"/>
                <w:szCs w:val="24"/>
              </w:rPr>
              <w:lastRenderedPageBreak/>
              <w:t>Board of Registration for Speech-Language Pathology and Audiology</w:t>
            </w:r>
          </w:p>
        </w:tc>
        <w:tc>
          <w:tcPr>
            <w:tcW w:w="1031" w:type="dxa"/>
            <w:tcBorders>
              <w:top w:val="single" w:sz="4" w:space="0" w:color="auto"/>
              <w:left w:val="single" w:sz="4" w:space="0" w:color="auto"/>
              <w:bottom w:val="single" w:sz="4" w:space="0" w:color="auto"/>
              <w:right w:val="single" w:sz="4" w:space="0" w:color="auto"/>
            </w:tcBorders>
            <w:shd w:val="clear" w:color="auto" w:fill="EFF3FF"/>
            <w:hideMark/>
          </w:tcPr>
          <w:p w14:paraId="67F1BE4C" w14:textId="77777777" w:rsidR="00100ABE" w:rsidRPr="00641A30" w:rsidRDefault="00100ABE" w:rsidP="00E552D2">
            <w:pPr>
              <w:spacing w:before="0" w:after="0" w:line="360" w:lineRule="auto"/>
              <w:ind w:left="0" w:right="0"/>
              <w:jc w:val="center"/>
              <w:rPr>
                <w:rFonts w:eastAsia="Times New Roman" w:cs="Times New Roman"/>
                <w:noProof w:val="0"/>
                <w:color w:val="000000"/>
                <w:sz w:val="24"/>
                <w:szCs w:val="24"/>
              </w:rPr>
            </w:pPr>
            <w:r w:rsidRPr="00641A30">
              <w:rPr>
                <w:rFonts w:eastAsia="Times New Roman" w:cs="Times New Roman"/>
                <w:noProof w:val="0"/>
                <w:color w:val="000000"/>
                <w:sz w:val="24"/>
                <w:szCs w:val="24"/>
              </w:rPr>
              <w:t>6,116</w:t>
            </w:r>
          </w:p>
        </w:tc>
        <w:tc>
          <w:tcPr>
            <w:tcW w:w="942" w:type="dxa"/>
            <w:tcBorders>
              <w:top w:val="single" w:sz="4" w:space="0" w:color="auto"/>
              <w:left w:val="single" w:sz="4" w:space="0" w:color="auto"/>
              <w:bottom w:val="single" w:sz="4" w:space="0" w:color="auto"/>
              <w:right w:val="single" w:sz="4" w:space="0" w:color="auto"/>
            </w:tcBorders>
            <w:shd w:val="clear" w:color="auto" w:fill="EFF3FF"/>
            <w:hideMark/>
          </w:tcPr>
          <w:p w14:paraId="401E56C8" w14:textId="77777777" w:rsidR="00100ABE" w:rsidRPr="00641A30" w:rsidRDefault="00100ABE" w:rsidP="00E552D2">
            <w:pPr>
              <w:spacing w:before="0" w:after="0" w:line="360" w:lineRule="auto"/>
              <w:ind w:left="0" w:right="0"/>
              <w:jc w:val="center"/>
              <w:rPr>
                <w:rFonts w:eastAsia="Times New Roman" w:cs="Times New Roman"/>
                <w:noProof w:val="0"/>
                <w:color w:val="000000"/>
                <w:sz w:val="24"/>
                <w:szCs w:val="24"/>
              </w:rPr>
            </w:pPr>
            <w:r w:rsidRPr="00641A30">
              <w:rPr>
                <w:rFonts w:eastAsia="Times New Roman" w:cs="Times New Roman"/>
                <w:noProof w:val="0"/>
                <w:color w:val="000000"/>
                <w:sz w:val="24"/>
                <w:szCs w:val="24"/>
              </w:rPr>
              <w:t>6,046</w:t>
            </w:r>
          </w:p>
        </w:tc>
        <w:tc>
          <w:tcPr>
            <w:tcW w:w="942" w:type="dxa"/>
            <w:tcBorders>
              <w:top w:val="single" w:sz="4" w:space="0" w:color="auto"/>
              <w:left w:val="single" w:sz="4" w:space="0" w:color="auto"/>
              <w:bottom w:val="single" w:sz="4" w:space="0" w:color="auto"/>
              <w:right w:val="single" w:sz="4" w:space="0" w:color="auto"/>
            </w:tcBorders>
            <w:shd w:val="clear" w:color="auto" w:fill="EFF3FF"/>
            <w:hideMark/>
          </w:tcPr>
          <w:p w14:paraId="66F40315" w14:textId="77777777" w:rsidR="00100ABE" w:rsidRPr="00641A30" w:rsidRDefault="00100ABE" w:rsidP="00E552D2">
            <w:pPr>
              <w:spacing w:before="0" w:after="0" w:line="360" w:lineRule="auto"/>
              <w:ind w:left="0" w:right="0"/>
              <w:jc w:val="center"/>
              <w:rPr>
                <w:rFonts w:eastAsia="Times New Roman" w:cs="Times New Roman"/>
                <w:noProof w:val="0"/>
                <w:color w:val="000000"/>
                <w:sz w:val="24"/>
                <w:szCs w:val="24"/>
              </w:rPr>
            </w:pPr>
            <w:r w:rsidRPr="00641A30">
              <w:rPr>
                <w:rFonts w:eastAsia="Times New Roman" w:cs="Times New Roman"/>
                <w:noProof w:val="0"/>
                <w:color w:val="000000"/>
                <w:sz w:val="24"/>
                <w:szCs w:val="24"/>
              </w:rPr>
              <w:t>6,571</w:t>
            </w:r>
          </w:p>
        </w:tc>
        <w:tc>
          <w:tcPr>
            <w:tcW w:w="942" w:type="dxa"/>
            <w:tcBorders>
              <w:top w:val="single" w:sz="4" w:space="0" w:color="auto"/>
              <w:left w:val="single" w:sz="4" w:space="0" w:color="auto"/>
              <w:bottom w:val="single" w:sz="4" w:space="0" w:color="auto"/>
              <w:right w:val="single" w:sz="4" w:space="0" w:color="auto"/>
            </w:tcBorders>
            <w:shd w:val="clear" w:color="auto" w:fill="EFF3FF"/>
            <w:hideMark/>
          </w:tcPr>
          <w:p w14:paraId="3A2720F5" w14:textId="77777777" w:rsidR="00100ABE" w:rsidRPr="00641A30" w:rsidRDefault="00100ABE" w:rsidP="00E552D2">
            <w:pPr>
              <w:spacing w:before="0" w:after="0" w:line="360" w:lineRule="auto"/>
              <w:ind w:left="0" w:right="0"/>
              <w:jc w:val="center"/>
              <w:rPr>
                <w:rFonts w:eastAsia="Times New Roman" w:cs="Times New Roman"/>
                <w:noProof w:val="0"/>
                <w:color w:val="000000"/>
                <w:sz w:val="24"/>
                <w:szCs w:val="24"/>
              </w:rPr>
            </w:pPr>
            <w:r w:rsidRPr="00641A30">
              <w:rPr>
                <w:rFonts w:eastAsia="Times New Roman" w:cs="Times New Roman"/>
                <w:noProof w:val="0"/>
                <w:color w:val="000000"/>
                <w:sz w:val="24"/>
                <w:szCs w:val="24"/>
              </w:rPr>
              <w:t>6,558</w:t>
            </w:r>
          </w:p>
        </w:tc>
        <w:tc>
          <w:tcPr>
            <w:tcW w:w="942" w:type="dxa"/>
            <w:tcBorders>
              <w:top w:val="single" w:sz="4" w:space="0" w:color="auto"/>
              <w:left w:val="single" w:sz="4" w:space="0" w:color="auto"/>
              <w:bottom w:val="single" w:sz="4" w:space="0" w:color="auto"/>
              <w:right w:val="single" w:sz="4" w:space="0" w:color="auto"/>
            </w:tcBorders>
            <w:shd w:val="clear" w:color="auto" w:fill="EFF3FF"/>
            <w:hideMark/>
          </w:tcPr>
          <w:p w14:paraId="0A28392A" w14:textId="77777777" w:rsidR="00100ABE" w:rsidRPr="00641A30" w:rsidRDefault="00100ABE" w:rsidP="00E552D2">
            <w:pPr>
              <w:spacing w:before="0" w:after="0" w:line="360" w:lineRule="auto"/>
              <w:ind w:left="0" w:right="0"/>
              <w:jc w:val="center"/>
              <w:rPr>
                <w:rFonts w:eastAsia="Times New Roman" w:cs="Times New Roman"/>
                <w:noProof w:val="0"/>
                <w:color w:val="000000"/>
                <w:sz w:val="24"/>
                <w:szCs w:val="24"/>
              </w:rPr>
            </w:pPr>
            <w:r w:rsidRPr="00641A30">
              <w:rPr>
                <w:rFonts w:eastAsia="Times New Roman" w:cs="Times New Roman"/>
                <w:noProof w:val="0"/>
                <w:color w:val="000000"/>
                <w:sz w:val="24"/>
                <w:szCs w:val="24"/>
              </w:rPr>
              <w:t>7,041</w:t>
            </w:r>
          </w:p>
        </w:tc>
        <w:tc>
          <w:tcPr>
            <w:tcW w:w="942" w:type="dxa"/>
            <w:tcBorders>
              <w:top w:val="single" w:sz="4" w:space="0" w:color="auto"/>
              <w:left w:val="single" w:sz="4" w:space="0" w:color="auto"/>
              <w:bottom w:val="single" w:sz="4" w:space="0" w:color="auto"/>
              <w:right w:val="single" w:sz="4" w:space="0" w:color="auto"/>
            </w:tcBorders>
            <w:shd w:val="clear" w:color="auto" w:fill="EFF3FF"/>
          </w:tcPr>
          <w:p w14:paraId="415186D5" w14:textId="3ED61BDC" w:rsidR="00100ABE" w:rsidRPr="00641A30" w:rsidRDefault="00100ABE" w:rsidP="00E552D2">
            <w:pPr>
              <w:spacing w:before="0" w:after="0" w:line="360" w:lineRule="auto"/>
              <w:ind w:left="0" w:right="0"/>
              <w:jc w:val="center"/>
              <w:rPr>
                <w:rFonts w:eastAsia="Times New Roman" w:cs="Times New Roman"/>
                <w:noProof w:val="0"/>
                <w:color w:val="000000"/>
                <w:sz w:val="24"/>
                <w:szCs w:val="24"/>
              </w:rPr>
            </w:pPr>
            <w:r w:rsidRPr="00641A30">
              <w:rPr>
                <w:rFonts w:eastAsia="Times New Roman" w:cs="Times New Roman"/>
                <w:noProof w:val="0"/>
                <w:color w:val="000000"/>
                <w:sz w:val="24"/>
                <w:szCs w:val="24"/>
              </w:rPr>
              <w:t>925</w:t>
            </w:r>
          </w:p>
        </w:tc>
        <w:tc>
          <w:tcPr>
            <w:tcW w:w="942" w:type="dxa"/>
            <w:tcBorders>
              <w:top w:val="single" w:sz="4" w:space="0" w:color="auto"/>
              <w:left w:val="single" w:sz="4" w:space="0" w:color="auto"/>
              <w:bottom w:val="single" w:sz="4" w:space="0" w:color="auto"/>
              <w:right w:val="single" w:sz="4" w:space="0" w:color="auto"/>
            </w:tcBorders>
            <w:shd w:val="clear" w:color="auto" w:fill="EFF3FF"/>
          </w:tcPr>
          <w:p w14:paraId="178A6E3B" w14:textId="36F796CC" w:rsidR="00100ABE" w:rsidRPr="00641A30" w:rsidRDefault="00100ABE" w:rsidP="00E552D2">
            <w:pPr>
              <w:spacing w:before="0" w:after="0" w:line="360" w:lineRule="auto"/>
              <w:ind w:left="0" w:right="0"/>
              <w:jc w:val="center"/>
              <w:rPr>
                <w:rFonts w:eastAsia="Times New Roman" w:cs="Times New Roman"/>
                <w:noProof w:val="0"/>
                <w:color w:val="000000"/>
                <w:sz w:val="24"/>
                <w:szCs w:val="24"/>
              </w:rPr>
            </w:pPr>
            <w:r w:rsidRPr="00641A30">
              <w:rPr>
                <w:rFonts w:eastAsia="Times New Roman" w:cs="Times New Roman"/>
                <w:noProof w:val="0"/>
                <w:color w:val="000000"/>
                <w:sz w:val="24"/>
                <w:szCs w:val="24"/>
              </w:rPr>
              <w:t>15%</w:t>
            </w:r>
          </w:p>
        </w:tc>
      </w:tr>
      <w:tr w:rsidR="00100ABE" w:rsidRPr="00641A30" w14:paraId="74883731" w14:textId="34B386FB" w:rsidTr="00FE346D">
        <w:trPr>
          <w:trHeight w:val="482"/>
        </w:trPr>
        <w:tc>
          <w:tcPr>
            <w:tcW w:w="3307" w:type="dxa"/>
            <w:tcBorders>
              <w:top w:val="single" w:sz="4" w:space="0" w:color="auto"/>
              <w:left w:val="single" w:sz="4" w:space="0" w:color="auto"/>
              <w:bottom w:val="single" w:sz="4" w:space="0" w:color="auto"/>
              <w:right w:val="single" w:sz="4" w:space="0" w:color="auto"/>
            </w:tcBorders>
            <w:hideMark/>
          </w:tcPr>
          <w:p w14:paraId="75224854" w14:textId="77777777" w:rsidR="00100ABE" w:rsidRPr="00641A30" w:rsidRDefault="00100ABE" w:rsidP="00E552D2">
            <w:pPr>
              <w:spacing w:before="0" w:after="0" w:line="360" w:lineRule="auto"/>
              <w:ind w:left="0" w:right="0"/>
              <w:jc w:val="left"/>
              <w:rPr>
                <w:rFonts w:eastAsia="Times New Roman" w:cs="Times New Roman"/>
                <w:bCs/>
                <w:noProof w:val="0"/>
                <w:color w:val="000000"/>
                <w:sz w:val="24"/>
                <w:szCs w:val="24"/>
              </w:rPr>
            </w:pPr>
            <w:r w:rsidRPr="00641A30">
              <w:rPr>
                <w:rFonts w:eastAsia="Times New Roman" w:cs="Times New Roman"/>
                <w:bCs/>
                <w:noProof w:val="0"/>
                <w:color w:val="000000"/>
                <w:sz w:val="24"/>
                <w:szCs w:val="24"/>
              </w:rPr>
              <w:t>Board of Registration in Veterinary Medicine</w:t>
            </w:r>
          </w:p>
        </w:tc>
        <w:tc>
          <w:tcPr>
            <w:tcW w:w="1031" w:type="dxa"/>
            <w:tcBorders>
              <w:top w:val="single" w:sz="4" w:space="0" w:color="auto"/>
              <w:left w:val="single" w:sz="4" w:space="0" w:color="auto"/>
              <w:bottom w:val="single" w:sz="4" w:space="0" w:color="auto"/>
              <w:right w:val="single" w:sz="4" w:space="0" w:color="auto"/>
            </w:tcBorders>
            <w:hideMark/>
          </w:tcPr>
          <w:p w14:paraId="3F3DB654" w14:textId="77777777" w:rsidR="00100ABE" w:rsidRPr="00641A30" w:rsidRDefault="00100ABE" w:rsidP="00E552D2">
            <w:pPr>
              <w:spacing w:before="0" w:after="0" w:line="360" w:lineRule="auto"/>
              <w:ind w:left="0" w:right="0"/>
              <w:jc w:val="center"/>
              <w:rPr>
                <w:rFonts w:eastAsia="Times New Roman" w:cs="Times New Roman"/>
                <w:noProof w:val="0"/>
                <w:color w:val="000000"/>
                <w:sz w:val="24"/>
                <w:szCs w:val="24"/>
              </w:rPr>
            </w:pPr>
            <w:r w:rsidRPr="00641A30">
              <w:rPr>
                <w:rFonts w:eastAsia="Times New Roman" w:cs="Times New Roman"/>
                <w:noProof w:val="0"/>
                <w:color w:val="000000"/>
                <w:sz w:val="24"/>
                <w:szCs w:val="24"/>
              </w:rPr>
              <w:t>2,863</w:t>
            </w:r>
          </w:p>
        </w:tc>
        <w:tc>
          <w:tcPr>
            <w:tcW w:w="942" w:type="dxa"/>
            <w:tcBorders>
              <w:top w:val="single" w:sz="4" w:space="0" w:color="auto"/>
              <w:left w:val="single" w:sz="4" w:space="0" w:color="auto"/>
              <w:bottom w:val="single" w:sz="4" w:space="0" w:color="auto"/>
              <w:right w:val="single" w:sz="4" w:space="0" w:color="auto"/>
            </w:tcBorders>
            <w:hideMark/>
          </w:tcPr>
          <w:p w14:paraId="3D887913" w14:textId="77777777" w:rsidR="00100ABE" w:rsidRPr="00641A30" w:rsidRDefault="00100ABE" w:rsidP="00E552D2">
            <w:pPr>
              <w:spacing w:before="0" w:after="0" w:line="360" w:lineRule="auto"/>
              <w:ind w:left="0" w:right="0"/>
              <w:jc w:val="center"/>
              <w:rPr>
                <w:rFonts w:eastAsia="Times New Roman" w:cs="Times New Roman"/>
                <w:noProof w:val="0"/>
                <w:color w:val="000000"/>
                <w:sz w:val="24"/>
                <w:szCs w:val="24"/>
              </w:rPr>
            </w:pPr>
            <w:r w:rsidRPr="00641A30">
              <w:rPr>
                <w:rFonts w:eastAsia="Times New Roman" w:cs="Times New Roman"/>
                <w:noProof w:val="0"/>
                <w:color w:val="000000"/>
                <w:sz w:val="24"/>
                <w:szCs w:val="24"/>
              </w:rPr>
              <w:t>2,953</w:t>
            </w:r>
          </w:p>
        </w:tc>
        <w:tc>
          <w:tcPr>
            <w:tcW w:w="942" w:type="dxa"/>
            <w:tcBorders>
              <w:top w:val="single" w:sz="4" w:space="0" w:color="auto"/>
              <w:left w:val="single" w:sz="4" w:space="0" w:color="auto"/>
              <w:bottom w:val="single" w:sz="4" w:space="0" w:color="auto"/>
              <w:right w:val="single" w:sz="4" w:space="0" w:color="auto"/>
            </w:tcBorders>
            <w:hideMark/>
          </w:tcPr>
          <w:p w14:paraId="3799AF76" w14:textId="77777777" w:rsidR="00100ABE" w:rsidRPr="00641A30" w:rsidRDefault="00100ABE" w:rsidP="00E552D2">
            <w:pPr>
              <w:spacing w:before="0" w:after="0" w:line="360" w:lineRule="auto"/>
              <w:ind w:left="0" w:right="0"/>
              <w:jc w:val="center"/>
              <w:rPr>
                <w:rFonts w:eastAsia="Times New Roman" w:cs="Times New Roman"/>
                <w:noProof w:val="0"/>
                <w:color w:val="000000"/>
                <w:sz w:val="24"/>
                <w:szCs w:val="24"/>
              </w:rPr>
            </w:pPr>
            <w:r w:rsidRPr="00641A30">
              <w:rPr>
                <w:rFonts w:eastAsia="Times New Roman" w:cs="Times New Roman"/>
                <w:noProof w:val="0"/>
                <w:color w:val="000000"/>
                <w:sz w:val="24"/>
                <w:szCs w:val="24"/>
              </w:rPr>
              <w:t>2,968</w:t>
            </w:r>
          </w:p>
        </w:tc>
        <w:tc>
          <w:tcPr>
            <w:tcW w:w="942" w:type="dxa"/>
            <w:tcBorders>
              <w:top w:val="single" w:sz="4" w:space="0" w:color="auto"/>
              <w:left w:val="single" w:sz="4" w:space="0" w:color="auto"/>
              <w:bottom w:val="single" w:sz="4" w:space="0" w:color="auto"/>
              <w:right w:val="single" w:sz="4" w:space="0" w:color="auto"/>
            </w:tcBorders>
            <w:hideMark/>
          </w:tcPr>
          <w:p w14:paraId="1DED0861" w14:textId="77777777" w:rsidR="00100ABE" w:rsidRPr="00641A30" w:rsidRDefault="00100ABE" w:rsidP="00E552D2">
            <w:pPr>
              <w:spacing w:before="0" w:after="0" w:line="360" w:lineRule="auto"/>
              <w:ind w:left="0" w:right="0"/>
              <w:jc w:val="center"/>
              <w:rPr>
                <w:rFonts w:eastAsia="Times New Roman" w:cs="Times New Roman"/>
                <w:noProof w:val="0"/>
                <w:color w:val="000000"/>
                <w:sz w:val="24"/>
                <w:szCs w:val="24"/>
              </w:rPr>
            </w:pPr>
            <w:r w:rsidRPr="00641A30">
              <w:rPr>
                <w:rFonts w:eastAsia="Times New Roman" w:cs="Times New Roman"/>
                <w:noProof w:val="0"/>
                <w:color w:val="000000"/>
                <w:sz w:val="24"/>
                <w:szCs w:val="24"/>
              </w:rPr>
              <w:t>2,994</w:t>
            </w:r>
          </w:p>
        </w:tc>
        <w:tc>
          <w:tcPr>
            <w:tcW w:w="942" w:type="dxa"/>
            <w:tcBorders>
              <w:top w:val="single" w:sz="4" w:space="0" w:color="auto"/>
              <w:left w:val="single" w:sz="4" w:space="0" w:color="auto"/>
              <w:bottom w:val="single" w:sz="4" w:space="0" w:color="auto"/>
              <w:right w:val="single" w:sz="4" w:space="0" w:color="auto"/>
            </w:tcBorders>
            <w:hideMark/>
          </w:tcPr>
          <w:p w14:paraId="296721CB" w14:textId="77777777" w:rsidR="00100ABE" w:rsidRPr="00641A30" w:rsidRDefault="00100ABE" w:rsidP="00E552D2">
            <w:pPr>
              <w:spacing w:before="0" w:after="0" w:line="360" w:lineRule="auto"/>
              <w:ind w:left="0" w:right="0"/>
              <w:jc w:val="center"/>
              <w:rPr>
                <w:rFonts w:eastAsia="Times New Roman" w:cs="Times New Roman"/>
                <w:noProof w:val="0"/>
                <w:color w:val="000000"/>
                <w:sz w:val="24"/>
                <w:szCs w:val="24"/>
              </w:rPr>
            </w:pPr>
            <w:r w:rsidRPr="00641A30">
              <w:rPr>
                <w:rFonts w:eastAsia="Times New Roman" w:cs="Times New Roman"/>
                <w:noProof w:val="0"/>
                <w:color w:val="000000"/>
                <w:sz w:val="24"/>
                <w:szCs w:val="24"/>
              </w:rPr>
              <w:t>2,869</w:t>
            </w:r>
          </w:p>
        </w:tc>
        <w:tc>
          <w:tcPr>
            <w:tcW w:w="942" w:type="dxa"/>
            <w:tcBorders>
              <w:top w:val="single" w:sz="4" w:space="0" w:color="auto"/>
              <w:left w:val="single" w:sz="4" w:space="0" w:color="auto"/>
              <w:bottom w:val="single" w:sz="4" w:space="0" w:color="auto"/>
              <w:right w:val="single" w:sz="4" w:space="0" w:color="auto"/>
            </w:tcBorders>
          </w:tcPr>
          <w:p w14:paraId="13029775" w14:textId="5360DBB6" w:rsidR="00100ABE" w:rsidRPr="00641A30" w:rsidRDefault="00100ABE" w:rsidP="00E552D2">
            <w:pPr>
              <w:spacing w:before="0" w:after="0" w:line="360" w:lineRule="auto"/>
              <w:ind w:left="0" w:right="0"/>
              <w:jc w:val="center"/>
              <w:rPr>
                <w:rFonts w:eastAsia="Times New Roman" w:cs="Times New Roman"/>
                <w:noProof w:val="0"/>
                <w:color w:val="000000"/>
                <w:sz w:val="24"/>
                <w:szCs w:val="24"/>
              </w:rPr>
            </w:pPr>
            <w:r w:rsidRPr="00641A30">
              <w:rPr>
                <w:rFonts w:eastAsia="Times New Roman" w:cs="Times New Roman"/>
                <w:noProof w:val="0"/>
                <w:color w:val="000000"/>
                <w:sz w:val="24"/>
                <w:szCs w:val="24"/>
              </w:rPr>
              <w:t>6</w:t>
            </w:r>
          </w:p>
        </w:tc>
        <w:tc>
          <w:tcPr>
            <w:tcW w:w="942" w:type="dxa"/>
            <w:tcBorders>
              <w:top w:val="single" w:sz="4" w:space="0" w:color="auto"/>
              <w:left w:val="single" w:sz="4" w:space="0" w:color="auto"/>
              <w:bottom w:val="single" w:sz="4" w:space="0" w:color="auto"/>
              <w:right w:val="single" w:sz="4" w:space="0" w:color="auto"/>
            </w:tcBorders>
          </w:tcPr>
          <w:p w14:paraId="664E11D7" w14:textId="45D9B985" w:rsidR="00100ABE" w:rsidRPr="00641A30" w:rsidRDefault="00100ABE" w:rsidP="00E552D2">
            <w:pPr>
              <w:spacing w:before="0" w:after="0" w:line="360" w:lineRule="auto"/>
              <w:ind w:left="0" w:right="0"/>
              <w:jc w:val="center"/>
              <w:rPr>
                <w:rFonts w:eastAsia="Times New Roman" w:cs="Times New Roman"/>
                <w:noProof w:val="0"/>
                <w:color w:val="000000"/>
                <w:sz w:val="24"/>
                <w:szCs w:val="24"/>
              </w:rPr>
            </w:pPr>
            <w:r w:rsidRPr="00641A30">
              <w:rPr>
                <w:rFonts w:eastAsia="Times New Roman" w:cs="Times New Roman"/>
                <w:noProof w:val="0"/>
                <w:color w:val="000000"/>
                <w:sz w:val="24"/>
                <w:szCs w:val="24"/>
              </w:rPr>
              <w:t>0%</w:t>
            </w:r>
          </w:p>
        </w:tc>
      </w:tr>
      <w:tr w:rsidR="00100ABE" w:rsidRPr="00641A30" w14:paraId="4627C736" w14:textId="5C0F49F5" w:rsidTr="00FE346D">
        <w:trPr>
          <w:trHeight w:val="482"/>
        </w:trPr>
        <w:tc>
          <w:tcPr>
            <w:tcW w:w="3307" w:type="dxa"/>
            <w:tcBorders>
              <w:top w:val="single" w:sz="4" w:space="0" w:color="auto"/>
              <w:left w:val="single" w:sz="4" w:space="0" w:color="auto"/>
              <w:bottom w:val="single" w:sz="4" w:space="0" w:color="auto"/>
              <w:right w:val="single" w:sz="4" w:space="0" w:color="auto"/>
            </w:tcBorders>
            <w:shd w:val="clear" w:color="auto" w:fill="EFF3FF"/>
            <w:hideMark/>
          </w:tcPr>
          <w:p w14:paraId="28BA59D3" w14:textId="31C799B2" w:rsidR="00100ABE" w:rsidRPr="00641A30" w:rsidRDefault="00100ABE" w:rsidP="00E552D2">
            <w:pPr>
              <w:spacing w:before="0" w:after="0" w:line="360" w:lineRule="auto"/>
              <w:ind w:left="0" w:right="0"/>
              <w:jc w:val="left"/>
              <w:rPr>
                <w:rFonts w:eastAsia="Times New Roman" w:cs="Times New Roman"/>
                <w:b/>
                <w:bCs/>
                <w:noProof w:val="0"/>
                <w:color w:val="000000"/>
                <w:sz w:val="24"/>
                <w:szCs w:val="24"/>
              </w:rPr>
            </w:pPr>
            <w:r w:rsidRPr="00641A30">
              <w:rPr>
                <w:rFonts w:eastAsia="Times New Roman" w:cs="Times New Roman"/>
                <w:b/>
                <w:bCs/>
                <w:noProof w:val="0"/>
                <w:color w:val="000000"/>
                <w:sz w:val="24"/>
                <w:szCs w:val="24"/>
              </w:rPr>
              <w:t>Total</w:t>
            </w:r>
          </w:p>
        </w:tc>
        <w:tc>
          <w:tcPr>
            <w:tcW w:w="1031" w:type="dxa"/>
            <w:tcBorders>
              <w:top w:val="single" w:sz="4" w:space="0" w:color="auto"/>
              <w:left w:val="single" w:sz="4" w:space="0" w:color="auto"/>
              <w:bottom w:val="single" w:sz="4" w:space="0" w:color="auto"/>
              <w:right w:val="single" w:sz="4" w:space="0" w:color="auto"/>
            </w:tcBorders>
            <w:shd w:val="clear" w:color="auto" w:fill="EFF3FF"/>
            <w:hideMark/>
          </w:tcPr>
          <w:p w14:paraId="1014B36B" w14:textId="77777777" w:rsidR="00100ABE" w:rsidRPr="00641A30" w:rsidRDefault="00100ABE" w:rsidP="00E552D2">
            <w:pPr>
              <w:spacing w:before="0" w:after="0" w:line="360" w:lineRule="auto"/>
              <w:ind w:left="0" w:right="0"/>
              <w:jc w:val="center"/>
              <w:rPr>
                <w:rFonts w:eastAsia="Times New Roman" w:cs="Times New Roman"/>
                <w:noProof w:val="0"/>
                <w:color w:val="000000"/>
                <w:sz w:val="24"/>
                <w:szCs w:val="24"/>
              </w:rPr>
            </w:pPr>
            <w:r w:rsidRPr="00641A30">
              <w:rPr>
                <w:rFonts w:eastAsia="Times New Roman" w:cs="Times New Roman"/>
                <w:noProof w:val="0"/>
                <w:color w:val="000000"/>
                <w:sz w:val="24"/>
                <w:szCs w:val="24"/>
              </w:rPr>
              <w:t>69,098</w:t>
            </w:r>
          </w:p>
        </w:tc>
        <w:tc>
          <w:tcPr>
            <w:tcW w:w="942" w:type="dxa"/>
            <w:tcBorders>
              <w:top w:val="single" w:sz="4" w:space="0" w:color="auto"/>
              <w:left w:val="single" w:sz="4" w:space="0" w:color="auto"/>
              <w:bottom w:val="single" w:sz="4" w:space="0" w:color="auto"/>
              <w:right w:val="single" w:sz="4" w:space="0" w:color="auto"/>
            </w:tcBorders>
            <w:shd w:val="clear" w:color="auto" w:fill="EFF3FF"/>
            <w:hideMark/>
          </w:tcPr>
          <w:p w14:paraId="0533D974" w14:textId="77777777" w:rsidR="00100ABE" w:rsidRPr="00641A30" w:rsidRDefault="00100ABE" w:rsidP="00E552D2">
            <w:pPr>
              <w:spacing w:before="0" w:after="0" w:line="360" w:lineRule="auto"/>
              <w:ind w:left="0" w:right="0"/>
              <w:jc w:val="center"/>
              <w:rPr>
                <w:rFonts w:eastAsia="Times New Roman" w:cs="Times New Roman"/>
                <w:noProof w:val="0"/>
                <w:color w:val="000000"/>
                <w:sz w:val="24"/>
                <w:szCs w:val="24"/>
              </w:rPr>
            </w:pPr>
            <w:r w:rsidRPr="00641A30">
              <w:rPr>
                <w:rFonts w:eastAsia="Times New Roman" w:cs="Times New Roman"/>
                <w:noProof w:val="0"/>
                <w:color w:val="000000"/>
                <w:sz w:val="24"/>
                <w:szCs w:val="24"/>
              </w:rPr>
              <w:t>71,317</w:t>
            </w:r>
          </w:p>
        </w:tc>
        <w:tc>
          <w:tcPr>
            <w:tcW w:w="942" w:type="dxa"/>
            <w:tcBorders>
              <w:top w:val="single" w:sz="4" w:space="0" w:color="auto"/>
              <w:left w:val="single" w:sz="4" w:space="0" w:color="auto"/>
              <w:bottom w:val="single" w:sz="4" w:space="0" w:color="auto"/>
              <w:right w:val="single" w:sz="4" w:space="0" w:color="auto"/>
            </w:tcBorders>
            <w:shd w:val="clear" w:color="auto" w:fill="EFF3FF"/>
            <w:hideMark/>
          </w:tcPr>
          <w:p w14:paraId="3129F8DB" w14:textId="77777777" w:rsidR="00100ABE" w:rsidRPr="00641A30" w:rsidRDefault="00100ABE" w:rsidP="00E552D2">
            <w:pPr>
              <w:spacing w:before="0" w:after="0" w:line="360" w:lineRule="auto"/>
              <w:ind w:left="0" w:right="0"/>
              <w:jc w:val="center"/>
              <w:rPr>
                <w:rFonts w:eastAsia="Times New Roman" w:cs="Times New Roman"/>
                <w:noProof w:val="0"/>
                <w:color w:val="000000"/>
                <w:sz w:val="24"/>
                <w:szCs w:val="24"/>
              </w:rPr>
            </w:pPr>
            <w:r w:rsidRPr="00641A30">
              <w:rPr>
                <w:rFonts w:eastAsia="Times New Roman" w:cs="Times New Roman"/>
                <w:noProof w:val="0"/>
                <w:color w:val="000000"/>
                <w:sz w:val="24"/>
                <w:szCs w:val="24"/>
              </w:rPr>
              <w:t>72,342</w:t>
            </w:r>
          </w:p>
        </w:tc>
        <w:tc>
          <w:tcPr>
            <w:tcW w:w="942" w:type="dxa"/>
            <w:tcBorders>
              <w:top w:val="single" w:sz="4" w:space="0" w:color="auto"/>
              <w:left w:val="single" w:sz="4" w:space="0" w:color="auto"/>
              <w:bottom w:val="single" w:sz="4" w:space="0" w:color="auto"/>
              <w:right w:val="single" w:sz="4" w:space="0" w:color="auto"/>
            </w:tcBorders>
            <w:shd w:val="clear" w:color="auto" w:fill="EFF3FF"/>
            <w:hideMark/>
          </w:tcPr>
          <w:p w14:paraId="323CA880" w14:textId="77777777" w:rsidR="00100ABE" w:rsidRPr="00641A30" w:rsidRDefault="00100ABE" w:rsidP="00E552D2">
            <w:pPr>
              <w:spacing w:before="0" w:after="0" w:line="360" w:lineRule="auto"/>
              <w:ind w:left="0" w:right="0"/>
              <w:jc w:val="center"/>
              <w:rPr>
                <w:rFonts w:eastAsia="Times New Roman" w:cs="Times New Roman"/>
                <w:noProof w:val="0"/>
                <w:color w:val="000000"/>
                <w:sz w:val="24"/>
                <w:szCs w:val="24"/>
              </w:rPr>
            </w:pPr>
            <w:r w:rsidRPr="00641A30">
              <w:rPr>
                <w:rFonts w:eastAsia="Times New Roman" w:cs="Times New Roman"/>
                <w:noProof w:val="0"/>
                <w:color w:val="000000"/>
                <w:sz w:val="24"/>
                <w:szCs w:val="24"/>
              </w:rPr>
              <w:t>74,708</w:t>
            </w:r>
          </w:p>
        </w:tc>
        <w:tc>
          <w:tcPr>
            <w:tcW w:w="942" w:type="dxa"/>
            <w:tcBorders>
              <w:top w:val="single" w:sz="4" w:space="0" w:color="auto"/>
              <w:left w:val="single" w:sz="4" w:space="0" w:color="auto"/>
              <w:bottom w:val="single" w:sz="4" w:space="0" w:color="auto"/>
              <w:right w:val="single" w:sz="4" w:space="0" w:color="auto"/>
            </w:tcBorders>
            <w:shd w:val="clear" w:color="auto" w:fill="EFF3FF"/>
            <w:hideMark/>
          </w:tcPr>
          <w:p w14:paraId="5C190027" w14:textId="77777777" w:rsidR="00100ABE" w:rsidRPr="00641A30" w:rsidRDefault="00100ABE" w:rsidP="00E552D2">
            <w:pPr>
              <w:spacing w:before="0" w:after="0" w:line="360" w:lineRule="auto"/>
              <w:ind w:left="0" w:right="0"/>
              <w:jc w:val="center"/>
              <w:rPr>
                <w:rFonts w:eastAsia="Times New Roman" w:cs="Times New Roman"/>
                <w:noProof w:val="0"/>
                <w:color w:val="000000"/>
                <w:sz w:val="24"/>
                <w:szCs w:val="24"/>
              </w:rPr>
            </w:pPr>
            <w:r w:rsidRPr="00641A30">
              <w:rPr>
                <w:rFonts w:eastAsia="Times New Roman" w:cs="Times New Roman"/>
                <w:noProof w:val="0"/>
                <w:color w:val="000000"/>
                <w:sz w:val="24"/>
                <w:szCs w:val="24"/>
              </w:rPr>
              <w:t>75,661</w:t>
            </w:r>
          </w:p>
        </w:tc>
        <w:tc>
          <w:tcPr>
            <w:tcW w:w="942" w:type="dxa"/>
            <w:tcBorders>
              <w:top w:val="single" w:sz="4" w:space="0" w:color="auto"/>
              <w:left w:val="single" w:sz="4" w:space="0" w:color="auto"/>
              <w:bottom w:val="single" w:sz="4" w:space="0" w:color="auto"/>
              <w:right w:val="single" w:sz="4" w:space="0" w:color="auto"/>
            </w:tcBorders>
            <w:shd w:val="clear" w:color="auto" w:fill="EFF3FF"/>
          </w:tcPr>
          <w:p w14:paraId="73959448" w14:textId="4CAF0C71" w:rsidR="00100ABE" w:rsidRPr="00641A30" w:rsidRDefault="00100ABE" w:rsidP="00E552D2">
            <w:pPr>
              <w:spacing w:before="0" w:after="0" w:line="360" w:lineRule="auto"/>
              <w:ind w:left="0" w:right="0"/>
              <w:jc w:val="center"/>
              <w:rPr>
                <w:rFonts w:eastAsia="Times New Roman" w:cs="Times New Roman"/>
                <w:noProof w:val="0"/>
                <w:color w:val="000000"/>
                <w:sz w:val="24"/>
                <w:szCs w:val="24"/>
              </w:rPr>
            </w:pPr>
            <w:r w:rsidRPr="00641A30">
              <w:rPr>
                <w:rFonts w:eastAsia="Times New Roman" w:cs="Times New Roman"/>
                <w:noProof w:val="0"/>
                <w:color w:val="000000"/>
                <w:sz w:val="24"/>
                <w:szCs w:val="24"/>
              </w:rPr>
              <w:t>6,563</w:t>
            </w:r>
          </w:p>
        </w:tc>
        <w:tc>
          <w:tcPr>
            <w:tcW w:w="942" w:type="dxa"/>
            <w:tcBorders>
              <w:top w:val="single" w:sz="4" w:space="0" w:color="auto"/>
              <w:left w:val="single" w:sz="4" w:space="0" w:color="auto"/>
              <w:bottom w:val="single" w:sz="4" w:space="0" w:color="auto"/>
              <w:right w:val="single" w:sz="4" w:space="0" w:color="auto"/>
            </w:tcBorders>
            <w:shd w:val="clear" w:color="auto" w:fill="EFF3FF"/>
          </w:tcPr>
          <w:p w14:paraId="51952893" w14:textId="727D1ED1" w:rsidR="00100ABE" w:rsidRPr="00641A30" w:rsidRDefault="00100ABE" w:rsidP="00E552D2">
            <w:pPr>
              <w:spacing w:before="0" w:after="0" w:line="360" w:lineRule="auto"/>
              <w:ind w:left="0" w:right="0"/>
              <w:jc w:val="center"/>
              <w:rPr>
                <w:rFonts w:eastAsia="Times New Roman" w:cs="Times New Roman"/>
                <w:noProof w:val="0"/>
                <w:color w:val="000000"/>
                <w:sz w:val="24"/>
                <w:szCs w:val="24"/>
              </w:rPr>
            </w:pPr>
            <w:r w:rsidRPr="00641A30">
              <w:rPr>
                <w:rFonts w:eastAsia="Times New Roman" w:cs="Times New Roman"/>
                <w:noProof w:val="0"/>
                <w:color w:val="000000"/>
                <w:sz w:val="24"/>
                <w:szCs w:val="24"/>
              </w:rPr>
              <w:t>9%</w:t>
            </w:r>
          </w:p>
        </w:tc>
      </w:tr>
    </w:tbl>
    <w:p w14:paraId="0480436E" w14:textId="1B3DEA88" w:rsidR="00603A69" w:rsidRPr="00641A30" w:rsidRDefault="00603A69" w:rsidP="00E552D2">
      <w:pPr>
        <w:spacing w:line="360" w:lineRule="auto"/>
        <w:ind w:right="-360"/>
        <w:jc w:val="center"/>
        <w:rPr>
          <w:color w:val="000000" w:themeColor="text1"/>
          <w:sz w:val="24"/>
          <w:szCs w:val="24"/>
        </w:rPr>
      </w:pPr>
      <w:r w:rsidRPr="00641A30">
        <w:rPr>
          <w:sz w:val="24"/>
          <w:szCs w:val="24"/>
        </w:rPr>
        <w:t>SOURCE: OFFICE OF CONSUMER AFFAIRS AND BUSINESS REGULATION</w:t>
      </w:r>
      <w:r w:rsidR="00100ABE" w:rsidRPr="00641A30">
        <w:rPr>
          <w:sz w:val="24"/>
          <w:szCs w:val="24"/>
        </w:rPr>
        <w:t xml:space="preserve">; </w:t>
      </w:r>
      <w:r w:rsidR="00100ABE" w:rsidRPr="00641A30">
        <w:rPr>
          <w:color w:val="000000" w:themeColor="text1"/>
          <w:sz w:val="24"/>
          <w:szCs w:val="24"/>
        </w:rPr>
        <w:t xml:space="preserve">NOTE: </w:t>
      </w:r>
      <w:r w:rsidR="00100ABE" w:rsidRPr="00641A30">
        <w:rPr>
          <w:rFonts w:ascii="Symbol" w:eastAsia="Times New Roman" w:hAnsi="Symbol" w:cs="Times New Roman"/>
          <w:b/>
          <w:bCs/>
          <w:noProof w:val="0"/>
          <w:color w:val="000000"/>
          <w:sz w:val="24"/>
          <w:szCs w:val="24"/>
        </w:rPr>
        <w:t></w:t>
      </w:r>
      <w:r w:rsidR="00100ABE" w:rsidRPr="00641A30">
        <w:rPr>
          <w:color w:val="000000" w:themeColor="text1"/>
          <w:sz w:val="24"/>
          <w:szCs w:val="24"/>
        </w:rPr>
        <w:t>=CHANGE</w:t>
      </w:r>
    </w:p>
    <w:p w14:paraId="7F1243CC" w14:textId="77777777" w:rsidR="00D130D7" w:rsidRPr="00641A30" w:rsidRDefault="00D130D7" w:rsidP="00E552D2">
      <w:pPr>
        <w:pStyle w:val="Heading4"/>
        <w:spacing w:line="360" w:lineRule="auto"/>
      </w:pPr>
      <w:r w:rsidRPr="00641A30">
        <w:t>Physicians</w:t>
      </w:r>
    </w:p>
    <w:p w14:paraId="7ABFD980" w14:textId="77777777" w:rsidR="00D130D7" w:rsidRPr="00641A30" w:rsidRDefault="00D130D7" w:rsidP="00E552D2">
      <w:pPr>
        <w:spacing w:line="360" w:lineRule="auto"/>
        <w:ind w:right="-360"/>
        <w:rPr>
          <w:sz w:val="24"/>
          <w:szCs w:val="24"/>
        </w:rPr>
      </w:pPr>
      <w:r w:rsidRPr="00641A30">
        <w:rPr>
          <w:sz w:val="24"/>
          <w:szCs w:val="24"/>
        </w:rPr>
        <w:t xml:space="preserve">In another positive trend, the physician to population ratio in Massachusetts rose from 387 per 100,000 in 2007 to 413 per 100,000 in 2014, the highest physician to population ratio in the nation. In 2014, the number of licensed physicians in Massachusetts totaled 27,845. Although the proportion of male physicians (60%) exceeded that for female physicians (40%), the percentage of female physicians in Massachusetts is the highest ratio of any state in the nation. </w:t>
      </w:r>
    </w:p>
    <w:p w14:paraId="2D07EF06" w14:textId="05BA7CD1" w:rsidR="00D130D7" w:rsidRPr="00641A30" w:rsidRDefault="00D130D7" w:rsidP="00E552D2">
      <w:pPr>
        <w:spacing w:line="360" w:lineRule="auto"/>
        <w:ind w:right="-360"/>
        <w:rPr>
          <w:sz w:val="24"/>
          <w:szCs w:val="24"/>
        </w:rPr>
      </w:pPr>
      <w:r w:rsidRPr="00641A30">
        <w:rPr>
          <w:sz w:val="24"/>
          <w:szCs w:val="24"/>
        </w:rPr>
        <w:t>However, the distribution of physicians across the state is unbalan</w:t>
      </w:r>
      <w:r w:rsidR="00DC6891" w:rsidRPr="00641A30">
        <w:rPr>
          <w:sz w:val="24"/>
          <w:szCs w:val="24"/>
        </w:rPr>
        <w:t xml:space="preserve">ced as shown in the </w:t>
      </w:r>
      <w:r w:rsidR="00DC6891" w:rsidRPr="00641A30">
        <w:rPr>
          <w:b/>
          <w:sz w:val="24"/>
          <w:szCs w:val="24"/>
        </w:rPr>
        <w:t>Fi</w:t>
      </w:r>
      <w:r w:rsidRPr="00641A30">
        <w:rPr>
          <w:b/>
          <w:sz w:val="24"/>
          <w:szCs w:val="24"/>
        </w:rPr>
        <w:t>gure</w:t>
      </w:r>
      <w:r w:rsidR="00DC6891" w:rsidRPr="00641A30">
        <w:rPr>
          <w:b/>
          <w:sz w:val="24"/>
          <w:szCs w:val="24"/>
        </w:rPr>
        <w:t xml:space="preserve"> 7.14</w:t>
      </w:r>
      <w:r w:rsidRPr="00641A30">
        <w:rPr>
          <w:sz w:val="24"/>
          <w:szCs w:val="24"/>
        </w:rPr>
        <w:t>. The density of physicians is generally high in eastern portions of the state, particularly areas surrounding the Boston metropolitan area. The density of physicians is much lower in western portions of the state, with many municipalities having very few or even no practicing physicians.</w:t>
      </w:r>
    </w:p>
    <w:p w14:paraId="246985D5" w14:textId="537E8AD2" w:rsidR="00945BDC" w:rsidRPr="00641A30" w:rsidRDefault="00D130D7" w:rsidP="00E552D2">
      <w:pPr>
        <w:spacing w:line="360" w:lineRule="auto"/>
        <w:ind w:right="-360"/>
        <w:rPr>
          <w:sz w:val="24"/>
          <w:szCs w:val="24"/>
        </w:rPr>
      </w:pPr>
      <w:r w:rsidRPr="00641A30">
        <w:rPr>
          <w:sz w:val="24"/>
          <w:szCs w:val="24"/>
        </w:rPr>
        <w:t xml:space="preserve">A similar trend is seen with primary care providers. Although Massachusetts has the highest physician to population ratio in the country, differences in availability of providers in rural and urban areas may contribute to disparities in access to care, and </w:t>
      </w:r>
      <w:r w:rsidR="00754175" w:rsidRPr="00641A30">
        <w:rPr>
          <w:sz w:val="24"/>
          <w:szCs w:val="24"/>
        </w:rPr>
        <w:t xml:space="preserve">poorer </w:t>
      </w:r>
      <w:r w:rsidRPr="00641A30">
        <w:rPr>
          <w:sz w:val="24"/>
          <w:szCs w:val="24"/>
        </w:rPr>
        <w:t>health outcomes.</w:t>
      </w:r>
    </w:p>
    <w:p w14:paraId="38A08F8D" w14:textId="77777777" w:rsidR="00945BDC" w:rsidRPr="00641A30" w:rsidRDefault="00945BDC">
      <w:pPr>
        <w:spacing w:before="0"/>
        <w:ind w:left="0" w:right="0"/>
        <w:jc w:val="left"/>
        <w:rPr>
          <w:sz w:val="24"/>
          <w:szCs w:val="24"/>
        </w:rPr>
      </w:pPr>
      <w:r w:rsidRPr="00641A30">
        <w:rPr>
          <w:sz w:val="24"/>
          <w:szCs w:val="24"/>
        </w:rPr>
        <w:br w:type="page"/>
      </w:r>
    </w:p>
    <w:p w14:paraId="7F400F3F" w14:textId="77777777" w:rsidR="00D130D7" w:rsidRPr="00641A30" w:rsidRDefault="00D130D7" w:rsidP="00E552D2">
      <w:pPr>
        <w:pStyle w:val="SHAFigureNumber"/>
        <w:spacing w:line="360" w:lineRule="auto"/>
        <w:rPr>
          <w:sz w:val="24"/>
          <w:szCs w:val="24"/>
        </w:rPr>
      </w:pPr>
      <w:bookmarkStart w:id="7" w:name="_Hlk494371087"/>
      <w:r w:rsidRPr="00641A30">
        <w:rPr>
          <w:sz w:val="24"/>
          <w:szCs w:val="24"/>
        </w:rPr>
        <w:lastRenderedPageBreak/>
        <w:t>Figure 7.14</w:t>
      </w:r>
    </w:p>
    <w:p w14:paraId="5795E00B" w14:textId="130EB832" w:rsidR="00D130D7" w:rsidRPr="00641A30" w:rsidRDefault="00D130D7" w:rsidP="00E552D2">
      <w:pPr>
        <w:pStyle w:val="SHAFigureNumber"/>
        <w:spacing w:line="360" w:lineRule="auto"/>
        <w:rPr>
          <w:sz w:val="24"/>
          <w:szCs w:val="24"/>
        </w:rPr>
      </w:pPr>
      <w:r w:rsidRPr="00641A30">
        <w:rPr>
          <w:sz w:val="24"/>
          <w:szCs w:val="24"/>
        </w:rPr>
        <w:t>Ratio of Population to Physicians, Massachusetts, 2014</w:t>
      </w:r>
    </w:p>
    <w:bookmarkEnd w:id="7"/>
    <w:p w14:paraId="2BC0DF16" w14:textId="711E6B50" w:rsidR="00D130D7" w:rsidRPr="00641A30" w:rsidRDefault="00860E22" w:rsidP="00E552D2">
      <w:pPr>
        <w:pStyle w:val="source0"/>
        <w:spacing w:after="160" w:line="360" w:lineRule="auto"/>
        <w:ind w:left="-360" w:right="-360"/>
        <w:jc w:val="center"/>
        <w:rPr>
          <w:sz w:val="24"/>
          <w:szCs w:val="24"/>
        </w:rPr>
      </w:pPr>
      <w:r w:rsidRPr="00641A30">
        <w:rPr>
          <w:noProof/>
          <w:sz w:val="24"/>
          <w:szCs w:val="24"/>
        </w:rPr>
        <w:drawing>
          <wp:inline distT="0" distB="0" distL="0" distR="0" wp14:anchorId="29DDF814" wp14:editId="327934CD">
            <wp:extent cx="6128657" cy="3853962"/>
            <wp:effectExtent l="0" t="0" r="5715" b="0"/>
            <wp:docPr id="242" name="Picture 242" descr="This map of Massachusetts shows the density of physicians as a proportion of the population is generally high in eastern portions of the state, particularly areas surrounding the Boston metropolitan area. The density of physicians is much lower in western portions of the state, with many municipalities having very few or even no practicing physician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 name="7_14_PopToPhys_Ratio.jpg"/>
                    <pic:cNvPicPr/>
                  </pic:nvPicPr>
                  <pic:blipFill rotWithShape="1">
                    <a:blip r:embed="rId195" cstate="print">
                      <a:extLst>
                        <a:ext uri="{28A0092B-C50C-407E-A947-70E740481C1C}">
                          <a14:useLocalDpi xmlns:a14="http://schemas.microsoft.com/office/drawing/2010/main" val="0"/>
                        </a:ext>
                      </a:extLst>
                    </a:blip>
                    <a:srcRect t="10166"/>
                    <a:stretch/>
                  </pic:blipFill>
                  <pic:spPr bwMode="auto">
                    <a:xfrm>
                      <a:off x="0" y="0"/>
                      <a:ext cx="6139854" cy="3861003"/>
                    </a:xfrm>
                    <a:prstGeom prst="rect">
                      <a:avLst/>
                    </a:prstGeom>
                    <a:ln>
                      <a:noFill/>
                    </a:ln>
                    <a:extLst>
                      <a:ext uri="{53640926-AAD7-44D8-BBD7-CCE9431645EC}">
                        <a14:shadowObscured xmlns:a14="http://schemas.microsoft.com/office/drawing/2010/main"/>
                      </a:ext>
                    </a:extLst>
                  </pic:spPr>
                </pic:pic>
              </a:graphicData>
            </a:graphic>
          </wp:inline>
        </w:drawing>
      </w:r>
    </w:p>
    <w:p w14:paraId="77FD44A7" w14:textId="77777777" w:rsidR="00FA069B" w:rsidRPr="00641A30" w:rsidRDefault="00FA069B" w:rsidP="00E552D2">
      <w:pPr>
        <w:spacing w:line="360" w:lineRule="auto"/>
        <w:ind w:right="-360"/>
        <w:rPr>
          <w:sz w:val="24"/>
          <w:szCs w:val="24"/>
        </w:rPr>
      </w:pPr>
    </w:p>
    <w:p w14:paraId="213B27B6" w14:textId="3AAC1DBA" w:rsidR="00D130D7" w:rsidRPr="00641A30" w:rsidRDefault="00D130D7" w:rsidP="00E552D2">
      <w:pPr>
        <w:spacing w:line="360" w:lineRule="auto"/>
        <w:ind w:right="-360"/>
        <w:rPr>
          <w:sz w:val="24"/>
          <w:szCs w:val="24"/>
        </w:rPr>
      </w:pPr>
      <w:r w:rsidRPr="00641A30">
        <w:rPr>
          <w:sz w:val="24"/>
          <w:szCs w:val="24"/>
        </w:rPr>
        <w:t>The trend in Massachusetts related to the number</w:t>
      </w:r>
      <w:r w:rsidR="00754175" w:rsidRPr="00641A30">
        <w:rPr>
          <w:sz w:val="24"/>
          <w:szCs w:val="24"/>
        </w:rPr>
        <w:t xml:space="preserve"> of primary care physicians</w:t>
      </w:r>
      <w:r w:rsidRPr="00641A30">
        <w:rPr>
          <w:sz w:val="24"/>
          <w:szCs w:val="24"/>
        </w:rPr>
        <w:t xml:space="preserve"> is </w:t>
      </w:r>
      <w:r w:rsidR="00754175" w:rsidRPr="00641A30">
        <w:rPr>
          <w:sz w:val="24"/>
          <w:szCs w:val="24"/>
        </w:rPr>
        <w:t xml:space="preserve">also </w:t>
      </w:r>
      <w:r w:rsidRPr="00641A30">
        <w:rPr>
          <w:sz w:val="24"/>
          <w:szCs w:val="24"/>
        </w:rPr>
        <w:t>positive. In 2014, 5,661 active Massachusetts physicians were categori</w:t>
      </w:r>
      <w:r w:rsidR="0077573F" w:rsidRPr="00641A30">
        <w:rPr>
          <w:sz w:val="24"/>
          <w:szCs w:val="24"/>
        </w:rPr>
        <w:t>zed as primary care physician—2</w:t>
      </w:r>
      <w:r w:rsidRPr="00641A30">
        <w:rPr>
          <w:sz w:val="24"/>
          <w:szCs w:val="24"/>
        </w:rPr>
        <w:t>0% of all physicians. Because primary care physicians are more likely to accept new patients and M</w:t>
      </w:r>
      <w:r w:rsidR="00754175" w:rsidRPr="00641A30">
        <w:rPr>
          <w:sz w:val="24"/>
          <w:szCs w:val="24"/>
        </w:rPr>
        <w:t>assHealth</w:t>
      </w:r>
      <w:r w:rsidRPr="00641A30">
        <w:rPr>
          <w:sz w:val="24"/>
          <w:szCs w:val="24"/>
        </w:rPr>
        <w:t xml:space="preserve"> insurance, these providers are critical for addressing disparities in the availability of health care.</w:t>
      </w:r>
    </w:p>
    <w:p w14:paraId="63ABABEA" w14:textId="77777777" w:rsidR="00FA069B" w:rsidRPr="00641A30" w:rsidRDefault="00FA069B" w:rsidP="00E552D2">
      <w:pPr>
        <w:pStyle w:val="SHAFigureNumber"/>
        <w:spacing w:line="360" w:lineRule="auto"/>
        <w:rPr>
          <w:sz w:val="24"/>
          <w:szCs w:val="24"/>
        </w:rPr>
      </w:pPr>
      <w:r w:rsidRPr="00641A30">
        <w:rPr>
          <w:sz w:val="24"/>
          <w:szCs w:val="24"/>
        </w:rPr>
        <w:br/>
      </w:r>
    </w:p>
    <w:p w14:paraId="30C068CF" w14:textId="77777777" w:rsidR="00FA069B" w:rsidRPr="00641A30" w:rsidRDefault="00FA069B" w:rsidP="00E552D2">
      <w:pPr>
        <w:spacing w:before="0" w:line="360" w:lineRule="auto"/>
        <w:ind w:left="0" w:right="0"/>
        <w:jc w:val="left"/>
        <w:rPr>
          <w:b/>
          <w:noProof w:val="0"/>
          <w:sz w:val="24"/>
          <w:szCs w:val="24"/>
        </w:rPr>
      </w:pPr>
      <w:r w:rsidRPr="00641A30">
        <w:rPr>
          <w:sz w:val="24"/>
          <w:szCs w:val="24"/>
        </w:rPr>
        <w:br w:type="page"/>
      </w:r>
    </w:p>
    <w:p w14:paraId="4437A8C1" w14:textId="4BEF2738" w:rsidR="00D130D7" w:rsidRPr="00641A30" w:rsidRDefault="00D130D7" w:rsidP="00E552D2">
      <w:pPr>
        <w:pStyle w:val="SHAFigureNumber"/>
        <w:spacing w:line="360" w:lineRule="auto"/>
        <w:rPr>
          <w:sz w:val="24"/>
          <w:szCs w:val="24"/>
        </w:rPr>
      </w:pPr>
      <w:r w:rsidRPr="00641A30">
        <w:rPr>
          <w:sz w:val="24"/>
          <w:szCs w:val="24"/>
        </w:rPr>
        <w:lastRenderedPageBreak/>
        <w:t>Figure 7.15</w:t>
      </w:r>
    </w:p>
    <w:p w14:paraId="2651BCDF" w14:textId="77777777" w:rsidR="00D130D7" w:rsidRPr="00641A30" w:rsidRDefault="00D130D7" w:rsidP="00E552D2">
      <w:pPr>
        <w:pStyle w:val="SHAFigureNumber"/>
        <w:spacing w:line="360" w:lineRule="auto"/>
        <w:rPr>
          <w:sz w:val="24"/>
          <w:szCs w:val="24"/>
        </w:rPr>
      </w:pPr>
      <w:r w:rsidRPr="00641A30">
        <w:rPr>
          <w:sz w:val="24"/>
          <w:szCs w:val="24"/>
        </w:rPr>
        <w:t xml:space="preserve"> Demographic and Practice Characteristics of Physicians, Primary Care Physicians (PCP) vs. Non-Primary Care Physicians (Non-PCP), Massachusetts, 2014</w:t>
      </w:r>
    </w:p>
    <w:p w14:paraId="28C778CD" w14:textId="7805A5F4" w:rsidR="00D130D7" w:rsidRPr="00641A30" w:rsidRDefault="003B3905" w:rsidP="00E552D2">
      <w:pPr>
        <w:keepNext/>
        <w:keepLines/>
        <w:spacing w:line="360" w:lineRule="auto"/>
        <w:ind w:right="-360"/>
        <w:jc w:val="center"/>
        <w:rPr>
          <w:sz w:val="24"/>
          <w:szCs w:val="24"/>
        </w:rPr>
      </w:pPr>
      <w:r w:rsidRPr="00641A30">
        <w:rPr>
          <w:sz w:val="24"/>
          <w:szCs w:val="24"/>
        </w:rPr>
        <w:drawing>
          <wp:inline distT="0" distB="0" distL="0" distR="0" wp14:anchorId="0BBC7B2E" wp14:editId="3704AD1A">
            <wp:extent cx="5781675" cy="2208628"/>
            <wp:effectExtent l="0" t="0" r="0" b="1270"/>
            <wp:docPr id="55" name="Chart 55" descr="This set of five bar graphs compares primary care physicians(PCPs) to non-primary care physicians (non PCPs) in MA during 2014 by demographic and practice characteristics of physicians. Five sets of bar graphs are compared, each isolating a defined characteristic, namely: female gender, acceptance of new patients, acceptance of Medicaid, performing 10+ outpatient hours weekly, or performing 10+ inpatient hours weekly.  PCPs were more likely to be: female (55% vs 36%), accepting new patients (73% vs 63%), accepting Medicaid (73% vs 27%), performing 10+ outpatient hours weekly (95% vs 63%), and performing fewer inpatient hours weekly (20% vs 48%)." title="Figure 15. Comparisons Between PCPs and Non-PCPs">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23F063BD-C74F-439F-BAD9-2A1A2394D3B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6"/>
              </a:graphicData>
            </a:graphic>
          </wp:inline>
        </w:drawing>
      </w:r>
    </w:p>
    <w:p w14:paraId="07721662" w14:textId="44CF584C" w:rsidR="00D130D7" w:rsidRPr="00641A30" w:rsidRDefault="003B3905" w:rsidP="00E552D2">
      <w:pPr>
        <w:pStyle w:val="SHAFigureNote"/>
        <w:spacing w:line="360" w:lineRule="auto"/>
        <w:rPr>
          <w:sz w:val="24"/>
          <w:szCs w:val="24"/>
        </w:rPr>
      </w:pPr>
      <w:r w:rsidRPr="00641A30">
        <w:rPr>
          <w:sz w:val="24"/>
          <w:szCs w:val="24"/>
        </w:rPr>
        <w:t>SOURCE: BOARD OF REGISTRATION IN MEDICINE</w:t>
      </w:r>
    </w:p>
    <w:p w14:paraId="3ED17323" w14:textId="489C97D3" w:rsidR="00D130D7" w:rsidRPr="00641A30" w:rsidRDefault="00D130D7" w:rsidP="00E552D2">
      <w:pPr>
        <w:spacing w:line="360" w:lineRule="auto"/>
        <w:ind w:right="-360"/>
        <w:rPr>
          <w:sz w:val="24"/>
          <w:szCs w:val="24"/>
        </w:rPr>
      </w:pPr>
      <w:r w:rsidRPr="00641A30">
        <w:rPr>
          <w:sz w:val="24"/>
          <w:szCs w:val="24"/>
        </w:rPr>
        <w:t>The Health Resources and Services Administration (HRSA) uses a primary care physician to population ratio of 1:3,500 or greater as one criterion to define primary care health professional shortage areas (HPSAs)</w:t>
      </w:r>
      <w:r w:rsidR="00DC6891" w:rsidRPr="00641A30">
        <w:rPr>
          <w:sz w:val="24"/>
          <w:szCs w:val="24"/>
        </w:rPr>
        <w:t xml:space="preserve">. As shown in </w:t>
      </w:r>
      <w:r w:rsidR="00DC6891" w:rsidRPr="00641A30">
        <w:rPr>
          <w:b/>
          <w:sz w:val="24"/>
          <w:szCs w:val="24"/>
        </w:rPr>
        <w:t>Figure 7.16</w:t>
      </w:r>
      <w:r w:rsidRPr="00641A30">
        <w:rPr>
          <w:sz w:val="24"/>
          <w:szCs w:val="24"/>
        </w:rPr>
        <w:t>, towns and cities with more favorable physician to population ratios were more prevalent in the Boston and Metro West regions, and cities and towns with no physicians were more prevalent in the western and central portions of the state.</w:t>
      </w:r>
      <w:r w:rsidRPr="00641A30">
        <w:rPr>
          <w:rStyle w:val="EndnoteReference"/>
          <w:sz w:val="24"/>
          <w:szCs w:val="24"/>
        </w:rPr>
        <w:endnoteReference w:id="30"/>
      </w:r>
      <w:r w:rsidRPr="00641A30">
        <w:rPr>
          <w:sz w:val="24"/>
          <w:szCs w:val="24"/>
        </w:rPr>
        <w:t xml:space="preserve"> Massachusetts has four geographic areas that are designated as primary care health professional shortage </w:t>
      </w:r>
      <w:r w:rsidR="00DC6891" w:rsidRPr="00641A30">
        <w:rPr>
          <w:sz w:val="24"/>
          <w:szCs w:val="24"/>
        </w:rPr>
        <w:t xml:space="preserve">areas (HPSAs). </w:t>
      </w:r>
      <w:r w:rsidR="00DC6891" w:rsidRPr="00641A30">
        <w:rPr>
          <w:b/>
          <w:sz w:val="24"/>
          <w:szCs w:val="24"/>
        </w:rPr>
        <w:t>F</w:t>
      </w:r>
      <w:r w:rsidRPr="00641A30">
        <w:rPr>
          <w:b/>
          <w:sz w:val="24"/>
          <w:szCs w:val="24"/>
        </w:rPr>
        <w:t>igure</w:t>
      </w:r>
      <w:r w:rsidR="00DC6891" w:rsidRPr="00641A30">
        <w:rPr>
          <w:b/>
          <w:sz w:val="24"/>
          <w:szCs w:val="24"/>
        </w:rPr>
        <w:t xml:space="preserve"> 7.16</w:t>
      </w:r>
      <w:r w:rsidRPr="00641A30">
        <w:rPr>
          <w:sz w:val="24"/>
          <w:szCs w:val="24"/>
        </w:rPr>
        <w:t xml:space="preserve"> </w:t>
      </w:r>
      <w:r w:rsidR="00DC6891" w:rsidRPr="00641A30">
        <w:rPr>
          <w:sz w:val="24"/>
          <w:szCs w:val="24"/>
        </w:rPr>
        <w:t>il</w:t>
      </w:r>
      <w:r w:rsidRPr="00641A30">
        <w:rPr>
          <w:sz w:val="24"/>
          <w:szCs w:val="24"/>
        </w:rPr>
        <w:t>lustrates geographic gaps in the distribution of primary care physicians.</w:t>
      </w:r>
    </w:p>
    <w:p w14:paraId="3BD116EF" w14:textId="4656F276" w:rsidR="00945BDC" w:rsidRPr="00641A30" w:rsidRDefault="00945BDC">
      <w:pPr>
        <w:spacing w:before="0"/>
        <w:ind w:left="0" w:right="0"/>
        <w:jc w:val="left"/>
        <w:rPr>
          <w:sz w:val="24"/>
          <w:szCs w:val="24"/>
        </w:rPr>
      </w:pPr>
      <w:bookmarkStart w:id="8" w:name="_Hlk494371099"/>
      <w:r w:rsidRPr="00641A30">
        <w:rPr>
          <w:sz w:val="24"/>
          <w:szCs w:val="24"/>
        </w:rPr>
        <w:br w:type="page"/>
      </w:r>
    </w:p>
    <w:p w14:paraId="5F1B393A" w14:textId="44102E68" w:rsidR="00D130D7" w:rsidRPr="00641A30" w:rsidRDefault="00D130D7" w:rsidP="00E552D2">
      <w:pPr>
        <w:pStyle w:val="SHAFigureNumber"/>
        <w:spacing w:line="360" w:lineRule="auto"/>
        <w:rPr>
          <w:sz w:val="24"/>
          <w:szCs w:val="24"/>
        </w:rPr>
      </w:pPr>
      <w:r w:rsidRPr="00641A30">
        <w:rPr>
          <w:sz w:val="24"/>
          <w:szCs w:val="24"/>
        </w:rPr>
        <w:lastRenderedPageBreak/>
        <w:t>Figure 7.16</w:t>
      </w:r>
    </w:p>
    <w:p w14:paraId="326F41DC" w14:textId="77777777" w:rsidR="00D130D7" w:rsidRPr="00641A30" w:rsidRDefault="00D130D7" w:rsidP="00E552D2">
      <w:pPr>
        <w:pStyle w:val="SHAFigureNumber"/>
        <w:spacing w:line="360" w:lineRule="auto"/>
        <w:rPr>
          <w:sz w:val="24"/>
          <w:szCs w:val="24"/>
        </w:rPr>
      </w:pPr>
      <w:r w:rsidRPr="00641A30">
        <w:rPr>
          <w:sz w:val="24"/>
          <w:szCs w:val="24"/>
        </w:rPr>
        <w:t xml:space="preserve">Ratio of Primary Care Physicians to Population, Massachusetts, 2014 </w:t>
      </w:r>
      <w:bookmarkEnd w:id="8"/>
    </w:p>
    <w:p w14:paraId="7EAB2173" w14:textId="4BB5FD7D" w:rsidR="00C45C9D" w:rsidRPr="00641A30" w:rsidRDefault="00C45C9D" w:rsidP="00E552D2">
      <w:pPr>
        <w:pStyle w:val="SHAFigureNote"/>
        <w:spacing w:line="360" w:lineRule="auto"/>
        <w:rPr>
          <w:sz w:val="24"/>
          <w:szCs w:val="24"/>
        </w:rPr>
      </w:pPr>
      <w:r w:rsidRPr="00641A30">
        <w:rPr>
          <w:noProof/>
          <w:sz w:val="24"/>
          <w:szCs w:val="24"/>
        </w:rPr>
        <w:drawing>
          <wp:inline distT="0" distB="0" distL="0" distR="0" wp14:anchorId="1FCA8478" wp14:editId="7F394453">
            <wp:extent cx="6259830" cy="3791243"/>
            <wp:effectExtent l="0" t="0" r="7620" b="0"/>
            <wp:docPr id="245" name="Picture 245" descr="This map of Massachusetts shows the provider to population ratio of primary care physicians to population at the city/town level. A large number of cities/towns with lower provider to population ratios are located in the Boston/metrowest region. Many communities with high population to provider ratios or without a practicing primary care physician  are located in the central and westerns portions of the s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 name="7_16_PrimaryCarePhys_Ratio.jpg"/>
                    <pic:cNvPicPr/>
                  </pic:nvPicPr>
                  <pic:blipFill rotWithShape="1">
                    <a:blip r:embed="rId197">
                      <a:extLst>
                        <a:ext uri="{28A0092B-C50C-407E-A947-70E740481C1C}">
                          <a14:useLocalDpi xmlns:a14="http://schemas.microsoft.com/office/drawing/2010/main" val="0"/>
                        </a:ext>
                      </a:extLst>
                    </a:blip>
                    <a:srcRect t="10270" b="3208"/>
                    <a:stretch/>
                  </pic:blipFill>
                  <pic:spPr bwMode="auto">
                    <a:xfrm>
                      <a:off x="0" y="0"/>
                      <a:ext cx="6259830" cy="3791243"/>
                    </a:xfrm>
                    <a:prstGeom prst="rect">
                      <a:avLst/>
                    </a:prstGeom>
                    <a:ln>
                      <a:noFill/>
                    </a:ln>
                    <a:extLst>
                      <a:ext uri="{53640926-AAD7-44D8-BBD7-CCE9431645EC}">
                        <a14:shadowObscured xmlns:a14="http://schemas.microsoft.com/office/drawing/2010/main"/>
                      </a:ext>
                    </a:extLst>
                  </pic:spPr>
                </pic:pic>
              </a:graphicData>
            </a:graphic>
          </wp:inline>
        </w:drawing>
      </w:r>
    </w:p>
    <w:p w14:paraId="005A80FA" w14:textId="27E45C06" w:rsidR="00D130D7" w:rsidRPr="00641A30" w:rsidRDefault="00D130D7" w:rsidP="00E552D2">
      <w:pPr>
        <w:pStyle w:val="SHAFigureNote"/>
        <w:spacing w:line="360" w:lineRule="auto"/>
        <w:rPr>
          <w:sz w:val="24"/>
          <w:szCs w:val="24"/>
        </w:rPr>
      </w:pPr>
      <w:r w:rsidRPr="00641A30">
        <w:rPr>
          <w:sz w:val="24"/>
          <w:szCs w:val="24"/>
        </w:rPr>
        <w:t>SOURCE: BORIM</w:t>
      </w:r>
    </w:p>
    <w:p w14:paraId="2B12A880" w14:textId="77777777" w:rsidR="00D130D7" w:rsidRPr="00641A30" w:rsidRDefault="00D130D7" w:rsidP="00E552D2">
      <w:pPr>
        <w:pStyle w:val="Heading4"/>
        <w:spacing w:line="360" w:lineRule="auto"/>
      </w:pPr>
      <w:r w:rsidRPr="00641A30">
        <w:t>Nurses</w:t>
      </w:r>
    </w:p>
    <w:p w14:paraId="05D6FA64" w14:textId="77777777" w:rsidR="00D130D7" w:rsidRPr="00641A30" w:rsidRDefault="00D130D7" w:rsidP="00E552D2">
      <w:pPr>
        <w:spacing w:line="360" w:lineRule="auto"/>
        <w:ind w:right="-360"/>
        <w:rPr>
          <w:sz w:val="24"/>
          <w:szCs w:val="24"/>
        </w:rPr>
      </w:pPr>
      <w:r w:rsidRPr="00641A30">
        <w:rPr>
          <w:sz w:val="24"/>
          <w:szCs w:val="24"/>
        </w:rPr>
        <w:t>In 2014, Massachusetts had 123,862 registered nurses, 1,861 RNs per 100,000.</w:t>
      </w:r>
    </w:p>
    <w:p w14:paraId="3105FB33" w14:textId="35CA8DDA" w:rsidR="00261496" w:rsidRPr="00641A30" w:rsidRDefault="00261496" w:rsidP="00E552D2">
      <w:pPr>
        <w:spacing w:line="360" w:lineRule="auto"/>
        <w:ind w:right="-360"/>
        <w:rPr>
          <w:sz w:val="24"/>
          <w:szCs w:val="24"/>
        </w:rPr>
      </w:pPr>
      <w:r w:rsidRPr="00641A30">
        <w:rPr>
          <w:sz w:val="24"/>
          <w:szCs w:val="24"/>
        </w:rPr>
        <w:t xml:space="preserve">In 2014, there were 11,325 active registered nurses authorized to engage in advanced practice nursing. Approximately 78% of advanced practice registered nurses are nurse practitioners; 11% are nurse anesthetists; 8% are clinical nurse specialists; and 5% are nurse midwives. This represents a larger ratio of advanced practice registered nurses relative to the population than other states. </w:t>
      </w:r>
    </w:p>
    <w:p w14:paraId="4D82B3A9" w14:textId="6415B34A" w:rsidR="00261496" w:rsidRPr="00641A30" w:rsidRDefault="00261496" w:rsidP="00E552D2">
      <w:pPr>
        <w:spacing w:line="360" w:lineRule="auto"/>
        <w:ind w:right="-360"/>
        <w:rPr>
          <w:sz w:val="24"/>
          <w:szCs w:val="24"/>
        </w:rPr>
      </w:pPr>
      <w:r w:rsidRPr="00641A30">
        <w:rPr>
          <w:sz w:val="24"/>
          <w:szCs w:val="24"/>
        </w:rPr>
        <w:t>However, the distribution of nurses across the state is unbalan</w:t>
      </w:r>
      <w:r w:rsidR="003E0BD6" w:rsidRPr="00641A30">
        <w:rPr>
          <w:sz w:val="24"/>
          <w:szCs w:val="24"/>
        </w:rPr>
        <w:t xml:space="preserve">ced as shown in </w:t>
      </w:r>
      <w:r w:rsidR="003E0BD6" w:rsidRPr="00641A30">
        <w:rPr>
          <w:b/>
          <w:sz w:val="24"/>
          <w:szCs w:val="24"/>
        </w:rPr>
        <w:t>Figure 7.17</w:t>
      </w:r>
      <w:r w:rsidRPr="00641A30">
        <w:rPr>
          <w:sz w:val="24"/>
          <w:szCs w:val="24"/>
        </w:rPr>
        <w:t xml:space="preserve">. The Boston, Metro West, and Northeast regions of the state have a higher ratio of registered nurses to the population, while cities and towns with a lower registered nurse density are located in the western and central regions of Massachusetts. </w:t>
      </w:r>
    </w:p>
    <w:p w14:paraId="513A4ED2" w14:textId="7443D39B" w:rsidR="00261496" w:rsidRPr="00641A30" w:rsidRDefault="000C310F" w:rsidP="00945BDC">
      <w:pPr>
        <w:spacing w:line="360" w:lineRule="auto"/>
        <w:ind w:right="-360"/>
        <w:rPr>
          <w:sz w:val="24"/>
          <w:szCs w:val="24"/>
        </w:rPr>
      </w:pPr>
      <w:r w:rsidRPr="00641A30">
        <w:rPr>
          <w:sz w:val="24"/>
          <w:szCs w:val="24"/>
        </w:rPr>
        <w:lastRenderedPageBreak/>
        <w:t xml:space="preserve">As shown in </w:t>
      </w:r>
      <w:r w:rsidRPr="00641A30">
        <w:rPr>
          <w:b/>
          <w:sz w:val="24"/>
          <w:szCs w:val="24"/>
        </w:rPr>
        <w:t>Figure 7.18</w:t>
      </w:r>
      <w:r w:rsidRPr="00641A30">
        <w:rPr>
          <w:sz w:val="24"/>
          <w:szCs w:val="24"/>
        </w:rPr>
        <w:t xml:space="preserve">, while the large RN population in Massachusetts may be a positive development, the RNs population may not sufficiently meet the needs of the non-English speaking populations which it serves. </w:t>
      </w:r>
    </w:p>
    <w:p w14:paraId="623A5163" w14:textId="42001913" w:rsidR="00D130D7" w:rsidRPr="00641A30" w:rsidRDefault="00D130D7" w:rsidP="00E552D2">
      <w:pPr>
        <w:pStyle w:val="SHAFigureNumber"/>
        <w:spacing w:line="360" w:lineRule="auto"/>
        <w:rPr>
          <w:sz w:val="24"/>
          <w:szCs w:val="24"/>
        </w:rPr>
      </w:pPr>
      <w:r w:rsidRPr="00641A30">
        <w:rPr>
          <w:sz w:val="24"/>
          <w:szCs w:val="24"/>
        </w:rPr>
        <w:t xml:space="preserve">Figure 7.17 </w:t>
      </w:r>
    </w:p>
    <w:p w14:paraId="73118667" w14:textId="77777777" w:rsidR="00DC6891" w:rsidRPr="00641A30" w:rsidRDefault="00DC6891" w:rsidP="00E552D2">
      <w:pPr>
        <w:pStyle w:val="SHAFigureNumber"/>
        <w:spacing w:line="360" w:lineRule="auto"/>
        <w:rPr>
          <w:rFonts w:cstheme="minorHAnsi"/>
          <w:sz w:val="24"/>
          <w:szCs w:val="24"/>
        </w:rPr>
      </w:pPr>
      <w:bookmarkStart w:id="9" w:name="_Hlk494371168"/>
      <w:r w:rsidRPr="00641A30">
        <w:rPr>
          <w:rFonts w:cstheme="minorHAnsi"/>
          <w:sz w:val="24"/>
          <w:szCs w:val="24"/>
        </w:rPr>
        <w:t>Ratio of Registered Nurses to Population, Massachusetts, 2014</w:t>
      </w:r>
    </w:p>
    <w:bookmarkEnd w:id="9"/>
    <w:p w14:paraId="18CEC45F" w14:textId="77777777" w:rsidR="00DC6891" w:rsidRPr="00641A30" w:rsidRDefault="00DC6891" w:rsidP="00E552D2">
      <w:pPr>
        <w:pStyle w:val="SHAFigureNumber"/>
        <w:spacing w:line="360" w:lineRule="auto"/>
        <w:rPr>
          <w:sz w:val="24"/>
          <w:szCs w:val="24"/>
        </w:rPr>
      </w:pPr>
    </w:p>
    <w:p w14:paraId="21C06116" w14:textId="77777777" w:rsidR="00DC6891" w:rsidRPr="00641A30" w:rsidRDefault="00DC6891" w:rsidP="00E552D2">
      <w:pPr>
        <w:spacing w:line="360" w:lineRule="auto"/>
        <w:ind w:right="-360"/>
        <w:jc w:val="center"/>
        <w:rPr>
          <w:rFonts w:cs="Times New Roman"/>
          <w:noProof w:val="0"/>
          <w:sz w:val="24"/>
          <w:szCs w:val="24"/>
        </w:rPr>
      </w:pPr>
      <w:r w:rsidRPr="00641A30">
        <w:rPr>
          <w:rFonts w:cstheme="minorHAnsi"/>
          <w:sz w:val="24"/>
          <w:szCs w:val="24"/>
        </w:rPr>
        <w:drawing>
          <wp:inline distT="0" distB="0" distL="0" distR="0" wp14:anchorId="0BA998C7" wp14:editId="08E06FDB">
            <wp:extent cx="5943600" cy="3586444"/>
            <wp:effectExtent l="0" t="0" r="0" b="0"/>
            <wp:docPr id="247" name="Picture 247" descr="This map of Massachusetts illustrates the ratio of registered nurses to population.  Boston and metrowest areas have higher ratios of registered nurses to population.  There are many cities and towns with lower ratios or no registered nurses located in the western and central regions of the s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 name="7_18_PopToRNs_Ratio.jpg"/>
                    <pic:cNvPicPr/>
                  </pic:nvPicPr>
                  <pic:blipFill rotWithShape="1">
                    <a:blip r:embed="rId198" cstate="print">
                      <a:extLst>
                        <a:ext uri="{28A0092B-C50C-407E-A947-70E740481C1C}">
                          <a14:useLocalDpi xmlns:a14="http://schemas.microsoft.com/office/drawing/2010/main" val="0"/>
                        </a:ext>
                      </a:extLst>
                    </a:blip>
                    <a:srcRect t="10608" b="3183"/>
                    <a:stretch/>
                  </pic:blipFill>
                  <pic:spPr bwMode="auto">
                    <a:xfrm>
                      <a:off x="0" y="0"/>
                      <a:ext cx="5943600" cy="3586444"/>
                    </a:xfrm>
                    <a:prstGeom prst="rect">
                      <a:avLst/>
                    </a:prstGeom>
                    <a:ln>
                      <a:noFill/>
                    </a:ln>
                    <a:extLst>
                      <a:ext uri="{53640926-AAD7-44D8-BBD7-CCE9431645EC}">
                        <a14:shadowObscured xmlns:a14="http://schemas.microsoft.com/office/drawing/2010/main"/>
                      </a:ext>
                    </a:extLst>
                  </pic:spPr>
                </pic:pic>
              </a:graphicData>
            </a:graphic>
          </wp:inline>
        </w:drawing>
      </w:r>
    </w:p>
    <w:p w14:paraId="2DC56A5A" w14:textId="6919E46E" w:rsidR="00945BDC" w:rsidRPr="00641A30" w:rsidRDefault="00945BDC">
      <w:pPr>
        <w:spacing w:before="0"/>
        <w:ind w:left="0" w:right="0"/>
        <w:jc w:val="left"/>
        <w:rPr>
          <w:rFonts w:cs="Times New Roman"/>
          <w:noProof w:val="0"/>
          <w:sz w:val="24"/>
          <w:szCs w:val="24"/>
        </w:rPr>
      </w:pPr>
      <w:r w:rsidRPr="00641A30">
        <w:rPr>
          <w:rFonts w:cs="Times New Roman"/>
          <w:noProof w:val="0"/>
          <w:sz w:val="24"/>
          <w:szCs w:val="24"/>
        </w:rPr>
        <w:br w:type="page"/>
      </w:r>
    </w:p>
    <w:p w14:paraId="6C907869" w14:textId="50A07E5B" w:rsidR="00DC6891" w:rsidRPr="00641A30" w:rsidRDefault="00DC6891" w:rsidP="00E552D2">
      <w:pPr>
        <w:pStyle w:val="SHAFigureNumber"/>
        <w:spacing w:line="360" w:lineRule="auto"/>
        <w:rPr>
          <w:rFonts w:cstheme="minorHAnsi"/>
          <w:sz w:val="24"/>
          <w:szCs w:val="24"/>
        </w:rPr>
      </w:pPr>
      <w:r w:rsidRPr="00641A30">
        <w:rPr>
          <w:rFonts w:cstheme="minorHAnsi"/>
          <w:sz w:val="24"/>
          <w:szCs w:val="24"/>
        </w:rPr>
        <w:lastRenderedPageBreak/>
        <w:t>Figure 7.18</w:t>
      </w:r>
    </w:p>
    <w:p w14:paraId="48A6443E" w14:textId="77777777" w:rsidR="0089447A" w:rsidRPr="00641A30" w:rsidRDefault="00DC6891" w:rsidP="00E552D2">
      <w:pPr>
        <w:pStyle w:val="SHAFigureNumber"/>
        <w:spacing w:line="360" w:lineRule="auto"/>
        <w:contextualSpacing/>
        <w:rPr>
          <w:sz w:val="24"/>
          <w:szCs w:val="24"/>
        </w:rPr>
      </w:pPr>
      <w:r w:rsidRPr="00641A30">
        <w:rPr>
          <w:sz w:val="24"/>
          <w:szCs w:val="24"/>
        </w:rPr>
        <w:t>Comparison of Registered Nurse Language Fluency to Massachusetts Residents Primary Language,</w:t>
      </w:r>
    </w:p>
    <w:p w14:paraId="7C419ABE" w14:textId="2D94DB5C" w:rsidR="00DC6891" w:rsidRPr="00641A30" w:rsidRDefault="00DC6891" w:rsidP="00E552D2">
      <w:pPr>
        <w:pStyle w:val="SHAFigureNumber"/>
        <w:spacing w:line="360" w:lineRule="auto"/>
        <w:contextualSpacing/>
        <w:rPr>
          <w:sz w:val="24"/>
          <w:szCs w:val="24"/>
        </w:rPr>
      </w:pPr>
      <w:r w:rsidRPr="00641A30">
        <w:rPr>
          <w:sz w:val="24"/>
          <w:szCs w:val="24"/>
        </w:rPr>
        <w:t>Massachusetts, 2010-2014</w:t>
      </w:r>
    </w:p>
    <w:p w14:paraId="381C4153" w14:textId="77777777" w:rsidR="00DC6891" w:rsidRPr="00641A30" w:rsidRDefault="00DC6891" w:rsidP="00E552D2">
      <w:pPr>
        <w:pStyle w:val="SHAFigureNumber"/>
        <w:spacing w:line="360" w:lineRule="auto"/>
        <w:rPr>
          <w:rFonts w:cstheme="minorHAnsi"/>
          <w:sz w:val="24"/>
          <w:szCs w:val="24"/>
        </w:rPr>
      </w:pPr>
    </w:p>
    <w:p w14:paraId="2E014E8B" w14:textId="293D99EF" w:rsidR="00D130D7" w:rsidRPr="00641A30" w:rsidRDefault="003B3905" w:rsidP="00E552D2">
      <w:pPr>
        <w:spacing w:line="360" w:lineRule="auto"/>
        <w:ind w:right="-360"/>
        <w:jc w:val="center"/>
        <w:rPr>
          <w:rFonts w:cs="Times New Roman"/>
          <w:noProof w:val="0"/>
          <w:sz w:val="24"/>
          <w:szCs w:val="24"/>
        </w:rPr>
      </w:pPr>
      <w:r w:rsidRPr="00641A30">
        <w:rPr>
          <w:sz w:val="24"/>
          <w:szCs w:val="24"/>
        </w:rPr>
        <w:drawing>
          <wp:inline distT="0" distB="0" distL="0" distR="0" wp14:anchorId="4AAE6BAB" wp14:editId="424299BF">
            <wp:extent cx="3795395" cy="2131256"/>
            <wp:effectExtent l="0" t="0" r="0" b="2540"/>
            <wp:docPr id="59" name="Chart 59" descr="Fig. 7.18 compares the percentage of RNs that speak Spanish, Portuguese and Chinese to the percentage of MA residents that speak those languages at home. &#10;&#10;8.3% of MA residents speak Spanish at home compared to 4.4% of RNs that reported fluency in Spanish.&#10;&#10;2.9% of MA residents speak Portuguese at home compared to 1.4% of RNs that reported fluency in Portuguese.&#10;&#10;1.8% of MA residents speak Chinese at home compared to 0.4% of RNs that reported fluency in Chinese.&#10;&#10;" title="Figure 7.18  RNs by Language Fluency and MA Residents by Language Spoken at Home">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E0DC8703-732C-42A0-B538-5133363C80F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9"/>
              </a:graphicData>
            </a:graphic>
          </wp:inline>
        </w:drawing>
      </w:r>
    </w:p>
    <w:p w14:paraId="59A17014" w14:textId="4C2BFCCC" w:rsidR="00D130D7" w:rsidRPr="00641A30" w:rsidRDefault="00D130D7" w:rsidP="00E552D2">
      <w:pPr>
        <w:pStyle w:val="fignum1"/>
        <w:spacing w:line="360" w:lineRule="auto"/>
        <w:ind w:left="-360" w:right="-360"/>
        <w:jc w:val="center"/>
        <w:rPr>
          <w:rFonts w:cstheme="minorHAnsi"/>
          <w:noProof/>
          <w:sz w:val="24"/>
          <w:szCs w:val="24"/>
        </w:rPr>
      </w:pPr>
    </w:p>
    <w:p w14:paraId="21559240" w14:textId="77777777" w:rsidR="00D130D7" w:rsidRPr="00641A30" w:rsidRDefault="00D130D7" w:rsidP="00E552D2">
      <w:pPr>
        <w:pStyle w:val="Heading4"/>
        <w:spacing w:line="360" w:lineRule="auto"/>
      </w:pPr>
      <w:r w:rsidRPr="00641A30">
        <w:t>Pharmacists</w:t>
      </w:r>
    </w:p>
    <w:p w14:paraId="6AD852B3" w14:textId="77777777" w:rsidR="00D130D7" w:rsidRPr="00641A30" w:rsidRDefault="00D130D7" w:rsidP="00E552D2">
      <w:pPr>
        <w:spacing w:line="360" w:lineRule="auto"/>
        <w:ind w:right="-360"/>
        <w:rPr>
          <w:sz w:val="24"/>
          <w:szCs w:val="24"/>
        </w:rPr>
      </w:pPr>
      <w:r w:rsidRPr="00641A30">
        <w:rPr>
          <w:sz w:val="24"/>
          <w:szCs w:val="24"/>
        </w:rPr>
        <w:t xml:space="preserve">The pharmacist workforce survey and the Massachusetts Health Professions Data Series indicate that in 2014, Massachusetts had 11,177 licensed pharmacists or 168 pharmacists per 100,000 in population. </w:t>
      </w:r>
    </w:p>
    <w:p w14:paraId="07E998BD" w14:textId="1491EF0A" w:rsidR="00945BDC" w:rsidRPr="00641A30" w:rsidRDefault="003E0BD6" w:rsidP="00E552D2">
      <w:pPr>
        <w:spacing w:line="360" w:lineRule="auto"/>
        <w:ind w:right="-360"/>
        <w:rPr>
          <w:sz w:val="24"/>
          <w:szCs w:val="24"/>
        </w:rPr>
      </w:pPr>
      <w:r w:rsidRPr="00641A30">
        <w:rPr>
          <w:sz w:val="24"/>
          <w:szCs w:val="24"/>
        </w:rPr>
        <w:t xml:space="preserve">As shown in in the </w:t>
      </w:r>
      <w:r w:rsidRPr="00641A30">
        <w:rPr>
          <w:b/>
          <w:sz w:val="24"/>
          <w:szCs w:val="24"/>
        </w:rPr>
        <w:t>Figure</w:t>
      </w:r>
      <w:r w:rsidR="000C310F" w:rsidRPr="00641A30">
        <w:rPr>
          <w:b/>
          <w:sz w:val="24"/>
          <w:szCs w:val="24"/>
        </w:rPr>
        <w:t xml:space="preserve"> </w:t>
      </w:r>
      <w:r w:rsidRPr="00641A30">
        <w:rPr>
          <w:b/>
          <w:sz w:val="24"/>
          <w:szCs w:val="24"/>
        </w:rPr>
        <w:t>7.19</w:t>
      </w:r>
      <w:r w:rsidR="00D130D7" w:rsidRPr="00641A30">
        <w:rPr>
          <w:sz w:val="24"/>
          <w:szCs w:val="24"/>
        </w:rPr>
        <w:t>, the distribution of pharmacists across the state is unbalanced. The density of pharmacists is higher in the eastern region of the state, particularly in the greater Boston area. The western and central regions of the state had a lower ratio of pharmacists to population.</w:t>
      </w:r>
    </w:p>
    <w:p w14:paraId="3D8C20A2" w14:textId="77777777" w:rsidR="00945BDC" w:rsidRPr="00641A30" w:rsidRDefault="00945BDC">
      <w:pPr>
        <w:spacing w:before="0"/>
        <w:ind w:left="0" w:right="0"/>
        <w:jc w:val="left"/>
        <w:rPr>
          <w:sz w:val="24"/>
          <w:szCs w:val="24"/>
        </w:rPr>
      </w:pPr>
      <w:r w:rsidRPr="00641A30">
        <w:rPr>
          <w:sz w:val="24"/>
          <w:szCs w:val="24"/>
        </w:rPr>
        <w:br w:type="page"/>
      </w:r>
    </w:p>
    <w:p w14:paraId="22DC9DA2" w14:textId="11709BE0" w:rsidR="00D130D7" w:rsidRPr="00641A30" w:rsidRDefault="00D130D7" w:rsidP="00E552D2">
      <w:pPr>
        <w:pStyle w:val="SHAFigureNumber"/>
        <w:spacing w:line="360" w:lineRule="auto"/>
        <w:rPr>
          <w:sz w:val="24"/>
          <w:szCs w:val="24"/>
        </w:rPr>
      </w:pPr>
      <w:r w:rsidRPr="00641A30">
        <w:rPr>
          <w:sz w:val="24"/>
          <w:szCs w:val="24"/>
        </w:rPr>
        <w:lastRenderedPageBreak/>
        <w:t xml:space="preserve">Figure 7.19 </w:t>
      </w:r>
    </w:p>
    <w:p w14:paraId="0498037B" w14:textId="0E605E80" w:rsidR="00D130D7" w:rsidRPr="00641A30" w:rsidRDefault="00D130D7" w:rsidP="00E552D2">
      <w:pPr>
        <w:pStyle w:val="SHAFigureNumber"/>
        <w:spacing w:line="360" w:lineRule="auto"/>
        <w:rPr>
          <w:sz w:val="24"/>
          <w:szCs w:val="24"/>
        </w:rPr>
      </w:pPr>
      <w:r w:rsidRPr="00641A30">
        <w:rPr>
          <w:sz w:val="24"/>
          <w:szCs w:val="24"/>
        </w:rPr>
        <w:t>Ratio of Pharmacists to Population</w:t>
      </w:r>
      <w:r w:rsidR="007A216A" w:rsidRPr="00641A30">
        <w:rPr>
          <w:sz w:val="24"/>
          <w:szCs w:val="24"/>
        </w:rPr>
        <w:t>,</w:t>
      </w:r>
      <w:r w:rsidRPr="00641A30">
        <w:rPr>
          <w:sz w:val="24"/>
          <w:szCs w:val="24"/>
        </w:rPr>
        <w:t xml:space="preserve"> Massachusetts, 2014</w:t>
      </w:r>
    </w:p>
    <w:p w14:paraId="56CA3EEE" w14:textId="62A4DCA7" w:rsidR="00D130D7" w:rsidRPr="00641A30" w:rsidRDefault="00B829F5" w:rsidP="00E552D2">
      <w:pPr>
        <w:spacing w:line="360" w:lineRule="auto"/>
        <w:ind w:right="-360"/>
        <w:jc w:val="center"/>
        <w:rPr>
          <w:sz w:val="24"/>
          <w:szCs w:val="24"/>
        </w:rPr>
      </w:pPr>
      <w:r w:rsidRPr="00641A30">
        <w:rPr>
          <w:sz w:val="24"/>
          <w:szCs w:val="24"/>
        </w:rPr>
        <w:drawing>
          <wp:inline distT="0" distB="0" distL="0" distR="0" wp14:anchorId="69B1CED4" wp14:editId="38383E27">
            <wp:extent cx="6624725" cy="3784209"/>
            <wp:effectExtent l="0" t="0" r="0" b="0"/>
            <wp:docPr id="729" name="Graphic 729" descr="This map of Massachusetts shows a hotspot analysis of pharmacists to population ratios.  The largest cluster of communities with significantly high pharmacists to population ratios spans the greater Boston area, metrowest, and some parts of the northeastern portion of the state.  Significant clusters of communities with low pharmacists to population ratios can be found spanning much of westerns and central portions of the s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9" name="7.19 Pharmacists.svg"/>
                    <pic:cNvPicPr/>
                  </pic:nvPicPr>
                  <pic:blipFill rotWithShape="1">
                    <a:blip r:embed="rId200" cstate="print">
                      <a:extLst>
                        <a:ext uri="{28A0092B-C50C-407E-A947-70E740481C1C}">
                          <a14:useLocalDpi xmlns:a14="http://schemas.microsoft.com/office/drawing/2010/main" val="0"/>
                        </a:ext>
                        <a:ext uri="{96DAC541-7B7A-43D3-8B79-37D633B846F1}">
                          <asvg:svgBlip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svg="http://schemas.microsoft.com/office/drawing/2016/SVG/main" r:embed="rId201"/>
                        </a:ext>
                      </a:extLst>
                    </a:blip>
                    <a:srcRect t="16037" b="10042"/>
                    <a:stretch/>
                  </pic:blipFill>
                  <pic:spPr bwMode="auto">
                    <a:xfrm>
                      <a:off x="0" y="0"/>
                      <a:ext cx="6627829" cy="3785982"/>
                    </a:xfrm>
                    <a:prstGeom prst="rect">
                      <a:avLst/>
                    </a:prstGeom>
                    <a:ln>
                      <a:noFill/>
                    </a:ln>
                    <a:extLst>
                      <a:ext uri="{53640926-AAD7-44D8-BBD7-CCE9431645EC}">
                        <a14:shadowObscured xmlns:a14="http://schemas.microsoft.com/office/drawing/2010/main"/>
                      </a:ext>
                    </a:extLst>
                  </pic:spPr>
                </pic:pic>
              </a:graphicData>
            </a:graphic>
          </wp:inline>
        </w:drawing>
      </w:r>
    </w:p>
    <w:p w14:paraId="27DD019C" w14:textId="77777777" w:rsidR="00D130D7" w:rsidRPr="00641A30" w:rsidRDefault="00D130D7" w:rsidP="00E552D2">
      <w:pPr>
        <w:pStyle w:val="Heading4"/>
        <w:spacing w:line="360" w:lineRule="auto"/>
      </w:pPr>
      <w:r w:rsidRPr="00641A30">
        <w:t>Emergency Medical Technicians</w:t>
      </w:r>
    </w:p>
    <w:p w14:paraId="64938CA5" w14:textId="465ED3B1" w:rsidR="00D130D7" w:rsidRPr="00641A30" w:rsidRDefault="00D130D7" w:rsidP="00E552D2">
      <w:pPr>
        <w:spacing w:line="360" w:lineRule="auto"/>
        <w:ind w:right="-360"/>
        <w:rPr>
          <w:sz w:val="24"/>
          <w:szCs w:val="24"/>
        </w:rPr>
      </w:pPr>
      <w:r w:rsidRPr="00641A30">
        <w:rPr>
          <w:sz w:val="24"/>
          <w:szCs w:val="24"/>
        </w:rPr>
        <w:t xml:space="preserve">Emergency </w:t>
      </w:r>
      <w:r w:rsidR="000A5378" w:rsidRPr="00641A30">
        <w:rPr>
          <w:sz w:val="24"/>
          <w:szCs w:val="24"/>
        </w:rPr>
        <w:t xml:space="preserve">Medical Technicians </w:t>
      </w:r>
      <w:r w:rsidR="00FA069B" w:rsidRPr="00641A30">
        <w:rPr>
          <w:sz w:val="24"/>
          <w:szCs w:val="24"/>
        </w:rPr>
        <w:t xml:space="preserve">(EMT) </w:t>
      </w:r>
      <w:r w:rsidR="000A5378" w:rsidRPr="00641A30">
        <w:rPr>
          <w:sz w:val="24"/>
          <w:szCs w:val="24"/>
        </w:rPr>
        <w:t>provide out-of-</w:t>
      </w:r>
      <w:r w:rsidRPr="00641A30">
        <w:rPr>
          <w:sz w:val="24"/>
          <w:szCs w:val="24"/>
        </w:rPr>
        <w:t xml:space="preserve">hospital emergency medical care and transportation for critical and emergent patients who access the emergency medical services (EMS) system. EMTs have the basic knowledge and skills necessary to stabilize and safely transport patients ranging from non-emergency and routine medical transports to life threatening emergencies. Emergency Medical Technicians function as part of a comprehensive EMS response system, under medical oversight. </w:t>
      </w:r>
    </w:p>
    <w:p w14:paraId="0B878104" w14:textId="77777777" w:rsidR="00D130D7" w:rsidRPr="00641A30" w:rsidRDefault="00D130D7" w:rsidP="00E552D2">
      <w:pPr>
        <w:spacing w:line="360" w:lineRule="auto"/>
        <w:ind w:right="-360"/>
        <w:rPr>
          <w:color w:val="000000" w:themeColor="text1"/>
          <w:sz w:val="24"/>
          <w:szCs w:val="24"/>
        </w:rPr>
      </w:pPr>
      <w:r w:rsidRPr="00641A30">
        <w:rPr>
          <w:sz w:val="24"/>
          <w:szCs w:val="24"/>
        </w:rPr>
        <w:t>In 2013, Massachusetts adopted the National Registry of EMTs (NREMT) certification standards which improved the quality of EMT training, while also streamlining the certification and recertification process.  In 2017, more than 23,300 certified EMTs, including those with Basic, Advanced EMT, and Paramedic level certification, delivered community level emergency medical services to residents across the Commonwealth. In 2017, Massachusetts had 343.4 EMTs per 100,000 population, a 2.3% decline from 2011.</w:t>
      </w:r>
      <w:r w:rsidRPr="00641A30">
        <w:rPr>
          <w:color w:val="000000" w:themeColor="text1"/>
          <w:sz w:val="24"/>
          <w:szCs w:val="24"/>
        </w:rPr>
        <w:t xml:space="preserve"> </w:t>
      </w:r>
    </w:p>
    <w:p w14:paraId="55839B6C" w14:textId="1305007E" w:rsidR="00261496" w:rsidRPr="00641A30" w:rsidRDefault="00D130D7" w:rsidP="00E552D2">
      <w:pPr>
        <w:spacing w:line="360" w:lineRule="auto"/>
        <w:ind w:right="-360"/>
        <w:rPr>
          <w:sz w:val="24"/>
          <w:szCs w:val="24"/>
        </w:rPr>
      </w:pPr>
      <w:r w:rsidRPr="00641A30">
        <w:rPr>
          <w:color w:val="000000" w:themeColor="text1"/>
          <w:sz w:val="24"/>
          <w:szCs w:val="24"/>
        </w:rPr>
        <w:lastRenderedPageBreak/>
        <w:t>An increase in training requirements and low compensation contribute to a high rate of turnover among EMTs relative to other health care profession</w:t>
      </w:r>
      <w:r w:rsidRPr="00641A30">
        <w:rPr>
          <w:sz w:val="24"/>
          <w:szCs w:val="24"/>
        </w:rPr>
        <w:t>s.</w:t>
      </w:r>
      <w:r w:rsidRPr="00641A30">
        <w:rPr>
          <w:rStyle w:val="EndnoteReference"/>
          <w:sz w:val="24"/>
          <w:szCs w:val="24"/>
        </w:rPr>
        <w:endnoteReference w:id="31"/>
      </w:r>
      <w:r w:rsidR="00965429" w:rsidRPr="00641A30">
        <w:rPr>
          <w:sz w:val="24"/>
          <w:szCs w:val="24"/>
        </w:rPr>
        <w:t xml:space="preserve"> </w:t>
      </w:r>
    </w:p>
    <w:p w14:paraId="578EB924" w14:textId="4849E283" w:rsidR="00D130D7" w:rsidRPr="00641A30" w:rsidRDefault="00D130D7" w:rsidP="00E552D2">
      <w:pPr>
        <w:pStyle w:val="Heading4"/>
        <w:spacing w:line="360" w:lineRule="auto"/>
        <w:rPr>
          <w:color w:val="2F5496" w:themeColor="accent1" w:themeShade="BF"/>
        </w:rPr>
      </w:pPr>
      <w:r w:rsidRPr="00641A30">
        <w:t>Community Health Workers</w:t>
      </w:r>
    </w:p>
    <w:p w14:paraId="196187DA" w14:textId="77777777" w:rsidR="00D130D7" w:rsidRPr="00641A30" w:rsidRDefault="00D130D7" w:rsidP="00E552D2">
      <w:pPr>
        <w:spacing w:line="360" w:lineRule="auto"/>
        <w:ind w:right="-360"/>
        <w:rPr>
          <w:sz w:val="24"/>
          <w:szCs w:val="24"/>
          <w:vertAlign w:val="superscript"/>
        </w:rPr>
      </w:pPr>
      <w:r w:rsidRPr="00641A30">
        <w:rPr>
          <w:rFonts w:ascii="Calibri" w:eastAsia="Calibri" w:hAnsi="Calibri"/>
          <w:sz w:val="24"/>
          <w:szCs w:val="24"/>
        </w:rPr>
        <w:t xml:space="preserve">Community health workers (CHWs) are an essential public health workforce for reaching people in communities who experience the largest burden of health inequities. </w:t>
      </w:r>
      <w:r w:rsidRPr="00641A30">
        <w:rPr>
          <w:sz w:val="24"/>
          <w:szCs w:val="24"/>
        </w:rPr>
        <w:t>Community health workers (CHWs) are defined in Massachusetts as public health workers who apply their unique understanding of the experience, language, and/or culture of the populations they serve to carry out one or more of the following roles:</w:t>
      </w:r>
      <w:r w:rsidRPr="00641A30">
        <w:rPr>
          <w:rStyle w:val="EndnoteReference"/>
          <w:sz w:val="24"/>
          <w:szCs w:val="24"/>
        </w:rPr>
        <w:endnoteReference w:id="32"/>
      </w:r>
    </w:p>
    <w:p w14:paraId="4DA56DA4" w14:textId="77777777" w:rsidR="00D130D7" w:rsidRPr="00641A30" w:rsidRDefault="00D130D7" w:rsidP="00E552D2">
      <w:pPr>
        <w:pStyle w:val="ListParagraph"/>
        <w:numPr>
          <w:ilvl w:val="0"/>
          <w:numId w:val="111"/>
        </w:numPr>
        <w:tabs>
          <w:tab w:val="left" w:pos="6480"/>
        </w:tabs>
        <w:spacing w:line="360" w:lineRule="auto"/>
        <w:ind w:right="-360"/>
        <w:rPr>
          <w:sz w:val="24"/>
          <w:szCs w:val="24"/>
        </w:rPr>
      </w:pPr>
      <w:r w:rsidRPr="00641A30">
        <w:rPr>
          <w:sz w:val="24"/>
          <w:szCs w:val="24"/>
        </w:rPr>
        <w:t>Providing culturally appropriate health education, information, and outreach in community-based settings, such as homes, schools, clinics, shelters, local businesses, and community centers</w:t>
      </w:r>
    </w:p>
    <w:p w14:paraId="5E6C164D" w14:textId="77777777" w:rsidR="00D130D7" w:rsidRPr="00641A30" w:rsidRDefault="00D130D7" w:rsidP="00E552D2">
      <w:pPr>
        <w:pStyle w:val="ListParagraph"/>
        <w:numPr>
          <w:ilvl w:val="0"/>
          <w:numId w:val="111"/>
        </w:numPr>
        <w:tabs>
          <w:tab w:val="left" w:pos="6480"/>
        </w:tabs>
        <w:spacing w:line="360" w:lineRule="auto"/>
        <w:ind w:right="-360"/>
        <w:rPr>
          <w:sz w:val="24"/>
          <w:szCs w:val="24"/>
        </w:rPr>
      </w:pPr>
      <w:r w:rsidRPr="00641A30">
        <w:rPr>
          <w:sz w:val="24"/>
          <w:szCs w:val="24"/>
        </w:rPr>
        <w:t>Bridging or culturally mediating between individuals, communities, and health and human services, including actively building individual and community capacity</w:t>
      </w:r>
    </w:p>
    <w:p w14:paraId="73A06D1F" w14:textId="77777777" w:rsidR="00D130D7" w:rsidRPr="00641A30" w:rsidRDefault="00D130D7" w:rsidP="00E552D2">
      <w:pPr>
        <w:pStyle w:val="ListParagraph"/>
        <w:numPr>
          <w:ilvl w:val="0"/>
          <w:numId w:val="111"/>
        </w:numPr>
        <w:tabs>
          <w:tab w:val="left" w:pos="6480"/>
        </w:tabs>
        <w:spacing w:line="360" w:lineRule="auto"/>
        <w:ind w:right="-360"/>
        <w:rPr>
          <w:sz w:val="24"/>
          <w:szCs w:val="24"/>
        </w:rPr>
      </w:pPr>
      <w:r w:rsidRPr="00641A30">
        <w:rPr>
          <w:sz w:val="24"/>
          <w:szCs w:val="24"/>
        </w:rPr>
        <w:t>Assisting people to access the services they need</w:t>
      </w:r>
    </w:p>
    <w:p w14:paraId="6C8746B4" w14:textId="77777777" w:rsidR="00D130D7" w:rsidRPr="00641A30" w:rsidRDefault="00D130D7" w:rsidP="00E552D2">
      <w:pPr>
        <w:pStyle w:val="ListParagraph"/>
        <w:numPr>
          <w:ilvl w:val="0"/>
          <w:numId w:val="111"/>
        </w:numPr>
        <w:tabs>
          <w:tab w:val="left" w:pos="6480"/>
        </w:tabs>
        <w:spacing w:line="360" w:lineRule="auto"/>
        <w:ind w:right="-360"/>
        <w:rPr>
          <w:sz w:val="24"/>
          <w:szCs w:val="24"/>
        </w:rPr>
      </w:pPr>
      <w:r w:rsidRPr="00641A30">
        <w:rPr>
          <w:sz w:val="24"/>
          <w:szCs w:val="24"/>
        </w:rPr>
        <w:t>Providing direct services, such as informal counseling, social support, care coordination, and health screenings</w:t>
      </w:r>
    </w:p>
    <w:p w14:paraId="1CB05EC1" w14:textId="77777777" w:rsidR="00D130D7" w:rsidRPr="00641A30" w:rsidRDefault="00D130D7" w:rsidP="00E552D2">
      <w:pPr>
        <w:pStyle w:val="ListParagraph"/>
        <w:numPr>
          <w:ilvl w:val="0"/>
          <w:numId w:val="111"/>
        </w:numPr>
        <w:tabs>
          <w:tab w:val="left" w:pos="6480"/>
        </w:tabs>
        <w:spacing w:line="360" w:lineRule="auto"/>
        <w:ind w:right="-360"/>
        <w:rPr>
          <w:sz w:val="24"/>
          <w:szCs w:val="24"/>
        </w:rPr>
      </w:pPr>
      <w:r w:rsidRPr="00641A30">
        <w:rPr>
          <w:sz w:val="24"/>
          <w:szCs w:val="24"/>
        </w:rPr>
        <w:t>Advocating for individual and community needs</w:t>
      </w:r>
    </w:p>
    <w:p w14:paraId="352FD33A" w14:textId="3706AD01" w:rsidR="00D130D7" w:rsidRPr="00641A30" w:rsidRDefault="00D130D7" w:rsidP="00E552D2">
      <w:pPr>
        <w:spacing w:line="360" w:lineRule="auto"/>
        <w:ind w:right="-360"/>
        <w:rPr>
          <w:b/>
          <w:sz w:val="24"/>
          <w:szCs w:val="24"/>
        </w:rPr>
      </w:pPr>
      <w:r w:rsidRPr="00641A30">
        <w:rPr>
          <w:rFonts w:ascii="Calibri" w:eastAsia="Calibri" w:hAnsi="Calibri"/>
          <w:sz w:val="24"/>
          <w:szCs w:val="24"/>
        </w:rPr>
        <w:t xml:space="preserve">The shared life experiences of </w:t>
      </w:r>
      <w:r w:rsidRPr="00641A30">
        <w:rPr>
          <w:sz w:val="24"/>
          <w:szCs w:val="24"/>
        </w:rPr>
        <w:t xml:space="preserve">CHWs </w:t>
      </w:r>
      <w:r w:rsidRPr="00641A30">
        <w:rPr>
          <w:rFonts w:ascii="Calibri" w:eastAsia="Calibri" w:hAnsi="Calibri"/>
          <w:sz w:val="24"/>
          <w:szCs w:val="24"/>
        </w:rPr>
        <w:t>make them uniquely positioned</w:t>
      </w:r>
      <w:r w:rsidRPr="00641A30">
        <w:rPr>
          <w:sz w:val="24"/>
          <w:szCs w:val="24"/>
        </w:rPr>
        <w:t xml:space="preserve"> to </w:t>
      </w:r>
      <w:r w:rsidRPr="00641A30">
        <w:rPr>
          <w:rFonts w:ascii="Calibri" w:eastAsia="Calibri" w:hAnsi="Calibri"/>
          <w:sz w:val="24"/>
          <w:szCs w:val="24"/>
        </w:rPr>
        <w:t>develop trusting relationships with populations most at risk for poor</w:t>
      </w:r>
      <w:r w:rsidRPr="00641A30">
        <w:rPr>
          <w:sz w:val="24"/>
          <w:szCs w:val="24"/>
        </w:rPr>
        <w:t xml:space="preserve"> health</w:t>
      </w:r>
      <w:r w:rsidRPr="00641A30">
        <w:rPr>
          <w:rFonts w:ascii="Calibri" w:eastAsia="Calibri" w:hAnsi="Calibri"/>
          <w:sz w:val="24"/>
          <w:szCs w:val="24"/>
        </w:rPr>
        <w:t xml:space="preserve"> outcomes.  </w:t>
      </w:r>
      <w:r w:rsidR="000C310F" w:rsidRPr="00641A30">
        <w:rPr>
          <w:rFonts w:ascii="Calibri" w:eastAsia="Calibri" w:hAnsi="Calibri"/>
          <w:sz w:val="24"/>
          <w:szCs w:val="24"/>
        </w:rPr>
        <w:t>58%</w:t>
      </w:r>
      <w:r w:rsidRPr="00641A30">
        <w:rPr>
          <w:rFonts w:ascii="Calibri" w:eastAsia="Calibri" w:hAnsi="Calibri"/>
          <w:sz w:val="24"/>
          <w:szCs w:val="24"/>
        </w:rPr>
        <w:t xml:space="preserve"> of CHWs identify as non-White, with 29% identifying as Hispanic, an</w:t>
      </w:r>
      <w:r w:rsidR="000C310F" w:rsidRPr="00641A30">
        <w:rPr>
          <w:rFonts w:ascii="Calibri" w:eastAsia="Calibri" w:hAnsi="Calibri"/>
          <w:sz w:val="24"/>
          <w:szCs w:val="24"/>
        </w:rPr>
        <w:t>d 19% as Black non-Hispanic. 81%</w:t>
      </w:r>
      <w:r w:rsidRPr="00641A30">
        <w:rPr>
          <w:rFonts w:ascii="Calibri" w:eastAsia="Calibri" w:hAnsi="Calibri"/>
          <w:sz w:val="24"/>
          <w:szCs w:val="24"/>
        </w:rPr>
        <w:t xml:space="preserve"> of CHWs are female.</w:t>
      </w:r>
      <w:r w:rsidRPr="00641A30">
        <w:rPr>
          <w:rStyle w:val="EndnoteReference"/>
          <w:rFonts w:ascii="Calibri" w:eastAsia="Calibri" w:hAnsi="Calibri"/>
          <w:sz w:val="24"/>
          <w:szCs w:val="24"/>
        </w:rPr>
        <w:endnoteReference w:id="33"/>
      </w:r>
      <w:r w:rsidRPr="00641A30">
        <w:rPr>
          <w:sz w:val="24"/>
          <w:szCs w:val="24"/>
        </w:rPr>
        <w:t xml:space="preserve"> CHWs also provide culturally sensitive care. </w:t>
      </w:r>
      <w:r w:rsidR="00FA069B" w:rsidRPr="00641A30">
        <w:rPr>
          <w:sz w:val="24"/>
          <w:szCs w:val="24"/>
        </w:rPr>
        <w:t>T</w:t>
      </w:r>
      <w:r w:rsidRPr="00641A30">
        <w:rPr>
          <w:sz w:val="24"/>
          <w:szCs w:val="24"/>
        </w:rPr>
        <w:t>hroug</w:t>
      </w:r>
      <w:r w:rsidR="000C310F" w:rsidRPr="00641A30">
        <w:rPr>
          <w:sz w:val="24"/>
          <w:szCs w:val="24"/>
        </w:rPr>
        <w:t>h the variety of languages spoken</w:t>
      </w:r>
      <w:r w:rsidRPr="00641A30">
        <w:rPr>
          <w:sz w:val="24"/>
          <w:szCs w:val="24"/>
        </w:rPr>
        <w:t xml:space="preserve">, </w:t>
      </w:r>
      <w:r w:rsidR="00FA069B" w:rsidRPr="00641A30">
        <w:rPr>
          <w:sz w:val="24"/>
          <w:szCs w:val="24"/>
        </w:rPr>
        <w:t>CHWs</w:t>
      </w:r>
      <w:r w:rsidRPr="00641A30">
        <w:rPr>
          <w:sz w:val="24"/>
          <w:szCs w:val="24"/>
        </w:rPr>
        <w:t xml:space="preserve"> increase access to care for traditionally language-isolated patients.</w:t>
      </w:r>
      <w:r w:rsidR="000C310F" w:rsidRPr="00641A30">
        <w:rPr>
          <w:b/>
          <w:sz w:val="24"/>
          <w:szCs w:val="24"/>
        </w:rPr>
        <w:t>(Figure 7.20)</w:t>
      </w:r>
    </w:p>
    <w:p w14:paraId="43CCC410" w14:textId="218A7228" w:rsidR="00945BDC" w:rsidRPr="00641A30" w:rsidRDefault="00945BDC">
      <w:pPr>
        <w:spacing w:before="0"/>
        <w:ind w:left="0" w:right="0"/>
        <w:jc w:val="left"/>
        <w:rPr>
          <w:b/>
          <w:sz w:val="24"/>
          <w:szCs w:val="24"/>
        </w:rPr>
      </w:pPr>
      <w:r w:rsidRPr="00641A30">
        <w:rPr>
          <w:b/>
          <w:sz w:val="24"/>
          <w:szCs w:val="24"/>
        </w:rPr>
        <w:br w:type="page"/>
      </w:r>
    </w:p>
    <w:p w14:paraId="06C72BFE" w14:textId="77777777" w:rsidR="00D130D7" w:rsidRPr="00641A30" w:rsidRDefault="00D130D7" w:rsidP="00E552D2">
      <w:pPr>
        <w:pStyle w:val="SHAFigureNumber"/>
        <w:spacing w:line="360" w:lineRule="auto"/>
        <w:rPr>
          <w:sz w:val="24"/>
          <w:szCs w:val="24"/>
        </w:rPr>
      </w:pPr>
      <w:r w:rsidRPr="00641A30">
        <w:rPr>
          <w:sz w:val="24"/>
          <w:szCs w:val="24"/>
        </w:rPr>
        <w:lastRenderedPageBreak/>
        <w:t xml:space="preserve">Figure 7.20 </w:t>
      </w:r>
    </w:p>
    <w:p w14:paraId="21EF7389" w14:textId="6882D839" w:rsidR="00D130D7" w:rsidRPr="00641A30" w:rsidRDefault="00D130D7" w:rsidP="00E552D2">
      <w:pPr>
        <w:pStyle w:val="SHAFigureNumber"/>
        <w:spacing w:line="360" w:lineRule="auto"/>
        <w:rPr>
          <w:sz w:val="24"/>
          <w:szCs w:val="24"/>
        </w:rPr>
      </w:pPr>
      <w:r w:rsidRPr="00641A30">
        <w:rPr>
          <w:sz w:val="24"/>
          <w:szCs w:val="24"/>
        </w:rPr>
        <w:t xml:space="preserve">Languages Spoken </w:t>
      </w:r>
      <w:r w:rsidR="00925A89" w:rsidRPr="00641A30">
        <w:rPr>
          <w:sz w:val="24"/>
          <w:szCs w:val="24"/>
        </w:rPr>
        <w:t>a</w:t>
      </w:r>
      <w:r w:rsidRPr="00641A30">
        <w:rPr>
          <w:sz w:val="24"/>
          <w:szCs w:val="24"/>
        </w:rPr>
        <w:t>mong English Speaking Community Health Workers, Massachusetts, 2016</w:t>
      </w:r>
    </w:p>
    <w:p w14:paraId="7A301473" w14:textId="347CB33B" w:rsidR="00D130D7" w:rsidRPr="00641A30" w:rsidRDefault="00DA0412" w:rsidP="00E552D2">
      <w:pPr>
        <w:spacing w:line="360" w:lineRule="auto"/>
        <w:ind w:right="-360"/>
        <w:jc w:val="center"/>
        <w:rPr>
          <w:sz w:val="24"/>
          <w:szCs w:val="24"/>
        </w:rPr>
      </w:pPr>
      <w:r w:rsidRPr="00641A30">
        <w:rPr>
          <w:sz w:val="24"/>
          <w:szCs w:val="24"/>
        </w:rPr>
        <w:drawing>
          <wp:inline distT="0" distB="0" distL="0" distR="0" wp14:anchorId="2EF4B1AE" wp14:editId="34A6C5B0">
            <wp:extent cx="3942080" cy="3035300"/>
            <wp:effectExtent l="0" t="0" r="1270" b="0"/>
            <wp:docPr id="214" name="Chart 214" descr="This bar graph shows the number of languages spoken among English speaking community health workers in 2016. 51% of health workers only spoke English, 33% of Spanish community health workers spoke 1 or more languages including Spanish, and 16% of any non-Spanish community health workers spoke one or more languages not including Spanish. ">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60C3A162-FCB2-4994-9BFA-FAC6F117811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2"/>
              </a:graphicData>
            </a:graphic>
          </wp:inline>
        </w:drawing>
      </w:r>
    </w:p>
    <w:p w14:paraId="218D7D22" w14:textId="22B417A9" w:rsidR="00945BDC" w:rsidRPr="00641A30" w:rsidRDefault="000C310F" w:rsidP="00E552D2">
      <w:pPr>
        <w:spacing w:line="360" w:lineRule="auto"/>
        <w:ind w:right="-360"/>
        <w:rPr>
          <w:rFonts w:ascii="Calibri" w:eastAsia="Calibri" w:hAnsi="Calibri"/>
          <w:sz w:val="24"/>
          <w:szCs w:val="24"/>
        </w:rPr>
      </w:pPr>
      <w:r w:rsidRPr="00641A30">
        <w:rPr>
          <w:rFonts w:ascii="Calibri" w:eastAsia="Calibri" w:hAnsi="Calibri"/>
          <w:sz w:val="24"/>
          <w:szCs w:val="24"/>
        </w:rPr>
        <w:t xml:space="preserve">According to </w:t>
      </w:r>
      <w:r w:rsidRPr="00641A30">
        <w:rPr>
          <w:rFonts w:ascii="Calibri" w:eastAsia="Calibri" w:hAnsi="Calibri"/>
          <w:b/>
          <w:sz w:val="24"/>
          <w:szCs w:val="24"/>
        </w:rPr>
        <w:t xml:space="preserve">Figure 7.21 </w:t>
      </w:r>
      <w:r w:rsidR="00D130D7" w:rsidRPr="00641A30">
        <w:rPr>
          <w:rFonts w:ascii="Calibri" w:eastAsia="Calibri" w:hAnsi="Calibri"/>
          <w:sz w:val="24"/>
          <w:szCs w:val="24"/>
        </w:rPr>
        <w:t>CHWs serve a</w:t>
      </w:r>
      <w:r w:rsidRPr="00641A30">
        <w:rPr>
          <w:rFonts w:ascii="Calibri" w:eastAsia="Calibri" w:hAnsi="Calibri"/>
          <w:sz w:val="24"/>
          <w:szCs w:val="24"/>
        </w:rPr>
        <w:t xml:space="preserve"> variety of populations most at-</w:t>
      </w:r>
      <w:r w:rsidR="00D130D7" w:rsidRPr="00641A30">
        <w:rPr>
          <w:rFonts w:ascii="Calibri" w:eastAsia="Calibri" w:hAnsi="Calibri"/>
          <w:sz w:val="24"/>
          <w:szCs w:val="24"/>
        </w:rPr>
        <w:t xml:space="preserve">risk for poor health outcomes due to their social and economic situations. Individuals experiencing housing instability comprise the most commonly </w:t>
      </w:r>
      <w:r w:rsidR="00B829F5" w:rsidRPr="00641A30">
        <w:rPr>
          <w:rFonts w:ascii="Calibri" w:eastAsia="Calibri" w:hAnsi="Calibri"/>
          <w:sz w:val="24"/>
          <w:szCs w:val="24"/>
        </w:rPr>
        <w:t>served population</w:t>
      </w:r>
      <w:r w:rsidR="00D130D7" w:rsidRPr="00641A30">
        <w:rPr>
          <w:rFonts w:ascii="Calibri" w:eastAsia="Calibri" w:hAnsi="Calibri"/>
          <w:sz w:val="24"/>
          <w:szCs w:val="24"/>
        </w:rPr>
        <w:t xml:space="preserve">. Also among the top five populations served are </w:t>
      </w:r>
      <w:r w:rsidR="00D12B72" w:rsidRPr="00641A30">
        <w:rPr>
          <w:rFonts w:ascii="Calibri" w:eastAsia="Calibri" w:hAnsi="Calibri"/>
          <w:sz w:val="24"/>
          <w:szCs w:val="24"/>
        </w:rPr>
        <w:t>older adults</w:t>
      </w:r>
      <w:r w:rsidR="00D130D7" w:rsidRPr="00641A30">
        <w:rPr>
          <w:rFonts w:ascii="Calibri" w:eastAsia="Calibri" w:hAnsi="Calibri"/>
          <w:sz w:val="24"/>
          <w:szCs w:val="24"/>
        </w:rPr>
        <w:t>, immigrants/refugees, and high utilizers of health care. CHWs also help people to managing some of the most prevalent chronic conditions including diabetes, hypertension, substance misuse, and behavioral health.</w:t>
      </w:r>
      <w:r w:rsidR="00D130D7" w:rsidRPr="00641A30">
        <w:rPr>
          <w:rStyle w:val="EndnoteReference"/>
          <w:rFonts w:ascii="Calibri" w:eastAsia="Calibri" w:hAnsi="Calibri"/>
          <w:sz w:val="24"/>
          <w:szCs w:val="24"/>
        </w:rPr>
        <w:endnoteReference w:id="34"/>
      </w:r>
    </w:p>
    <w:p w14:paraId="71FC707B" w14:textId="77777777" w:rsidR="00945BDC" w:rsidRPr="00641A30" w:rsidRDefault="00945BDC">
      <w:pPr>
        <w:spacing w:before="0"/>
        <w:ind w:left="0" w:right="0"/>
        <w:jc w:val="left"/>
        <w:rPr>
          <w:rFonts w:ascii="Calibri" w:eastAsia="Calibri" w:hAnsi="Calibri"/>
          <w:sz w:val="24"/>
          <w:szCs w:val="24"/>
        </w:rPr>
      </w:pPr>
      <w:r w:rsidRPr="00641A30">
        <w:rPr>
          <w:rFonts w:ascii="Calibri" w:eastAsia="Calibri" w:hAnsi="Calibri"/>
          <w:sz w:val="24"/>
          <w:szCs w:val="24"/>
        </w:rPr>
        <w:br w:type="page"/>
      </w:r>
    </w:p>
    <w:p w14:paraId="3AC055B0" w14:textId="7D75BD68" w:rsidR="00D130D7" w:rsidRPr="00641A30" w:rsidRDefault="00D130D7" w:rsidP="00E552D2">
      <w:pPr>
        <w:pStyle w:val="SHAFigureNumber"/>
        <w:spacing w:line="360" w:lineRule="auto"/>
        <w:rPr>
          <w:sz w:val="24"/>
          <w:szCs w:val="24"/>
        </w:rPr>
      </w:pPr>
      <w:r w:rsidRPr="00641A30">
        <w:rPr>
          <w:sz w:val="24"/>
          <w:szCs w:val="24"/>
        </w:rPr>
        <w:lastRenderedPageBreak/>
        <w:t xml:space="preserve">Figure 7.21 </w:t>
      </w:r>
    </w:p>
    <w:p w14:paraId="7FA41FCB" w14:textId="6E0738CA" w:rsidR="00D130D7" w:rsidRPr="00641A30" w:rsidRDefault="00D130D7" w:rsidP="00E552D2">
      <w:pPr>
        <w:pStyle w:val="SHAFigureNumber"/>
        <w:spacing w:line="360" w:lineRule="auto"/>
        <w:rPr>
          <w:rFonts w:ascii="Times New Roman" w:hAnsi="Times New Roman"/>
          <w:sz w:val="24"/>
          <w:szCs w:val="24"/>
        </w:rPr>
      </w:pPr>
      <w:r w:rsidRPr="00641A30">
        <w:rPr>
          <w:sz w:val="24"/>
          <w:szCs w:val="24"/>
        </w:rPr>
        <w:t>Top Popu</w:t>
      </w:r>
      <w:r w:rsidR="000C6C16" w:rsidRPr="00641A30">
        <w:rPr>
          <w:sz w:val="24"/>
          <w:szCs w:val="24"/>
        </w:rPr>
        <w:t>lations Served by Massachusetts Community Health Workers</w:t>
      </w:r>
      <w:r w:rsidRPr="00641A30">
        <w:rPr>
          <w:sz w:val="24"/>
          <w:szCs w:val="24"/>
        </w:rPr>
        <w:t xml:space="preserve"> in 2016</w:t>
      </w:r>
      <w:r w:rsidRPr="00641A30">
        <w:rPr>
          <w:rStyle w:val="EndnoteReference"/>
          <w:rFonts w:cs="Arial"/>
          <w:b w:val="0"/>
          <w:sz w:val="24"/>
          <w:szCs w:val="24"/>
        </w:rPr>
        <w:endnoteReference w:id="35"/>
      </w:r>
    </w:p>
    <w:p w14:paraId="5664AD4D" w14:textId="224E956E" w:rsidR="00D130D7" w:rsidRPr="00641A30" w:rsidRDefault="00DA0412" w:rsidP="00E552D2">
      <w:pPr>
        <w:spacing w:line="360" w:lineRule="auto"/>
        <w:ind w:right="-360"/>
        <w:jc w:val="center"/>
        <w:rPr>
          <w:rFonts w:eastAsia="Calibri"/>
          <w:sz w:val="24"/>
          <w:szCs w:val="24"/>
        </w:rPr>
      </w:pPr>
      <w:r w:rsidRPr="00641A30">
        <w:rPr>
          <w:sz w:val="24"/>
          <w:szCs w:val="24"/>
        </w:rPr>
        <w:drawing>
          <wp:inline distT="0" distB="0" distL="0" distR="0" wp14:anchorId="3BC75921" wp14:editId="1221D068">
            <wp:extent cx="5319713" cy="4010027"/>
            <wp:effectExtent l="0" t="0" r="14605" b="9525"/>
            <wp:docPr id="215" name="Chart 215" descr="This bar chart of the 2016 Community Health Worker (CHW) Survey displays individuals experiencing housing instability comprise the most commonly served population at 54%. Also among the top five populations served are older adults, immigrants/refugees, and high utilizers of health care.">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4BE64AD4-F82B-4D64-A911-2EA93155CFE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3"/>
              </a:graphicData>
            </a:graphic>
          </wp:inline>
        </w:drawing>
      </w:r>
    </w:p>
    <w:p w14:paraId="4E50DDF0" w14:textId="57E9C0A2" w:rsidR="00C45C9D" w:rsidRPr="00641A30" w:rsidRDefault="00C45C9D" w:rsidP="00E552D2">
      <w:pPr>
        <w:spacing w:line="360" w:lineRule="auto"/>
        <w:ind w:right="-360"/>
        <w:jc w:val="center"/>
        <w:rPr>
          <w:rFonts w:ascii="Calibri" w:eastAsia="Calibri" w:hAnsi="Calibri"/>
          <w:sz w:val="24"/>
          <w:szCs w:val="24"/>
        </w:rPr>
      </w:pPr>
      <w:r w:rsidRPr="00641A30">
        <w:rPr>
          <w:rFonts w:ascii="Calibri" w:eastAsia="Calibri" w:hAnsi="Calibri"/>
          <w:sz w:val="24"/>
          <w:szCs w:val="24"/>
        </w:rPr>
        <w:t xml:space="preserve">NOTE: OTHER </w:t>
      </w:r>
      <w:r w:rsidR="00965429" w:rsidRPr="00641A30">
        <w:rPr>
          <w:rFonts w:ascii="Calibri" w:eastAsia="Calibri" w:hAnsi="Calibri"/>
          <w:sz w:val="24"/>
          <w:szCs w:val="24"/>
        </w:rPr>
        <w:t>SPECIAL POPULATiONS INCLUDES</w:t>
      </w:r>
      <w:r w:rsidRPr="00641A30">
        <w:rPr>
          <w:rFonts w:ascii="Calibri" w:eastAsia="Calibri" w:hAnsi="Calibri"/>
          <w:sz w:val="24"/>
          <w:szCs w:val="24"/>
        </w:rPr>
        <w:t xml:space="preserve"> NON-ENGLISH SPEAKING POPULATION/IMMIGRANTS, DOMESTIC VIOLENCE SURVIVORS, AND CANCER PATIENTS</w:t>
      </w:r>
    </w:p>
    <w:p w14:paraId="6F5934DE" w14:textId="3772E891" w:rsidR="00D130D7" w:rsidRPr="00641A30" w:rsidRDefault="00D130D7" w:rsidP="00E552D2">
      <w:pPr>
        <w:spacing w:line="360" w:lineRule="auto"/>
        <w:ind w:right="-360"/>
        <w:rPr>
          <w:rFonts w:ascii="Calibri" w:eastAsia="Calibri" w:hAnsi="Calibri"/>
          <w:sz w:val="24"/>
          <w:szCs w:val="24"/>
        </w:rPr>
      </w:pPr>
      <w:r w:rsidRPr="00641A30">
        <w:rPr>
          <w:rFonts w:ascii="Calibri" w:eastAsia="Calibri" w:hAnsi="Calibri"/>
          <w:sz w:val="24"/>
          <w:szCs w:val="24"/>
        </w:rPr>
        <w:t>By developing trusting peer relationships with patients, CHWs connect people to community services, provide culturally sensitive care coordination for chronic disease management, and referral to preventive services.  CHWs on care teams both improve outcomes and reduce costs, notably in terms of urgent care use and hospitalizations.</w:t>
      </w:r>
      <w:r w:rsidRPr="00641A30">
        <w:rPr>
          <w:rStyle w:val="EndnoteReference"/>
          <w:rFonts w:ascii="Calibri" w:eastAsia="Calibri" w:hAnsi="Calibri"/>
          <w:sz w:val="24"/>
          <w:szCs w:val="24"/>
        </w:rPr>
        <w:endnoteReference w:id="36"/>
      </w:r>
      <w:r w:rsidRPr="00641A30">
        <w:rPr>
          <w:rFonts w:ascii="Calibri" w:eastAsia="Calibri" w:hAnsi="Calibri"/>
          <w:sz w:val="24"/>
          <w:szCs w:val="24"/>
        </w:rPr>
        <w:t xml:space="preserve"> This is especially relevant given that the top populations they serve in Massachusetts are among the highest cost, most at-risk patient groups.</w:t>
      </w:r>
    </w:p>
    <w:p w14:paraId="4C4E16F1" w14:textId="77777777" w:rsidR="00D130D7" w:rsidRPr="00641A30" w:rsidRDefault="00D130D7" w:rsidP="00E552D2">
      <w:pPr>
        <w:pStyle w:val="Heading4"/>
        <w:spacing w:line="360" w:lineRule="auto"/>
        <w:rPr>
          <w:rFonts w:eastAsiaTheme="majorEastAsia"/>
        </w:rPr>
      </w:pPr>
      <w:r w:rsidRPr="00641A30">
        <w:t xml:space="preserve">Mental Health Workforce </w:t>
      </w:r>
    </w:p>
    <w:p w14:paraId="3C44B62C" w14:textId="561D4799" w:rsidR="00D130D7" w:rsidRPr="00641A30" w:rsidRDefault="00D130D7" w:rsidP="00E552D2">
      <w:pPr>
        <w:spacing w:line="360" w:lineRule="auto"/>
        <w:ind w:right="-360"/>
        <w:rPr>
          <w:sz w:val="24"/>
          <w:szCs w:val="24"/>
        </w:rPr>
      </w:pPr>
      <w:r w:rsidRPr="00641A30">
        <w:rPr>
          <w:sz w:val="24"/>
          <w:szCs w:val="24"/>
        </w:rPr>
        <w:t>It is well established that there is a continuing national shortage of qualified behavioral health professionals.</w:t>
      </w:r>
      <w:r w:rsidRPr="00641A30">
        <w:rPr>
          <w:rStyle w:val="EndnoteReference"/>
          <w:sz w:val="24"/>
          <w:szCs w:val="24"/>
        </w:rPr>
        <w:endnoteReference w:id="37"/>
      </w:r>
      <w:r w:rsidRPr="00641A30">
        <w:rPr>
          <w:rStyle w:val="EndnoteReference"/>
          <w:sz w:val="24"/>
          <w:szCs w:val="24"/>
        </w:rPr>
        <w:t>,</w:t>
      </w:r>
      <w:r w:rsidRPr="00641A30">
        <w:rPr>
          <w:rStyle w:val="EndnoteReference"/>
          <w:sz w:val="24"/>
          <w:szCs w:val="24"/>
        </w:rPr>
        <w:endnoteReference w:id="38"/>
      </w:r>
      <w:r w:rsidRPr="00641A30">
        <w:rPr>
          <w:sz w:val="24"/>
          <w:szCs w:val="24"/>
        </w:rPr>
        <w:t xml:space="preserve"> The Office of Consumer Affairs and Business Regulation, Board of Allied Mental Health and </w:t>
      </w:r>
      <w:r w:rsidRPr="00641A30">
        <w:rPr>
          <w:sz w:val="24"/>
          <w:szCs w:val="24"/>
        </w:rPr>
        <w:lastRenderedPageBreak/>
        <w:t>Human Services Professions oversee licensing of applied behavior analysts, mental health counselors, educational psychologists, marriage and family therapists as well as</w:t>
      </w:r>
      <w:r w:rsidR="003E0BD6" w:rsidRPr="00641A30">
        <w:rPr>
          <w:sz w:val="24"/>
          <w:szCs w:val="24"/>
        </w:rPr>
        <w:t xml:space="preserve"> rehabilitation counselors. </w:t>
      </w:r>
      <w:r w:rsidR="003E0BD6" w:rsidRPr="00641A30">
        <w:rPr>
          <w:b/>
          <w:sz w:val="24"/>
          <w:szCs w:val="24"/>
        </w:rPr>
        <w:t>F</w:t>
      </w:r>
      <w:r w:rsidRPr="00641A30">
        <w:rPr>
          <w:b/>
          <w:sz w:val="24"/>
          <w:szCs w:val="24"/>
        </w:rPr>
        <w:t>igure</w:t>
      </w:r>
      <w:r w:rsidR="003E0BD6" w:rsidRPr="00641A30">
        <w:rPr>
          <w:b/>
          <w:sz w:val="24"/>
          <w:szCs w:val="24"/>
        </w:rPr>
        <w:t xml:space="preserve"> 7.22</w:t>
      </w:r>
      <w:r w:rsidRPr="00641A30">
        <w:rPr>
          <w:sz w:val="24"/>
          <w:szCs w:val="24"/>
        </w:rPr>
        <w:t xml:space="preserve"> depicts the number of licensees for Fiscal Year 2015.</w:t>
      </w:r>
    </w:p>
    <w:p w14:paraId="50C8A615" w14:textId="77777777" w:rsidR="00915C9F" w:rsidRPr="00641A30" w:rsidRDefault="00915C9F" w:rsidP="00E552D2">
      <w:pPr>
        <w:spacing w:line="360" w:lineRule="auto"/>
        <w:ind w:right="-360"/>
        <w:rPr>
          <w:b/>
          <w:noProof w:val="0"/>
          <w:sz w:val="24"/>
          <w:szCs w:val="24"/>
        </w:rPr>
      </w:pPr>
    </w:p>
    <w:p w14:paraId="330D778C" w14:textId="77777777" w:rsidR="00D130D7" w:rsidRPr="00641A30" w:rsidRDefault="00D130D7" w:rsidP="00E552D2">
      <w:pPr>
        <w:pStyle w:val="SHAFigureNumber"/>
        <w:spacing w:line="360" w:lineRule="auto"/>
        <w:rPr>
          <w:sz w:val="24"/>
          <w:szCs w:val="24"/>
        </w:rPr>
      </w:pPr>
      <w:r w:rsidRPr="00641A30">
        <w:rPr>
          <w:sz w:val="24"/>
          <w:szCs w:val="24"/>
        </w:rPr>
        <w:t>Figure 7.22</w:t>
      </w:r>
    </w:p>
    <w:p w14:paraId="26B00D3A" w14:textId="77777777" w:rsidR="00D130D7" w:rsidRPr="00641A30" w:rsidRDefault="00D130D7" w:rsidP="00E552D2">
      <w:pPr>
        <w:pStyle w:val="SHAFigureNumber"/>
        <w:spacing w:line="360" w:lineRule="auto"/>
        <w:rPr>
          <w:sz w:val="24"/>
          <w:szCs w:val="24"/>
        </w:rPr>
      </w:pPr>
      <w:r w:rsidRPr="00641A30">
        <w:rPr>
          <w:sz w:val="24"/>
          <w:szCs w:val="24"/>
        </w:rPr>
        <w:t>Total Number of Allied Mental Health and Human Services Licensees, Massachusetts, Fiscal Year 2015</w:t>
      </w:r>
    </w:p>
    <w:tbl>
      <w:tblPr>
        <w:tblpPr w:leftFromText="180" w:rightFromText="180" w:vertAnchor="text" w:horzAnchor="page" w:tblpX="2890" w:tblpY="182"/>
        <w:tblW w:w="56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bottom w:w="15" w:type="dxa"/>
        </w:tblCellMar>
        <w:tblLook w:val="04A0" w:firstRow="1" w:lastRow="0" w:firstColumn="1" w:lastColumn="0" w:noHBand="0" w:noVBand="1"/>
        <w:tblDescription w:val="This table shows the number of allied mental health and human services licensees in Massachusetts during 2015.  There were 46 Applied Behavior Analyst, 5,974 Mental Health Counselors, 380 Educational Psychologist, 729 Marriage and Family Therapist, 327 Rehabilitation Counselors , and a total of 7,474 licensees for 2015."/>
      </w:tblPr>
      <w:tblGrid>
        <w:gridCol w:w="4720"/>
        <w:gridCol w:w="973"/>
      </w:tblGrid>
      <w:tr w:rsidR="00D130D7" w:rsidRPr="00641A30" w14:paraId="0B940B69" w14:textId="77777777" w:rsidTr="00CD4F84">
        <w:trPr>
          <w:trHeight w:val="321"/>
        </w:trPr>
        <w:tc>
          <w:tcPr>
            <w:tcW w:w="4720" w:type="dxa"/>
            <w:shd w:val="clear" w:color="auto" w:fill="C6DBEF"/>
            <w:hideMark/>
          </w:tcPr>
          <w:p w14:paraId="4AF83BF7" w14:textId="77777777" w:rsidR="00D130D7" w:rsidRPr="00641A30" w:rsidRDefault="00D130D7" w:rsidP="00E552D2">
            <w:pPr>
              <w:spacing w:before="0" w:after="0" w:line="360" w:lineRule="auto"/>
              <w:ind w:left="0" w:right="0"/>
              <w:jc w:val="left"/>
              <w:rPr>
                <w:rFonts w:eastAsia="Times New Roman" w:cs="Times New Roman"/>
                <w:b/>
                <w:bCs/>
                <w:noProof w:val="0"/>
                <w:color w:val="000000"/>
                <w:sz w:val="24"/>
                <w:szCs w:val="24"/>
              </w:rPr>
            </w:pPr>
            <w:r w:rsidRPr="00641A30">
              <w:rPr>
                <w:rFonts w:eastAsia="Times New Roman" w:cs="Times New Roman"/>
                <w:b/>
                <w:bCs/>
                <w:noProof w:val="0"/>
                <w:color w:val="000000"/>
                <w:sz w:val="24"/>
                <w:szCs w:val="24"/>
              </w:rPr>
              <w:t>Profession</w:t>
            </w:r>
          </w:p>
        </w:tc>
        <w:tc>
          <w:tcPr>
            <w:tcW w:w="973" w:type="dxa"/>
            <w:shd w:val="clear" w:color="auto" w:fill="C6DBEF"/>
            <w:hideMark/>
          </w:tcPr>
          <w:p w14:paraId="30216107" w14:textId="77777777" w:rsidR="00D130D7" w:rsidRPr="00641A30" w:rsidRDefault="00D130D7" w:rsidP="00E552D2">
            <w:pPr>
              <w:spacing w:before="0" w:after="0" w:line="360" w:lineRule="auto"/>
              <w:ind w:left="0" w:right="0"/>
              <w:jc w:val="center"/>
              <w:rPr>
                <w:rFonts w:eastAsia="Times New Roman" w:cs="Times New Roman"/>
                <w:b/>
                <w:bCs/>
                <w:noProof w:val="0"/>
                <w:color w:val="000000"/>
                <w:sz w:val="24"/>
                <w:szCs w:val="24"/>
              </w:rPr>
            </w:pPr>
            <w:r w:rsidRPr="00641A30">
              <w:rPr>
                <w:rFonts w:eastAsia="Times New Roman" w:cs="Times New Roman"/>
                <w:b/>
                <w:bCs/>
                <w:noProof w:val="0"/>
                <w:color w:val="000000"/>
                <w:sz w:val="24"/>
                <w:szCs w:val="24"/>
              </w:rPr>
              <w:t>FY2015</w:t>
            </w:r>
          </w:p>
        </w:tc>
      </w:tr>
      <w:tr w:rsidR="00D130D7" w:rsidRPr="00641A30" w14:paraId="6E183BA0" w14:textId="77777777" w:rsidTr="00CD4F84">
        <w:trPr>
          <w:trHeight w:val="481"/>
        </w:trPr>
        <w:tc>
          <w:tcPr>
            <w:tcW w:w="4720" w:type="dxa"/>
            <w:shd w:val="clear" w:color="auto" w:fill="EFF3FF"/>
          </w:tcPr>
          <w:p w14:paraId="498661A8" w14:textId="77777777" w:rsidR="00D130D7" w:rsidRPr="00641A30" w:rsidRDefault="00D130D7" w:rsidP="00E552D2">
            <w:pPr>
              <w:spacing w:before="0" w:after="0" w:line="360" w:lineRule="auto"/>
              <w:ind w:left="0" w:right="0"/>
              <w:jc w:val="left"/>
              <w:rPr>
                <w:rFonts w:eastAsia="Times New Roman" w:cs="Times New Roman"/>
                <w:b/>
                <w:bCs/>
                <w:noProof w:val="0"/>
                <w:color w:val="000000"/>
                <w:sz w:val="24"/>
                <w:szCs w:val="24"/>
              </w:rPr>
            </w:pPr>
            <w:r w:rsidRPr="00641A30">
              <w:rPr>
                <w:rFonts w:cs="Times New Roman"/>
                <w:noProof w:val="0"/>
                <w:sz w:val="24"/>
                <w:szCs w:val="24"/>
              </w:rPr>
              <w:t>Applied Behavior Analyst</w:t>
            </w:r>
          </w:p>
        </w:tc>
        <w:tc>
          <w:tcPr>
            <w:tcW w:w="973" w:type="dxa"/>
            <w:shd w:val="clear" w:color="auto" w:fill="EFF3FF"/>
          </w:tcPr>
          <w:p w14:paraId="435D51CF" w14:textId="77777777" w:rsidR="00D130D7" w:rsidRPr="00641A30" w:rsidRDefault="00D130D7" w:rsidP="00E552D2">
            <w:pPr>
              <w:spacing w:before="0" w:after="0" w:line="360" w:lineRule="auto"/>
              <w:ind w:left="0" w:right="0"/>
              <w:jc w:val="center"/>
              <w:rPr>
                <w:rFonts w:eastAsia="Times New Roman" w:cs="Times New Roman"/>
                <w:noProof w:val="0"/>
                <w:color w:val="000000"/>
                <w:sz w:val="24"/>
                <w:szCs w:val="24"/>
              </w:rPr>
            </w:pPr>
            <w:r w:rsidRPr="00641A30">
              <w:rPr>
                <w:rFonts w:eastAsia="Times New Roman" w:cs="Times New Roman"/>
                <w:noProof w:val="0"/>
                <w:color w:val="000000"/>
                <w:sz w:val="24"/>
                <w:szCs w:val="24"/>
              </w:rPr>
              <w:t>46</w:t>
            </w:r>
          </w:p>
        </w:tc>
      </w:tr>
      <w:tr w:rsidR="00D130D7" w:rsidRPr="00641A30" w14:paraId="4A06CB43" w14:textId="77777777" w:rsidTr="00CD4F84">
        <w:trPr>
          <w:trHeight w:val="364"/>
        </w:trPr>
        <w:tc>
          <w:tcPr>
            <w:tcW w:w="4720" w:type="dxa"/>
          </w:tcPr>
          <w:p w14:paraId="32B469A1" w14:textId="77777777" w:rsidR="00D130D7" w:rsidRPr="00641A30" w:rsidRDefault="00D130D7" w:rsidP="00E552D2">
            <w:pPr>
              <w:spacing w:before="0" w:after="0" w:line="360" w:lineRule="auto"/>
              <w:ind w:left="0" w:right="0"/>
              <w:jc w:val="left"/>
              <w:rPr>
                <w:rFonts w:eastAsia="Times New Roman" w:cs="Times New Roman"/>
                <w:b/>
                <w:bCs/>
                <w:noProof w:val="0"/>
                <w:color w:val="000000"/>
                <w:sz w:val="24"/>
                <w:szCs w:val="24"/>
              </w:rPr>
            </w:pPr>
            <w:r w:rsidRPr="00641A30">
              <w:rPr>
                <w:rFonts w:cs="Times New Roman"/>
                <w:noProof w:val="0"/>
                <w:sz w:val="24"/>
                <w:szCs w:val="24"/>
              </w:rPr>
              <w:t>Mental Health Counselor</w:t>
            </w:r>
          </w:p>
        </w:tc>
        <w:tc>
          <w:tcPr>
            <w:tcW w:w="973" w:type="dxa"/>
          </w:tcPr>
          <w:p w14:paraId="4E450CBF" w14:textId="77777777" w:rsidR="00D130D7" w:rsidRPr="00641A30" w:rsidRDefault="00D130D7" w:rsidP="00E552D2">
            <w:pPr>
              <w:spacing w:before="0" w:after="0" w:line="360" w:lineRule="auto"/>
              <w:ind w:left="0" w:right="0"/>
              <w:jc w:val="center"/>
              <w:rPr>
                <w:rFonts w:eastAsia="Times New Roman" w:cs="Times New Roman"/>
                <w:noProof w:val="0"/>
                <w:color w:val="000000"/>
                <w:sz w:val="24"/>
                <w:szCs w:val="24"/>
              </w:rPr>
            </w:pPr>
            <w:r w:rsidRPr="00641A30">
              <w:rPr>
                <w:rFonts w:eastAsia="Times New Roman" w:cs="Times New Roman"/>
                <w:noProof w:val="0"/>
                <w:color w:val="000000"/>
                <w:sz w:val="24"/>
                <w:szCs w:val="24"/>
              </w:rPr>
              <w:t>5,974</w:t>
            </w:r>
          </w:p>
        </w:tc>
      </w:tr>
      <w:tr w:rsidR="00D130D7" w:rsidRPr="00641A30" w14:paraId="5F0D0AC4" w14:textId="77777777" w:rsidTr="00CD4F84">
        <w:trPr>
          <w:trHeight w:val="481"/>
        </w:trPr>
        <w:tc>
          <w:tcPr>
            <w:tcW w:w="4720" w:type="dxa"/>
            <w:shd w:val="clear" w:color="auto" w:fill="EFF3FF"/>
          </w:tcPr>
          <w:p w14:paraId="01B094F2" w14:textId="77777777" w:rsidR="00D130D7" w:rsidRPr="00641A30" w:rsidRDefault="00D130D7" w:rsidP="00E552D2">
            <w:pPr>
              <w:spacing w:before="0" w:after="0" w:line="360" w:lineRule="auto"/>
              <w:ind w:left="0" w:right="0"/>
              <w:jc w:val="left"/>
              <w:rPr>
                <w:rFonts w:eastAsia="Times New Roman" w:cs="Times New Roman"/>
                <w:b/>
                <w:bCs/>
                <w:noProof w:val="0"/>
                <w:color w:val="000000"/>
                <w:sz w:val="24"/>
                <w:szCs w:val="24"/>
              </w:rPr>
            </w:pPr>
            <w:r w:rsidRPr="00641A30">
              <w:rPr>
                <w:rFonts w:cs="Times New Roman"/>
                <w:noProof w:val="0"/>
                <w:sz w:val="24"/>
                <w:szCs w:val="24"/>
              </w:rPr>
              <w:t>Educational Psychologist</w:t>
            </w:r>
          </w:p>
        </w:tc>
        <w:tc>
          <w:tcPr>
            <w:tcW w:w="973" w:type="dxa"/>
            <w:shd w:val="clear" w:color="auto" w:fill="EFF3FF"/>
          </w:tcPr>
          <w:p w14:paraId="6E4EC5F4" w14:textId="77777777" w:rsidR="00D130D7" w:rsidRPr="00641A30" w:rsidRDefault="00D130D7" w:rsidP="00E552D2">
            <w:pPr>
              <w:spacing w:before="0" w:after="0" w:line="360" w:lineRule="auto"/>
              <w:ind w:left="0" w:right="0"/>
              <w:jc w:val="center"/>
              <w:rPr>
                <w:rFonts w:eastAsia="Times New Roman" w:cs="Times New Roman"/>
                <w:noProof w:val="0"/>
                <w:color w:val="000000"/>
                <w:sz w:val="24"/>
                <w:szCs w:val="24"/>
              </w:rPr>
            </w:pPr>
            <w:r w:rsidRPr="00641A30">
              <w:rPr>
                <w:rFonts w:eastAsia="Times New Roman" w:cs="Times New Roman"/>
                <w:noProof w:val="0"/>
                <w:color w:val="000000"/>
                <w:sz w:val="24"/>
                <w:szCs w:val="24"/>
              </w:rPr>
              <w:t>380</w:t>
            </w:r>
          </w:p>
        </w:tc>
      </w:tr>
      <w:tr w:rsidR="00D130D7" w:rsidRPr="00641A30" w14:paraId="3F8822CD" w14:textId="77777777" w:rsidTr="00CD4F84">
        <w:trPr>
          <w:trHeight w:val="481"/>
        </w:trPr>
        <w:tc>
          <w:tcPr>
            <w:tcW w:w="4720" w:type="dxa"/>
          </w:tcPr>
          <w:p w14:paraId="1262EBFB" w14:textId="77777777" w:rsidR="00D130D7" w:rsidRPr="00641A30" w:rsidRDefault="00D130D7" w:rsidP="00E552D2">
            <w:pPr>
              <w:spacing w:before="0" w:after="0" w:line="360" w:lineRule="auto"/>
              <w:ind w:left="0" w:right="0"/>
              <w:jc w:val="left"/>
              <w:rPr>
                <w:rFonts w:eastAsia="Times New Roman" w:cs="Times New Roman"/>
                <w:b/>
                <w:bCs/>
                <w:noProof w:val="0"/>
                <w:color w:val="000000"/>
                <w:sz w:val="24"/>
                <w:szCs w:val="24"/>
              </w:rPr>
            </w:pPr>
            <w:r w:rsidRPr="00641A30">
              <w:rPr>
                <w:rFonts w:cs="Times New Roman"/>
                <w:noProof w:val="0"/>
                <w:sz w:val="24"/>
                <w:szCs w:val="24"/>
              </w:rPr>
              <w:t>Marriage and Family Therapist</w:t>
            </w:r>
          </w:p>
        </w:tc>
        <w:tc>
          <w:tcPr>
            <w:tcW w:w="973" w:type="dxa"/>
          </w:tcPr>
          <w:p w14:paraId="7803A970" w14:textId="77777777" w:rsidR="00D130D7" w:rsidRPr="00641A30" w:rsidRDefault="00D130D7" w:rsidP="00E552D2">
            <w:pPr>
              <w:spacing w:before="0" w:after="0" w:line="360" w:lineRule="auto"/>
              <w:ind w:left="0" w:right="0"/>
              <w:jc w:val="center"/>
              <w:rPr>
                <w:rFonts w:eastAsia="Times New Roman" w:cs="Times New Roman"/>
                <w:noProof w:val="0"/>
                <w:color w:val="000000"/>
                <w:sz w:val="24"/>
                <w:szCs w:val="24"/>
              </w:rPr>
            </w:pPr>
            <w:r w:rsidRPr="00641A30">
              <w:rPr>
                <w:rFonts w:eastAsia="Times New Roman" w:cs="Times New Roman"/>
                <w:noProof w:val="0"/>
                <w:color w:val="000000"/>
                <w:sz w:val="24"/>
                <w:szCs w:val="24"/>
              </w:rPr>
              <w:t>729</w:t>
            </w:r>
          </w:p>
        </w:tc>
      </w:tr>
      <w:tr w:rsidR="00D130D7" w:rsidRPr="00641A30" w14:paraId="00C44CF0" w14:textId="77777777" w:rsidTr="00CD4F84">
        <w:trPr>
          <w:trHeight w:val="481"/>
        </w:trPr>
        <w:tc>
          <w:tcPr>
            <w:tcW w:w="4720" w:type="dxa"/>
            <w:shd w:val="clear" w:color="auto" w:fill="EFF3FF"/>
          </w:tcPr>
          <w:p w14:paraId="64ABE8B7" w14:textId="64C9247F" w:rsidR="00D130D7" w:rsidRPr="00641A30" w:rsidRDefault="000C6C16" w:rsidP="00E552D2">
            <w:pPr>
              <w:spacing w:before="0" w:after="0" w:line="360" w:lineRule="auto"/>
              <w:ind w:left="0" w:right="0"/>
              <w:jc w:val="left"/>
              <w:rPr>
                <w:rFonts w:cs="Times New Roman"/>
                <w:noProof w:val="0"/>
                <w:sz w:val="24"/>
                <w:szCs w:val="24"/>
              </w:rPr>
            </w:pPr>
            <w:r w:rsidRPr="00641A30">
              <w:rPr>
                <w:rFonts w:cs="Times New Roman"/>
                <w:noProof w:val="0"/>
                <w:sz w:val="24"/>
                <w:szCs w:val="24"/>
              </w:rPr>
              <w:t>Rehabilitation Counselor</w:t>
            </w:r>
          </w:p>
        </w:tc>
        <w:tc>
          <w:tcPr>
            <w:tcW w:w="973" w:type="dxa"/>
            <w:shd w:val="clear" w:color="auto" w:fill="EFF3FF"/>
          </w:tcPr>
          <w:p w14:paraId="320B90F1" w14:textId="77777777" w:rsidR="00D130D7" w:rsidRPr="00641A30" w:rsidRDefault="00D130D7" w:rsidP="00E552D2">
            <w:pPr>
              <w:spacing w:before="0" w:after="0" w:line="360" w:lineRule="auto"/>
              <w:ind w:left="0" w:right="0"/>
              <w:jc w:val="center"/>
              <w:rPr>
                <w:rFonts w:eastAsia="Times New Roman" w:cs="Times New Roman"/>
                <w:noProof w:val="0"/>
                <w:color w:val="000000"/>
                <w:sz w:val="24"/>
                <w:szCs w:val="24"/>
              </w:rPr>
            </w:pPr>
            <w:r w:rsidRPr="00641A30">
              <w:rPr>
                <w:rFonts w:eastAsia="Times New Roman" w:cs="Times New Roman"/>
                <w:noProof w:val="0"/>
                <w:color w:val="000000"/>
                <w:sz w:val="24"/>
                <w:szCs w:val="24"/>
              </w:rPr>
              <w:t>327</w:t>
            </w:r>
          </w:p>
        </w:tc>
      </w:tr>
      <w:tr w:rsidR="00D130D7" w:rsidRPr="00641A30" w14:paraId="2D43FB0E" w14:textId="77777777" w:rsidTr="00CD4F84">
        <w:trPr>
          <w:trHeight w:val="481"/>
        </w:trPr>
        <w:tc>
          <w:tcPr>
            <w:tcW w:w="4720" w:type="dxa"/>
          </w:tcPr>
          <w:p w14:paraId="05C84F6F" w14:textId="77777777" w:rsidR="00D130D7" w:rsidRPr="00641A30" w:rsidRDefault="00D130D7" w:rsidP="00E552D2">
            <w:pPr>
              <w:spacing w:before="0" w:after="0" w:line="360" w:lineRule="auto"/>
              <w:ind w:left="0" w:right="0"/>
              <w:jc w:val="left"/>
              <w:rPr>
                <w:rFonts w:cs="Times New Roman"/>
                <w:noProof w:val="0"/>
                <w:sz w:val="24"/>
                <w:szCs w:val="24"/>
              </w:rPr>
            </w:pPr>
            <w:r w:rsidRPr="00641A30">
              <w:rPr>
                <w:rFonts w:cs="Times New Roman"/>
                <w:noProof w:val="0"/>
                <w:sz w:val="24"/>
                <w:szCs w:val="24"/>
              </w:rPr>
              <w:t>Fiscal Year Total</w:t>
            </w:r>
          </w:p>
        </w:tc>
        <w:tc>
          <w:tcPr>
            <w:tcW w:w="973" w:type="dxa"/>
          </w:tcPr>
          <w:p w14:paraId="709C0A4C" w14:textId="77777777" w:rsidR="00D130D7" w:rsidRPr="00641A30" w:rsidRDefault="00D130D7" w:rsidP="00E552D2">
            <w:pPr>
              <w:spacing w:before="0" w:after="0" w:line="360" w:lineRule="auto"/>
              <w:ind w:left="0" w:right="0"/>
              <w:jc w:val="center"/>
              <w:rPr>
                <w:rFonts w:eastAsia="Times New Roman" w:cs="Times New Roman"/>
                <w:noProof w:val="0"/>
                <w:color w:val="000000"/>
                <w:sz w:val="24"/>
                <w:szCs w:val="24"/>
              </w:rPr>
            </w:pPr>
            <w:r w:rsidRPr="00641A30">
              <w:rPr>
                <w:rFonts w:cs="Times New Roman"/>
                <w:noProof w:val="0"/>
                <w:sz w:val="24"/>
                <w:szCs w:val="24"/>
                <w:lang w:val="fr-FR"/>
              </w:rPr>
              <w:t>7,474</w:t>
            </w:r>
          </w:p>
        </w:tc>
      </w:tr>
    </w:tbl>
    <w:p w14:paraId="240322D3" w14:textId="77777777" w:rsidR="00D130D7" w:rsidRPr="00641A30" w:rsidRDefault="00D130D7" w:rsidP="00E552D2">
      <w:pPr>
        <w:autoSpaceDE w:val="0"/>
        <w:autoSpaceDN w:val="0"/>
        <w:adjustRightInd w:val="0"/>
        <w:spacing w:line="360" w:lineRule="auto"/>
        <w:ind w:right="-360"/>
        <w:rPr>
          <w:rFonts w:ascii="Times New Roman" w:hAnsi="Times New Roman"/>
          <w:color w:val="000000"/>
          <w:sz w:val="24"/>
          <w:szCs w:val="24"/>
        </w:rPr>
      </w:pPr>
    </w:p>
    <w:p w14:paraId="275BD138" w14:textId="77777777" w:rsidR="00D130D7" w:rsidRPr="00641A30" w:rsidRDefault="00D130D7" w:rsidP="00E552D2">
      <w:pPr>
        <w:spacing w:line="360" w:lineRule="auto"/>
        <w:ind w:right="-360"/>
        <w:rPr>
          <w:sz w:val="24"/>
          <w:szCs w:val="24"/>
        </w:rPr>
      </w:pPr>
    </w:p>
    <w:p w14:paraId="08761FA6" w14:textId="77777777" w:rsidR="00D130D7" w:rsidRPr="00641A30" w:rsidRDefault="00D130D7" w:rsidP="00E552D2">
      <w:pPr>
        <w:spacing w:line="360" w:lineRule="auto"/>
        <w:ind w:right="-360"/>
        <w:rPr>
          <w:b/>
          <w:i/>
          <w:color w:val="4472C4" w:themeColor="accent1"/>
          <w:sz w:val="24"/>
          <w:szCs w:val="24"/>
          <w:lang w:val="fr-FR"/>
        </w:rPr>
      </w:pPr>
    </w:p>
    <w:p w14:paraId="36A8CFAA" w14:textId="77777777" w:rsidR="00D130D7" w:rsidRPr="00641A30" w:rsidRDefault="00D130D7" w:rsidP="00E552D2">
      <w:pPr>
        <w:spacing w:line="360" w:lineRule="auto"/>
        <w:ind w:right="-360"/>
        <w:rPr>
          <w:b/>
          <w:i/>
          <w:color w:val="4472C4" w:themeColor="accent1"/>
          <w:sz w:val="24"/>
          <w:szCs w:val="24"/>
          <w:lang w:val="fr-FR"/>
        </w:rPr>
      </w:pPr>
    </w:p>
    <w:p w14:paraId="0533749E" w14:textId="77777777" w:rsidR="00D130D7" w:rsidRPr="00641A30" w:rsidRDefault="00D130D7" w:rsidP="00E552D2">
      <w:pPr>
        <w:spacing w:line="360" w:lineRule="auto"/>
        <w:ind w:right="-360"/>
        <w:rPr>
          <w:b/>
          <w:i/>
          <w:color w:val="4472C4" w:themeColor="accent1"/>
          <w:sz w:val="24"/>
          <w:szCs w:val="24"/>
          <w:lang w:val="fr-FR"/>
        </w:rPr>
      </w:pPr>
    </w:p>
    <w:p w14:paraId="220D8C4B" w14:textId="77777777" w:rsidR="00D130D7" w:rsidRPr="00641A30" w:rsidRDefault="00D130D7" w:rsidP="00E552D2">
      <w:pPr>
        <w:spacing w:line="360" w:lineRule="auto"/>
        <w:ind w:right="-360"/>
        <w:rPr>
          <w:b/>
          <w:i/>
          <w:color w:val="4472C4" w:themeColor="accent1"/>
          <w:sz w:val="24"/>
          <w:szCs w:val="24"/>
          <w:lang w:val="fr-FR"/>
        </w:rPr>
      </w:pPr>
    </w:p>
    <w:p w14:paraId="7CCBEA3D" w14:textId="77777777" w:rsidR="00D130D7" w:rsidRPr="00641A30" w:rsidRDefault="00D130D7" w:rsidP="00E552D2">
      <w:pPr>
        <w:spacing w:line="360" w:lineRule="auto"/>
        <w:ind w:right="-360"/>
        <w:rPr>
          <w:b/>
          <w:i/>
          <w:color w:val="4472C4" w:themeColor="accent1"/>
          <w:sz w:val="24"/>
          <w:szCs w:val="24"/>
          <w:lang w:val="fr-FR"/>
        </w:rPr>
      </w:pPr>
    </w:p>
    <w:p w14:paraId="35E633ED" w14:textId="77777777" w:rsidR="00D130D7" w:rsidRPr="00641A30" w:rsidRDefault="00D130D7" w:rsidP="00E552D2">
      <w:pPr>
        <w:spacing w:line="360" w:lineRule="auto"/>
        <w:ind w:right="-360"/>
        <w:rPr>
          <w:b/>
          <w:i/>
          <w:color w:val="4472C4" w:themeColor="accent1"/>
          <w:sz w:val="24"/>
          <w:szCs w:val="24"/>
          <w:lang w:val="fr-FR"/>
        </w:rPr>
      </w:pPr>
    </w:p>
    <w:p w14:paraId="1C81517D" w14:textId="77777777" w:rsidR="00D130D7" w:rsidRPr="00641A30" w:rsidRDefault="00D130D7" w:rsidP="00E552D2">
      <w:pPr>
        <w:pStyle w:val="SHAFigureNote"/>
        <w:spacing w:line="360" w:lineRule="auto"/>
        <w:rPr>
          <w:sz w:val="24"/>
          <w:szCs w:val="24"/>
        </w:rPr>
      </w:pPr>
      <w:r w:rsidRPr="00641A30">
        <w:rPr>
          <w:sz w:val="24"/>
          <w:szCs w:val="24"/>
        </w:rPr>
        <w:t>SOURCE: OFFICE OF CONSUMER AFFAIRS AND BUSINESS REGULATION, BOARD OF ALLIED MENTAL HEALTH AND HUMAN SERVICES PROFESSIONS</w:t>
      </w:r>
    </w:p>
    <w:p w14:paraId="281FF30B" w14:textId="77777777" w:rsidR="00D130D7" w:rsidRPr="00641A30" w:rsidRDefault="00D130D7" w:rsidP="00E552D2">
      <w:pPr>
        <w:pStyle w:val="Heading4"/>
        <w:spacing w:line="360" w:lineRule="auto"/>
      </w:pPr>
      <w:r w:rsidRPr="00641A30">
        <w:t>Dental Workforce</w:t>
      </w:r>
    </w:p>
    <w:p w14:paraId="6CBBA8AD" w14:textId="77777777" w:rsidR="00D130D7" w:rsidRPr="00641A30" w:rsidRDefault="00D130D7" w:rsidP="00E552D2">
      <w:pPr>
        <w:spacing w:line="360" w:lineRule="auto"/>
        <w:ind w:right="-360"/>
        <w:rPr>
          <w:sz w:val="24"/>
          <w:szCs w:val="24"/>
        </w:rPr>
      </w:pPr>
      <w:r w:rsidRPr="00641A30">
        <w:rPr>
          <w:sz w:val="24"/>
          <w:szCs w:val="24"/>
        </w:rPr>
        <w:t xml:space="preserve">Massachusetts is facing shortages in the geographic distribution of its dental workforce.  Dentists, dental hygienist, and public health dental hygienists make up the majority of this workforce which is well represented in the eastern part of the state. Many areas in western and central Massachusetts, however, have few or no dental providers. </w:t>
      </w:r>
    </w:p>
    <w:p w14:paraId="7642D577" w14:textId="56D2B3EC" w:rsidR="00D130D7" w:rsidRPr="00641A30" w:rsidRDefault="00D130D7" w:rsidP="00E552D2">
      <w:pPr>
        <w:spacing w:line="360" w:lineRule="auto"/>
        <w:ind w:right="-360"/>
        <w:rPr>
          <w:sz w:val="24"/>
          <w:szCs w:val="24"/>
        </w:rPr>
      </w:pPr>
      <w:r w:rsidRPr="00641A30">
        <w:rPr>
          <w:sz w:val="24"/>
          <w:szCs w:val="24"/>
        </w:rPr>
        <w:t xml:space="preserve">Health Professional Shortage Areas (HPSAs) are designations made by the Health Resources and Services Administration (HRSA) that indicate health care provider shortages in primary care, dental health, and mental </w:t>
      </w:r>
      <w:r w:rsidRPr="00641A30">
        <w:rPr>
          <w:sz w:val="24"/>
          <w:szCs w:val="24"/>
        </w:rPr>
        <w:lastRenderedPageBreak/>
        <w:t>heal</w:t>
      </w:r>
      <w:r w:rsidR="003E0BD6" w:rsidRPr="00641A30">
        <w:rPr>
          <w:sz w:val="24"/>
          <w:szCs w:val="24"/>
        </w:rPr>
        <w:t xml:space="preserve">th. As shown in the </w:t>
      </w:r>
      <w:r w:rsidR="003E0BD6" w:rsidRPr="00641A30">
        <w:rPr>
          <w:b/>
          <w:sz w:val="24"/>
          <w:szCs w:val="24"/>
        </w:rPr>
        <w:t>Fgure</w:t>
      </w:r>
      <w:r w:rsidR="00965429" w:rsidRPr="00641A30">
        <w:rPr>
          <w:b/>
          <w:sz w:val="24"/>
          <w:szCs w:val="24"/>
        </w:rPr>
        <w:t xml:space="preserve"> </w:t>
      </w:r>
      <w:r w:rsidR="003E0BD6" w:rsidRPr="00641A30">
        <w:rPr>
          <w:b/>
          <w:sz w:val="24"/>
          <w:szCs w:val="24"/>
        </w:rPr>
        <w:t>7.23</w:t>
      </w:r>
      <w:r w:rsidRPr="00641A30">
        <w:rPr>
          <w:sz w:val="24"/>
          <w:szCs w:val="24"/>
        </w:rPr>
        <w:t>, Massachusetts currently has seven geographic dental health professionals shortage areas located in the following areas: Dukes County, Nantucket County, Lower Outer Cape, Mid-Cape, Upper Cape, the Hilltowns, and South Berkshire.</w:t>
      </w:r>
    </w:p>
    <w:p w14:paraId="709477E2" w14:textId="08FA3086" w:rsidR="00FA069B" w:rsidRPr="00641A30" w:rsidRDefault="00FA069B" w:rsidP="00E552D2">
      <w:pPr>
        <w:spacing w:line="360" w:lineRule="auto"/>
        <w:ind w:right="-360"/>
        <w:rPr>
          <w:sz w:val="24"/>
          <w:szCs w:val="24"/>
        </w:rPr>
      </w:pPr>
      <w:bookmarkStart w:id="10" w:name="_Hlk494371202"/>
      <w:r w:rsidRPr="00641A30">
        <w:rPr>
          <w:sz w:val="24"/>
          <w:szCs w:val="24"/>
        </w:rPr>
        <w:t>Finally, individuals with special health care needs often do not receive needed oral health care due to a lack of dental providers with expertise to treat them. Massachusetts is unique in that it has six specialized dental clinics operated by Tufts Dental Facilities. These facilities serve individuals with intellectual or developmental disabilities. In Fiscal Year 2016, Tufts Dental Facilities served 7,068 patients during more than 24,000 visits.</w:t>
      </w:r>
    </w:p>
    <w:p w14:paraId="68849717" w14:textId="7C740076" w:rsidR="00FA069B" w:rsidRPr="00641A30" w:rsidRDefault="00FA069B" w:rsidP="00E552D2">
      <w:pPr>
        <w:spacing w:before="0" w:line="360" w:lineRule="auto"/>
        <w:ind w:left="0" w:right="0"/>
        <w:jc w:val="left"/>
        <w:rPr>
          <w:b/>
          <w:noProof w:val="0"/>
          <w:sz w:val="24"/>
          <w:szCs w:val="24"/>
          <w:highlight w:val="yellow"/>
        </w:rPr>
      </w:pPr>
    </w:p>
    <w:p w14:paraId="7D042BF0" w14:textId="08C0D3A8" w:rsidR="00D130D7" w:rsidRPr="00641A30" w:rsidRDefault="00D130D7" w:rsidP="00E552D2">
      <w:pPr>
        <w:pStyle w:val="SHAFigureNumber"/>
        <w:spacing w:line="360" w:lineRule="auto"/>
        <w:rPr>
          <w:sz w:val="24"/>
          <w:szCs w:val="24"/>
        </w:rPr>
      </w:pPr>
      <w:r w:rsidRPr="00641A30">
        <w:rPr>
          <w:sz w:val="24"/>
          <w:szCs w:val="24"/>
        </w:rPr>
        <w:t>Figure 7.23</w:t>
      </w:r>
    </w:p>
    <w:p w14:paraId="2416A42E" w14:textId="3D09EF98" w:rsidR="00D130D7" w:rsidRPr="00641A30" w:rsidRDefault="00D130D7" w:rsidP="00E552D2">
      <w:pPr>
        <w:pStyle w:val="SHAFigureNumber"/>
        <w:spacing w:line="360" w:lineRule="auto"/>
        <w:rPr>
          <w:sz w:val="24"/>
          <w:szCs w:val="24"/>
        </w:rPr>
      </w:pPr>
      <w:r w:rsidRPr="00641A30">
        <w:rPr>
          <w:sz w:val="24"/>
          <w:szCs w:val="24"/>
        </w:rPr>
        <w:t>Dent</w:t>
      </w:r>
      <w:r w:rsidR="000E1637" w:rsidRPr="00641A30">
        <w:rPr>
          <w:sz w:val="24"/>
          <w:szCs w:val="24"/>
        </w:rPr>
        <w:t>al Health Professional Shortage</w:t>
      </w:r>
      <w:r w:rsidRPr="00641A30">
        <w:rPr>
          <w:sz w:val="24"/>
          <w:szCs w:val="24"/>
        </w:rPr>
        <w:t xml:space="preserve"> Areas</w:t>
      </w:r>
      <w:r w:rsidR="000E1637" w:rsidRPr="00641A30">
        <w:rPr>
          <w:sz w:val="24"/>
          <w:szCs w:val="24"/>
        </w:rPr>
        <w:t xml:space="preserve"> (HPSA)</w:t>
      </w:r>
      <w:r w:rsidRPr="00641A30">
        <w:rPr>
          <w:sz w:val="24"/>
          <w:szCs w:val="24"/>
        </w:rPr>
        <w:t>, 2017</w:t>
      </w:r>
    </w:p>
    <w:bookmarkEnd w:id="10"/>
    <w:p w14:paraId="13A53448" w14:textId="26ED94D7" w:rsidR="00D130D7" w:rsidRPr="00641A30" w:rsidRDefault="00261496" w:rsidP="00E552D2">
      <w:pPr>
        <w:spacing w:line="360" w:lineRule="auto"/>
        <w:ind w:right="-360"/>
        <w:jc w:val="center"/>
        <w:rPr>
          <w:sz w:val="24"/>
          <w:szCs w:val="24"/>
          <w:lang w:val="fr-FR"/>
        </w:rPr>
      </w:pPr>
      <w:r w:rsidRPr="00641A30">
        <w:rPr>
          <w:sz w:val="24"/>
          <w:szCs w:val="24"/>
        </w:rPr>
        <w:drawing>
          <wp:inline distT="0" distB="0" distL="0" distR="0" wp14:anchorId="4D6815CC" wp14:editId="3644DD27">
            <wp:extent cx="6048828" cy="3826217"/>
            <wp:effectExtent l="0" t="0" r="0" b="3175"/>
            <wp:docPr id="672" name="Picture 672" descr="This map of Massachusetts shows that there are 7 key areas identified as dental professional shortage areas.  These shortage areas due to geography include the western most cities and towns as well as the cape and islands.  Dental professional shortage areas by population include a large area of north western Massachusetts and the three towns of Greenfield, Montague and Sunderlan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kerrichetti\AppData\Local\Microsoft\Windows\INetCache\Content.Word\7_23_OralHealth_Dentist_DHPSA.JPG"/>
                    <pic:cNvPicPr>
                      <a:picLocks noChangeAspect="1" noChangeArrowheads="1"/>
                    </pic:cNvPicPr>
                  </pic:nvPicPr>
                  <pic:blipFill rotWithShape="1">
                    <a:blip r:embed="rId204" cstate="print">
                      <a:extLst>
                        <a:ext uri="{28A0092B-C50C-407E-A947-70E740481C1C}">
                          <a14:useLocalDpi xmlns:a14="http://schemas.microsoft.com/office/drawing/2010/main" val="0"/>
                        </a:ext>
                      </a:extLst>
                    </a:blip>
                    <a:srcRect t="9635"/>
                    <a:stretch/>
                  </pic:blipFill>
                  <pic:spPr bwMode="auto">
                    <a:xfrm>
                      <a:off x="0" y="0"/>
                      <a:ext cx="6061887" cy="3834477"/>
                    </a:xfrm>
                    <a:prstGeom prst="rect">
                      <a:avLst/>
                    </a:prstGeom>
                    <a:noFill/>
                    <a:ln>
                      <a:noFill/>
                    </a:ln>
                    <a:extLst>
                      <a:ext uri="{53640926-AAD7-44D8-BBD7-CCE9431645EC}">
                        <a14:shadowObscured xmlns:a14="http://schemas.microsoft.com/office/drawing/2010/main"/>
                      </a:ext>
                    </a:extLst>
                  </pic:spPr>
                </pic:pic>
              </a:graphicData>
            </a:graphic>
          </wp:inline>
        </w:drawing>
      </w:r>
    </w:p>
    <w:p w14:paraId="43D37124" w14:textId="77777777" w:rsidR="00D130D7" w:rsidRPr="00641A30" w:rsidRDefault="00D130D7" w:rsidP="00E552D2">
      <w:pPr>
        <w:pStyle w:val="SHAFigureNote"/>
        <w:spacing w:before="0" w:after="0" w:line="360" w:lineRule="auto"/>
        <w:rPr>
          <w:sz w:val="24"/>
          <w:szCs w:val="24"/>
        </w:rPr>
      </w:pPr>
      <w:r w:rsidRPr="00641A30">
        <w:rPr>
          <w:sz w:val="24"/>
          <w:szCs w:val="24"/>
          <w:lang w:val="fr-FR"/>
        </w:rPr>
        <w:t xml:space="preserve">SOURCE : </w:t>
      </w:r>
      <w:r w:rsidRPr="00641A30">
        <w:rPr>
          <w:sz w:val="24"/>
          <w:szCs w:val="24"/>
        </w:rPr>
        <w:t>HRSA, DATA WAREHOUSE, SHAPE FILE</w:t>
      </w:r>
    </w:p>
    <w:p w14:paraId="21A85AC1" w14:textId="2F64583D" w:rsidR="00D130D7" w:rsidRPr="00641A30" w:rsidRDefault="00D130D7" w:rsidP="00E552D2">
      <w:pPr>
        <w:pStyle w:val="SHAFigureNote"/>
        <w:spacing w:before="0" w:after="0" w:line="360" w:lineRule="auto"/>
        <w:rPr>
          <w:sz w:val="24"/>
          <w:szCs w:val="24"/>
        </w:rPr>
      </w:pPr>
      <w:r w:rsidRPr="00641A30">
        <w:rPr>
          <w:sz w:val="24"/>
          <w:szCs w:val="24"/>
        </w:rPr>
        <w:t>NOTE: MAP CURRENT AS OF 8-23-2017</w:t>
      </w:r>
    </w:p>
    <w:p w14:paraId="1A847930" w14:textId="19370D67" w:rsidR="00373F3B" w:rsidRPr="00641A30" w:rsidRDefault="00373F3B" w:rsidP="00E552D2">
      <w:pPr>
        <w:shd w:val="clear" w:color="auto" w:fill="FFFFFF"/>
        <w:spacing w:line="360" w:lineRule="auto"/>
        <w:ind w:right="0"/>
        <w:contextualSpacing/>
        <w:rPr>
          <w:sz w:val="24"/>
          <w:szCs w:val="24"/>
        </w:rPr>
      </w:pPr>
    </w:p>
    <w:p w14:paraId="6C8C699D" w14:textId="268A508A" w:rsidR="00D130D7" w:rsidRDefault="00D130D7" w:rsidP="00E552D2">
      <w:pPr>
        <w:pStyle w:val="Heading1"/>
        <w:spacing w:line="360" w:lineRule="auto"/>
      </w:pPr>
      <w:r>
        <w:lastRenderedPageBreak/>
        <w:t xml:space="preserve">Public Health &amp; Health Care Systems Preparedness  </w:t>
      </w:r>
    </w:p>
    <w:p w14:paraId="61BC9109" w14:textId="77777777" w:rsidR="00D130D7" w:rsidRPr="00641A30" w:rsidRDefault="00D130D7" w:rsidP="00E552D2">
      <w:pPr>
        <w:spacing w:line="360" w:lineRule="auto"/>
        <w:ind w:right="-360"/>
        <w:rPr>
          <w:sz w:val="24"/>
          <w:szCs w:val="24"/>
        </w:rPr>
      </w:pPr>
      <w:r w:rsidRPr="00641A30">
        <w:rPr>
          <w:sz w:val="24"/>
          <w:szCs w:val="24"/>
        </w:rPr>
        <w:t xml:space="preserve">This section discusses public health and health care system preparedness and the network of stakeholders who ensure that public health plans are implemented during emergencies of all types. Local public health has long been involved in public health preparedness for their communities. However, in the wake of post 9/11 events, the 2009 H1N1 pandemic and other novel health threats, public health authorities have been compelled to focus on the need for increased preparedness.  </w:t>
      </w:r>
    </w:p>
    <w:p w14:paraId="1A1500C8" w14:textId="77777777" w:rsidR="00D130D7" w:rsidRPr="00641A30" w:rsidRDefault="00D130D7" w:rsidP="00E552D2">
      <w:pPr>
        <w:spacing w:line="360" w:lineRule="auto"/>
        <w:ind w:right="-360"/>
        <w:rPr>
          <w:sz w:val="24"/>
          <w:szCs w:val="24"/>
        </w:rPr>
      </w:pPr>
      <w:r w:rsidRPr="00641A30">
        <w:rPr>
          <w:sz w:val="24"/>
          <w:szCs w:val="24"/>
        </w:rPr>
        <w:t>MDPH works to expand the ability to prepare for, respond to, recover from and mitigate the impacts of disasters, infectious disease, terrorism and mass casualty emergencies by:</w:t>
      </w:r>
    </w:p>
    <w:p w14:paraId="32CBAB75" w14:textId="77777777" w:rsidR="00D130D7" w:rsidRPr="00641A30" w:rsidRDefault="00D130D7" w:rsidP="00E552D2">
      <w:pPr>
        <w:pStyle w:val="ListParagraph"/>
        <w:numPr>
          <w:ilvl w:val="0"/>
          <w:numId w:val="124"/>
        </w:numPr>
        <w:tabs>
          <w:tab w:val="left" w:pos="6480"/>
        </w:tabs>
        <w:spacing w:line="360" w:lineRule="auto"/>
        <w:ind w:right="-360"/>
        <w:rPr>
          <w:sz w:val="24"/>
          <w:szCs w:val="24"/>
        </w:rPr>
      </w:pPr>
      <w:r w:rsidRPr="00641A30">
        <w:rPr>
          <w:sz w:val="24"/>
          <w:szCs w:val="24"/>
        </w:rPr>
        <w:t>Acting as the partnering agency for State Emergency Support Function 8 (public health and medical) during an activation at the state emergency operations center</w:t>
      </w:r>
    </w:p>
    <w:p w14:paraId="4A7D8730" w14:textId="77777777" w:rsidR="00D130D7" w:rsidRPr="00641A30" w:rsidRDefault="00D130D7" w:rsidP="00E552D2">
      <w:pPr>
        <w:pStyle w:val="ListParagraph"/>
        <w:numPr>
          <w:ilvl w:val="0"/>
          <w:numId w:val="124"/>
        </w:numPr>
        <w:tabs>
          <w:tab w:val="left" w:pos="6480"/>
        </w:tabs>
        <w:spacing w:line="360" w:lineRule="auto"/>
        <w:ind w:right="-360"/>
        <w:rPr>
          <w:sz w:val="24"/>
          <w:szCs w:val="24"/>
        </w:rPr>
      </w:pPr>
      <w:r w:rsidRPr="00641A30">
        <w:rPr>
          <w:sz w:val="24"/>
          <w:szCs w:val="24"/>
        </w:rPr>
        <w:t xml:space="preserve">Sharing situational awareness with more than 45,700 active users of Listservs which including a wide range of health care </w:t>
      </w:r>
    </w:p>
    <w:p w14:paraId="4CB8148D" w14:textId="77777777" w:rsidR="00D130D7" w:rsidRPr="00641A30" w:rsidRDefault="00D130D7" w:rsidP="00E552D2">
      <w:pPr>
        <w:pStyle w:val="ListParagraph"/>
        <w:numPr>
          <w:ilvl w:val="0"/>
          <w:numId w:val="124"/>
        </w:numPr>
        <w:tabs>
          <w:tab w:val="left" w:pos="6480"/>
        </w:tabs>
        <w:spacing w:line="360" w:lineRule="auto"/>
        <w:ind w:right="-360"/>
        <w:rPr>
          <w:sz w:val="24"/>
          <w:szCs w:val="24"/>
        </w:rPr>
      </w:pPr>
      <w:r w:rsidRPr="00641A30">
        <w:rPr>
          <w:sz w:val="24"/>
          <w:szCs w:val="24"/>
        </w:rPr>
        <w:t>Reaching more than 9,300 active users of  the Health and Homeland Alert Network (HHAN), an alert and notification system to share information about urgent public health and public safety incidents with public information officers, federal, state, territorial, tribal and local public health practitioners, clinicians, and public health laboratories</w:t>
      </w:r>
    </w:p>
    <w:p w14:paraId="4CF95670" w14:textId="77777777" w:rsidR="00D130D7" w:rsidRPr="00641A30" w:rsidRDefault="00D130D7" w:rsidP="00E552D2">
      <w:pPr>
        <w:pStyle w:val="ListParagraph"/>
        <w:numPr>
          <w:ilvl w:val="0"/>
          <w:numId w:val="124"/>
        </w:numPr>
        <w:tabs>
          <w:tab w:val="left" w:pos="6480"/>
        </w:tabs>
        <w:spacing w:line="360" w:lineRule="auto"/>
        <w:ind w:right="-360"/>
        <w:rPr>
          <w:sz w:val="24"/>
          <w:szCs w:val="24"/>
        </w:rPr>
      </w:pPr>
      <w:r w:rsidRPr="00641A30">
        <w:rPr>
          <w:sz w:val="24"/>
          <w:szCs w:val="24"/>
        </w:rPr>
        <w:t xml:space="preserve">Serving as the grantee for the Centers for Disease Control &amp; Prevention (CDC) and the Office of the Assistant Secretary for Preparedness and Response (ASPR) emergency preparedness funding enabling MDPH to financially support regional coordination </w:t>
      </w:r>
    </w:p>
    <w:p w14:paraId="1475F223" w14:textId="77777777" w:rsidR="00D130D7" w:rsidRPr="00641A30" w:rsidRDefault="00D130D7" w:rsidP="00E552D2">
      <w:pPr>
        <w:pStyle w:val="ListParagraph"/>
        <w:numPr>
          <w:ilvl w:val="0"/>
          <w:numId w:val="124"/>
        </w:numPr>
        <w:tabs>
          <w:tab w:val="left" w:pos="6480"/>
        </w:tabs>
        <w:spacing w:line="360" w:lineRule="auto"/>
        <w:ind w:right="-360"/>
        <w:rPr>
          <w:sz w:val="24"/>
          <w:szCs w:val="24"/>
        </w:rPr>
      </w:pPr>
      <w:r w:rsidRPr="00641A30">
        <w:rPr>
          <w:sz w:val="24"/>
          <w:szCs w:val="24"/>
        </w:rPr>
        <w:t>Offering technical support for preparedness including  planning, exercises, and trainings for local public health and health care systems partners</w:t>
      </w:r>
    </w:p>
    <w:p w14:paraId="0BD6EE54" w14:textId="77777777" w:rsidR="00D130D7" w:rsidRPr="00641A30" w:rsidRDefault="00D130D7" w:rsidP="00E552D2">
      <w:pPr>
        <w:pStyle w:val="ListParagraph"/>
        <w:numPr>
          <w:ilvl w:val="0"/>
          <w:numId w:val="124"/>
        </w:numPr>
        <w:tabs>
          <w:tab w:val="left" w:pos="6480"/>
        </w:tabs>
        <w:spacing w:line="360" w:lineRule="auto"/>
        <w:ind w:right="-360"/>
        <w:rPr>
          <w:sz w:val="24"/>
          <w:szCs w:val="24"/>
        </w:rPr>
      </w:pPr>
      <w:r w:rsidRPr="00641A30">
        <w:rPr>
          <w:sz w:val="24"/>
          <w:szCs w:val="24"/>
        </w:rPr>
        <w:t xml:space="preserve">Encouraging the use of </w:t>
      </w:r>
      <w:hyperlink r:id="rId205" w:history="1">
        <w:r w:rsidRPr="00641A30">
          <w:rPr>
            <w:rStyle w:val="Hyperlink"/>
            <w:sz w:val="24"/>
            <w:szCs w:val="24"/>
          </w:rPr>
          <w:t>Functional Assessments</w:t>
        </w:r>
      </w:hyperlink>
      <w:r w:rsidRPr="00641A30">
        <w:rPr>
          <w:sz w:val="24"/>
          <w:szCs w:val="24"/>
        </w:rPr>
        <w:t xml:space="preserve"> to assist local communities in their planning efforts to integrate considerations for individuals with disabilities and others with access and functional needs into local emergency plans, programs, services and activities.</w:t>
      </w:r>
    </w:p>
    <w:p w14:paraId="4F81B62D" w14:textId="1E8BA42D" w:rsidR="00D130D7" w:rsidRPr="00641A30" w:rsidRDefault="00D130D7" w:rsidP="00E552D2">
      <w:pPr>
        <w:spacing w:line="360" w:lineRule="auto"/>
        <w:ind w:right="-360"/>
        <w:rPr>
          <w:sz w:val="24"/>
          <w:szCs w:val="24"/>
        </w:rPr>
      </w:pPr>
      <w:r w:rsidRPr="00641A30">
        <w:rPr>
          <w:sz w:val="24"/>
          <w:szCs w:val="24"/>
        </w:rPr>
        <w:t>To ensure integrated planning and capacity-buildin</w:t>
      </w:r>
      <w:r w:rsidR="00FA069B" w:rsidRPr="00641A30">
        <w:rPr>
          <w:sz w:val="24"/>
          <w:szCs w:val="24"/>
        </w:rPr>
        <w:t xml:space="preserve">g across five core disciplines—acute </w:t>
      </w:r>
      <w:r w:rsidRPr="00641A30">
        <w:rPr>
          <w:sz w:val="24"/>
          <w:szCs w:val="24"/>
        </w:rPr>
        <w:t xml:space="preserve"> care hospitals, community health centers and ambulatory care organizations, emergency medical services, local pub</w:t>
      </w:r>
      <w:r w:rsidR="00FA069B" w:rsidRPr="00641A30">
        <w:rPr>
          <w:sz w:val="24"/>
          <w:szCs w:val="24"/>
        </w:rPr>
        <w:t xml:space="preserve">lic health, and long term care—MDPH </w:t>
      </w:r>
      <w:r w:rsidRPr="00641A30">
        <w:rPr>
          <w:sz w:val="24"/>
          <w:szCs w:val="24"/>
        </w:rPr>
        <w:t xml:space="preserve">has created six regional Health and Medical Coordinating Coalitions (HMCCs). Each </w:t>
      </w:r>
      <w:r w:rsidRPr="00641A30">
        <w:rPr>
          <w:sz w:val="24"/>
          <w:szCs w:val="24"/>
        </w:rPr>
        <w:lastRenderedPageBreak/>
        <w:t>HMCC conducts cross-disciplinary capabilities-based planning to advance regional health and medical capacity across all phases of the disaster cycle</w:t>
      </w:r>
      <w:r w:rsidR="00FA069B" w:rsidRPr="00641A30">
        <w:rPr>
          <w:sz w:val="24"/>
          <w:szCs w:val="24"/>
        </w:rPr>
        <w:t>,</w:t>
      </w:r>
      <w:r w:rsidRPr="00641A30">
        <w:rPr>
          <w:sz w:val="24"/>
          <w:szCs w:val="24"/>
        </w:rPr>
        <w:t xml:space="preserve"> and the HMCC also ensures 24/7 availability to support information sharing and resource coordination in the event of an emergency within the HMCC Region. </w:t>
      </w:r>
    </w:p>
    <w:p w14:paraId="3E36B5E3" w14:textId="17F6CAF2" w:rsidR="00D130D7" w:rsidRPr="00641A30" w:rsidRDefault="00D130D7" w:rsidP="00E552D2">
      <w:pPr>
        <w:spacing w:line="360" w:lineRule="auto"/>
        <w:ind w:right="-360"/>
        <w:rPr>
          <w:sz w:val="24"/>
          <w:szCs w:val="24"/>
        </w:rPr>
      </w:pPr>
      <w:r w:rsidRPr="00641A30">
        <w:rPr>
          <w:sz w:val="24"/>
          <w:szCs w:val="24"/>
        </w:rPr>
        <w:t>MDPH recognizes that training and exercises are integral to federal, state, and local preparedness efforts. Trainings provide baseline knowledge in terms of duties, roles, and responsibilities as well as current topic-specific information for p</w:t>
      </w:r>
      <w:r w:rsidR="00325161" w:rsidRPr="00641A30">
        <w:rPr>
          <w:sz w:val="24"/>
          <w:szCs w:val="24"/>
        </w:rPr>
        <w:t xml:space="preserve">ractitioners. Exercises - - </w:t>
      </w:r>
      <w:r w:rsidRPr="00641A30">
        <w:rPr>
          <w:sz w:val="24"/>
          <w:szCs w:val="24"/>
        </w:rPr>
        <w:t>whether</w:t>
      </w:r>
      <w:r w:rsidR="00325161" w:rsidRPr="00641A30">
        <w:rPr>
          <w:sz w:val="24"/>
          <w:szCs w:val="24"/>
        </w:rPr>
        <w:t xml:space="preserve"> discussion or operationally-based - - </w:t>
      </w:r>
      <w:r w:rsidR="00FA069B" w:rsidRPr="00641A30">
        <w:rPr>
          <w:sz w:val="24"/>
          <w:szCs w:val="24"/>
        </w:rPr>
        <w:t xml:space="preserve">are </w:t>
      </w:r>
      <w:r w:rsidRPr="00641A30">
        <w:rPr>
          <w:sz w:val="24"/>
          <w:szCs w:val="24"/>
        </w:rPr>
        <w:t xml:space="preserve">designed to engage team members and get them working together to manage the response to a simulated incident and assess plans, policies, and procedures prior to an actual event. </w:t>
      </w:r>
    </w:p>
    <w:p w14:paraId="0DF8AF3D" w14:textId="1532A2C2" w:rsidR="00E519CD" w:rsidRDefault="00D130D7" w:rsidP="00E552D2">
      <w:pPr>
        <w:spacing w:line="360" w:lineRule="auto"/>
        <w:ind w:right="-360"/>
        <w:rPr>
          <w:rFonts w:eastAsia="Times New Roman" w:cstheme="majorBidi"/>
          <w:b/>
          <w:sz w:val="40"/>
          <w:szCs w:val="40"/>
        </w:rPr>
      </w:pPr>
      <w:r w:rsidRPr="00641A30">
        <w:rPr>
          <w:sz w:val="24"/>
          <w:szCs w:val="24"/>
        </w:rPr>
        <w:t>Based on this imperative, MDPH has created a Multi</w:t>
      </w:r>
      <w:r w:rsidR="00325161" w:rsidRPr="00641A30">
        <w:rPr>
          <w:sz w:val="24"/>
          <w:szCs w:val="24"/>
        </w:rPr>
        <w:t xml:space="preserve"> Y</w:t>
      </w:r>
      <w:r w:rsidRPr="00641A30">
        <w:rPr>
          <w:sz w:val="24"/>
          <w:szCs w:val="24"/>
        </w:rPr>
        <w:t>ear Training and Exercise Plan (MYTEP) that serves as the roadmap for MDPH to move towards meeting its emergency preparedness priorities. MDPH has implemented a coordinated all-hazard strategy that combines enhanced planning, innovative training, and realis</w:t>
      </w:r>
      <w:r w:rsidR="00325161" w:rsidRPr="00641A30">
        <w:rPr>
          <w:sz w:val="24"/>
          <w:szCs w:val="24"/>
        </w:rPr>
        <w:t>tic exercises to strengthen Massachusetts’</w:t>
      </w:r>
      <w:r w:rsidRPr="00641A30">
        <w:rPr>
          <w:sz w:val="24"/>
          <w:szCs w:val="24"/>
        </w:rPr>
        <w:t xml:space="preserve"> </w:t>
      </w:r>
      <w:r w:rsidR="00325161" w:rsidRPr="00641A30">
        <w:rPr>
          <w:sz w:val="24"/>
          <w:szCs w:val="24"/>
        </w:rPr>
        <w:t xml:space="preserve">resiliency in </w:t>
      </w:r>
      <w:r w:rsidRPr="00641A30">
        <w:rPr>
          <w:sz w:val="24"/>
          <w:szCs w:val="24"/>
        </w:rPr>
        <w:t>pre</w:t>
      </w:r>
      <w:r w:rsidR="00325161" w:rsidRPr="00641A30">
        <w:rPr>
          <w:sz w:val="24"/>
          <w:szCs w:val="24"/>
        </w:rPr>
        <w:t xml:space="preserve">paring for, responding to and </w:t>
      </w:r>
      <w:r w:rsidRPr="00641A30">
        <w:rPr>
          <w:sz w:val="24"/>
          <w:szCs w:val="24"/>
        </w:rPr>
        <w:t>recover</w:t>
      </w:r>
      <w:r w:rsidR="00325161" w:rsidRPr="00641A30">
        <w:rPr>
          <w:sz w:val="24"/>
          <w:szCs w:val="24"/>
        </w:rPr>
        <w:t>ing</w:t>
      </w:r>
      <w:r w:rsidRPr="00641A30">
        <w:rPr>
          <w:sz w:val="24"/>
          <w:szCs w:val="24"/>
        </w:rPr>
        <w:t xml:space="preserve"> from health security incidents and emergencies.</w:t>
      </w:r>
      <w:r w:rsidR="00E519CD">
        <w:rPr>
          <w:rFonts w:eastAsia="Times New Roman"/>
        </w:rPr>
        <w:br w:type="page"/>
      </w:r>
    </w:p>
    <w:p w14:paraId="38016100" w14:textId="0187FB5E" w:rsidR="00D130D7" w:rsidRDefault="00D130D7" w:rsidP="00E552D2">
      <w:pPr>
        <w:pStyle w:val="Heading1"/>
        <w:spacing w:line="360" w:lineRule="auto"/>
        <w:rPr>
          <w:rFonts w:eastAsia="Times New Roman"/>
        </w:rPr>
      </w:pPr>
      <w:r>
        <w:rPr>
          <w:rFonts w:eastAsia="Times New Roman"/>
        </w:rPr>
        <w:lastRenderedPageBreak/>
        <w:t>Selected Resources, Services</w:t>
      </w:r>
      <w:r w:rsidR="0097710C">
        <w:rPr>
          <w:rFonts w:eastAsia="Times New Roman"/>
        </w:rPr>
        <w:t>,</w:t>
      </w:r>
      <w:r>
        <w:rPr>
          <w:rFonts w:eastAsia="Times New Roman"/>
        </w:rPr>
        <w:t xml:space="preserve"> and Programs</w:t>
      </w:r>
    </w:p>
    <w:p w14:paraId="27F309BA" w14:textId="7A5D3A7A" w:rsidR="00D130D7" w:rsidRPr="00641A30" w:rsidRDefault="00D130D7" w:rsidP="00E552D2">
      <w:pPr>
        <w:spacing w:line="360" w:lineRule="auto"/>
        <w:ind w:right="-360"/>
        <w:rPr>
          <w:rFonts w:cs="Times New Roman"/>
          <w:sz w:val="24"/>
          <w:szCs w:val="24"/>
        </w:rPr>
      </w:pPr>
      <w:bookmarkStart w:id="11" w:name="_Hlk494871485"/>
      <w:r w:rsidRPr="00641A30">
        <w:rPr>
          <w:sz w:val="24"/>
          <w:szCs w:val="24"/>
        </w:rPr>
        <w:t>Following are selected resources, services</w:t>
      </w:r>
      <w:r w:rsidR="00C21585" w:rsidRPr="00641A30">
        <w:rPr>
          <w:sz w:val="24"/>
          <w:szCs w:val="24"/>
        </w:rPr>
        <w:t>,</w:t>
      </w:r>
      <w:r w:rsidRPr="00641A30">
        <w:rPr>
          <w:sz w:val="24"/>
          <w:szCs w:val="24"/>
        </w:rPr>
        <w:t xml:space="preserve"> and programs that support the topics discussed in this chapter.</w:t>
      </w:r>
    </w:p>
    <w:bookmarkEnd w:id="11"/>
    <w:p w14:paraId="31C8FE69" w14:textId="77777777" w:rsidR="00D130D7" w:rsidRPr="00641A30" w:rsidRDefault="00D130D7" w:rsidP="00E552D2">
      <w:pPr>
        <w:pStyle w:val="Heading5"/>
        <w:spacing w:line="360" w:lineRule="auto"/>
        <w:rPr>
          <w:sz w:val="24"/>
          <w:szCs w:val="24"/>
        </w:rPr>
      </w:pPr>
      <w:r w:rsidRPr="00641A30">
        <w:rPr>
          <w:sz w:val="24"/>
          <w:szCs w:val="24"/>
        </w:rPr>
        <w:t>Workforce Development </w:t>
      </w:r>
    </w:p>
    <w:p w14:paraId="06D4D3D2" w14:textId="77777777" w:rsidR="00D130D7" w:rsidRPr="00641A30" w:rsidRDefault="00D130D7" w:rsidP="00E552D2">
      <w:pPr>
        <w:pStyle w:val="ListParagraph"/>
        <w:numPr>
          <w:ilvl w:val="0"/>
          <w:numId w:val="112"/>
        </w:numPr>
        <w:spacing w:line="360" w:lineRule="auto"/>
        <w:ind w:right="-360"/>
        <w:rPr>
          <w:sz w:val="24"/>
          <w:szCs w:val="24"/>
        </w:rPr>
      </w:pPr>
      <w:r w:rsidRPr="00641A30">
        <w:rPr>
          <w:sz w:val="24"/>
          <w:szCs w:val="24"/>
        </w:rPr>
        <w:t xml:space="preserve">The Massachusetts Loan Repayment Program (MLRP) recruits health professionals working in areas with health profession shortages by providing loan repayment for professionals who agree to commit to practice in eligible health care organizations. </w:t>
      </w:r>
    </w:p>
    <w:p w14:paraId="5ED49CE0" w14:textId="77777777" w:rsidR="00E519CD" w:rsidRPr="00641A30" w:rsidRDefault="00D130D7" w:rsidP="00E552D2">
      <w:pPr>
        <w:pStyle w:val="ListParagraph"/>
        <w:numPr>
          <w:ilvl w:val="0"/>
          <w:numId w:val="112"/>
        </w:numPr>
        <w:spacing w:after="0" w:line="360" w:lineRule="auto"/>
        <w:ind w:right="-360"/>
        <w:rPr>
          <w:sz w:val="24"/>
          <w:szCs w:val="24"/>
        </w:rPr>
      </w:pPr>
      <w:r w:rsidRPr="00641A30">
        <w:rPr>
          <w:sz w:val="24"/>
          <w:szCs w:val="24"/>
        </w:rPr>
        <w:t>The J-1 visa waiver program allows international medical graduates to practice in the United States under an educational exchange program for up to seven years in areas that serve the medically underserved populations.</w:t>
      </w:r>
    </w:p>
    <w:p w14:paraId="2D57AEBA" w14:textId="08F6172F" w:rsidR="00E519CD" w:rsidRPr="00641A30" w:rsidRDefault="00D130D7" w:rsidP="00E552D2">
      <w:pPr>
        <w:pStyle w:val="ListParagraph"/>
        <w:numPr>
          <w:ilvl w:val="0"/>
          <w:numId w:val="112"/>
        </w:numPr>
        <w:spacing w:after="0" w:line="360" w:lineRule="auto"/>
        <w:ind w:right="-360"/>
        <w:rPr>
          <w:sz w:val="24"/>
          <w:szCs w:val="24"/>
        </w:rPr>
      </w:pPr>
      <w:r w:rsidRPr="00641A30">
        <w:rPr>
          <w:sz w:val="24"/>
          <w:szCs w:val="24"/>
        </w:rPr>
        <w:t>The</w:t>
      </w:r>
      <w:r w:rsidR="00595DFF" w:rsidRPr="00641A30">
        <w:rPr>
          <w:sz w:val="24"/>
          <w:szCs w:val="24"/>
        </w:rPr>
        <w:t xml:space="preserve"> MDPH</w:t>
      </w:r>
      <w:r w:rsidRPr="00641A30">
        <w:rPr>
          <w:sz w:val="24"/>
          <w:szCs w:val="24"/>
        </w:rPr>
        <w:t xml:space="preserve"> Prescription Monitoring Program collects information on Schedule II through V controlled substances dispensed through a prescription. </w:t>
      </w:r>
    </w:p>
    <w:p w14:paraId="7D68416B" w14:textId="103D3A61" w:rsidR="00D130D7" w:rsidRPr="00641A30" w:rsidRDefault="00D130D7" w:rsidP="00E552D2">
      <w:pPr>
        <w:pStyle w:val="ListParagraph"/>
        <w:numPr>
          <w:ilvl w:val="0"/>
          <w:numId w:val="112"/>
        </w:numPr>
        <w:spacing w:after="0" w:line="360" w:lineRule="auto"/>
        <w:ind w:right="-360"/>
        <w:rPr>
          <w:sz w:val="24"/>
          <w:szCs w:val="24"/>
        </w:rPr>
      </w:pPr>
      <w:r w:rsidRPr="00641A30">
        <w:rPr>
          <w:sz w:val="24"/>
          <w:szCs w:val="24"/>
        </w:rPr>
        <w:t>The Local Public Health Institute (Boston University School of Public Health)  creates, implements, and sustains workforce development training for local public health and other local health system partners</w:t>
      </w:r>
      <w:r w:rsidR="00C21585" w:rsidRPr="00641A30">
        <w:rPr>
          <w:sz w:val="24"/>
          <w:szCs w:val="24"/>
        </w:rPr>
        <w:t>.</w:t>
      </w:r>
    </w:p>
    <w:p w14:paraId="23A2984A" w14:textId="77777777" w:rsidR="00D130D7" w:rsidRPr="00641A30" w:rsidRDefault="00D130D7" w:rsidP="00E552D2">
      <w:pPr>
        <w:pStyle w:val="ListParagraph"/>
        <w:numPr>
          <w:ilvl w:val="0"/>
          <w:numId w:val="112"/>
        </w:numPr>
        <w:spacing w:line="360" w:lineRule="auto"/>
        <w:ind w:right="-360"/>
        <w:rPr>
          <w:sz w:val="24"/>
          <w:szCs w:val="24"/>
        </w:rPr>
      </w:pPr>
      <w:r w:rsidRPr="00641A30">
        <w:rPr>
          <w:sz w:val="24"/>
          <w:szCs w:val="24"/>
        </w:rPr>
        <w:t xml:space="preserve">The Collaborative Drug Therapy management (CDTM) is a multidisciplinary process for selecting appropriate drug therapies, educating and monitoring patients, and assessing outcomes of therapy. </w:t>
      </w:r>
    </w:p>
    <w:p w14:paraId="2FB91072" w14:textId="4F1719B2" w:rsidR="00D130D7" w:rsidRPr="00641A30" w:rsidRDefault="00D130D7" w:rsidP="00E552D2">
      <w:pPr>
        <w:pStyle w:val="ListParagraph"/>
        <w:numPr>
          <w:ilvl w:val="0"/>
          <w:numId w:val="112"/>
        </w:numPr>
        <w:spacing w:line="360" w:lineRule="auto"/>
        <w:ind w:right="-360"/>
        <w:rPr>
          <w:sz w:val="24"/>
          <w:szCs w:val="24"/>
        </w:rPr>
      </w:pPr>
      <w:r w:rsidRPr="00641A30">
        <w:rPr>
          <w:sz w:val="24"/>
          <w:szCs w:val="24"/>
        </w:rPr>
        <w:t xml:space="preserve">The MDPH supports the </w:t>
      </w:r>
      <w:r w:rsidR="00DF3261" w:rsidRPr="00641A30">
        <w:rPr>
          <w:sz w:val="24"/>
          <w:szCs w:val="24"/>
        </w:rPr>
        <w:t>Community Health Worker (</w:t>
      </w:r>
      <w:r w:rsidRPr="00641A30">
        <w:rPr>
          <w:sz w:val="24"/>
          <w:szCs w:val="24"/>
        </w:rPr>
        <w:t>CHW</w:t>
      </w:r>
      <w:r w:rsidR="00DF3261" w:rsidRPr="00641A30">
        <w:rPr>
          <w:sz w:val="24"/>
          <w:szCs w:val="24"/>
        </w:rPr>
        <w:t>)</w:t>
      </w:r>
      <w:r w:rsidRPr="00641A30">
        <w:rPr>
          <w:sz w:val="24"/>
          <w:szCs w:val="24"/>
        </w:rPr>
        <w:t xml:space="preserve"> work force through technical assistance, certification and funding. </w:t>
      </w:r>
    </w:p>
    <w:p w14:paraId="69B8BCC7" w14:textId="77777777" w:rsidR="00D130D7" w:rsidRPr="00641A30" w:rsidRDefault="00D130D7" w:rsidP="00E552D2">
      <w:pPr>
        <w:pStyle w:val="ListParagraph"/>
        <w:numPr>
          <w:ilvl w:val="1"/>
          <w:numId w:val="112"/>
        </w:numPr>
        <w:spacing w:line="360" w:lineRule="auto"/>
        <w:ind w:right="-360"/>
        <w:rPr>
          <w:sz w:val="24"/>
          <w:szCs w:val="24"/>
        </w:rPr>
      </w:pPr>
      <w:r w:rsidRPr="00641A30">
        <w:rPr>
          <w:sz w:val="24"/>
          <w:szCs w:val="24"/>
        </w:rPr>
        <w:t xml:space="preserve">MDPH is one of the biggest funders of CHWs in Massachusetts, supporting the ability of CHWs to address chronic disease, environmental health, substance use, maternal health, violence and injury prevention, and HIV/AIDS. </w:t>
      </w:r>
    </w:p>
    <w:p w14:paraId="6F2F168D" w14:textId="77777777" w:rsidR="00D130D7" w:rsidRPr="00641A30" w:rsidRDefault="00D130D7" w:rsidP="00E552D2">
      <w:pPr>
        <w:pStyle w:val="ListParagraph"/>
        <w:numPr>
          <w:ilvl w:val="1"/>
          <w:numId w:val="112"/>
        </w:numPr>
        <w:spacing w:line="360" w:lineRule="auto"/>
        <w:ind w:right="-360"/>
        <w:rPr>
          <w:sz w:val="24"/>
          <w:szCs w:val="24"/>
        </w:rPr>
      </w:pPr>
      <w:r w:rsidRPr="00641A30">
        <w:rPr>
          <w:sz w:val="24"/>
          <w:szCs w:val="24"/>
        </w:rPr>
        <w:t>The MDPH Office of Community Health Workers supports CHW program development, through technical assistance and best practice guidance on recruitment and hiring, supervision, training, and program evaluation, as well as policy guidance on workforce development and sustainable financing.</w:t>
      </w:r>
    </w:p>
    <w:p w14:paraId="7C810D84" w14:textId="77777777" w:rsidR="00D130D7" w:rsidRPr="00641A30" w:rsidRDefault="00D130D7" w:rsidP="00E552D2">
      <w:pPr>
        <w:pStyle w:val="ListParagraph"/>
        <w:numPr>
          <w:ilvl w:val="1"/>
          <w:numId w:val="112"/>
        </w:numPr>
        <w:spacing w:line="360" w:lineRule="auto"/>
        <w:ind w:right="-360"/>
        <w:rPr>
          <w:sz w:val="24"/>
          <w:szCs w:val="24"/>
        </w:rPr>
      </w:pPr>
      <w:r w:rsidRPr="00641A30">
        <w:rPr>
          <w:sz w:val="24"/>
          <w:szCs w:val="24"/>
        </w:rPr>
        <w:t xml:space="preserve">One of the first professional CHW boards in the nation, the Massachusetts Board of Certification of Community Health Workers provides voluntary certification for CHWs based upon a core set of competencies, and also approves core CHW training programs. </w:t>
      </w:r>
    </w:p>
    <w:p w14:paraId="7DF0692D" w14:textId="77777777" w:rsidR="00D130D7" w:rsidRPr="00641A30" w:rsidRDefault="00D130D7" w:rsidP="00E552D2">
      <w:pPr>
        <w:pStyle w:val="ListParagraph"/>
        <w:numPr>
          <w:ilvl w:val="0"/>
          <w:numId w:val="112"/>
        </w:numPr>
        <w:spacing w:line="360" w:lineRule="auto"/>
        <w:ind w:right="-360"/>
        <w:rPr>
          <w:sz w:val="24"/>
          <w:szCs w:val="24"/>
        </w:rPr>
      </w:pPr>
      <w:r w:rsidRPr="00641A30">
        <w:rPr>
          <w:sz w:val="24"/>
          <w:szCs w:val="24"/>
        </w:rPr>
        <w:lastRenderedPageBreak/>
        <w:t>Founded in 2000, the Massachusetts Association of Community Health Workers (MACHW) is a statewide professional organization which strengthens the professional identity of CHWs, fosters leadership among CHWs, and promotes the integration of CHWs into the health care, public health and human service workforce.</w:t>
      </w:r>
    </w:p>
    <w:p w14:paraId="0AFFD6AA" w14:textId="77777777" w:rsidR="00D130D7" w:rsidRPr="00641A30" w:rsidRDefault="00D130D7" w:rsidP="00E552D2">
      <w:pPr>
        <w:pStyle w:val="ListParagraph"/>
        <w:numPr>
          <w:ilvl w:val="0"/>
          <w:numId w:val="112"/>
        </w:numPr>
        <w:spacing w:line="360" w:lineRule="auto"/>
        <w:ind w:right="-360"/>
        <w:rPr>
          <w:sz w:val="24"/>
          <w:szCs w:val="24"/>
        </w:rPr>
      </w:pPr>
      <w:r w:rsidRPr="00641A30">
        <w:rPr>
          <w:sz w:val="24"/>
          <w:szCs w:val="24"/>
        </w:rPr>
        <w:t>Training is available through a variety of experienced organizations which specializes in core competency training and professional development opportunities for community health workers. Examples of established CHW training programs in MA include the Community Health Education Center (Lowell), Community Health Education Center (Boston), Center for Health Impact’s Outreach Worker Training Institute (OWTI), Holyoke Community College, Western Massachusetts Public Health Training Center, and the Massachusetts Department of Public Health’s Patient Navigator Hybrid Training.</w:t>
      </w:r>
    </w:p>
    <w:p w14:paraId="13DB0037" w14:textId="37A4B19F" w:rsidR="00D130D7" w:rsidRPr="00641A30" w:rsidRDefault="00A94C9B" w:rsidP="00E552D2">
      <w:pPr>
        <w:pStyle w:val="Heading5"/>
        <w:spacing w:line="360" w:lineRule="auto"/>
        <w:rPr>
          <w:sz w:val="24"/>
          <w:szCs w:val="24"/>
        </w:rPr>
      </w:pPr>
      <w:r w:rsidRPr="00641A30">
        <w:rPr>
          <w:sz w:val="24"/>
          <w:szCs w:val="24"/>
        </w:rPr>
        <w:t>H</w:t>
      </w:r>
      <w:r w:rsidR="00D130D7" w:rsidRPr="00641A30">
        <w:rPr>
          <w:sz w:val="24"/>
          <w:szCs w:val="24"/>
        </w:rPr>
        <w:t>ealth Care Safety</w:t>
      </w:r>
    </w:p>
    <w:p w14:paraId="53A40A42" w14:textId="77777777" w:rsidR="00D130D7" w:rsidRPr="00641A30" w:rsidRDefault="00D130D7" w:rsidP="00E552D2">
      <w:pPr>
        <w:spacing w:line="360" w:lineRule="auto"/>
        <w:ind w:right="-360"/>
        <w:rPr>
          <w:sz w:val="24"/>
          <w:szCs w:val="24"/>
        </w:rPr>
      </w:pPr>
      <w:r w:rsidRPr="00641A30">
        <w:rPr>
          <w:sz w:val="24"/>
          <w:szCs w:val="24"/>
        </w:rPr>
        <w:t>MDPH monitors the safety of care provided in licensed health care facilities by investigating consumer complaints and conducting on-site surveys to ensure adherence to federal and state requirements.</w:t>
      </w:r>
    </w:p>
    <w:p w14:paraId="572A5C5E" w14:textId="77777777" w:rsidR="00D130D7" w:rsidRPr="00641A30" w:rsidRDefault="00D130D7" w:rsidP="00E552D2">
      <w:pPr>
        <w:spacing w:line="360" w:lineRule="auto"/>
        <w:ind w:right="-360"/>
        <w:rPr>
          <w:sz w:val="24"/>
          <w:szCs w:val="24"/>
        </w:rPr>
      </w:pPr>
      <w:r w:rsidRPr="00641A30">
        <w:rPr>
          <w:sz w:val="24"/>
          <w:szCs w:val="24"/>
        </w:rPr>
        <w:t>Licensure regulations that specify the requirements for a hospital to become a designated Primary Stroke Services (PSS), include:</w:t>
      </w:r>
    </w:p>
    <w:p w14:paraId="0F266C8D" w14:textId="55875604" w:rsidR="00D130D7" w:rsidRPr="00641A30" w:rsidRDefault="00D130D7" w:rsidP="00E552D2">
      <w:pPr>
        <w:pStyle w:val="ListParagraph"/>
        <w:numPr>
          <w:ilvl w:val="0"/>
          <w:numId w:val="113"/>
        </w:numPr>
        <w:spacing w:line="360" w:lineRule="auto"/>
        <w:ind w:right="-360"/>
        <w:rPr>
          <w:sz w:val="24"/>
          <w:szCs w:val="24"/>
        </w:rPr>
      </w:pPr>
      <w:r w:rsidRPr="00641A30">
        <w:rPr>
          <w:sz w:val="24"/>
          <w:szCs w:val="24"/>
        </w:rPr>
        <w:t xml:space="preserve">Stroke protocols </w:t>
      </w:r>
      <w:r w:rsidR="00C21585" w:rsidRPr="00641A30">
        <w:rPr>
          <w:sz w:val="24"/>
          <w:szCs w:val="24"/>
        </w:rPr>
        <w:t>for patient assessment and care</w:t>
      </w:r>
    </w:p>
    <w:p w14:paraId="501F0E00" w14:textId="3FEFD676" w:rsidR="00D130D7" w:rsidRPr="00641A30" w:rsidRDefault="00D130D7" w:rsidP="00E552D2">
      <w:pPr>
        <w:pStyle w:val="ListParagraph"/>
        <w:numPr>
          <w:ilvl w:val="0"/>
          <w:numId w:val="113"/>
        </w:numPr>
        <w:spacing w:line="360" w:lineRule="auto"/>
        <w:ind w:right="-360"/>
        <w:rPr>
          <w:sz w:val="24"/>
          <w:szCs w:val="24"/>
        </w:rPr>
      </w:pPr>
      <w:r w:rsidRPr="00641A30">
        <w:rPr>
          <w:sz w:val="24"/>
          <w:szCs w:val="24"/>
        </w:rPr>
        <w:t>Continuous education of the public about warning signs and symptoms of strok</w:t>
      </w:r>
      <w:r w:rsidR="00C21585" w:rsidRPr="00641A30">
        <w:rPr>
          <w:sz w:val="24"/>
          <w:szCs w:val="24"/>
        </w:rPr>
        <w:t>e</w:t>
      </w:r>
    </w:p>
    <w:p w14:paraId="5268F95B" w14:textId="75FA6DEB" w:rsidR="00D130D7" w:rsidRPr="00641A30" w:rsidRDefault="00D130D7" w:rsidP="00E552D2">
      <w:pPr>
        <w:pStyle w:val="ListParagraph"/>
        <w:numPr>
          <w:ilvl w:val="0"/>
          <w:numId w:val="113"/>
        </w:numPr>
        <w:spacing w:line="360" w:lineRule="auto"/>
        <w:ind w:right="-360"/>
        <w:rPr>
          <w:sz w:val="24"/>
          <w:szCs w:val="24"/>
        </w:rPr>
      </w:pPr>
      <w:r w:rsidRPr="00641A30">
        <w:rPr>
          <w:sz w:val="24"/>
          <w:szCs w:val="24"/>
        </w:rPr>
        <w:t>Emergency diagnostic and therapeutic services available 24/7/365 to patients presenting</w:t>
      </w:r>
      <w:r w:rsidR="00C21585" w:rsidRPr="00641A30">
        <w:rPr>
          <w:sz w:val="24"/>
          <w:szCs w:val="24"/>
        </w:rPr>
        <w:t xml:space="preserve"> with symptoms of acute stroke</w:t>
      </w:r>
    </w:p>
    <w:p w14:paraId="2032EC5B" w14:textId="77777777" w:rsidR="00D130D7" w:rsidRPr="00641A30" w:rsidRDefault="00D130D7" w:rsidP="00E552D2">
      <w:pPr>
        <w:pStyle w:val="ListParagraph"/>
        <w:numPr>
          <w:ilvl w:val="0"/>
          <w:numId w:val="113"/>
        </w:numPr>
        <w:spacing w:line="360" w:lineRule="auto"/>
        <w:ind w:right="-360"/>
        <w:rPr>
          <w:sz w:val="24"/>
          <w:szCs w:val="24"/>
        </w:rPr>
      </w:pPr>
      <w:r w:rsidRPr="00641A30">
        <w:rPr>
          <w:sz w:val="24"/>
          <w:szCs w:val="24"/>
        </w:rPr>
        <w:t>An alternate point of entry plan for ambulances that requires the transport of patients presenting with symptoms of acute stroke to the nearest designated Primary Stroke Services hospital</w:t>
      </w:r>
    </w:p>
    <w:p w14:paraId="5CD529DA" w14:textId="77777777" w:rsidR="00641A30" w:rsidRDefault="00641A30">
      <w:pPr>
        <w:spacing w:before="0"/>
        <w:ind w:left="0" w:right="0"/>
        <w:jc w:val="left"/>
        <w:rPr>
          <w:b/>
          <w:color w:val="203864"/>
          <w:sz w:val="24"/>
          <w:szCs w:val="24"/>
        </w:rPr>
      </w:pPr>
      <w:r>
        <w:rPr>
          <w:sz w:val="24"/>
          <w:szCs w:val="24"/>
        </w:rPr>
        <w:br w:type="page"/>
      </w:r>
    </w:p>
    <w:p w14:paraId="5CA21FCC" w14:textId="4D980A6F" w:rsidR="00D130D7" w:rsidRPr="00641A30" w:rsidRDefault="00D130D7" w:rsidP="00E552D2">
      <w:pPr>
        <w:pStyle w:val="Heading5"/>
        <w:spacing w:line="360" w:lineRule="auto"/>
        <w:rPr>
          <w:sz w:val="24"/>
          <w:szCs w:val="24"/>
        </w:rPr>
      </w:pPr>
      <w:bookmarkStart w:id="12" w:name="_GoBack"/>
      <w:bookmarkEnd w:id="12"/>
      <w:r w:rsidRPr="00641A30">
        <w:rPr>
          <w:sz w:val="24"/>
          <w:szCs w:val="24"/>
        </w:rPr>
        <w:lastRenderedPageBreak/>
        <w:t>Local and Regional Public Health</w:t>
      </w:r>
    </w:p>
    <w:p w14:paraId="52AAAC8D" w14:textId="77777777" w:rsidR="00D130D7" w:rsidRPr="00641A30" w:rsidRDefault="00D130D7" w:rsidP="00E552D2">
      <w:pPr>
        <w:pStyle w:val="ListParagraph"/>
        <w:keepNext/>
        <w:keepLines/>
        <w:numPr>
          <w:ilvl w:val="0"/>
          <w:numId w:val="114"/>
        </w:numPr>
        <w:spacing w:line="360" w:lineRule="auto"/>
        <w:ind w:right="-360"/>
        <w:rPr>
          <w:sz w:val="24"/>
          <w:szCs w:val="24"/>
        </w:rPr>
      </w:pPr>
      <w:r w:rsidRPr="00641A30">
        <w:rPr>
          <w:sz w:val="24"/>
          <w:szCs w:val="24"/>
        </w:rPr>
        <w:t>The MDPH Office of Local and Regional Health provides funding and leadership to strengthen the capacity of local Boards of Health to meet their legal responsibilities to protect the health of their communities and supports external partners in strengthening local public health capacity and building a skilled local public health workforce by supporting:</w:t>
      </w:r>
    </w:p>
    <w:p w14:paraId="78AA7616" w14:textId="77777777" w:rsidR="00D130D7" w:rsidRPr="00641A30" w:rsidRDefault="00D130D7" w:rsidP="00E552D2">
      <w:pPr>
        <w:pStyle w:val="ListParagraph"/>
        <w:numPr>
          <w:ilvl w:val="1"/>
          <w:numId w:val="114"/>
        </w:numPr>
        <w:spacing w:line="360" w:lineRule="auto"/>
        <w:ind w:right="-360"/>
        <w:rPr>
          <w:sz w:val="24"/>
          <w:szCs w:val="24"/>
        </w:rPr>
      </w:pPr>
      <w:r w:rsidRPr="00641A30">
        <w:rPr>
          <w:sz w:val="24"/>
          <w:szCs w:val="24"/>
        </w:rPr>
        <w:t>The Local Public Health Institute at the Boston University School of Public Health) which creates, implement, and sustain workforce development training for local public health and other local health system partners</w:t>
      </w:r>
    </w:p>
    <w:p w14:paraId="3E81142A" w14:textId="6D10ACFF" w:rsidR="00D130D7" w:rsidRPr="00641A30" w:rsidRDefault="00D130D7" w:rsidP="00E552D2">
      <w:pPr>
        <w:pStyle w:val="ListParagraph"/>
        <w:numPr>
          <w:ilvl w:val="1"/>
          <w:numId w:val="114"/>
        </w:numPr>
        <w:spacing w:line="360" w:lineRule="auto"/>
        <w:ind w:right="-360"/>
        <w:rPr>
          <w:sz w:val="24"/>
          <w:szCs w:val="24"/>
        </w:rPr>
      </w:pPr>
      <w:r w:rsidRPr="00641A30">
        <w:rPr>
          <w:sz w:val="24"/>
          <w:szCs w:val="24"/>
        </w:rPr>
        <w:t>Legal technical assistance to local boards of health through the Massachuset</w:t>
      </w:r>
      <w:r w:rsidR="00C21585" w:rsidRPr="00641A30">
        <w:rPr>
          <w:sz w:val="24"/>
          <w:szCs w:val="24"/>
        </w:rPr>
        <w:t>ts Association of Health Boards</w:t>
      </w:r>
    </w:p>
    <w:p w14:paraId="78EF77EE" w14:textId="77777777" w:rsidR="00D130D7" w:rsidRPr="00641A30" w:rsidRDefault="00D130D7" w:rsidP="00E552D2">
      <w:pPr>
        <w:pStyle w:val="ListParagraph"/>
        <w:numPr>
          <w:ilvl w:val="0"/>
          <w:numId w:val="114"/>
        </w:numPr>
        <w:spacing w:line="360" w:lineRule="auto"/>
        <w:ind w:right="-360"/>
        <w:rPr>
          <w:sz w:val="24"/>
          <w:szCs w:val="24"/>
        </w:rPr>
      </w:pPr>
      <w:r w:rsidRPr="00641A30">
        <w:rPr>
          <w:sz w:val="24"/>
          <w:szCs w:val="24"/>
        </w:rPr>
        <w:t xml:space="preserve">The Coalition for Local Public Health (CLPH), represents the five statewide public health organizations: Massachusetts Health Officers Association, Massachusetts Association of Public Health Nurses, Massachusetts Environmental Health Association, Massachusetts Public Health Association, and Massachusetts Association of Health Boards. The goal of the coalition to advocate for, promote, and strengthen the Massachusetts local public health system. </w:t>
      </w:r>
    </w:p>
    <w:p w14:paraId="15D8DC26" w14:textId="77777777" w:rsidR="00D130D7" w:rsidRPr="00641A30" w:rsidRDefault="00D130D7" w:rsidP="00E552D2">
      <w:pPr>
        <w:pStyle w:val="Heading5"/>
        <w:spacing w:line="360" w:lineRule="auto"/>
        <w:rPr>
          <w:sz w:val="24"/>
          <w:szCs w:val="24"/>
        </w:rPr>
      </w:pPr>
      <w:r w:rsidRPr="00641A30">
        <w:rPr>
          <w:sz w:val="24"/>
          <w:szCs w:val="24"/>
        </w:rPr>
        <w:t>Medical Marijuana</w:t>
      </w:r>
    </w:p>
    <w:p w14:paraId="3B826CDB" w14:textId="71BE3F78" w:rsidR="00D130D7" w:rsidRPr="00641A30" w:rsidRDefault="00D130D7" w:rsidP="00E552D2">
      <w:pPr>
        <w:pStyle w:val="ListParagraph"/>
        <w:numPr>
          <w:ilvl w:val="0"/>
          <w:numId w:val="115"/>
        </w:numPr>
        <w:spacing w:line="360" w:lineRule="auto"/>
        <w:ind w:right="-360"/>
        <w:rPr>
          <w:sz w:val="24"/>
          <w:szCs w:val="24"/>
        </w:rPr>
      </w:pPr>
      <w:r w:rsidRPr="00641A30">
        <w:rPr>
          <w:sz w:val="24"/>
          <w:szCs w:val="24"/>
        </w:rPr>
        <w:t>The MDPH Medical Use of Marijuana program provides processing and approval of applications for medical marijuana dispensaries</w:t>
      </w:r>
      <w:r w:rsidR="00C21585" w:rsidRPr="00641A30">
        <w:rPr>
          <w:sz w:val="24"/>
          <w:szCs w:val="24"/>
        </w:rPr>
        <w:t>.</w:t>
      </w:r>
    </w:p>
    <w:p w14:paraId="1596D93D" w14:textId="44DE8942" w:rsidR="00D130D7" w:rsidRPr="00641A30" w:rsidRDefault="00D130D7" w:rsidP="00E552D2">
      <w:pPr>
        <w:pStyle w:val="ListParagraph"/>
        <w:numPr>
          <w:ilvl w:val="0"/>
          <w:numId w:val="115"/>
        </w:numPr>
        <w:spacing w:line="360" w:lineRule="auto"/>
        <w:ind w:right="-360"/>
        <w:rPr>
          <w:sz w:val="24"/>
          <w:szCs w:val="24"/>
        </w:rPr>
      </w:pPr>
      <w:r w:rsidRPr="00641A30">
        <w:rPr>
          <w:sz w:val="24"/>
          <w:szCs w:val="24"/>
        </w:rPr>
        <w:t>The MDPH Bureau of Environmental Health provides testing of medical marijuana products for safety</w:t>
      </w:r>
      <w:r w:rsidR="00C21585" w:rsidRPr="00641A30">
        <w:rPr>
          <w:sz w:val="24"/>
          <w:szCs w:val="24"/>
        </w:rPr>
        <w:t>.</w:t>
      </w:r>
    </w:p>
    <w:p w14:paraId="5718BE2B" w14:textId="11AAA44B" w:rsidR="00D130D7" w:rsidRPr="00641A30" w:rsidRDefault="00D130D7" w:rsidP="00E552D2">
      <w:pPr>
        <w:pStyle w:val="Heading5"/>
        <w:spacing w:line="360" w:lineRule="auto"/>
        <w:rPr>
          <w:sz w:val="24"/>
          <w:szCs w:val="24"/>
        </w:rPr>
      </w:pPr>
      <w:r w:rsidRPr="00641A30">
        <w:rPr>
          <w:sz w:val="24"/>
          <w:szCs w:val="24"/>
        </w:rPr>
        <w:t>Community Health Workers</w:t>
      </w:r>
      <w:r w:rsidR="00D269FA" w:rsidRPr="00641A30">
        <w:rPr>
          <w:sz w:val="24"/>
          <w:szCs w:val="24"/>
        </w:rPr>
        <w:t xml:space="preserve"> (CHW)</w:t>
      </w:r>
    </w:p>
    <w:p w14:paraId="6B445C9F" w14:textId="77777777" w:rsidR="00D130D7" w:rsidRPr="00641A30" w:rsidRDefault="00D130D7" w:rsidP="00E552D2">
      <w:pPr>
        <w:pStyle w:val="ListParagraph"/>
        <w:numPr>
          <w:ilvl w:val="0"/>
          <w:numId w:val="116"/>
        </w:numPr>
        <w:spacing w:before="0" w:after="0" w:line="360" w:lineRule="auto"/>
        <w:ind w:right="-360"/>
        <w:rPr>
          <w:sz w:val="24"/>
          <w:szCs w:val="24"/>
        </w:rPr>
      </w:pPr>
      <w:r w:rsidRPr="00641A30">
        <w:rPr>
          <w:sz w:val="24"/>
          <w:szCs w:val="24"/>
        </w:rPr>
        <w:t xml:space="preserve">The MDPH supports the CHW work force in a variety of ways – both through technical assistance, certification and funding. </w:t>
      </w:r>
    </w:p>
    <w:p w14:paraId="38A23A45" w14:textId="7FD878E1" w:rsidR="00D130D7" w:rsidRPr="00641A30" w:rsidRDefault="00D130D7" w:rsidP="00E552D2">
      <w:pPr>
        <w:pStyle w:val="ListParagraph"/>
        <w:numPr>
          <w:ilvl w:val="1"/>
          <w:numId w:val="116"/>
        </w:numPr>
        <w:spacing w:before="0" w:after="0" w:line="360" w:lineRule="auto"/>
        <w:ind w:right="-360"/>
        <w:rPr>
          <w:sz w:val="24"/>
          <w:szCs w:val="24"/>
        </w:rPr>
      </w:pPr>
      <w:r w:rsidRPr="00641A30">
        <w:rPr>
          <w:sz w:val="24"/>
          <w:szCs w:val="24"/>
        </w:rPr>
        <w:t>MDPH is one of the biggest funders of CHWs in Massachusetts, supporting CHWs to address chronic disease, environmental health, substance use, maternal health, violence and injury preve</w:t>
      </w:r>
      <w:r w:rsidR="00C21585" w:rsidRPr="00641A30">
        <w:rPr>
          <w:sz w:val="24"/>
          <w:szCs w:val="24"/>
        </w:rPr>
        <w:t>ntion, and HIV/AIDS</w:t>
      </w:r>
      <w:r w:rsidRPr="00641A30">
        <w:rPr>
          <w:sz w:val="24"/>
          <w:szCs w:val="24"/>
        </w:rPr>
        <w:t xml:space="preserve">. </w:t>
      </w:r>
    </w:p>
    <w:p w14:paraId="42A2424E" w14:textId="77777777" w:rsidR="00D130D7" w:rsidRPr="00641A30" w:rsidRDefault="00D130D7" w:rsidP="00E552D2">
      <w:pPr>
        <w:pStyle w:val="ListParagraph"/>
        <w:numPr>
          <w:ilvl w:val="1"/>
          <w:numId w:val="116"/>
        </w:numPr>
        <w:spacing w:before="0" w:after="0" w:line="360" w:lineRule="auto"/>
        <w:ind w:right="-360"/>
        <w:rPr>
          <w:color w:val="000000" w:themeColor="text1"/>
          <w:sz w:val="24"/>
          <w:szCs w:val="24"/>
        </w:rPr>
      </w:pPr>
      <w:r w:rsidRPr="00641A30">
        <w:rPr>
          <w:color w:val="000000" w:themeColor="text1"/>
          <w:sz w:val="24"/>
          <w:szCs w:val="24"/>
        </w:rPr>
        <w:t xml:space="preserve">The MDPH Office of Community Health Workers supports CHW program development, through technical assistance and best practice guidance on recruitment and hiring, supervision, training, </w:t>
      </w:r>
      <w:r w:rsidRPr="00641A30">
        <w:rPr>
          <w:color w:val="000000" w:themeColor="text1"/>
          <w:sz w:val="24"/>
          <w:szCs w:val="24"/>
        </w:rPr>
        <w:lastRenderedPageBreak/>
        <w:t>and program evaluation, as well as policy guidance on workforce development and sustainable financing.</w:t>
      </w:r>
    </w:p>
    <w:p w14:paraId="65D690FC" w14:textId="77777777" w:rsidR="00D130D7" w:rsidRPr="00641A30" w:rsidRDefault="00D130D7" w:rsidP="00E552D2">
      <w:pPr>
        <w:pStyle w:val="ListParagraph"/>
        <w:numPr>
          <w:ilvl w:val="1"/>
          <w:numId w:val="116"/>
        </w:numPr>
        <w:spacing w:before="0" w:after="0" w:line="360" w:lineRule="auto"/>
        <w:ind w:right="-360"/>
        <w:rPr>
          <w:color w:val="000000" w:themeColor="text1"/>
          <w:sz w:val="24"/>
          <w:szCs w:val="24"/>
        </w:rPr>
      </w:pPr>
      <w:r w:rsidRPr="00641A30">
        <w:rPr>
          <w:color w:val="000000" w:themeColor="text1"/>
          <w:sz w:val="24"/>
          <w:szCs w:val="24"/>
        </w:rPr>
        <w:t xml:space="preserve">One of the first professional CHW boards in the nation, the Massachusetts Board of Certification of Community Health Workers provides voluntary certification for CHWs based upon a core set of competencies, and also approves core CHW training programs. </w:t>
      </w:r>
    </w:p>
    <w:p w14:paraId="73850DE7" w14:textId="77777777" w:rsidR="00D130D7" w:rsidRPr="00641A30" w:rsidRDefault="00D130D7" w:rsidP="00E552D2">
      <w:pPr>
        <w:pStyle w:val="ListParagraph"/>
        <w:numPr>
          <w:ilvl w:val="0"/>
          <w:numId w:val="116"/>
        </w:numPr>
        <w:spacing w:before="0" w:after="0" w:line="360" w:lineRule="auto"/>
        <w:ind w:right="-360"/>
        <w:jc w:val="left"/>
        <w:rPr>
          <w:color w:val="000000" w:themeColor="text1"/>
          <w:sz w:val="24"/>
          <w:szCs w:val="24"/>
        </w:rPr>
      </w:pPr>
      <w:r w:rsidRPr="00641A30">
        <w:rPr>
          <w:color w:val="000000" w:themeColor="text1"/>
          <w:sz w:val="24"/>
          <w:szCs w:val="24"/>
        </w:rPr>
        <w:t>Founded in 2000,</w:t>
      </w:r>
      <w:r w:rsidRPr="00641A30">
        <w:rPr>
          <w:sz w:val="24"/>
          <w:szCs w:val="24"/>
        </w:rPr>
        <w:t xml:space="preserve"> </w:t>
      </w:r>
      <w:r w:rsidRPr="00641A30">
        <w:rPr>
          <w:color w:val="000000" w:themeColor="text1"/>
          <w:sz w:val="24"/>
          <w:szCs w:val="24"/>
        </w:rPr>
        <w:t>the Massachusetts Association of Community Health Workers (MACHW) is the statewide professional organization that strengthens the professional identity of CHWs, fosters leadership among CHWs, and promotes the integration of CHWs into the health care, public health and human services workforce.</w:t>
      </w:r>
    </w:p>
    <w:p w14:paraId="52734882" w14:textId="77777777" w:rsidR="00D130D7" w:rsidRPr="00641A30" w:rsidRDefault="00D130D7" w:rsidP="00E552D2">
      <w:pPr>
        <w:pStyle w:val="ListParagraph"/>
        <w:numPr>
          <w:ilvl w:val="0"/>
          <w:numId w:val="116"/>
        </w:numPr>
        <w:spacing w:before="0" w:after="0" w:line="360" w:lineRule="auto"/>
        <w:ind w:right="-360"/>
        <w:jc w:val="left"/>
        <w:rPr>
          <w:color w:val="212121"/>
          <w:sz w:val="24"/>
          <w:szCs w:val="24"/>
        </w:rPr>
      </w:pPr>
      <w:r w:rsidRPr="00641A30">
        <w:rPr>
          <w:color w:val="212121"/>
          <w:sz w:val="24"/>
          <w:szCs w:val="24"/>
        </w:rPr>
        <w:t>Training is available through a variety of experienced organizations that specializes in core competency training and professional development opportunities for community health workers. Examples of established CHW training programs in MA include: Community Health Education Center (Lowell), Community Health Education Center (Boston), Center for Health Impact’s Outreach Worker Training Institute (OWTI), Holyoke Community College, Western Massachusetts Public Health Training Center, and the Massachusetts Department of Public Health’s Patient Navigator Hybrid Training.</w:t>
      </w:r>
    </w:p>
    <w:p w14:paraId="2BB18B27" w14:textId="77777777" w:rsidR="00D130D7" w:rsidRPr="00641A30" w:rsidRDefault="00D130D7" w:rsidP="00E552D2">
      <w:pPr>
        <w:pStyle w:val="Heading5"/>
        <w:spacing w:line="360" w:lineRule="auto"/>
        <w:rPr>
          <w:sz w:val="24"/>
          <w:szCs w:val="24"/>
        </w:rPr>
      </w:pPr>
      <w:r w:rsidRPr="00641A30">
        <w:rPr>
          <w:sz w:val="24"/>
          <w:szCs w:val="24"/>
        </w:rPr>
        <w:t>Mental Health</w:t>
      </w:r>
    </w:p>
    <w:p w14:paraId="55342E89" w14:textId="77777777" w:rsidR="00D130D7" w:rsidRPr="00641A30" w:rsidRDefault="00D130D7" w:rsidP="00E552D2">
      <w:pPr>
        <w:pStyle w:val="ListParagraph"/>
        <w:numPr>
          <w:ilvl w:val="0"/>
          <w:numId w:val="117"/>
        </w:numPr>
        <w:spacing w:line="360" w:lineRule="auto"/>
        <w:ind w:right="-360"/>
        <w:jc w:val="left"/>
        <w:rPr>
          <w:sz w:val="24"/>
          <w:szCs w:val="24"/>
        </w:rPr>
      </w:pPr>
      <w:r w:rsidRPr="00641A30">
        <w:rPr>
          <w:sz w:val="24"/>
          <w:szCs w:val="24"/>
        </w:rPr>
        <w:t xml:space="preserve">The primary responsibility of mental health facilities in </w:t>
      </w:r>
      <w:hyperlink r:id="rId206" w:history="1">
        <w:r w:rsidRPr="00641A30">
          <w:rPr>
            <w:rStyle w:val="Hyperlink"/>
            <w:sz w:val="24"/>
            <w:szCs w:val="24"/>
          </w:rPr>
          <w:t>Massachusetts is the Department of Mental Health</w:t>
        </w:r>
      </w:hyperlink>
      <w:r w:rsidRPr="00641A30">
        <w:rPr>
          <w:sz w:val="24"/>
          <w:szCs w:val="24"/>
        </w:rPr>
        <w:t xml:space="preserve">. </w:t>
      </w:r>
    </w:p>
    <w:p w14:paraId="4DEA0FAA" w14:textId="5A6D9A86" w:rsidR="00D130D7" w:rsidRPr="00641A30" w:rsidRDefault="00D130D7" w:rsidP="00E552D2">
      <w:pPr>
        <w:pStyle w:val="ListParagraph"/>
        <w:numPr>
          <w:ilvl w:val="0"/>
          <w:numId w:val="117"/>
        </w:numPr>
        <w:spacing w:line="360" w:lineRule="auto"/>
        <w:ind w:right="-360"/>
        <w:jc w:val="left"/>
        <w:rPr>
          <w:sz w:val="24"/>
          <w:szCs w:val="24"/>
        </w:rPr>
      </w:pPr>
      <w:r w:rsidRPr="00641A30">
        <w:rPr>
          <w:sz w:val="24"/>
          <w:szCs w:val="24"/>
        </w:rPr>
        <w:t xml:space="preserve">The primary responsibility of licensing mental health providers is </w:t>
      </w:r>
      <w:r w:rsidR="00D269FA" w:rsidRPr="00641A30">
        <w:rPr>
          <w:sz w:val="24"/>
          <w:szCs w:val="24"/>
        </w:rPr>
        <w:t xml:space="preserve">the </w:t>
      </w:r>
      <w:r w:rsidRPr="00641A30">
        <w:rPr>
          <w:sz w:val="24"/>
          <w:szCs w:val="24"/>
        </w:rPr>
        <w:t xml:space="preserve">Office of Consumer Affairs and Business Regulation, </w:t>
      </w:r>
      <w:hyperlink r:id="rId207" w:history="1">
        <w:r w:rsidRPr="00641A30">
          <w:rPr>
            <w:rStyle w:val="Hyperlink"/>
            <w:sz w:val="24"/>
            <w:szCs w:val="24"/>
          </w:rPr>
          <w:t>Board of Allied Mental Health and Human Services Professions</w:t>
        </w:r>
      </w:hyperlink>
      <w:r w:rsidR="00C21585" w:rsidRPr="00641A30">
        <w:rPr>
          <w:rStyle w:val="Hyperlink"/>
          <w:sz w:val="24"/>
          <w:szCs w:val="24"/>
        </w:rPr>
        <w:t>.</w:t>
      </w:r>
    </w:p>
    <w:p w14:paraId="2767DB0E" w14:textId="1538BEAC" w:rsidR="00D130D7" w:rsidRPr="00641A30" w:rsidRDefault="00D130D7" w:rsidP="00E552D2">
      <w:pPr>
        <w:pStyle w:val="ListParagraph"/>
        <w:numPr>
          <w:ilvl w:val="0"/>
          <w:numId w:val="117"/>
        </w:numPr>
        <w:spacing w:line="360" w:lineRule="auto"/>
        <w:ind w:right="-360"/>
        <w:jc w:val="left"/>
        <w:rPr>
          <w:sz w:val="24"/>
          <w:szCs w:val="24"/>
        </w:rPr>
      </w:pPr>
      <w:r w:rsidRPr="00641A30">
        <w:rPr>
          <w:color w:val="000000" w:themeColor="text1"/>
          <w:sz w:val="24"/>
          <w:szCs w:val="24"/>
        </w:rPr>
        <w:t xml:space="preserve">Other organizations like </w:t>
      </w:r>
      <w:hyperlink r:id="rId208" w:history="1">
        <w:r w:rsidRPr="00641A30">
          <w:rPr>
            <w:rStyle w:val="Hyperlink"/>
            <w:sz w:val="24"/>
            <w:szCs w:val="24"/>
          </w:rPr>
          <w:t>National Alliance on Mental Illness</w:t>
        </w:r>
      </w:hyperlink>
      <w:r w:rsidR="00B24A81" w:rsidRPr="00641A30">
        <w:rPr>
          <w:color w:val="000000" w:themeColor="text1"/>
          <w:sz w:val="24"/>
          <w:szCs w:val="24"/>
        </w:rPr>
        <w:t xml:space="preserve"> (NAMI) </w:t>
      </w:r>
      <w:r w:rsidRPr="00641A30">
        <w:rPr>
          <w:color w:val="000000" w:themeColor="text1"/>
          <w:sz w:val="24"/>
          <w:szCs w:val="24"/>
        </w:rPr>
        <w:t>partner in a variety of ways to improve mental health including:</w:t>
      </w:r>
    </w:p>
    <w:p w14:paraId="564B69F2" w14:textId="77777777" w:rsidR="00D130D7" w:rsidRPr="00641A30" w:rsidRDefault="00D130D7" w:rsidP="00E552D2">
      <w:pPr>
        <w:pStyle w:val="ListParagraph"/>
        <w:numPr>
          <w:ilvl w:val="1"/>
          <w:numId w:val="117"/>
        </w:numPr>
        <w:tabs>
          <w:tab w:val="left" w:pos="6660"/>
        </w:tabs>
        <w:spacing w:line="360" w:lineRule="auto"/>
        <w:ind w:right="-360"/>
        <w:jc w:val="left"/>
        <w:rPr>
          <w:color w:val="000000" w:themeColor="text1"/>
          <w:sz w:val="24"/>
          <w:szCs w:val="24"/>
        </w:rPr>
      </w:pPr>
      <w:r w:rsidRPr="00641A30">
        <w:rPr>
          <w:color w:val="000000" w:themeColor="text1"/>
          <w:sz w:val="24"/>
          <w:szCs w:val="24"/>
        </w:rPr>
        <w:t xml:space="preserve">Collaborating with the Municipal Police Training Committee (MPTC) and the Department of Mental Health (DMH) to develop and launch a new mental health curriculum for all municipal police recruits </w:t>
      </w:r>
    </w:p>
    <w:p w14:paraId="262C5C28" w14:textId="77777777" w:rsidR="00D130D7" w:rsidRPr="00641A30" w:rsidRDefault="00D130D7" w:rsidP="00E552D2">
      <w:pPr>
        <w:pStyle w:val="ListParagraph"/>
        <w:numPr>
          <w:ilvl w:val="2"/>
          <w:numId w:val="211"/>
        </w:numPr>
        <w:spacing w:line="360" w:lineRule="auto"/>
        <w:ind w:right="-360"/>
        <w:rPr>
          <w:sz w:val="24"/>
          <w:szCs w:val="24"/>
        </w:rPr>
      </w:pPr>
      <w:r w:rsidRPr="00641A30">
        <w:rPr>
          <w:sz w:val="24"/>
          <w:szCs w:val="24"/>
        </w:rPr>
        <w:t>Partnering with the Somerville and Cambridge Police Departments to develop a Regional Crisis Intervention Training and Technical Assistance Center</w:t>
      </w:r>
    </w:p>
    <w:p w14:paraId="0ED82BF2" w14:textId="77777777" w:rsidR="00D130D7" w:rsidRPr="00641A30" w:rsidRDefault="00D130D7" w:rsidP="00E552D2">
      <w:pPr>
        <w:pStyle w:val="ListParagraph"/>
        <w:numPr>
          <w:ilvl w:val="2"/>
          <w:numId w:val="211"/>
        </w:numPr>
        <w:spacing w:line="360" w:lineRule="auto"/>
        <w:ind w:right="-360"/>
        <w:rPr>
          <w:sz w:val="24"/>
          <w:szCs w:val="24"/>
        </w:rPr>
      </w:pPr>
      <w:r w:rsidRPr="00641A30">
        <w:rPr>
          <w:sz w:val="24"/>
          <w:szCs w:val="24"/>
        </w:rPr>
        <w:t xml:space="preserve">Developing of local collaborations between police departments, behavioral health providers, and other stakeholders </w:t>
      </w:r>
    </w:p>
    <w:p w14:paraId="161AAC59" w14:textId="77777777" w:rsidR="00D130D7" w:rsidRPr="00641A30" w:rsidRDefault="00D130D7" w:rsidP="00E552D2">
      <w:pPr>
        <w:pStyle w:val="ListParagraph"/>
        <w:numPr>
          <w:ilvl w:val="2"/>
          <w:numId w:val="211"/>
        </w:numPr>
        <w:spacing w:line="360" w:lineRule="auto"/>
        <w:ind w:right="-360"/>
        <w:rPr>
          <w:sz w:val="24"/>
          <w:szCs w:val="24"/>
        </w:rPr>
      </w:pPr>
      <w:r w:rsidRPr="00641A30">
        <w:rPr>
          <w:sz w:val="24"/>
          <w:szCs w:val="24"/>
        </w:rPr>
        <w:lastRenderedPageBreak/>
        <w:t xml:space="preserve">Establishing of a Statewide Advisory Group on Criminal Justice Diversion </w:t>
      </w:r>
    </w:p>
    <w:p w14:paraId="1852861C" w14:textId="2C2FEBB1" w:rsidR="00D130D7" w:rsidRPr="00641A30" w:rsidRDefault="00D130D7" w:rsidP="00E552D2">
      <w:pPr>
        <w:pStyle w:val="ListParagraph"/>
        <w:numPr>
          <w:ilvl w:val="2"/>
          <w:numId w:val="211"/>
        </w:numPr>
        <w:spacing w:line="360" w:lineRule="auto"/>
        <w:ind w:right="-360"/>
        <w:rPr>
          <w:sz w:val="24"/>
          <w:szCs w:val="24"/>
        </w:rPr>
      </w:pPr>
      <w:r w:rsidRPr="00641A30">
        <w:rPr>
          <w:sz w:val="24"/>
          <w:szCs w:val="24"/>
        </w:rPr>
        <w:t>Developing a Cross-System Information Sharing Project with the Cambridge Police Department, the Department of Mental Hea</w:t>
      </w:r>
      <w:r w:rsidR="00D3059D" w:rsidRPr="00641A30">
        <w:rPr>
          <w:sz w:val="24"/>
          <w:szCs w:val="24"/>
        </w:rPr>
        <w:t>lth (DMH) and Harvard Law School</w:t>
      </w:r>
      <w:r w:rsidR="00D3059D" w:rsidRPr="00641A30">
        <w:rPr>
          <w:rStyle w:val="EndnoteReference"/>
          <w:sz w:val="24"/>
          <w:szCs w:val="24"/>
        </w:rPr>
        <w:endnoteReference w:id="39"/>
      </w:r>
    </w:p>
    <w:p w14:paraId="30EFA75B" w14:textId="77777777" w:rsidR="00D130D7" w:rsidRPr="00641A30" w:rsidRDefault="00D130D7" w:rsidP="00E552D2">
      <w:pPr>
        <w:pStyle w:val="Heading5"/>
        <w:spacing w:line="360" w:lineRule="auto"/>
        <w:rPr>
          <w:sz w:val="24"/>
          <w:szCs w:val="24"/>
        </w:rPr>
      </w:pPr>
      <w:r w:rsidRPr="00641A30">
        <w:rPr>
          <w:sz w:val="24"/>
          <w:szCs w:val="24"/>
        </w:rPr>
        <w:t>Oral Health</w:t>
      </w:r>
    </w:p>
    <w:p w14:paraId="74F416F6" w14:textId="13999FFA" w:rsidR="00D130D7" w:rsidRPr="00641A30" w:rsidRDefault="00D130D7" w:rsidP="00E552D2">
      <w:pPr>
        <w:pStyle w:val="ListParagraph"/>
        <w:numPr>
          <w:ilvl w:val="0"/>
          <w:numId w:val="118"/>
        </w:numPr>
        <w:spacing w:line="360" w:lineRule="auto"/>
        <w:ind w:right="-360"/>
        <w:jc w:val="left"/>
        <w:rPr>
          <w:sz w:val="24"/>
          <w:szCs w:val="24"/>
        </w:rPr>
      </w:pPr>
      <w:r w:rsidRPr="00641A30">
        <w:rPr>
          <w:sz w:val="24"/>
          <w:szCs w:val="24"/>
        </w:rPr>
        <w:t>The Perinatal and Infant Oral Health Quality Improvement grant program to expand the integration of quality oral health care into perinatal and infant primary care delivery systems statewide</w:t>
      </w:r>
      <w:r w:rsidR="00C21585" w:rsidRPr="00641A30">
        <w:rPr>
          <w:sz w:val="24"/>
          <w:szCs w:val="24"/>
        </w:rPr>
        <w:t>.</w:t>
      </w:r>
    </w:p>
    <w:p w14:paraId="5321D174" w14:textId="77777777" w:rsidR="00D130D7" w:rsidRPr="00641A30" w:rsidRDefault="00D130D7" w:rsidP="00E552D2">
      <w:pPr>
        <w:pStyle w:val="ListParagraph"/>
        <w:numPr>
          <w:ilvl w:val="0"/>
          <w:numId w:val="118"/>
        </w:numPr>
        <w:spacing w:line="360" w:lineRule="auto"/>
        <w:ind w:right="-360"/>
        <w:jc w:val="left"/>
        <w:rPr>
          <w:sz w:val="24"/>
          <w:szCs w:val="24"/>
        </w:rPr>
      </w:pPr>
      <w:r w:rsidRPr="00641A30">
        <w:rPr>
          <w:sz w:val="24"/>
          <w:szCs w:val="24"/>
        </w:rPr>
        <w:t>The MDPH Oral Health Equity Project focuses on increasing childhood utilization of oral health services  (up to age 14) in Worcester and Holyoke, two cities known for disparate oral health outcomes. The project is focused on engaging Black and Hispanic families through outreach and education.</w:t>
      </w:r>
    </w:p>
    <w:p w14:paraId="536D332B" w14:textId="6B7DB366" w:rsidR="00D130D7" w:rsidRPr="00641A30" w:rsidRDefault="00D130D7" w:rsidP="00E552D2">
      <w:pPr>
        <w:pStyle w:val="ListParagraph"/>
        <w:numPr>
          <w:ilvl w:val="0"/>
          <w:numId w:val="118"/>
        </w:numPr>
        <w:spacing w:line="360" w:lineRule="auto"/>
        <w:ind w:right="-360"/>
        <w:jc w:val="left"/>
        <w:rPr>
          <w:sz w:val="24"/>
          <w:szCs w:val="24"/>
        </w:rPr>
      </w:pPr>
      <w:r w:rsidRPr="00641A30">
        <w:rPr>
          <w:sz w:val="24"/>
          <w:szCs w:val="24"/>
        </w:rPr>
        <w:t>The MDPH Office of Oral Health operates school-based sealant programs where dental hygienists provide health screenings, oral health education, dental sealants and fluoride, and referrals for follow-up dental care  screening, cleanings and recommended coating to adult teeth to prevent cavities while in public schools</w:t>
      </w:r>
      <w:r w:rsidR="00C21585" w:rsidRPr="00641A30">
        <w:rPr>
          <w:sz w:val="24"/>
          <w:szCs w:val="24"/>
        </w:rPr>
        <w:t>.</w:t>
      </w:r>
    </w:p>
    <w:p w14:paraId="1F50E545" w14:textId="77777777" w:rsidR="00D130D7" w:rsidRPr="00641A30" w:rsidRDefault="00D130D7" w:rsidP="00E552D2">
      <w:pPr>
        <w:pStyle w:val="Heading5"/>
        <w:spacing w:line="360" w:lineRule="auto"/>
        <w:rPr>
          <w:sz w:val="24"/>
          <w:szCs w:val="24"/>
        </w:rPr>
      </w:pPr>
      <w:r w:rsidRPr="00641A30">
        <w:rPr>
          <w:sz w:val="24"/>
          <w:szCs w:val="24"/>
        </w:rPr>
        <w:t>Public Health and Health Care System Preparedness</w:t>
      </w:r>
    </w:p>
    <w:p w14:paraId="7D784A13" w14:textId="77777777" w:rsidR="00D130D7" w:rsidRPr="00641A30" w:rsidRDefault="00D130D7" w:rsidP="00E552D2">
      <w:pPr>
        <w:pStyle w:val="ListParagraph"/>
        <w:numPr>
          <w:ilvl w:val="0"/>
          <w:numId w:val="119"/>
        </w:numPr>
        <w:spacing w:before="0" w:line="360" w:lineRule="auto"/>
        <w:ind w:right="-360"/>
        <w:jc w:val="left"/>
        <w:rPr>
          <w:sz w:val="24"/>
          <w:szCs w:val="24"/>
        </w:rPr>
      </w:pPr>
      <w:r w:rsidRPr="00641A30">
        <w:rPr>
          <w:sz w:val="24"/>
          <w:szCs w:val="24"/>
        </w:rPr>
        <w:t xml:space="preserve">MA Responds is an online registration system for public health, health care, and emergency response volunteers. Currently, 45 Medical Reserve Corps utilize this system to validate credentials, coordinate, and activate more than 8,000 volunteers. </w:t>
      </w:r>
    </w:p>
    <w:p w14:paraId="0ABEBC15" w14:textId="77777777" w:rsidR="00D130D7" w:rsidRPr="00641A30" w:rsidRDefault="00D130D7" w:rsidP="00E552D2">
      <w:pPr>
        <w:pStyle w:val="ListParagraph"/>
        <w:numPr>
          <w:ilvl w:val="0"/>
          <w:numId w:val="119"/>
        </w:numPr>
        <w:spacing w:before="0" w:line="360" w:lineRule="auto"/>
        <w:ind w:right="-360"/>
        <w:jc w:val="left"/>
        <w:rPr>
          <w:sz w:val="24"/>
          <w:szCs w:val="24"/>
        </w:rPr>
      </w:pPr>
      <w:r w:rsidRPr="00641A30">
        <w:rPr>
          <w:sz w:val="24"/>
          <w:szCs w:val="24"/>
        </w:rPr>
        <w:t>MDPH uses WebEOC, a web-based communications platform to support situational awareness during an emergency incident. The system allows for active communication of facility status and incident status among multiple organizations.</w:t>
      </w:r>
    </w:p>
    <w:p w14:paraId="52422ACC" w14:textId="77777777" w:rsidR="00D130D7" w:rsidRPr="00641A30" w:rsidRDefault="00D130D7" w:rsidP="00E552D2">
      <w:pPr>
        <w:pStyle w:val="ListParagraph"/>
        <w:numPr>
          <w:ilvl w:val="0"/>
          <w:numId w:val="119"/>
        </w:numPr>
        <w:spacing w:before="0" w:line="360" w:lineRule="auto"/>
        <w:ind w:right="-360"/>
        <w:jc w:val="left"/>
        <w:rPr>
          <w:sz w:val="24"/>
          <w:szCs w:val="24"/>
        </w:rPr>
      </w:pPr>
      <w:r w:rsidRPr="00641A30">
        <w:rPr>
          <w:sz w:val="24"/>
          <w:szCs w:val="24"/>
        </w:rPr>
        <w:t>MDPH provides funding to the DelValle Institute for emergency preparedness to provide interactive, all-hazards education focused on reducing the public health and safety impact of emergencies and disasters.</w:t>
      </w:r>
    </w:p>
    <w:p w14:paraId="4F70C4A7" w14:textId="765457D1" w:rsidR="00D130D7" w:rsidRPr="00641A30" w:rsidRDefault="00D130D7" w:rsidP="00E552D2">
      <w:pPr>
        <w:pStyle w:val="ListParagraph"/>
        <w:numPr>
          <w:ilvl w:val="0"/>
          <w:numId w:val="119"/>
        </w:numPr>
        <w:spacing w:before="0" w:line="360" w:lineRule="auto"/>
        <w:ind w:right="-360"/>
        <w:jc w:val="left"/>
        <w:rPr>
          <w:sz w:val="24"/>
          <w:szCs w:val="24"/>
        </w:rPr>
      </w:pPr>
      <w:r w:rsidRPr="00641A30">
        <w:rPr>
          <w:sz w:val="24"/>
          <w:szCs w:val="24"/>
        </w:rPr>
        <w:t>Massachusetts Virtual Epidemi</w:t>
      </w:r>
      <w:r w:rsidR="00B24A81" w:rsidRPr="00641A30">
        <w:rPr>
          <w:sz w:val="24"/>
          <w:szCs w:val="24"/>
        </w:rPr>
        <w:t>ologic Network (MAVEN) is a web-</w:t>
      </w:r>
      <w:r w:rsidRPr="00641A30">
        <w:rPr>
          <w:sz w:val="24"/>
          <w:szCs w:val="24"/>
        </w:rPr>
        <w:t>based disease surveillance and case management system that allows MDPH and local health to capture and transfer appropriate public health, laboratory, and clinical data efficiently and securely over the internet in real-time. This is particularly helpful during outbreaks of communicable diseases and foodborne illness.</w:t>
      </w:r>
    </w:p>
    <w:p w14:paraId="34350DC4" w14:textId="77777777" w:rsidR="00D130D7" w:rsidRPr="00641A30" w:rsidRDefault="00D130D7" w:rsidP="00E552D2">
      <w:pPr>
        <w:pStyle w:val="ListParagraph"/>
        <w:numPr>
          <w:ilvl w:val="0"/>
          <w:numId w:val="119"/>
        </w:numPr>
        <w:spacing w:after="0" w:line="360" w:lineRule="auto"/>
        <w:ind w:right="-360"/>
        <w:rPr>
          <w:sz w:val="24"/>
          <w:szCs w:val="24"/>
        </w:rPr>
      </w:pPr>
      <w:r w:rsidRPr="00641A30">
        <w:rPr>
          <w:sz w:val="24"/>
          <w:szCs w:val="24"/>
        </w:rPr>
        <w:lastRenderedPageBreak/>
        <w:t>MDPH provides funding for the Local Public Health Institute to create, implement, and sustain workforce development activities for local public health and other public health system partners.</w:t>
      </w:r>
    </w:p>
    <w:p w14:paraId="725DDC89" w14:textId="058B97EC" w:rsidR="00D130D7" w:rsidRPr="00641A30" w:rsidRDefault="00D130D7" w:rsidP="00E552D2">
      <w:pPr>
        <w:pStyle w:val="ListParagraph"/>
        <w:numPr>
          <w:ilvl w:val="0"/>
          <w:numId w:val="119"/>
        </w:numPr>
        <w:spacing w:after="0" w:line="360" w:lineRule="auto"/>
        <w:ind w:right="-360"/>
        <w:rPr>
          <w:sz w:val="24"/>
          <w:szCs w:val="24"/>
        </w:rPr>
      </w:pPr>
      <w:r w:rsidRPr="00641A30">
        <w:rPr>
          <w:sz w:val="24"/>
          <w:szCs w:val="24"/>
        </w:rPr>
        <w:t xml:space="preserve">Each year MDPH sponsors </w:t>
      </w:r>
      <w:r w:rsidR="00595DFF" w:rsidRPr="00641A30">
        <w:rPr>
          <w:sz w:val="24"/>
          <w:szCs w:val="24"/>
        </w:rPr>
        <w:t xml:space="preserve">a statewide campaign for </w:t>
      </w:r>
      <w:r w:rsidRPr="00641A30">
        <w:rPr>
          <w:sz w:val="24"/>
          <w:szCs w:val="24"/>
        </w:rPr>
        <w:t>Emergency Preparedness Month</w:t>
      </w:r>
      <w:r w:rsidR="00595DFF" w:rsidRPr="00641A30">
        <w:rPr>
          <w:sz w:val="24"/>
          <w:szCs w:val="24"/>
        </w:rPr>
        <w:t xml:space="preserve"> </w:t>
      </w:r>
      <w:r w:rsidRPr="00641A30">
        <w:rPr>
          <w:sz w:val="24"/>
          <w:szCs w:val="24"/>
        </w:rPr>
        <w:t>to encourage Massachusetts residents, families and communities to make plans and prepare for public health and medical emergencies, threats and disasters.</w:t>
      </w:r>
    </w:p>
    <w:p w14:paraId="353488FC" w14:textId="77777777" w:rsidR="00E519CD" w:rsidRDefault="00E519CD" w:rsidP="00E552D2">
      <w:pPr>
        <w:spacing w:before="0" w:line="360" w:lineRule="auto"/>
        <w:ind w:left="0" w:right="0"/>
        <w:jc w:val="left"/>
        <w:rPr>
          <w:rFonts w:eastAsiaTheme="majorEastAsia" w:cstheme="majorBidi"/>
          <w:b/>
          <w:sz w:val="40"/>
          <w:szCs w:val="40"/>
        </w:rPr>
      </w:pPr>
      <w:r>
        <w:br w:type="page"/>
      </w:r>
    </w:p>
    <w:p w14:paraId="2DB79ADD" w14:textId="0E64343C" w:rsidR="00492AB1" w:rsidRDefault="00082B5D" w:rsidP="00E552D2">
      <w:pPr>
        <w:pStyle w:val="Heading1"/>
        <w:spacing w:line="360" w:lineRule="auto"/>
        <w:sectPr w:rsidR="00492AB1" w:rsidSect="007F5F23">
          <w:endnotePr>
            <w:numFmt w:val="decimal"/>
          </w:endnotePr>
          <w:type w:val="continuous"/>
          <w:pgSz w:w="12240" w:h="15840"/>
          <w:pgMar w:top="1440" w:right="1080" w:bottom="1440" w:left="1080" w:header="720" w:footer="720" w:gutter="0"/>
          <w:cols w:space="720"/>
          <w:docGrid w:linePitch="360"/>
        </w:sectPr>
      </w:pPr>
      <w:r>
        <w:lastRenderedPageBreak/>
        <w:t xml:space="preserve">References </w:t>
      </w:r>
    </w:p>
    <w:p w14:paraId="5414868C" w14:textId="6D0F7DB0" w:rsidR="00492AB1" w:rsidRDefault="00492AB1" w:rsidP="00E552D2">
      <w:pPr>
        <w:spacing w:before="0" w:line="360" w:lineRule="auto"/>
        <w:ind w:left="0" w:right="0"/>
        <w:jc w:val="left"/>
        <w:rPr>
          <w:b/>
          <w:noProof w:val="0"/>
          <w:sz w:val="60"/>
          <w:szCs w:val="60"/>
        </w:rPr>
      </w:pPr>
    </w:p>
    <w:sectPr w:rsidR="00492AB1" w:rsidSect="00EF0801">
      <w:endnotePr>
        <w:numFmt w:val="decimal"/>
      </w:endnotePr>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57DC540" w14:textId="77777777" w:rsidR="00F20CE8" w:rsidRPr="00EC73EF" w:rsidRDefault="00F20CE8" w:rsidP="00EC73EF">
      <w:pPr>
        <w:pStyle w:val="Footer"/>
      </w:pPr>
    </w:p>
  </w:endnote>
  <w:endnote w:type="continuationSeparator" w:id="0">
    <w:p w14:paraId="67B8D15E" w14:textId="77777777" w:rsidR="00F20CE8" w:rsidRPr="00EC73EF" w:rsidRDefault="00F20CE8" w:rsidP="00EC73EF">
      <w:pPr>
        <w:pStyle w:val="Footer"/>
      </w:pPr>
    </w:p>
  </w:endnote>
  <w:endnote w:type="continuationNotice" w:id="1">
    <w:p w14:paraId="4884DD8D" w14:textId="77777777" w:rsidR="00F20CE8" w:rsidRPr="00EC73EF" w:rsidRDefault="00F20CE8" w:rsidP="00EC73EF">
      <w:pPr>
        <w:pStyle w:val="Footer"/>
      </w:pPr>
    </w:p>
  </w:endnote>
  <w:endnote w:id="2">
    <w:p w14:paraId="2D733763" w14:textId="77777777" w:rsidR="0079760B" w:rsidRPr="00FE4FD3" w:rsidRDefault="0079760B" w:rsidP="00FE4FD3">
      <w:pPr>
        <w:spacing w:before="0" w:after="0"/>
        <w:ind w:right="-360"/>
        <w:jc w:val="left"/>
      </w:pPr>
      <w:r w:rsidRPr="00FE4FD3">
        <w:rPr>
          <w:rStyle w:val="EndnoteReference"/>
        </w:rPr>
        <w:endnoteRef/>
      </w:r>
      <w:r w:rsidRPr="00FE4FD3">
        <w:t xml:space="preserve"> Kaiser Family Foundation estimates based on the Census Bureau's March 2014, March 2015, and March 2016 Current Population Survey (CPS: Annual Social and Economic Supplements).</w:t>
      </w:r>
    </w:p>
  </w:endnote>
  <w:endnote w:id="3">
    <w:p w14:paraId="382096B9" w14:textId="77777777" w:rsidR="0079760B" w:rsidRPr="00FE4FD3" w:rsidRDefault="0079760B" w:rsidP="00FE4FD3">
      <w:pPr>
        <w:spacing w:before="0" w:after="0"/>
        <w:ind w:right="-360"/>
        <w:jc w:val="left"/>
      </w:pPr>
      <w:r w:rsidRPr="00FE4FD3">
        <w:rPr>
          <w:rStyle w:val="EndnoteReference"/>
        </w:rPr>
        <w:endnoteRef/>
      </w:r>
      <w:r w:rsidRPr="00FE4FD3">
        <w:t xml:space="preserve"> Black LI, Schiller JS. </w:t>
      </w:r>
      <w:hyperlink r:id="rId1" w:tgtFrame="_self" w:history="1">
        <w:r w:rsidRPr="00FE4FD3">
          <w:rPr>
            <w:rStyle w:val="Hyperlink"/>
            <w:color w:val="auto"/>
            <w:bdr w:val="none" w:sz="0" w:space="0" w:color="auto" w:frame="1"/>
          </w:rPr>
          <w:t>State variation in health care service utilization: United States, 2014</w:t>
        </w:r>
      </w:hyperlink>
      <w:r w:rsidRPr="00FE4FD3">
        <w:t>. NCHS data brief, no 245. Hyattsville, MD: National Center for Health Statistics. May 2016.</w:t>
      </w:r>
    </w:p>
  </w:endnote>
  <w:endnote w:id="4">
    <w:p w14:paraId="5543152B" w14:textId="1746BB16" w:rsidR="0079760B" w:rsidRPr="00FE4FD3" w:rsidRDefault="0079760B" w:rsidP="00FE4FD3">
      <w:pPr>
        <w:pStyle w:val="EndnoteText"/>
        <w:ind w:right="-360"/>
        <w:jc w:val="left"/>
        <w:rPr>
          <w:sz w:val="22"/>
          <w:szCs w:val="22"/>
        </w:rPr>
      </w:pPr>
      <w:r w:rsidRPr="00FE4FD3">
        <w:rPr>
          <w:rStyle w:val="EndnoteReference"/>
          <w:sz w:val="22"/>
          <w:szCs w:val="22"/>
        </w:rPr>
        <w:endnoteRef/>
      </w:r>
      <w:r w:rsidRPr="00FE4FD3">
        <w:rPr>
          <w:sz w:val="22"/>
          <w:szCs w:val="22"/>
        </w:rPr>
        <w:t xml:space="preserve">Kaiser Family Foundation. Available at: </w:t>
      </w:r>
      <w:hyperlink r:id="rId2" w:history="1">
        <w:r w:rsidRPr="00FE4FD3">
          <w:rPr>
            <w:rStyle w:val="Hyperlink"/>
            <w:color w:val="auto"/>
            <w:sz w:val="22"/>
            <w:szCs w:val="22"/>
          </w:rPr>
          <w:t>http://www.kff.org/disparities-policy/issue-brief/beyond-health-care-the-role-of-social-determinants-in-promoting-health-and-health-equity/</w:t>
        </w:r>
      </w:hyperlink>
      <w:r w:rsidRPr="00FE4FD3">
        <w:rPr>
          <w:sz w:val="22"/>
          <w:szCs w:val="22"/>
        </w:rPr>
        <w:t xml:space="preserve">. Accessed July 20, 2017.  </w:t>
      </w:r>
    </w:p>
  </w:endnote>
  <w:endnote w:id="5">
    <w:p w14:paraId="098FE3EC" w14:textId="0C03FBF1" w:rsidR="0079760B" w:rsidRPr="00FE4FD3" w:rsidRDefault="0079760B" w:rsidP="00FE4FD3">
      <w:pPr>
        <w:pStyle w:val="EndnoteText"/>
        <w:ind w:right="-360"/>
        <w:jc w:val="left"/>
        <w:rPr>
          <w:sz w:val="22"/>
          <w:szCs w:val="22"/>
        </w:rPr>
      </w:pPr>
      <w:r w:rsidRPr="00FE4FD3">
        <w:rPr>
          <w:rStyle w:val="EndnoteReference"/>
          <w:sz w:val="22"/>
          <w:szCs w:val="22"/>
        </w:rPr>
        <w:endnoteRef/>
      </w:r>
      <w:r w:rsidRPr="00FE4FD3">
        <w:rPr>
          <w:sz w:val="22"/>
          <w:szCs w:val="22"/>
        </w:rPr>
        <w:t xml:space="preserve"> CDC, Healthy People 2020. Available at: </w:t>
      </w:r>
      <w:hyperlink r:id="rId3" w:anchor="2" w:history="1">
        <w:r w:rsidRPr="00FE4FD3">
          <w:rPr>
            <w:rStyle w:val="Hyperlink"/>
            <w:rFonts w:cstheme="minorBidi"/>
            <w:color w:val="auto"/>
            <w:sz w:val="22"/>
            <w:szCs w:val="22"/>
            <w:shd w:val="clear" w:color="auto" w:fill="auto"/>
          </w:rPr>
          <w:t>https://www.healthypeople.gov/2020/topics-objectives/topic/Access-to-Health-Services#2</w:t>
        </w:r>
      </w:hyperlink>
      <w:r w:rsidRPr="00FE4FD3">
        <w:rPr>
          <w:sz w:val="22"/>
          <w:szCs w:val="22"/>
        </w:rPr>
        <w:t>. Accessed July 20, 2017.</w:t>
      </w:r>
    </w:p>
  </w:endnote>
  <w:endnote w:id="6">
    <w:p w14:paraId="70278B48" w14:textId="77777777" w:rsidR="0079760B" w:rsidRPr="00FE4FD3" w:rsidRDefault="0079760B" w:rsidP="00FE4FD3">
      <w:pPr>
        <w:spacing w:before="0" w:after="0"/>
        <w:ind w:right="-360"/>
        <w:jc w:val="left"/>
      </w:pPr>
      <w:r w:rsidRPr="00FE4FD3">
        <w:rPr>
          <w:rStyle w:val="EndnoteReference"/>
        </w:rPr>
        <w:endnoteRef/>
      </w:r>
      <w:r w:rsidRPr="00FE4FD3">
        <w:t xml:space="preserve"> Institu</w:t>
      </w:r>
      <w:r w:rsidRPr="00FE4FD3">
        <w:rPr>
          <w:spacing w:val="-4"/>
        </w:rPr>
        <w:t>t</w:t>
      </w:r>
      <w:r w:rsidRPr="00FE4FD3">
        <w:t xml:space="preserve">e </w:t>
      </w:r>
      <w:r w:rsidRPr="00FE4FD3">
        <w:rPr>
          <w:spacing w:val="-5"/>
        </w:rPr>
        <w:t>f</w:t>
      </w:r>
      <w:r w:rsidRPr="00FE4FD3">
        <w:t xml:space="preserve">or Clinical and Economic </w:t>
      </w:r>
      <w:r w:rsidRPr="00FE4FD3">
        <w:rPr>
          <w:spacing w:val="-4"/>
        </w:rPr>
        <w:t>Re</w:t>
      </w:r>
      <w:r w:rsidRPr="00FE4FD3">
        <w:t>vi</w:t>
      </w:r>
      <w:r w:rsidRPr="00FE4FD3">
        <w:rPr>
          <w:spacing w:val="-4"/>
        </w:rPr>
        <w:t>e</w:t>
      </w:r>
      <w:r w:rsidRPr="00FE4FD3">
        <w:rPr>
          <w:spacing w:val="-7"/>
        </w:rPr>
        <w:t>w</w:t>
      </w:r>
      <w:r w:rsidRPr="00FE4FD3">
        <w:t xml:space="preserve">. Community Health </w:t>
      </w:r>
      <w:r w:rsidRPr="00FE4FD3">
        <w:rPr>
          <w:spacing w:val="-5"/>
        </w:rPr>
        <w:t>W</w:t>
      </w:r>
      <w:r w:rsidRPr="00FE4FD3">
        <w:t>o</w:t>
      </w:r>
      <w:r w:rsidRPr="00FE4FD3">
        <w:rPr>
          <w:spacing w:val="-1"/>
        </w:rPr>
        <w:t>r</w:t>
      </w:r>
      <w:r w:rsidRPr="00FE4FD3">
        <w:rPr>
          <w:spacing w:val="-4"/>
        </w:rPr>
        <w:t>k</w:t>
      </w:r>
      <w:r w:rsidRPr="00FE4FD3">
        <w:t>e</w:t>
      </w:r>
      <w:r w:rsidRPr="00FE4FD3">
        <w:rPr>
          <w:spacing w:val="3"/>
        </w:rPr>
        <w:t>r</w:t>
      </w:r>
      <w:r w:rsidRPr="00FE4FD3">
        <w:t xml:space="preserve">s: A </w:t>
      </w:r>
      <w:r w:rsidRPr="00FE4FD3">
        <w:rPr>
          <w:spacing w:val="-3"/>
        </w:rPr>
        <w:t>R</w:t>
      </w:r>
      <w:r w:rsidRPr="00FE4FD3">
        <w:rPr>
          <w:spacing w:val="-4"/>
        </w:rPr>
        <w:t>e</w:t>
      </w:r>
      <w:r w:rsidRPr="00FE4FD3">
        <w:t>vi</w:t>
      </w:r>
      <w:r w:rsidRPr="00FE4FD3">
        <w:rPr>
          <w:spacing w:val="-3"/>
        </w:rPr>
        <w:t>e</w:t>
      </w:r>
      <w:r w:rsidRPr="00FE4FD3">
        <w:t>w of P</w:t>
      </w:r>
      <w:r w:rsidRPr="00FE4FD3">
        <w:rPr>
          <w:spacing w:val="-1"/>
        </w:rPr>
        <w:t>r</w:t>
      </w:r>
      <w:r w:rsidRPr="00FE4FD3">
        <w:t>ogram E</w:t>
      </w:r>
      <w:r w:rsidRPr="00FE4FD3">
        <w:rPr>
          <w:spacing w:val="-4"/>
        </w:rPr>
        <w:t>v</w:t>
      </w:r>
      <w:r w:rsidRPr="00FE4FD3">
        <w:t>olution, Evidence of E</w:t>
      </w:r>
      <w:r w:rsidRPr="00FE4FD3">
        <w:rPr>
          <w:spacing w:val="6"/>
        </w:rPr>
        <w:t>f</w:t>
      </w:r>
      <w:r w:rsidRPr="00FE4FD3">
        <w:rPr>
          <w:spacing w:val="-2"/>
        </w:rPr>
        <w:t>f</w:t>
      </w:r>
      <w:r w:rsidRPr="00FE4FD3">
        <w:t>ecti</w:t>
      </w:r>
      <w:r w:rsidRPr="00FE4FD3">
        <w:rPr>
          <w:spacing w:val="-3"/>
        </w:rPr>
        <w:t>v</w:t>
      </w:r>
      <w:r w:rsidRPr="00FE4FD3">
        <w:t xml:space="preserve">eness and </w:t>
      </w:r>
      <w:r w:rsidRPr="00FE4FD3">
        <w:rPr>
          <w:spacing w:val="-6"/>
        </w:rPr>
        <w:t>V</w:t>
      </w:r>
      <w:r w:rsidRPr="00FE4FD3">
        <w:t xml:space="preserve">alue, and </w:t>
      </w:r>
      <w:r w:rsidRPr="00FE4FD3">
        <w:rPr>
          <w:spacing w:val="-1"/>
        </w:rPr>
        <w:t>S</w:t>
      </w:r>
      <w:r w:rsidRPr="00FE4FD3">
        <w:t xml:space="preserve">tatus of </w:t>
      </w:r>
      <w:r w:rsidRPr="00FE4FD3">
        <w:rPr>
          <w:spacing w:val="-5"/>
        </w:rPr>
        <w:t>W</w:t>
      </w:r>
      <w:r w:rsidRPr="00FE4FD3">
        <w:t>o</w:t>
      </w:r>
      <w:r w:rsidRPr="00FE4FD3">
        <w:rPr>
          <w:spacing w:val="-1"/>
        </w:rPr>
        <w:t>r</w:t>
      </w:r>
      <w:r w:rsidRPr="00FE4FD3">
        <w:t>k</w:t>
      </w:r>
      <w:r w:rsidRPr="00FE4FD3">
        <w:rPr>
          <w:spacing w:val="-3"/>
        </w:rPr>
        <w:t>f</w:t>
      </w:r>
      <w:r w:rsidRPr="00FE4FD3">
        <w:t>orce D</w:t>
      </w:r>
      <w:r w:rsidRPr="00FE4FD3">
        <w:rPr>
          <w:spacing w:val="-4"/>
        </w:rPr>
        <w:t>e</w:t>
      </w:r>
      <w:r w:rsidRPr="00FE4FD3">
        <w:rPr>
          <w:spacing w:val="-3"/>
        </w:rPr>
        <w:t>v</w:t>
      </w:r>
      <w:r w:rsidRPr="00FE4FD3">
        <w:t>elopment in N</w:t>
      </w:r>
      <w:r w:rsidRPr="00FE4FD3">
        <w:rPr>
          <w:spacing w:val="-3"/>
        </w:rPr>
        <w:t>e</w:t>
      </w:r>
      <w:r w:rsidRPr="00FE4FD3">
        <w:t>w England.  The N</w:t>
      </w:r>
      <w:r w:rsidRPr="00FE4FD3">
        <w:rPr>
          <w:spacing w:val="-4"/>
        </w:rPr>
        <w:t>e</w:t>
      </w:r>
      <w:r w:rsidRPr="00FE4FD3">
        <w:t>w England Co</w:t>
      </w:r>
      <w:r w:rsidRPr="00FE4FD3">
        <w:rPr>
          <w:spacing w:val="-2"/>
        </w:rPr>
        <w:t>m</w:t>
      </w:r>
      <w:r w:rsidRPr="00FE4FD3">
        <w:t>parati</w:t>
      </w:r>
      <w:r w:rsidRPr="00FE4FD3">
        <w:rPr>
          <w:spacing w:val="-3"/>
        </w:rPr>
        <w:t>v</w:t>
      </w:r>
      <w:r w:rsidRPr="00FE4FD3">
        <w:t>e E</w:t>
      </w:r>
      <w:r w:rsidRPr="00FE4FD3">
        <w:rPr>
          <w:spacing w:val="5"/>
        </w:rPr>
        <w:t>f</w:t>
      </w:r>
      <w:r w:rsidRPr="00FE4FD3">
        <w:rPr>
          <w:spacing w:val="-5"/>
        </w:rPr>
        <w:t>f</w:t>
      </w:r>
      <w:r w:rsidRPr="00FE4FD3">
        <w:t>ecti</w:t>
      </w:r>
      <w:r w:rsidRPr="00FE4FD3">
        <w:rPr>
          <w:spacing w:val="-3"/>
        </w:rPr>
        <w:t>v</w:t>
      </w:r>
      <w:r w:rsidRPr="00FE4FD3">
        <w:t xml:space="preserve">eness </w:t>
      </w:r>
      <w:r w:rsidRPr="00FE4FD3">
        <w:rPr>
          <w:spacing w:val="-2"/>
        </w:rPr>
        <w:t>A</w:t>
      </w:r>
      <w:r w:rsidRPr="00FE4FD3">
        <w:t>dviso</w:t>
      </w:r>
      <w:r w:rsidRPr="00FE4FD3">
        <w:rPr>
          <w:spacing w:val="6"/>
        </w:rPr>
        <w:t>r</w:t>
      </w:r>
      <w:r w:rsidRPr="00FE4FD3">
        <w:t>y Council. Bos</w:t>
      </w:r>
      <w:r w:rsidRPr="00FE4FD3">
        <w:rPr>
          <w:spacing w:val="-3"/>
        </w:rPr>
        <w:t>t</w:t>
      </w:r>
      <w:r w:rsidRPr="00FE4FD3">
        <w:t>on, Massachus</w:t>
      </w:r>
      <w:r w:rsidRPr="00FE4FD3">
        <w:rPr>
          <w:spacing w:val="-1"/>
        </w:rPr>
        <w:t>e</w:t>
      </w:r>
      <w:r w:rsidRPr="00FE4FD3">
        <w:t>tts: Jul</w:t>
      </w:r>
      <w:r w:rsidRPr="00FE4FD3">
        <w:rPr>
          <w:spacing w:val="-9"/>
        </w:rPr>
        <w:t>y</w:t>
      </w:r>
      <w:r w:rsidRPr="00FE4FD3">
        <w:t>, 2</w:t>
      </w:r>
      <w:r w:rsidRPr="00FE4FD3">
        <w:rPr>
          <w:spacing w:val="-8"/>
        </w:rPr>
        <w:t>0</w:t>
      </w:r>
      <w:r w:rsidRPr="00FE4FD3">
        <w:rPr>
          <w:spacing w:val="-2"/>
        </w:rPr>
        <w:t>1</w:t>
      </w:r>
      <w:r w:rsidRPr="00FE4FD3">
        <w:t>3.</w:t>
      </w:r>
    </w:p>
  </w:endnote>
  <w:endnote w:id="7">
    <w:p w14:paraId="38172BFD" w14:textId="0F66318D" w:rsidR="0079760B" w:rsidRPr="00FE4FD3" w:rsidRDefault="0079760B" w:rsidP="00FE4FD3">
      <w:pPr>
        <w:spacing w:before="0" w:after="0"/>
        <w:ind w:right="-360"/>
        <w:jc w:val="left"/>
      </w:pPr>
      <w:r w:rsidRPr="00FE4FD3">
        <w:rPr>
          <w:rStyle w:val="EndnoteReference"/>
        </w:rPr>
        <w:endnoteRef/>
      </w:r>
      <w:r w:rsidRPr="00FE4FD3">
        <w:t xml:space="preserve"> Massachus</w:t>
      </w:r>
      <w:r w:rsidRPr="00FE4FD3">
        <w:rPr>
          <w:spacing w:val="-1"/>
        </w:rPr>
        <w:t>e</w:t>
      </w:r>
      <w:r w:rsidRPr="00FE4FD3">
        <w:t>tts Depa</w:t>
      </w:r>
      <w:r w:rsidRPr="00FE4FD3">
        <w:rPr>
          <w:spacing w:val="7"/>
        </w:rPr>
        <w:t>r</w:t>
      </w:r>
      <w:r w:rsidRPr="00FE4FD3">
        <w:t xml:space="preserve">tment of Public Health; Bureau of Health Statistics, </w:t>
      </w:r>
      <w:r w:rsidRPr="00FE4FD3">
        <w:rPr>
          <w:spacing w:val="-4"/>
        </w:rPr>
        <w:t>R</w:t>
      </w:r>
      <w:r w:rsidRPr="00FE4FD3">
        <w:t>esea</w:t>
      </w:r>
      <w:r w:rsidRPr="00FE4FD3">
        <w:rPr>
          <w:spacing w:val="-3"/>
        </w:rPr>
        <w:t>r</w:t>
      </w:r>
      <w:r w:rsidRPr="00FE4FD3">
        <w:t>ch, and E</w:t>
      </w:r>
      <w:r w:rsidRPr="00FE4FD3">
        <w:rPr>
          <w:spacing w:val="-2"/>
        </w:rPr>
        <w:t>v</w:t>
      </w:r>
      <w:r w:rsidRPr="00FE4FD3">
        <w:t xml:space="preserve">aluation; Division of </w:t>
      </w:r>
      <w:r w:rsidRPr="00FE4FD3">
        <w:rPr>
          <w:spacing w:val="-4"/>
        </w:rPr>
        <w:t>R</w:t>
      </w:r>
      <w:r w:rsidRPr="00FE4FD3">
        <w:t>esea</w:t>
      </w:r>
      <w:r w:rsidRPr="00FE4FD3">
        <w:rPr>
          <w:spacing w:val="-3"/>
        </w:rPr>
        <w:t>r</w:t>
      </w:r>
      <w:r w:rsidRPr="00FE4FD3">
        <w:t>ch and Epidemiolog</w:t>
      </w:r>
      <w:r w:rsidRPr="00FE4FD3">
        <w:rPr>
          <w:spacing w:val="-9"/>
        </w:rPr>
        <w:t>y</w:t>
      </w:r>
      <w:r w:rsidRPr="00FE4FD3">
        <w:t xml:space="preserve">.  </w:t>
      </w:r>
      <w:r w:rsidRPr="00FE4FD3">
        <w:rPr>
          <w:i/>
          <w:iCs/>
        </w:rPr>
        <w:t xml:space="preserve">Racial and Ethnic Health Disparities </w:t>
      </w:r>
      <w:r w:rsidRPr="00FE4FD3">
        <w:rPr>
          <w:i/>
          <w:iCs/>
          <w:spacing w:val="-2"/>
        </w:rPr>
        <w:t>b</w:t>
      </w:r>
      <w:r w:rsidRPr="00FE4FD3">
        <w:rPr>
          <w:i/>
          <w:iCs/>
        </w:rPr>
        <w:t xml:space="preserve">y EOHHS </w:t>
      </w:r>
      <w:r w:rsidRPr="00FE4FD3">
        <w:rPr>
          <w:i/>
          <w:iCs/>
          <w:spacing w:val="-4"/>
        </w:rPr>
        <w:t>R</w:t>
      </w:r>
      <w:r w:rsidRPr="00FE4FD3">
        <w:rPr>
          <w:i/>
          <w:iCs/>
        </w:rPr>
        <w:t>egions in Massa</w:t>
      </w:r>
      <w:r w:rsidRPr="00FE4FD3">
        <w:rPr>
          <w:i/>
          <w:iCs/>
          <w:spacing w:val="-2"/>
        </w:rPr>
        <w:t>c</w:t>
      </w:r>
      <w:r w:rsidRPr="00FE4FD3">
        <w:rPr>
          <w:i/>
          <w:iCs/>
        </w:rPr>
        <w:t>hus</w:t>
      </w:r>
      <w:r w:rsidRPr="00FE4FD3">
        <w:rPr>
          <w:i/>
          <w:iCs/>
          <w:spacing w:val="-2"/>
        </w:rPr>
        <w:t>e</w:t>
      </w:r>
      <w:r w:rsidRPr="00FE4FD3">
        <w:rPr>
          <w:i/>
          <w:iCs/>
        </w:rPr>
        <w:t>tts, 20</w:t>
      </w:r>
      <w:r w:rsidRPr="00FE4FD3">
        <w:rPr>
          <w:i/>
          <w:iCs/>
          <w:spacing w:val="-11"/>
        </w:rPr>
        <w:t>0</w:t>
      </w:r>
      <w:r w:rsidRPr="00FE4FD3">
        <w:rPr>
          <w:i/>
          <w:iCs/>
        </w:rPr>
        <w:t>7</w:t>
      </w:r>
      <w:r w:rsidRPr="00FE4FD3">
        <w:t xml:space="preserve">. </w:t>
      </w:r>
      <w:r w:rsidRPr="00FE4FD3">
        <w:rPr>
          <w:spacing w:val="-5"/>
        </w:rPr>
        <w:t>A</w:t>
      </w:r>
      <w:r w:rsidRPr="00FE4FD3">
        <w:rPr>
          <w:spacing w:val="-2"/>
        </w:rPr>
        <w:t>v</w:t>
      </w:r>
      <w:r w:rsidRPr="00FE4FD3">
        <w:t xml:space="preserve">ailable at: http:// </w:t>
      </w:r>
      <w:hyperlink r:id="rId4" w:history="1">
        <w:r w:rsidRPr="00FE4FD3">
          <w:rPr>
            <w:rStyle w:val="Hyperlink"/>
            <w:rFonts w:eastAsia="Meiryo" w:cs="Franklin Gothic Book"/>
            <w:color w:val="auto"/>
          </w:rPr>
          <w:t>ww</w:t>
        </w:r>
        <w:r w:rsidRPr="00FE4FD3">
          <w:rPr>
            <w:rStyle w:val="Hyperlink"/>
            <w:rFonts w:eastAsia="Meiryo" w:cs="Franklin Gothic Book"/>
            <w:color w:val="auto"/>
            <w:spacing w:val="-7"/>
          </w:rPr>
          <w:t>w</w:t>
        </w:r>
        <w:r w:rsidRPr="00FE4FD3">
          <w:rPr>
            <w:rStyle w:val="Hyperlink"/>
            <w:rFonts w:eastAsia="Meiryo" w:cs="Franklin Gothic Book"/>
            <w:color w:val="auto"/>
          </w:rPr>
          <w:t>.mass.g</w:t>
        </w:r>
        <w:r w:rsidRPr="00FE4FD3">
          <w:rPr>
            <w:rStyle w:val="Hyperlink"/>
            <w:rFonts w:eastAsia="Meiryo" w:cs="Franklin Gothic Book"/>
            <w:color w:val="auto"/>
            <w:spacing w:val="-4"/>
          </w:rPr>
          <w:t>o</w:t>
        </w:r>
        <w:r w:rsidRPr="00FE4FD3">
          <w:rPr>
            <w:rStyle w:val="Hyperlink"/>
            <w:rFonts w:eastAsia="Meiryo" w:cs="Franklin Gothic Book"/>
            <w:color w:val="auto"/>
          </w:rPr>
          <w:t>v/eohhs/docs/dph/resea</w:t>
        </w:r>
        <w:r w:rsidRPr="00FE4FD3">
          <w:rPr>
            <w:rStyle w:val="Hyperlink"/>
            <w:rFonts w:eastAsia="Meiryo" w:cs="Franklin Gothic Book"/>
            <w:color w:val="auto"/>
            <w:spacing w:val="-4"/>
          </w:rPr>
          <w:t>r</w:t>
        </w:r>
        <w:r w:rsidRPr="00FE4FD3">
          <w:rPr>
            <w:rStyle w:val="Hyperlink"/>
            <w:rFonts w:eastAsia="Meiryo" w:cs="Franklin Gothic Book"/>
            <w:color w:val="auto"/>
          </w:rPr>
          <w:t>ch-epi/disparit</w:t>
        </w:r>
        <w:r w:rsidRPr="00FE4FD3">
          <w:rPr>
            <w:rStyle w:val="Hyperlink"/>
            <w:rFonts w:eastAsia="Meiryo" w:cs="Franklin Gothic Book"/>
            <w:color w:val="auto"/>
            <w:spacing w:val="3"/>
          </w:rPr>
          <w:t>y</w:t>
        </w:r>
        <w:r w:rsidRPr="00FE4FD3">
          <w:rPr>
            <w:rStyle w:val="Hyperlink"/>
            <w:rFonts w:eastAsia="Meiryo" w:cs="Franklin Gothic Book"/>
            <w:color w:val="auto"/>
          </w:rPr>
          <w:t>-repo</w:t>
        </w:r>
        <w:r w:rsidRPr="00FE4FD3">
          <w:rPr>
            <w:rStyle w:val="Hyperlink"/>
            <w:rFonts w:eastAsia="Meiryo" w:cs="Franklin Gothic Book"/>
            <w:color w:val="auto"/>
            <w:spacing w:val="7"/>
          </w:rPr>
          <w:t>r</w:t>
        </w:r>
        <w:r w:rsidRPr="00FE4FD3">
          <w:rPr>
            <w:rStyle w:val="Hyperlink"/>
            <w:rFonts w:eastAsia="Meiryo" w:cs="Franklin Gothic Book"/>
            <w:color w:val="auto"/>
          </w:rPr>
          <w:t>t.pdf</w:t>
        </w:r>
      </w:hyperlink>
      <w:r w:rsidRPr="00FE4FD3">
        <w:rPr>
          <w:rStyle w:val="Hyperlink"/>
          <w:rFonts w:eastAsia="Meiryo" w:cs="Franklin Gothic Book"/>
          <w:color w:val="auto"/>
        </w:rPr>
        <w:t>. Accessed July 20, 2017.</w:t>
      </w:r>
    </w:p>
  </w:endnote>
  <w:endnote w:id="8">
    <w:p w14:paraId="6BFF52DD" w14:textId="77777777" w:rsidR="0079760B" w:rsidRPr="00FE4FD3" w:rsidRDefault="0079760B" w:rsidP="00FE4FD3">
      <w:pPr>
        <w:pStyle w:val="EndnoteText"/>
        <w:spacing w:line="256" w:lineRule="auto"/>
        <w:ind w:right="-360"/>
        <w:jc w:val="left"/>
        <w:rPr>
          <w:sz w:val="22"/>
          <w:szCs w:val="22"/>
        </w:rPr>
      </w:pPr>
      <w:r w:rsidRPr="00FE4FD3">
        <w:rPr>
          <w:rStyle w:val="EndnoteReference"/>
          <w:sz w:val="22"/>
          <w:szCs w:val="22"/>
        </w:rPr>
        <w:endnoteRef/>
      </w:r>
      <w:r w:rsidRPr="00FE4FD3">
        <w:rPr>
          <w:sz w:val="22"/>
          <w:szCs w:val="22"/>
        </w:rPr>
        <w:t xml:space="preserve"> Moy E, Chang E, Barrett M. Potentially preventable hospitalizations – United States, 2001-2009. </w:t>
      </w:r>
      <w:r w:rsidRPr="00FE4FD3">
        <w:rPr>
          <w:i/>
          <w:sz w:val="22"/>
          <w:szCs w:val="22"/>
        </w:rPr>
        <w:t>Morbidity and Mortality Weekly Report.</w:t>
      </w:r>
      <w:r w:rsidRPr="00FE4FD3">
        <w:rPr>
          <w:sz w:val="22"/>
          <w:szCs w:val="22"/>
        </w:rPr>
        <w:t xml:space="preserve"> 2013; 62(3): 139-143. Available at: https://www.cdc.gov/mmwr/preview/mmwrhtml/su6203a23.htm Accessed July 7, 2017.</w:t>
      </w:r>
    </w:p>
  </w:endnote>
  <w:endnote w:id="9">
    <w:p w14:paraId="3D1ACCD7" w14:textId="260E7734" w:rsidR="0079760B" w:rsidRPr="00FE4FD3" w:rsidRDefault="0079760B" w:rsidP="00FE4FD3">
      <w:pPr>
        <w:pStyle w:val="EndnoteText"/>
        <w:spacing w:line="256" w:lineRule="auto"/>
        <w:ind w:right="-360"/>
        <w:jc w:val="left"/>
        <w:rPr>
          <w:sz w:val="22"/>
          <w:szCs w:val="22"/>
        </w:rPr>
      </w:pPr>
      <w:r w:rsidRPr="00FE4FD3">
        <w:rPr>
          <w:rStyle w:val="EndnoteReference"/>
          <w:sz w:val="22"/>
          <w:szCs w:val="22"/>
        </w:rPr>
        <w:endnoteRef/>
      </w:r>
      <w:r w:rsidRPr="00FE4FD3">
        <w:rPr>
          <w:sz w:val="22"/>
          <w:szCs w:val="22"/>
        </w:rPr>
        <w:t xml:space="preserve"> Moy E, Chang E, Barrett M. Potentially preventable hospitalizations – United States, 2001-2009. </w:t>
      </w:r>
      <w:r w:rsidRPr="00FE4FD3">
        <w:rPr>
          <w:i/>
          <w:sz w:val="22"/>
          <w:szCs w:val="22"/>
        </w:rPr>
        <w:t>Morbidity and Mortality Weekly Report.</w:t>
      </w:r>
      <w:r w:rsidRPr="00FE4FD3">
        <w:rPr>
          <w:sz w:val="22"/>
          <w:szCs w:val="22"/>
        </w:rPr>
        <w:t xml:space="preserve"> 2013; 62(3): 139-143. Available at: </w:t>
      </w:r>
      <w:hyperlink r:id="rId5" w:history="1">
        <w:r w:rsidRPr="00FE4FD3">
          <w:rPr>
            <w:rStyle w:val="Hyperlink"/>
            <w:color w:val="auto"/>
            <w:sz w:val="22"/>
            <w:szCs w:val="22"/>
          </w:rPr>
          <w:t>https://www.cdc.gov/mmwr/preview/mmwrhtml/su6203a23.htm</w:t>
        </w:r>
      </w:hyperlink>
      <w:r w:rsidRPr="00FE4FD3">
        <w:rPr>
          <w:sz w:val="22"/>
          <w:szCs w:val="22"/>
        </w:rPr>
        <w:t>. Accessed July 7, 2017.</w:t>
      </w:r>
    </w:p>
  </w:endnote>
  <w:endnote w:id="10">
    <w:p w14:paraId="483124F4" w14:textId="77777777" w:rsidR="0079760B" w:rsidRPr="00FE4FD3" w:rsidRDefault="0079760B" w:rsidP="00FE4FD3">
      <w:pPr>
        <w:pStyle w:val="EndnoteText"/>
        <w:spacing w:line="256" w:lineRule="auto"/>
        <w:ind w:right="-360"/>
        <w:jc w:val="left"/>
        <w:rPr>
          <w:sz w:val="22"/>
          <w:szCs w:val="22"/>
        </w:rPr>
      </w:pPr>
      <w:r w:rsidRPr="00FE4FD3">
        <w:rPr>
          <w:rStyle w:val="EndnoteReference"/>
          <w:sz w:val="22"/>
          <w:szCs w:val="22"/>
        </w:rPr>
        <w:endnoteRef/>
      </w:r>
      <w:r w:rsidRPr="00FE4FD3">
        <w:rPr>
          <w:sz w:val="22"/>
          <w:szCs w:val="22"/>
        </w:rPr>
        <w:t xml:space="preserve"> Nyweide DJ, Anthony DL, Bynum JPW. Continuity of care and the risk of preventable hospitalization in older adults. </w:t>
      </w:r>
      <w:r w:rsidRPr="00FE4FD3">
        <w:rPr>
          <w:i/>
          <w:sz w:val="22"/>
          <w:szCs w:val="22"/>
        </w:rPr>
        <w:t>JAMA Internal Medicine</w:t>
      </w:r>
      <w:r w:rsidRPr="00FE4FD3">
        <w:rPr>
          <w:sz w:val="22"/>
          <w:szCs w:val="22"/>
        </w:rPr>
        <w:t xml:space="preserve">. 2013; 173(20)1879-1885. </w:t>
      </w:r>
    </w:p>
  </w:endnote>
  <w:endnote w:id="11">
    <w:p w14:paraId="20637E1B" w14:textId="77777777" w:rsidR="0079760B" w:rsidRPr="00FE4FD3" w:rsidRDefault="0079760B" w:rsidP="00FE4FD3">
      <w:pPr>
        <w:pStyle w:val="EndnoteText"/>
        <w:spacing w:line="256" w:lineRule="auto"/>
        <w:ind w:right="-360"/>
        <w:jc w:val="left"/>
        <w:rPr>
          <w:sz w:val="22"/>
          <w:szCs w:val="22"/>
        </w:rPr>
      </w:pPr>
      <w:r w:rsidRPr="00FE4FD3">
        <w:rPr>
          <w:rStyle w:val="EndnoteReference"/>
          <w:sz w:val="22"/>
          <w:szCs w:val="22"/>
        </w:rPr>
        <w:endnoteRef/>
      </w:r>
      <w:r w:rsidRPr="00FE4FD3">
        <w:rPr>
          <w:sz w:val="22"/>
          <w:szCs w:val="22"/>
        </w:rPr>
        <w:t xml:space="preserve"> Johnson PJ, Ghildayal N, Ward AC, Westgard BC, Boland LL, Hokanson JS. Disparities in potentially avoidable emergency department (ED) care: ED visits for ambulatory care sensitive conditions. </w:t>
      </w:r>
      <w:r w:rsidRPr="00FE4FD3">
        <w:rPr>
          <w:i/>
          <w:sz w:val="22"/>
          <w:szCs w:val="22"/>
        </w:rPr>
        <w:t>Medical Care.</w:t>
      </w:r>
      <w:r w:rsidRPr="00FE4FD3">
        <w:rPr>
          <w:sz w:val="22"/>
          <w:szCs w:val="22"/>
        </w:rPr>
        <w:t xml:space="preserve"> 2012; 50(12): 1020-1028.</w:t>
      </w:r>
    </w:p>
  </w:endnote>
  <w:endnote w:id="12">
    <w:p w14:paraId="23E9A701" w14:textId="77777777" w:rsidR="0079760B" w:rsidRPr="00FE4FD3" w:rsidRDefault="0079760B" w:rsidP="00FE4FD3">
      <w:pPr>
        <w:spacing w:before="0" w:after="0"/>
        <w:ind w:right="-360"/>
        <w:jc w:val="left"/>
      </w:pPr>
      <w:r w:rsidRPr="00FE4FD3">
        <w:rPr>
          <w:rStyle w:val="EndnoteReference"/>
        </w:rPr>
        <w:endnoteRef/>
      </w:r>
      <w:r w:rsidRPr="00FE4FD3">
        <w:t xml:space="preserve"> </w:t>
      </w:r>
      <w:r w:rsidRPr="00FE4FD3">
        <w:rPr>
          <w:shd w:val="clear" w:color="auto" w:fill="FFFFFF"/>
        </w:rPr>
        <w:t>Galarraga JE, Pines JM. Costs of ED episodes of care in the United States." </w:t>
      </w:r>
      <w:r w:rsidRPr="00FE4FD3">
        <w:rPr>
          <w:i/>
          <w:iCs/>
        </w:rPr>
        <w:t>The American Journal of Emergency Medicine</w:t>
      </w:r>
      <w:r w:rsidRPr="00FE4FD3">
        <w:rPr>
          <w:shd w:val="clear" w:color="auto" w:fill="FFFFFF"/>
        </w:rPr>
        <w:t>. 2016; 34(3): 357-365.</w:t>
      </w:r>
    </w:p>
  </w:endnote>
  <w:endnote w:id="13">
    <w:p w14:paraId="55B898FE" w14:textId="77777777" w:rsidR="0079760B" w:rsidRPr="00FE4FD3" w:rsidRDefault="0079760B" w:rsidP="00FE4FD3">
      <w:pPr>
        <w:pStyle w:val="EndnoteText"/>
        <w:spacing w:line="256" w:lineRule="auto"/>
        <w:ind w:right="-360"/>
        <w:jc w:val="left"/>
        <w:rPr>
          <w:sz w:val="22"/>
          <w:szCs w:val="22"/>
        </w:rPr>
      </w:pPr>
      <w:r w:rsidRPr="00FE4FD3">
        <w:rPr>
          <w:rStyle w:val="EndnoteReference"/>
          <w:sz w:val="22"/>
          <w:szCs w:val="22"/>
        </w:rPr>
        <w:endnoteRef/>
      </w:r>
      <w:r w:rsidRPr="00FE4FD3">
        <w:rPr>
          <w:sz w:val="22"/>
          <w:szCs w:val="22"/>
        </w:rPr>
        <w:t xml:space="preserve"> Smulowitz PB, Lipton R, Wharam JF et al., Emergency department utilization after the implementation of Massachusetts health reform. </w:t>
      </w:r>
      <w:r w:rsidRPr="00FE4FD3">
        <w:rPr>
          <w:i/>
          <w:sz w:val="22"/>
          <w:szCs w:val="22"/>
        </w:rPr>
        <w:t>Annals of Emergency Medicine</w:t>
      </w:r>
      <w:r w:rsidRPr="00FE4FD3">
        <w:rPr>
          <w:sz w:val="22"/>
          <w:szCs w:val="22"/>
        </w:rPr>
        <w:t xml:space="preserve">. 2011; 58(3): 225-234.e1. </w:t>
      </w:r>
    </w:p>
  </w:endnote>
  <w:endnote w:id="14">
    <w:p w14:paraId="25D23AFE" w14:textId="77777777" w:rsidR="0079760B" w:rsidRPr="00FE4FD3" w:rsidRDefault="0079760B" w:rsidP="00FE4FD3">
      <w:pPr>
        <w:pStyle w:val="EndnoteText"/>
        <w:spacing w:line="256" w:lineRule="auto"/>
        <w:ind w:right="-360"/>
        <w:jc w:val="left"/>
        <w:rPr>
          <w:sz w:val="22"/>
          <w:szCs w:val="22"/>
        </w:rPr>
      </w:pPr>
      <w:r w:rsidRPr="00FE4FD3">
        <w:rPr>
          <w:rStyle w:val="EndnoteReference"/>
          <w:sz w:val="22"/>
          <w:szCs w:val="22"/>
        </w:rPr>
        <w:endnoteRef/>
      </w:r>
      <w:r w:rsidRPr="00FE4FD3">
        <w:rPr>
          <w:sz w:val="22"/>
          <w:szCs w:val="22"/>
        </w:rPr>
        <w:t xml:space="preserve"> Taubman SL, Allen HL, Wright BJ, et al. Medicaid increases emergency department use: Evidence from Oregon’s health insurance experiment. </w:t>
      </w:r>
      <w:r w:rsidRPr="00FE4FD3">
        <w:rPr>
          <w:i/>
          <w:sz w:val="22"/>
          <w:szCs w:val="22"/>
        </w:rPr>
        <w:t>Science.</w:t>
      </w:r>
      <w:r w:rsidRPr="00FE4FD3">
        <w:rPr>
          <w:sz w:val="22"/>
          <w:szCs w:val="22"/>
        </w:rPr>
        <w:t xml:space="preserve"> 2014; 343(6168): 263-268.</w:t>
      </w:r>
    </w:p>
  </w:endnote>
  <w:endnote w:id="15">
    <w:p w14:paraId="0D2DD946" w14:textId="77777777" w:rsidR="0079760B" w:rsidRPr="00FE4FD3" w:rsidRDefault="0079760B" w:rsidP="00FE4FD3">
      <w:pPr>
        <w:pStyle w:val="EndnoteText"/>
        <w:ind w:right="-360"/>
        <w:jc w:val="left"/>
        <w:rPr>
          <w:sz w:val="22"/>
          <w:szCs w:val="22"/>
        </w:rPr>
      </w:pPr>
      <w:r w:rsidRPr="00FE4FD3">
        <w:rPr>
          <w:rStyle w:val="EndnoteReference"/>
          <w:sz w:val="22"/>
          <w:szCs w:val="22"/>
        </w:rPr>
        <w:endnoteRef/>
      </w:r>
      <w:r w:rsidRPr="00FE4FD3">
        <w:rPr>
          <w:sz w:val="22"/>
          <w:szCs w:val="22"/>
        </w:rPr>
        <w:t xml:space="preserve"> The definition for falls was broadened to include those that resulted in serious injury or death while previously the definition had included only those where disability or death occurred.  </w:t>
      </w:r>
    </w:p>
  </w:endnote>
  <w:endnote w:id="16">
    <w:p w14:paraId="32F51258" w14:textId="4C21C018" w:rsidR="0079760B" w:rsidRPr="00FE4FD3" w:rsidRDefault="0079760B" w:rsidP="00FE4FD3">
      <w:pPr>
        <w:pStyle w:val="EndnoteText"/>
        <w:ind w:right="-360"/>
        <w:jc w:val="left"/>
        <w:rPr>
          <w:sz w:val="22"/>
          <w:szCs w:val="22"/>
        </w:rPr>
      </w:pPr>
      <w:r w:rsidRPr="00FE4FD3">
        <w:rPr>
          <w:rStyle w:val="EndnoteReference"/>
          <w:sz w:val="22"/>
          <w:szCs w:val="22"/>
        </w:rPr>
        <w:endnoteRef/>
      </w:r>
      <w:r w:rsidRPr="00FE4FD3">
        <w:rPr>
          <w:sz w:val="22"/>
          <w:szCs w:val="22"/>
        </w:rPr>
        <w:t xml:space="preserve"> Adult Coronary Artery Bypass Graft Surgery in the Commonwealth of Massachusetts, Fiscal Year 14 Report.  Available at: </w:t>
      </w:r>
      <w:hyperlink r:id="rId6" w:history="1">
        <w:r w:rsidRPr="00FE4FD3">
          <w:rPr>
            <w:rStyle w:val="Hyperlink"/>
            <w:color w:val="auto"/>
            <w:sz w:val="22"/>
            <w:szCs w:val="22"/>
          </w:rPr>
          <w:t>http://www.massdac.org/wp-content/uploads/CABG-FY2014.pdf</w:t>
        </w:r>
      </w:hyperlink>
      <w:r w:rsidRPr="00FE4FD3">
        <w:rPr>
          <w:rStyle w:val="Hyperlink"/>
          <w:color w:val="auto"/>
          <w:sz w:val="22"/>
          <w:szCs w:val="22"/>
        </w:rPr>
        <w:t>.</w:t>
      </w:r>
      <w:r w:rsidRPr="00FE4FD3">
        <w:rPr>
          <w:sz w:val="22"/>
          <w:szCs w:val="22"/>
        </w:rPr>
        <w:t xml:space="preserve"> Accessed on July 9, 2017.</w:t>
      </w:r>
    </w:p>
  </w:endnote>
  <w:endnote w:id="17">
    <w:p w14:paraId="2F5321E2" w14:textId="1FDA5921" w:rsidR="0079760B" w:rsidRPr="00FE4FD3" w:rsidRDefault="0079760B" w:rsidP="00FE4FD3">
      <w:pPr>
        <w:pStyle w:val="EndnoteText"/>
        <w:ind w:right="-360"/>
        <w:jc w:val="left"/>
        <w:rPr>
          <w:sz w:val="22"/>
          <w:szCs w:val="22"/>
        </w:rPr>
      </w:pPr>
      <w:r w:rsidRPr="00FE4FD3">
        <w:rPr>
          <w:rStyle w:val="EndnoteReference"/>
          <w:sz w:val="22"/>
          <w:szCs w:val="22"/>
        </w:rPr>
        <w:endnoteRef/>
      </w:r>
      <w:r w:rsidRPr="00FE4FD3">
        <w:rPr>
          <w:sz w:val="22"/>
          <w:szCs w:val="22"/>
        </w:rPr>
        <w:t xml:space="preserve"> Grieb, J, Clark, M, Regional Public Health Emergency Preparedness: The Experience of Massachusetts Region 4b, </w:t>
      </w:r>
      <w:r w:rsidRPr="00FE4FD3">
        <w:rPr>
          <w:i/>
          <w:sz w:val="22"/>
          <w:szCs w:val="22"/>
        </w:rPr>
        <w:t>Public Health Rep</w:t>
      </w:r>
      <w:r w:rsidRPr="00FE4FD3">
        <w:rPr>
          <w:sz w:val="22"/>
          <w:szCs w:val="22"/>
        </w:rPr>
        <w:t>. 2008 Jul-Aug; 123(4): 450–460.</w:t>
      </w:r>
    </w:p>
  </w:endnote>
  <w:endnote w:id="18">
    <w:p w14:paraId="23479ADE" w14:textId="77777777" w:rsidR="0079760B" w:rsidRPr="00FE4FD3" w:rsidRDefault="0079760B" w:rsidP="00FE4FD3">
      <w:pPr>
        <w:pStyle w:val="EndnoteText"/>
        <w:ind w:right="-360"/>
        <w:jc w:val="left"/>
        <w:rPr>
          <w:sz w:val="22"/>
          <w:szCs w:val="22"/>
        </w:rPr>
      </w:pPr>
      <w:r w:rsidRPr="00FE4FD3">
        <w:rPr>
          <w:rStyle w:val="EndnoteReference"/>
          <w:sz w:val="22"/>
          <w:szCs w:val="22"/>
        </w:rPr>
        <w:endnoteRef/>
      </w:r>
      <w:r w:rsidRPr="00FE4FD3">
        <w:rPr>
          <w:sz w:val="22"/>
          <w:szCs w:val="22"/>
        </w:rPr>
        <w:t xml:space="preserve"> </w:t>
      </w:r>
      <w:r w:rsidRPr="00FE4FD3">
        <w:rPr>
          <w:rFonts w:cs="Arial"/>
          <w:sz w:val="22"/>
          <w:szCs w:val="22"/>
          <w:shd w:val="clear" w:color="auto" w:fill="FFFFFF"/>
        </w:rPr>
        <w:t>Nelson, R. G. (2008). Periodontal disease and diabetes. </w:t>
      </w:r>
      <w:r w:rsidRPr="00FE4FD3">
        <w:rPr>
          <w:rFonts w:cs="Arial"/>
          <w:i/>
          <w:iCs/>
          <w:sz w:val="22"/>
          <w:szCs w:val="22"/>
          <w:shd w:val="clear" w:color="auto" w:fill="FFFFFF"/>
        </w:rPr>
        <w:t>Oral diseases</w:t>
      </w:r>
      <w:r w:rsidRPr="00FE4FD3">
        <w:rPr>
          <w:rFonts w:cs="Arial"/>
          <w:sz w:val="22"/>
          <w:szCs w:val="22"/>
          <w:shd w:val="clear" w:color="auto" w:fill="FFFFFF"/>
        </w:rPr>
        <w:t>, </w:t>
      </w:r>
      <w:r w:rsidRPr="00FE4FD3">
        <w:rPr>
          <w:rFonts w:cs="Arial"/>
          <w:i/>
          <w:iCs/>
          <w:sz w:val="22"/>
          <w:szCs w:val="22"/>
          <w:shd w:val="clear" w:color="auto" w:fill="FFFFFF"/>
        </w:rPr>
        <w:t>14</w:t>
      </w:r>
      <w:r w:rsidRPr="00FE4FD3">
        <w:rPr>
          <w:rFonts w:cs="Arial"/>
          <w:sz w:val="22"/>
          <w:szCs w:val="22"/>
          <w:shd w:val="clear" w:color="auto" w:fill="FFFFFF"/>
        </w:rPr>
        <w:t>(3), 204-205.</w:t>
      </w:r>
    </w:p>
  </w:endnote>
  <w:endnote w:id="19">
    <w:p w14:paraId="0D0D003B" w14:textId="77777777" w:rsidR="0079760B" w:rsidRPr="00FE4FD3" w:rsidRDefault="0079760B" w:rsidP="00FE4FD3">
      <w:pPr>
        <w:spacing w:before="0" w:after="0"/>
        <w:ind w:right="-360"/>
        <w:jc w:val="left"/>
      </w:pPr>
      <w:r w:rsidRPr="00FE4FD3">
        <w:rPr>
          <w:rStyle w:val="EndnoteReference"/>
        </w:rPr>
        <w:endnoteRef/>
      </w:r>
      <w:r w:rsidRPr="00FE4FD3">
        <w:t xml:space="preserve"> Preshaw, P. M., Alba, A. L., Herrera, D., Jepsen, S., Konstantinidis, A., Makrilakis, K., &amp; Taylor, R. (2012). Periodontitis and diabetes: a two-way relationship. Diabetologia, 55(1), 21-31.</w:t>
      </w:r>
    </w:p>
  </w:endnote>
  <w:endnote w:id="20">
    <w:p w14:paraId="46CE9925" w14:textId="77777777" w:rsidR="0079760B" w:rsidRPr="00FE4FD3" w:rsidRDefault="0079760B" w:rsidP="00FE4FD3">
      <w:pPr>
        <w:spacing w:before="0" w:after="0"/>
        <w:ind w:right="-360"/>
        <w:jc w:val="left"/>
      </w:pPr>
      <w:r w:rsidRPr="00FE4FD3">
        <w:rPr>
          <w:rStyle w:val="EndnoteReference"/>
        </w:rPr>
        <w:endnoteRef/>
      </w:r>
      <w:r w:rsidRPr="00FE4FD3">
        <w:t xml:space="preserve"> Nasseh, K., Vujicic, M., &amp; Glick, M. (2017). The relationship between periodontal interventions and healthcare costs and utilization. Evidence from an integrated dental, medical, and pharmacy commercial claims database. Health economics, 26(4), 519-527.</w:t>
      </w:r>
    </w:p>
  </w:endnote>
  <w:endnote w:id="21">
    <w:p w14:paraId="7ED605BE" w14:textId="77777777" w:rsidR="0079760B" w:rsidRPr="00FE4FD3" w:rsidRDefault="0079760B" w:rsidP="00FE4FD3">
      <w:pPr>
        <w:pStyle w:val="EndnoteText"/>
        <w:ind w:right="-360"/>
        <w:jc w:val="left"/>
        <w:rPr>
          <w:sz w:val="22"/>
          <w:szCs w:val="22"/>
        </w:rPr>
      </w:pPr>
      <w:r w:rsidRPr="00FE4FD3">
        <w:rPr>
          <w:rStyle w:val="EndnoteReference"/>
          <w:sz w:val="22"/>
          <w:szCs w:val="22"/>
        </w:rPr>
        <w:endnoteRef/>
      </w:r>
      <w:r w:rsidRPr="00FE4FD3">
        <w:rPr>
          <w:sz w:val="22"/>
          <w:szCs w:val="22"/>
        </w:rPr>
        <w:t xml:space="preserve"> Jackson, S. L., Vann Jr, W. F., Kotch, J. B., Pahel, B. T., &amp; Lee, J. Y. (2011). Impact of poor oral health on children's school attendance and performance. American Journal of Public Health, 101(10), 1900-1906.</w:t>
      </w:r>
    </w:p>
  </w:endnote>
  <w:endnote w:id="22">
    <w:p w14:paraId="73A73A0A" w14:textId="00234E6C" w:rsidR="0079760B" w:rsidRPr="00FE4FD3" w:rsidRDefault="0079760B" w:rsidP="00FE4FD3">
      <w:pPr>
        <w:pStyle w:val="EndnoteText"/>
        <w:ind w:right="-360"/>
        <w:jc w:val="left"/>
        <w:rPr>
          <w:sz w:val="22"/>
          <w:szCs w:val="22"/>
        </w:rPr>
      </w:pPr>
      <w:r w:rsidRPr="00FE4FD3">
        <w:rPr>
          <w:rStyle w:val="EndnoteReference"/>
          <w:sz w:val="22"/>
          <w:szCs w:val="22"/>
        </w:rPr>
        <w:endnoteRef/>
      </w:r>
      <w:r w:rsidRPr="00FE4FD3">
        <w:rPr>
          <w:sz w:val="22"/>
          <w:szCs w:val="22"/>
        </w:rPr>
        <w:t xml:space="preserve"> MDPH, Youth Risk Behavioral Surveillance System, 2015.</w:t>
      </w:r>
    </w:p>
  </w:endnote>
  <w:endnote w:id="23">
    <w:p w14:paraId="716A80C0" w14:textId="0891D183" w:rsidR="0079760B" w:rsidRPr="00FE4FD3" w:rsidRDefault="0079760B" w:rsidP="00FE4FD3">
      <w:pPr>
        <w:pStyle w:val="EndnoteText"/>
        <w:ind w:right="-360"/>
        <w:jc w:val="left"/>
        <w:rPr>
          <w:sz w:val="22"/>
          <w:szCs w:val="22"/>
        </w:rPr>
      </w:pPr>
      <w:r w:rsidRPr="00FE4FD3">
        <w:rPr>
          <w:rStyle w:val="EndnoteReference"/>
          <w:sz w:val="22"/>
          <w:szCs w:val="22"/>
        </w:rPr>
        <w:endnoteRef/>
      </w:r>
      <w:r w:rsidRPr="00FE4FD3">
        <w:rPr>
          <w:sz w:val="22"/>
          <w:szCs w:val="22"/>
        </w:rPr>
        <w:t xml:space="preserve"> MDPH, Behavioral Risk Factor Surveillance System, 2014.</w:t>
      </w:r>
    </w:p>
  </w:endnote>
  <w:endnote w:id="24">
    <w:p w14:paraId="1DDA2DFA" w14:textId="60E69D38" w:rsidR="0079760B" w:rsidRPr="00FE4FD3" w:rsidRDefault="0079760B" w:rsidP="00FE4FD3">
      <w:pPr>
        <w:pStyle w:val="EndnoteText"/>
        <w:ind w:right="-360"/>
        <w:jc w:val="left"/>
        <w:rPr>
          <w:sz w:val="22"/>
          <w:szCs w:val="22"/>
        </w:rPr>
      </w:pPr>
      <w:r w:rsidRPr="00FE4FD3">
        <w:rPr>
          <w:rStyle w:val="EndnoteReference"/>
          <w:sz w:val="22"/>
          <w:szCs w:val="22"/>
        </w:rPr>
        <w:endnoteRef/>
      </w:r>
      <w:r w:rsidRPr="00FE4FD3">
        <w:rPr>
          <w:sz w:val="22"/>
          <w:szCs w:val="22"/>
        </w:rPr>
        <w:t xml:space="preserve"> MDPH, Pregnancy Risk Assessment and Monitoring System, 2013-2015.</w:t>
      </w:r>
    </w:p>
  </w:endnote>
  <w:endnote w:id="25">
    <w:p w14:paraId="56229CC5" w14:textId="73A45EFE" w:rsidR="0079760B" w:rsidRPr="00FE4FD3" w:rsidRDefault="0079760B" w:rsidP="00FE4FD3">
      <w:pPr>
        <w:pStyle w:val="EndnoteText"/>
        <w:ind w:right="-360"/>
        <w:jc w:val="left"/>
        <w:rPr>
          <w:sz w:val="22"/>
          <w:szCs w:val="22"/>
        </w:rPr>
      </w:pPr>
      <w:r w:rsidRPr="00FE4FD3">
        <w:rPr>
          <w:rStyle w:val="EndnoteReference"/>
          <w:sz w:val="22"/>
          <w:szCs w:val="22"/>
        </w:rPr>
        <w:endnoteRef/>
      </w:r>
      <w:r w:rsidRPr="00FE4FD3">
        <w:rPr>
          <w:sz w:val="22"/>
          <w:szCs w:val="22"/>
        </w:rPr>
        <w:t xml:space="preserve"> MDPH, Massachusetts Statewide Oral Health Assessment of Seniors, 2009.</w:t>
      </w:r>
    </w:p>
  </w:endnote>
  <w:endnote w:id="26">
    <w:p w14:paraId="08E52050" w14:textId="3BC9B75D" w:rsidR="0079760B" w:rsidRPr="00FE4FD3" w:rsidRDefault="0079760B" w:rsidP="00FE4FD3">
      <w:pPr>
        <w:pStyle w:val="EndnoteText"/>
        <w:ind w:right="-360"/>
        <w:jc w:val="left"/>
        <w:rPr>
          <w:sz w:val="22"/>
          <w:szCs w:val="22"/>
        </w:rPr>
      </w:pPr>
      <w:r w:rsidRPr="00FE4FD3">
        <w:rPr>
          <w:rStyle w:val="EndnoteReference"/>
          <w:sz w:val="22"/>
          <w:szCs w:val="22"/>
        </w:rPr>
        <w:endnoteRef/>
      </w:r>
      <w:r w:rsidRPr="00FE4FD3">
        <w:rPr>
          <w:sz w:val="22"/>
          <w:szCs w:val="22"/>
        </w:rPr>
        <w:t xml:space="preserve"> CDC, Community Water Fluoridation. Available at: https://www.cdc.gov/fluoridation/index.html. Accessed August 9, 2017.</w:t>
      </w:r>
    </w:p>
  </w:endnote>
  <w:endnote w:id="27">
    <w:p w14:paraId="5915625F" w14:textId="56F71497" w:rsidR="0079760B" w:rsidRPr="00FE4FD3" w:rsidRDefault="0079760B" w:rsidP="00FE4FD3">
      <w:pPr>
        <w:pStyle w:val="EndnoteText"/>
        <w:ind w:right="-360"/>
        <w:jc w:val="left"/>
        <w:rPr>
          <w:sz w:val="22"/>
          <w:szCs w:val="22"/>
        </w:rPr>
      </w:pPr>
      <w:r w:rsidRPr="00FE4FD3">
        <w:rPr>
          <w:rStyle w:val="EndnoteReference"/>
          <w:sz w:val="22"/>
          <w:szCs w:val="22"/>
        </w:rPr>
        <w:endnoteRef/>
      </w:r>
      <w:r w:rsidRPr="00FE4FD3">
        <w:rPr>
          <w:sz w:val="22"/>
          <w:szCs w:val="22"/>
        </w:rPr>
        <w:t xml:space="preserve"> The Massachusetts Health Policy Forum, Issues Brief: The Time is Now: Tackling Racial and Ethnic Disparities in Mental and Behavioral Health Services in Massachusetts, 2014.</w:t>
      </w:r>
    </w:p>
  </w:endnote>
  <w:endnote w:id="28">
    <w:p w14:paraId="246BB107" w14:textId="2BEA81CE" w:rsidR="0079760B" w:rsidRPr="00FE4FD3" w:rsidRDefault="0079760B" w:rsidP="00FE4FD3">
      <w:pPr>
        <w:pStyle w:val="EndnoteText"/>
        <w:ind w:right="-360"/>
        <w:jc w:val="left"/>
        <w:rPr>
          <w:sz w:val="22"/>
          <w:szCs w:val="22"/>
        </w:rPr>
      </w:pPr>
      <w:r w:rsidRPr="00FE4FD3">
        <w:rPr>
          <w:rStyle w:val="EndnoteReference"/>
          <w:sz w:val="22"/>
          <w:szCs w:val="22"/>
        </w:rPr>
        <w:endnoteRef/>
      </w:r>
      <w:r w:rsidRPr="00FE4FD3">
        <w:rPr>
          <w:sz w:val="22"/>
          <w:szCs w:val="22"/>
        </w:rPr>
        <w:t xml:space="preserve"> Ibid</w:t>
      </w:r>
    </w:p>
  </w:endnote>
  <w:endnote w:id="29">
    <w:p w14:paraId="52731D34" w14:textId="149D2BFD" w:rsidR="0079760B" w:rsidRPr="00FE4FD3" w:rsidRDefault="0079760B" w:rsidP="00FE4FD3">
      <w:pPr>
        <w:pStyle w:val="EndnoteText"/>
        <w:ind w:right="-360"/>
        <w:jc w:val="left"/>
        <w:rPr>
          <w:sz w:val="22"/>
          <w:szCs w:val="22"/>
        </w:rPr>
      </w:pPr>
      <w:r w:rsidRPr="00FE4FD3">
        <w:rPr>
          <w:rStyle w:val="EndnoteReference"/>
          <w:sz w:val="22"/>
          <w:szCs w:val="22"/>
        </w:rPr>
        <w:endnoteRef/>
      </w:r>
      <w:r w:rsidRPr="00FE4FD3">
        <w:rPr>
          <w:sz w:val="22"/>
          <w:szCs w:val="22"/>
        </w:rPr>
        <w:t xml:space="preserve"> NAMI, Expanding Our Vision: Efforts to Decriminalize Addiction Must Include Mental Health. Available at: http://namimass.org/wp-content/uploads/AdvocacyDayPaper_singlepages_2FINAL.pdf. Accessed August 6, 2017.</w:t>
      </w:r>
    </w:p>
  </w:endnote>
  <w:endnote w:id="30">
    <w:p w14:paraId="25342E8E" w14:textId="299A707B" w:rsidR="0079760B" w:rsidRPr="00FE4FD3" w:rsidRDefault="0079760B" w:rsidP="00FE4FD3">
      <w:pPr>
        <w:pStyle w:val="EndnoteText"/>
        <w:ind w:right="-360"/>
        <w:jc w:val="left"/>
        <w:rPr>
          <w:sz w:val="22"/>
          <w:szCs w:val="22"/>
        </w:rPr>
      </w:pPr>
      <w:r w:rsidRPr="00FE4FD3">
        <w:rPr>
          <w:rStyle w:val="EndnoteReference"/>
          <w:sz w:val="22"/>
          <w:szCs w:val="22"/>
        </w:rPr>
        <w:endnoteRef/>
      </w:r>
      <w:r w:rsidRPr="00FE4FD3">
        <w:rPr>
          <w:sz w:val="22"/>
          <w:szCs w:val="22"/>
        </w:rPr>
        <w:t xml:space="preserve"> MDPH, Data Brief: Health Professions Data Series – Physicians 2014. Available at: </w:t>
      </w:r>
      <w:hyperlink r:id="rId7" w:history="1">
        <w:r w:rsidRPr="00FE4FD3">
          <w:rPr>
            <w:rStyle w:val="Hyperlink"/>
            <w:color w:val="auto"/>
            <w:sz w:val="22"/>
            <w:szCs w:val="22"/>
          </w:rPr>
          <w:t>http://www.mass.gov/eohhs/docs/dph/com-health/primary-care/massachusetts-health-professions-data-series-physicians-2014.pdf</w:t>
        </w:r>
      </w:hyperlink>
      <w:r w:rsidRPr="00FE4FD3">
        <w:rPr>
          <w:rStyle w:val="Hyperlink"/>
          <w:color w:val="auto"/>
          <w:sz w:val="22"/>
          <w:szCs w:val="22"/>
        </w:rPr>
        <w:t>.</w:t>
      </w:r>
      <w:r w:rsidRPr="00FE4FD3">
        <w:rPr>
          <w:sz w:val="22"/>
          <w:szCs w:val="22"/>
        </w:rPr>
        <w:t xml:space="preserve">  Accessed August 6, 2017.</w:t>
      </w:r>
    </w:p>
  </w:endnote>
  <w:endnote w:id="31">
    <w:p w14:paraId="5DEACF2E" w14:textId="5FE4C1BB" w:rsidR="0079760B" w:rsidRPr="00FE4FD3" w:rsidRDefault="0079760B" w:rsidP="00FE4FD3">
      <w:pPr>
        <w:pStyle w:val="EndnoteText"/>
        <w:ind w:right="-360"/>
        <w:jc w:val="left"/>
        <w:rPr>
          <w:sz w:val="22"/>
          <w:szCs w:val="22"/>
        </w:rPr>
      </w:pPr>
      <w:r w:rsidRPr="00FE4FD3">
        <w:rPr>
          <w:rStyle w:val="EndnoteReference"/>
          <w:sz w:val="22"/>
          <w:szCs w:val="22"/>
        </w:rPr>
        <w:endnoteRef/>
      </w:r>
      <w:r w:rsidRPr="00FE4FD3">
        <w:rPr>
          <w:sz w:val="22"/>
          <w:szCs w:val="22"/>
        </w:rPr>
        <w:t xml:space="preserve"> Halpern, M. T. (2010). Adequacy of the Supply and Factors Influencing Potential Shortages Among Emergency Medical Technicians and Emergency Medicine Physicians Project Leads Statement of Problem. Available at: </w:t>
      </w:r>
      <w:hyperlink r:id="rId8" w:history="1">
        <w:r w:rsidRPr="00FE4FD3">
          <w:rPr>
            <w:rStyle w:val="Hyperlink"/>
            <w:color w:val="auto"/>
            <w:sz w:val="22"/>
            <w:szCs w:val="22"/>
          </w:rPr>
          <w:t>https://sites.duke.edu/ihss/files/2011/12/Halpern_ResearchBrief.pdf</w:t>
        </w:r>
      </w:hyperlink>
      <w:r w:rsidRPr="00FE4FD3">
        <w:rPr>
          <w:sz w:val="22"/>
          <w:szCs w:val="22"/>
        </w:rPr>
        <w:t>. Accessed July 17, 2017.</w:t>
      </w:r>
    </w:p>
  </w:endnote>
  <w:endnote w:id="32">
    <w:p w14:paraId="141B1080" w14:textId="085993EB" w:rsidR="0079760B" w:rsidRPr="00FE4FD3" w:rsidRDefault="0079760B" w:rsidP="00FE4FD3">
      <w:pPr>
        <w:spacing w:before="0" w:after="0"/>
        <w:ind w:right="-360"/>
        <w:jc w:val="left"/>
      </w:pPr>
      <w:r w:rsidRPr="00FE4FD3">
        <w:rPr>
          <w:rStyle w:val="EndnoteReference"/>
        </w:rPr>
        <w:endnoteRef/>
      </w:r>
      <w:r w:rsidRPr="00FE4FD3">
        <w:t xml:space="preserve"> MDPH, BCHAP, Office of Community Health Workers, Available at:  </w:t>
      </w:r>
      <w:hyperlink r:id="rId9" w:history="1">
        <w:r w:rsidRPr="00FE4FD3">
          <w:rPr>
            <w:rStyle w:val="Hyperlink"/>
            <w:color w:val="auto"/>
          </w:rPr>
          <w:t>http://www.mass.gov/eohhs/gov/departments/dph/programs/community-health/prevention-and-wellness/comm-health-wkrs/chw-definitions.html</w:t>
        </w:r>
      </w:hyperlink>
      <w:r w:rsidRPr="00FE4FD3">
        <w:rPr>
          <w:rStyle w:val="Hyperlink"/>
          <w:color w:val="auto"/>
        </w:rPr>
        <w:t>.</w:t>
      </w:r>
      <w:r w:rsidRPr="00FE4FD3">
        <w:t xml:space="preserve">  Accessed August 6, 2017.</w:t>
      </w:r>
    </w:p>
  </w:endnote>
  <w:endnote w:id="33">
    <w:p w14:paraId="6D54AA7B" w14:textId="13511175" w:rsidR="0079760B" w:rsidRPr="00FE4FD3" w:rsidRDefault="0079760B" w:rsidP="00FE4FD3">
      <w:pPr>
        <w:pStyle w:val="EndnoteText"/>
        <w:ind w:right="-360"/>
        <w:jc w:val="left"/>
        <w:rPr>
          <w:sz w:val="22"/>
          <w:szCs w:val="22"/>
        </w:rPr>
      </w:pPr>
      <w:r w:rsidRPr="00FE4FD3">
        <w:rPr>
          <w:rStyle w:val="EndnoteReference"/>
          <w:sz w:val="22"/>
          <w:szCs w:val="22"/>
        </w:rPr>
        <w:endnoteRef/>
      </w:r>
      <w:r w:rsidRPr="00FE4FD3">
        <w:rPr>
          <w:sz w:val="22"/>
          <w:szCs w:val="22"/>
        </w:rPr>
        <w:t xml:space="preserve"> MDPH, CHW Workforce Surveillance Survey, 2016.</w:t>
      </w:r>
    </w:p>
  </w:endnote>
  <w:endnote w:id="34">
    <w:p w14:paraId="641D226C" w14:textId="03EE8A10" w:rsidR="0079760B" w:rsidRPr="00FE4FD3" w:rsidRDefault="0079760B" w:rsidP="00FE4FD3">
      <w:pPr>
        <w:pStyle w:val="EndnoteText"/>
        <w:ind w:right="-360"/>
        <w:jc w:val="left"/>
        <w:rPr>
          <w:sz w:val="22"/>
          <w:szCs w:val="22"/>
        </w:rPr>
      </w:pPr>
      <w:r w:rsidRPr="00FE4FD3">
        <w:rPr>
          <w:rStyle w:val="EndnoteReference"/>
          <w:sz w:val="22"/>
          <w:szCs w:val="22"/>
        </w:rPr>
        <w:endnoteRef/>
      </w:r>
      <w:r w:rsidRPr="00FE4FD3">
        <w:rPr>
          <w:sz w:val="22"/>
          <w:szCs w:val="22"/>
        </w:rPr>
        <w:t xml:space="preserve"> Ibid</w:t>
      </w:r>
    </w:p>
  </w:endnote>
  <w:endnote w:id="35">
    <w:p w14:paraId="4CBE7F3F" w14:textId="292678F8" w:rsidR="0079760B" w:rsidRPr="00FE4FD3" w:rsidRDefault="0079760B" w:rsidP="00FE4FD3">
      <w:pPr>
        <w:pStyle w:val="source0"/>
        <w:spacing w:before="0" w:after="0"/>
        <w:ind w:left="-360" w:right="-360"/>
        <w:rPr>
          <w:smallCaps w:val="0"/>
          <w:sz w:val="22"/>
          <w:szCs w:val="22"/>
        </w:rPr>
      </w:pPr>
      <w:r w:rsidRPr="00FE4FD3">
        <w:rPr>
          <w:rStyle w:val="EndnoteReference"/>
          <w:smallCaps w:val="0"/>
          <w:sz w:val="22"/>
          <w:szCs w:val="22"/>
        </w:rPr>
        <w:endnoteRef/>
      </w:r>
      <w:r w:rsidRPr="00FE4FD3">
        <w:rPr>
          <w:smallCaps w:val="0"/>
          <w:sz w:val="22"/>
          <w:szCs w:val="22"/>
        </w:rPr>
        <w:t xml:space="preserve"> Ibid</w:t>
      </w:r>
    </w:p>
  </w:endnote>
  <w:endnote w:id="36">
    <w:p w14:paraId="432470F3" w14:textId="77777777" w:rsidR="0079760B" w:rsidRPr="00FE4FD3" w:rsidRDefault="0079760B" w:rsidP="00FE4FD3">
      <w:pPr>
        <w:pStyle w:val="EndnoteText"/>
        <w:ind w:right="-360"/>
        <w:jc w:val="left"/>
        <w:rPr>
          <w:sz w:val="22"/>
          <w:szCs w:val="22"/>
        </w:rPr>
      </w:pPr>
      <w:r w:rsidRPr="00FE4FD3">
        <w:rPr>
          <w:rStyle w:val="EndnoteReference"/>
          <w:sz w:val="22"/>
          <w:szCs w:val="22"/>
        </w:rPr>
        <w:endnoteRef/>
      </w:r>
      <w:r w:rsidRPr="00FE4FD3">
        <w:rPr>
          <w:sz w:val="22"/>
          <w:szCs w:val="22"/>
        </w:rPr>
        <w:t xml:space="preserve"> Institute for Clinical and Economic Review. Community Health Workers: A Review of Program Evolution, Evidence of Effectiveness and Value, and Status of Workforce Development in New England.  The New England Comparative Effectiveness Advisory Council. Boston, Massachusetts: July, 2013.</w:t>
      </w:r>
    </w:p>
  </w:endnote>
  <w:endnote w:id="37">
    <w:p w14:paraId="680DE4AE" w14:textId="425B2860" w:rsidR="0079760B" w:rsidRPr="00FE4FD3" w:rsidRDefault="0079760B" w:rsidP="00FE4FD3">
      <w:pPr>
        <w:pStyle w:val="EndnoteText"/>
        <w:ind w:right="-360"/>
        <w:jc w:val="left"/>
        <w:rPr>
          <w:sz w:val="22"/>
          <w:szCs w:val="22"/>
        </w:rPr>
      </w:pPr>
      <w:r w:rsidRPr="00FE4FD3">
        <w:rPr>
          <w:rStyle w:val="EndnoteReference"/>
          <w:sz w:val="22"/>
          <w:szCs w:val="22"/>
        </w:rPr>
        <w:endnoteRef/>
      </w:r>
      <w:r w:rsidRPr="00FE4FD3">
        <w:rPr>
          <w:sz w:val="22"/>
          <w:szCs w:val="22"/>
        </w:rPr>
        <w:t xml:space="preserve"> The Annapolis Coalition on Behavioral Workforce Development, </w:t>
      </w:r>
      <w:r w:rsidRPr="00FE4FD3">
        <w:rPr>
          <w:i/>
          <w:sz w:val="22"/>
          <w:szCs w:val="22"/>
        </w:rPr>
        <w:t xml:space="preserve">An Action Plan for Behavioral Workforce Development. </w:t>
      </w:r>
      <w:r w:rsidRPr="00FE4FD3">
        <w:rPr>
          <w:sz w:val="22"/>
          <w:szCs w:val="22"/>
        </w:rPr>
        <w:t>Available at:</w:t>
      </w:r>
      <w:r w:rsidRPr="00FE4FD3">
        <w:rPr>
          <w:i/>
          <w:sz w:val="22"/>
          <w:szCs w:val="22"/>
        </w:rPr>
        <w:t xml:space="preserve"> </w:t>
      </w:r>
      <w:hyperlink r:id="rId10" w:history="1">
        <w:r w:rsidRPr="00FE4FD3">
          <w:rPr>
            <w:rStyle w:val="Hyperlink"/>
            <w:color w:val="auto"/>
            <w:sz w:val="22"/>
            <w:szCs w:val="22"/>
          </w:rPr>
          <w:t>http://annapoliscoalition.org/wp-content/uploads/2013/11/action-plan-full-report.pdf</w:t>
        </w:r>
      </w:hyperlink>
      <w:r w:rsidRPr="00FE4FD3">
        <w:rPr>
          <w:sz w:val="22"/>
          <w:szCs w:val="22"/>
        </w:rPr>
        <w:t>. Accessed August 6, 2017.</w:t>
      </w:r>
    </w:p>
  </w:endnote>
  <w:endnote w:id="38">
    <w:p w14:paraId="780ACF35" w14:textId="318926BD" w:rsidR="0079760B" w:rsidRPr="00FE4FD3" w:rsidRDefault="0079760B" w:rsidP="00FE4FD3">
      <w:pPr>
        <w:pStyle w:val="EndnoteText"/>
        <w:ind w:right="-360"/>
        <w:jc w:val="left"/>
        <w:rPr>
          <w:sz w:val="22"/>
          <w:szCs w:val="22"/>
        </w:rPr>
      </w:pPr>
      <w:r w:rsidRPr="00FE4FD3">
        <w:rPr>
          <w:rStyle w:val="EndnoteReference"/>
          <w:sz w:val="22"/>
          <w:szCs w:val="22"/>
        </w:rPr>
        <w:endnoteRef/>
      </w:r>
      <w:r w:rsidRPr="00FE4FD3">
        <w:rPr>
          <w:sz w:val="22"/>
          <w:szCs w:val="22"/>
        </w:rPr>
        <w:t xml:space="preserve"> Blue Cross Blue Shield of Massachusetts Foundation. A</w:t>
      </w:r>
      <w:r w:rsidRPr="00FE4FD3">
        <w:rPr>
          <w:i/>
          <w:sz w:val="22"/>
          <w:szCs w:val="22"/>
        </w:rPr>
        <w:t>ccessing Children’s Mental Health Services in Massachusetts.</w:t>
      </w:r>
      <w:r w:rsidRPr="00FE4FD3">
        <w:rPr>
          <w:sz w:val="22"/>
          <w:szCs w:val="22"/>
        </w:rPr>
        <w:t xml:space="preserve"> </w:t>
      </w:r>
      <w:r w:rsidRPr="00FE4FD3">
        <w:rPr>
          <w:i/>
          <w:sz w:val="22"/>
          <w:szCs w:val="22"/>
        </w:rPr>
        <w:t xml:space="preserve">Workforce Capacity Assessment, </w:t>
      </w:r>
      <w:r w:rsidRPr="00FE4FD3">
        <w:rPr>
          <w:sz w:val="22"/>
          <w:szCs w:val="22"/>
        </w:rPr>
        <w:t xml:space="preserve">October 2009. Available at: </w:t>
      </w:r>
      <w:hyperlink r:id="rId11" w:history="1">
        <w:r w:rsidRPr="00FE4FD3">
          <w:rPr>
            <w:rStyle w:val="Hyperlink"/>
            <w:color w:val="auto"/>
            <w:sz w:val="22"/>
            <w:szCs w:val="22"/>
          </w:rPr>
          <w:t>https://bluecrossmafoundation.org/sites/default/files/091029CBHReportForWeb.pdf</w:t>
        </w:r>
      </w:hyperlink>
      <w:r w:rsidRPr="00FE4FD3">
        <w:rPr>
          <w:sz w:val="22"/>
          <w:szCs w:val="22"/>
        </w:rPr>
        <w:t>.  Accessed August 6, 2017.</w:t>
      </w:r>
    </w:p>
  </w:endnote>
  <w:endnote w:id="39">
    <w:p w14:paraId="4571B998" w14:textId="315E1D8E" w:rsidR="0079760B" w:rsidRPr="00FE4FD3" w:rsidRDefault="0079760B" w:rsidP="00FE4FD3">
      <w:pPr>
        <w:pStyle w:val="EndnoteText"/>
        <w:ind w:right="0"/>
        <w:jc w:val="left"/>
        <w:rPr>
          <w:sz w:val="22"/>
          <w:szCs w:val="22"/>
        </w:rPr>
      </w:pPr>
      <w:r w:rsidRPr="00FE4FD3">
        <w:rPr>
          <w:rStyle w:val="EndnoteReference"/>
          <w:sz w:val="22"/>
          <w:szCs w:val="22"/>
        </w:rPr>
        <w:endnoteRef/>
      </w:r>
      <w:r w:rsidRPr="00FE4FD3">
        <w:rPr>
          <w:sz w:val="22"/>
          <w:szCs w:val="22"/>
        </w:rPr>
        <w:t xml:space="preserve"> NAMI, Expanding Our Vision: Efforts to Decriminalize Addiction Must Include Mental Health. Available at: </w:t>
      </w:r>
      <w:hyperlink r:id="rId12" w:history="1">
        <w:r w:rsidRPr="00FE4FD3">
          <w:rPr>
            <w:rStyle w:val="Hyperlink"/>
            <w:color w:val="auto"/>
            <w:sz w:val="22"/>
            <w:szCs w:val="22"/>
          </w:rPr>
          <w:t>http://namimass.org/wp-content/uploads/AdvocacyDayPaper_singlepages_2FINAL.pdf</w:t>
        </w:r>
      </w:hyperlink>
      <w:r w:rsidRPr="00FE4FD3">
        <w:rPr>
          <w:sz w:val="22"/>
          <w:szCs w:val="22"/>
        </w:rPr>
        <w:t>. Accessed August 6, 2017.</w:t>
      </w:r>
    </w:p>
    <w:p w14:paraId="6A475022" w14:textId="77777777" w:rsidR="0079760B" w:rsidRDefault="0079760B" w:rsidP="00D3059D">
      <w:pPr>
        <w:pStyle w:val="EndnoteText"/>
        <w:ind w:right="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ymbolMT">
    <w:charset w:val="00"/>
    <w:family w:val="auto"/>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ileron Heavy">
    <w:panose1 w:val="00000000000000000000"/>
    <w:charset w:val="00"/>
    <w:family w:val="modern"/>
    <w:notTrueType/>
    <w:pitch w:val="variable"/>
    <w:sig w:usb0="00000007" w:usb1="00000000" w:usb2="00000000" w:usb3="00000000" w:csb0="00000093" w:csb1="00000000"/>
  </w:font>
  <w:font w:name="Aileron">
    <w:panose1 w:val="000000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TradeGothic Light">
    <w:altName w:val="Calibri"/>
    <w:panose1 w:val="00000000000000000000"/>
    <w:charset w:val="00"/>
    <w:family w:val="swiss"/>
    <w:notTrueType/>
    <w:pitch w:val="default"/>
    <w:sig w:usb0="00000003" w:usb1="00000000" w:usb2="00000000" w:usb3="00000000" w:csb0="00000001" w:csb1="00000000"/>
  </w:font>
  <w:font w:name="Adobe Caslon Pro">
    <w:altName w:val="Times New Roman"/>
    <w:panose1 w:val="00000000000000000000"/>
    <w:charset w:val="00"/>
    <w:family w:val="roman"/>
    <w:notTrueType/>
    <w:pitch w:val="variable"/>
    <w:sig w:usb0="00000001" w:usb1="00000001" w:usb2="00000000" w:usb3="00000000" w:csb0="00000093" w:csb1="00000000"/>
  </w:font>
  <w:font w:name="Aileron Bold">
    <w:panose1 w:val="00000000000000000000"/>
    <w:charset w:val="00"/>
    <w:family w:val="modern"/>
    <w:notTrueType/>
    <w:pitch w:val="variable"/>
    <w:sig w:usb0="0000000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 w:name="DINMittelschrift">
    <w:altName w:val="Cambria"/>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Meiryo">
    <w:panose1 w:val="020B0604030504040204"/>
    <w:charset w:val="80"/>
    <w:family w:val="swiss"/>
    <w:pitch w:val="variable"/>
    <w:sig w:usb0="E10102FF" w:usb1="EAC7FFFF" w:usb2="00010012" w:usb3="00000000" w:csb0="0002009F" w:csb1="00000000"/>
  </w:font>
  <w:font w:name="Franklin Gothic Book">
    <w:panose1 w:val="020B0503020102020204"/>
    <w:charset w:val="00"/>
    <w:family w:val="swiss"/>
    <w:pitch w:val="variable"/>
    <w:sig w:usb0="00000287" w:usb1="00000000" w:usb2="00000000" w:usb3="00000000" w:csb0="0000009F" w:csb1="00000000"/>
  </w:font>
  <w:font w:name="Aileron SemiBold">
    <w:panose1 w:val="00000000000000000000"/>
    <w:charset w:val="00"/>
    <w:family w:val="modern"/>
    <w:notTrueType/>
    <w:pitch w:val="variable"/>
    <w:sig w:usb0="00000007" w:usb1="00000000" w:usb2="000000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04386762"/>
      <w:docPartObj>
        <w:docPartGallery w:val="Page Numbers (Bottom of Page)"/>
        <w:docPartUnique/>
      </w:docPartObj>
    </w:sdtPr>
    <w:sdtEndPr/>
    <w:sdtContent>
      <w:p w14:paraId="781AA377" w14:textId="70BB35D0" w:rsidR="0079760B" w:rsidRPr="00195F02" w:rsidRDefault="0079760B" w:rsidP="00E36D41">
        <w:pPr>
          <w:pStyle w:val="Footer"/>
        </w:pPr>
        <w:r w:rsidRPr="00195F02">
          <w:rPr>
            <w:noProof w:val="0"/>
          </w:rPr>
          <w:fldChar w:fldCharType="begin"/>
        </w:r>
        <w:r w:rsidRPr="00561BF0">
          <w:instrText xml:space="preserve"> PAGE   \* MERGEFORMAT </w:instrText>
        </w:r>
        <w:r w:rsidRPr="00195F02">
          <w:rPr>
            <w:noProof w:val="0"/>
          </w:rPr>
          <w:fldChar w:fldCharType="separate"/>
        </w:r>
        <w:r w:rsidR="00641A30">
          <w:t>52</w:t>
        </w:r>
        <w:r w:rsidRPr="00195F02">
          <w:fldChar w:fldCharType="end"/>
        </w:r>
        <w:r>
          <w:t xml:space="preserve"> | </w:t>
        </w:r>
        <w:r w:rsidRPr="0098472B">
          <w:rPr>
            <w:b/>
            <w:color w:val="203864"/>
          </w:rPr>
          <w:t>Massachusetts State Health Assessment</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EEBB418" w14:textId="77777777" w:rsidR="00F20CE8" w:rsidRDefault="00F20CE8" w:rsidP="00E36D41">
      <w:r>
        <w:separator/>
      </w:r>
    </w:p>
    <w:p w14:paraId="4368E219" w14:textId="77777777" w:rsidR="00F20CE8" w:rsidRDefault="00F20CE8"/>
    <w:p w14:paraId="29B6A9B5" w14:textId="77777777" w:rsidR="00F20CE8" w:rsidRDefault="00F20CE8"/>
  </w:footnote>
  <w:footnote w:type="continuationSeparator" w:id="0">
    <w:p w14:paraId="169E639F" w14:textId="77777777" w:rsidR="00F20CE8" w:rsidRDefault="00F20CE8" w:rsidP="00E36D41">
      <w:r>
        <w:continuationSeparator/>
      </w:r>
    </w:p>
    <w:p w14:paraId="55609145" w14:textId="77777777" w:rsidR="00F20CE8" w:rsidRDefault="00F20CE8"/>
    <w:p w14:paraId="74B1DAFB" w14:textId="77777777" w:rsidR="00F20CE8" w:rsidRDefault="00F20CE8"/>
  </w:footnote>
  <w:footnote w:type="continuationNotice" w:id="1">
    <w:p w14:paraId="11ADEE5F" w14:textId="77777777" w:rsidR="00F20CE8" w:rsidRDefault="00F20CE8" w:rsidP="00E36D41"/>
    <w:p w14:paraId="589E7918" w14:textId="77777777" w:rsidR="00F20CE8" w:rsidRDefault="00F20CE8"/>
    <w:p w14:paraId="52986B9A" w14:textId="77777777" w:rsidR="00F20CE8" w:rsidRDefault="00F20CE8"/>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613B8"/>
    <w:multiLevelType w:val="hybridMultilevel"/>
    <w:tmpl w:val="7896A4FC"/>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01A0580"/>
    <w:multiLevelType w:val="hybridMultilevel"/>
    <w:tmpl w:val="6B9013DE"/>
    <w:lvl w:ilvl="0" w:tplc="85BAAB46">
      <w:start w:val="1"/>
      <w:numFmt w:val="bullet"/>
      <w:lvlText w:val=""/>
      <w:lvlJc w:val="left"/>
      <w:pPr>
        <w:ind w:left="360" w:hanging="360"/>
      </w:pPr>
      <w:rPr>
        <w:rFonts w:ascii="Symbol" w:hAnsi="Symbol" w:hint="default"/>
        <w:color w:val="2F5496" w:themeColor="accent1" w:themeShade="BF"/>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0C40C08"/>
    <w:multiLevelType w:val="hybridMultilevel"/>
    <w:tmpl w:val="8FD0856E"/>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015832D6"/>
    <w:multiLevelType w:val="hybridMultilevel"/>
    <w:tmpl w:val="01FC64B4"/>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019722DF"/>
    <w:multiLevelType w:val="hybridMultilevel"/>
    <w:tmpl w:val="E64C7D40"/>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02651AB8"/>
    <w:multiLevelType w:val="hybridMultilevel"/>
    <w:tmpl w:val="5F2EE830"/>
    <w:lvl w:ilvl="0" w:tplc="4D2A9564">
      <w:start w:val="1"/>
      <w:numFmt w:val="bullet"/>
      <w:lvlText w:val=""/>
      <w:lvlJc w:val="left"/>
      <w:pPr>
        <w:ind w:left="360" w:hanging="360"/>
      </w:pPr>
      <w:rPr>
        <w:rFonts w:ascii="Symbol" w:hAnsi="Symbol" w:hint="default"/>
        <w:color w:val="203864"/>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02A1138C"/>
    <w:multiLevelType w:val="hybridMultilevel"/>
    <w:tmpl w:val="44FA79F0"/>
    <w:lvl w:ilvl="0" w:tplc="4D2A9564">
      <w:start w:val="1"/>
      <w:numFmt w:val="bullet"/>
      <w:lvlText w:val=""/>
      <w:lvlJc w:val="left"/>
      <w:pPr>
        <w:ind w:left="360" w:hanging="360"/>
      </w:pPr>
      <w:rPr>
        <w:rFonts w:ascii="Symbol" w:hAnsi="Symbol" w:hint="default"/>
        <w:b/>
        <w:i w:val="0"/>
        <w:color w:val="203864"/>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03101E19"/>
    <w:multiLevelType w:val="hybridMultilevel"/>
    <w:tmpl w:val="D556C7DE"/>
    <w:lvl w:ilvl="0" w:tplc="4D2A9564">
      <w:start w:val="1"/>
      <w:numFmt w:val="bullet"/>
      <w:lvlText w:val=""/>
      <w:lvlJc w:val="left"/>
      <w:pPr>
        <w:ind w:left="360" w:hanging="360"/>
      </w:pPr>
      <w:rPr>
        <w:rFonts w:ascii="Symbol" w:hAnsi="Symbol" w:hint="default"/>
        <w:color w:val="203864"/>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05622694"/>
    <w:multiLevelType w:val="hybridMultilevel"/>
    <w:tmpl w:val="E7DA2242"/>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05857066"/>
    <w:multiLevelType w:val="hybridMultilevel"/>
    <w:tmpl w:val="A6F6DFE2"/>
    <w:lvl w:ilvl="0" w:tplc="85BAAB46">
      <w:start w:val="1"/>
      <w:numFmt w:val="bullet"/>
      <w:lvlText w:val=""/>
      <w:lvlJc w:val="left"/>
      <w:pPr>
        <w:ind w:left="360" w:hanging="360"/>
      </w:pPr>
      <w:rPr>
        <w:rFonts w:ascii="Symbol" w:hAnsi="Symbol" w:hint="default"/>
        <w:color w:val="2F5496" w:themeColor="accent1" w:themeShade="BF"/>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0644076E"/>
    <w:multiLevelType w:val="hybridMultilevel"/>
    <w:tmpl w:val="56962708"/>
    <w:lvl w:ilvl="0" w:tplc="4D2A9564">
      <w:start w:val="1"/>
      <w:numFmt w:val="bullet"/>
      <w:lvlText w:val=""/>
      <w:lvlJc w:val="left"/>
      <w:pPr>
        <w:ind w:left="360" w:hanging="360"/>
      </w:pPr>
      <w:rPr>
        <w:rFonts w:ascii="Symbol" w:hAnsi="Symbol" w:hint="default"/>
        <w:b/>
        <w:i w:val="0"/>
        <w:color w:val="203864"/>
      </w:rPr>
    </w:lvl>
    <w:lvl w:ilvl="1" w:tplc="DEFC08C0">
      <w:start w:val="1"/>
      <w:numFmt w:val="bullet"/>
      <w:lvlText w:val=""/>
      <w:lvlJc w:val="left"/>
      <w:pPr>
        <w:ind w:left="1080" w:hanging="360"/>
      </w:pPr>
      <w:rPr>
        <w:rFonts w:ascii="Symbol" w:hAnsi="Symbol" w:hint="default"/>
        <w:color w:val="2F5496"/>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071F604A"/>
    <w:multiLevelType w:val="hybridMultilevel"/>
    <w:tmpl w:val="B09240E8"/>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07A441D4"/>
    <w:multiLevelType w:val="hybridMultilevel"/>
    <w:tmpl w:val="47CCB9B0"/>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07D952F1"/>
    <w:multiLevelType w:val="hybridMultilevel"/>
    <w:tmpl w:val="4CE8C006"/>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08113020"/>
    <w:multiLevelType w:val="hybridMultilevel"/>
    <w:tmpl w:val="0F3A868C"/>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08460A3C"/>
    <w:multiLevelType w:val="hybridMultilevel"/>
    <w:tmpl w:val="7FFA0A20"/>
    <w:lvl w:ilvl="0" w:tplc="4D2A9564">
      <w:start w:val="1"/>
      <w:numFmt w:val="bullet"/>
      <w:lvlText w:val=""/>
      <w:lvlJc w:val="left"/>
      <w:pPr>
        <w:ind w:left="360" w:hanging="360"/>
      </w:pPr>
      <w:rPr>
        <w:rFonts w:ascii="Symbol" w:hAnsi="Symbol" w:hint="default"/>
        <w:color w:val="203864"/>
      </w:rPr>
    </w:lvl>
    <w:lvl w:ilvl="1" w:tplc="04090003">
      <w:start w:val="1"/>
      <w:numFmt w:val="bullet"/>
      <w:lvlText w:val="o"/>
      <w:lvlJc w:val="left"/>
      <w:pPr>
        <w:ind w:left="1080" w:hanging="360"/>
      </w:pPr>
      <w:rPr>
        <w:rFonts w:ascii="Courier New" w:hAnsi="Courier New" w:cs="Courier New" w:hint="default"/>
      </w:rPr>
    </w:lvl>
    <w:lvl w:ilvl="2" w:tplc="5290D98E">
      <w:start w:val="1"/>
      <w:numFmt w:val="bullet"/>
      <w:lvlText w:val=""/>
      <w:lvlJc w:val="left"/>
      <w:pPr>
        <w:ind w:left="1800" w:hanging="360"/>
      </w:pPr>
      <w:rPr>
        <w:rFonts w:ascii="Symbol" w:hAnsi="Symbol" w:hint="default"/>
        <w:color w:val="203864"/>
        <w:sz w:val="22"/>
        <w:u w:color="002060"/>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0909572B"/>
    <w:multiLevelType w:val="hybridMultilevel"/>
    <w:tmpl w:val="A566CDE0"/>
    <w:lvl w:ilvl="0" w:tplc="4D2A9564">
      <w:start w:val="1"/>
      <w:numFmt w:val="bullet"/>
      <w:lvlText w:val=""/>
      <w:lvlJc w:val="left"/>
      <w:pPr>
        <w:ind w:left="360" w:hanging="360"/>
      </w:pPr>
      <w:rPr>
        <w:rFonts w:ascii="Symbol" w:hAnsi="Symbol" w:hint="default"/>
        <w:color w:val="203864"/>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0B404CC7"/>
    <w:multiLevelType w:val="hybridMultilevel"/>
    <w:tmpl w:val="4C585B6C"/>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0BEF773E"/>
    <w:multiLevelType w:val="hybridMultilevel"/>
    <w:tmpl w:val="9ACAAE50"/>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0C9D0C1E"/>
    <w:multiLevelType w:val="hybridMultilevel"/>
    <w:tmpl w:val="33386CE0"/>
    <w:lvl w:ilvl="0" w:tplc="5290D98E">
      <w:start w:val="1"/>
      <w:numFmt w:val="bullet"/>
      <w:lvlText w:val=""/>
      <w:lvlJc w:val="left"/>
      <w:pPr>
        <w:ind w:left="360" w:hanging="360"/>
      </w:pPr>
      <w:rPr>
        <w:rFonts w:ascii="Symbol" w:hAnsi="Symbol" w:hint="default"/>
        <w:color w:val="203864"/>
        <w:sz w:val="22"/>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0D2A3E0B"/>
    <w:multiLevelType w:val="hybridMultilevel"/>
    <w:tmpl w:val="F3802476"/>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0D71507C"/>
    <w:multiLevelType w:val="hybridMultilevel"/>
    <w:tmpl w:val="EAA0B54E"/>
    <w:lvl w:ilvl="0" w:tplc="4D2A9564">
      <w:start w:val="1"/>
      <w:numFmt w:val="bullet"/>
      <w:lvlText w:val=""/>
      <w:lvlJc w:val="left"/>
      <w:pPr>
        <w:ind w:left="360" w:hanging="360"/>
      </w:pPr>
      <w:rPr>
        <w:rFonts w:ascii="Symbol" w:hAnsi="Symbol" w:hint="default"/>
        <w:color w:val="203864"/>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0D8F5DF6"/>
    <w:multiLevelType w:val="hybridMultilevel"/>
    <w:tmpl w:val="D46004DA"/>
    <w:lvl w:ilvl="0" w:tplc="4D2A9564">
      <w:start w:val="1"/>
      <w:numFmt w:val="bullet"/>
      <w:lvlText w:val=""/>
      <w:lvlJc w:val="left"/>
      <w:pPr>
        <w:ind w:left="360" w:hanging="360"/>
      </w:pPr>
      <w:rPr>
        <w:rFonts w:ascii="Symbol" w:hAnsi="Symbol" w:hint="default"/>
        <w:color w:val="203864"/>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0EF627B3"/>
    <w:multiLevelType w:val="hybridMultilevel"/>
    <w:tmpl w:val="860E3390"/>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nsid w:val="0F555627"/>
    <w:multiLevelType w:val="hybridMultilevel"/>
    <w:tmpl w:val="AA9A687A"/>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nsid w:val="0F76592D"/>
    <w:multiLevelType w:val="hybridMultilevel"/>
    <w:tmpl w:val="D12289C0"/>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nsid w:val="0FAA15AD"/>
    <w:multiLevelType w:val="hybridMultilevel"/>
    <w:tmpl w:val="7FAEA978"/>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nsid w:val="0FAE2A7C"/>
    <w:multiLevelType w:val="hybridMultilevel"/>
    <w:tmpl w:val="4A425B5A"/>
    <w:lvl w:ilvl="0" w:tplc="85BAAB46">
      <w:start w:val="1"/>
      <w:numFmt w:val="bullet"/>
      <w:lvlText w:val=""/>
      <w:lvlJc w:val="left"/>
      <w:pPr>
        <w:ind w:left="360" w:hanging="360"/>
      </w:pPr>
      <w:rPr>
        <w:rFonts w:ascii="Symbol" w:hAnsi="Symbol" w:hint="default"/>
        <w:color w:val="2F5496" w:themeColor="accent1" w:themeShade="BF"/>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nsid w:val="10750C24"/>
    <w:multiLevelType w:val="hybridMultilevel"/>
    <w:tmpl w:val="036C867E"/>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nsid w:val="111C033C"/>
    <w:multiLevelType w:val="hybridMultilevel"/>
    <w:tmpl w:val="96CA46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nsid w:val="11256DED"/>
    <w:multiLevelType w:val="hybridMultilevel"/>
    <w:tmpl w:val="DA2C76AC"/>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nsid w:val="11866C43"/>
    <w:multiLevelType w:val="hybridMultilevel"/>
    <w:tmpl w:val="04BAABF6"/>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nsid w:val="11A76CFE"/>
    <w:multiLevelType w:val="hybridMultilevel"/>
    <w:tmpl w:val="49D25A00"/>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nsid w:val="11D6613E"/>
    <w:multiLevelType w:val="hybridMultilevel"/>
    <w:tmpl w:val="A8BCA5D0"/>
    <w:lvl w:ilvl="0" w:tplc="5290D98E">
      <w:start w:val="1"/>
      <w:numFmt w:val="bullet"/>
      <w:lvlText w:val=""/>
      <w:lvlJc w:val="left"/>
      <w:pPr>
        <w:ind w:left="360" w:hanging="360"/>
      </w:pPr>
      <w:rPr>
        <w:rFonts w:ascii="Symbol" w:hAnsi="Symbol" w:hint="default"/>
        <w:color w:val="203864"/>
        <w:sz w:val="22"/>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nsid w:val="11F046A8"/>
    <w:multiLevelType w:val="hybridMultilevel"/>
    <w:tmpl w:val="420AE7A6"/>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nsid w:val="130D19C2"/>
    <w:multiLevelType w:val="hybridMultilevel"/>
    <w:tmpl w:val="958A79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nsid w:val="1373498D"/>
    <w:multiLevelType w:val="hybridMultilevel"/>
    <w:tmpl w:val="D3785B88"/>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nsid w:val="13804B65"/>
    <w:multiLevelType w:val="hybridMultilevel"/>
    <w:tmpl w:val="37BC743C"/>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nsid w:val="13C07302"/>
    <w:multiLevelType w:val="hybridMultilevel"/>
    <w:tmpl w:val="C262B4E2"/>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nsid w:val="13FF4D3E"/>
    <w:multiLevelType w:val="hybridMultilevel"/>
    <w:tmpl w:val="CC7C5782"/>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nsid w:val="14192738"/>
    <w:multiLevelType w:val="hybridMultilevel"/>
    <w:tmpl w:val="90521B58"/>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nsid w:val="14426F14"/>
    <w:multiLevelType w:val="hybridMultilevel"/>
    <w:tmpl w:val="40C65CCA"/>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nsid w:val="15B14DAB"/>
    <w:multiLevelType w:val="hybridMultilevel"/>
    <w:tmpl w:val="98961DD8"/>
    <w:lvl w:ilvl="0" w:tplc="4D2A9564">
      <w:start w:val="1"/>
      <w:numFmt w:val="bullet"/>
      <w:lvlText w:val=""/>
      <w:lvlJc w:val="left"/>
      <w:pPr>
        <w:ind w:left="360" w:hanging="360"/>
      </w:pPr>
      <w:rPr>
        <w:rFonts w:ascii="Symbol" w:hAnsi="Symbol" w:hint="default"/>
        <w:b/>
        <w:i w:val="0"/>
        <w:color w:val="203864"/>
      </w:rPr>
    </w:lvl>
    <w:lvl w:ilvl="1" w:tplc="85BAAB46">
      <w:start w:val="1"/>
      <w:numFmt w:val="bullet"/>
      <w:lvlText w:val=""/>
      <w:lvlJc w:val="left"/>
      <w:pPr>
        <w:ind w:left="1080" w:hanging="360"/>
      </w:pPr>
      <w:rPr>
        <w:rFonts w:ascii="Symbol" w:hAnsi="Symbol" w:hint="default"/>
        <w:color w:val="2F5496" w:themeColor="accent1" w:themeShade="BF"/>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nsid w:val="169924CE"/>
    <w:multiLevelType w:val="hybridMultilevel"/>
    <w:tmpl w:val="546039E0"/>
    <w:lvl w:ilvl="0" w:tplc="4D2A9564">
      <w:start w:val="1"/>
      <w:numFmt w:val="bullet"/>
      <w:lvlText w:val=""/>
      <w:lvlJc w:val="left"/>
      <w:pPr>
        <w:ind w:left="360" w:hanging="360"/>
      </w:pPr>
      <w:rPr>
        <w:rFonts w:ascii="Symbol" w:hAnsi="Symbol" w:hint="default"/>
        <w:color w:val="203864"/>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nsid w:val="16D80884"/>
    <w:multiLevelType w:val="hybridMultilevel"/>
    <w:tmpl w:val="9EAE04A0"/>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nsid w:val="16E178E3"/>
    <w:multiLevelType w:val="hybridMultilevel"/>
    <w:tmpl w:val="BA8065B2"/>
    <w:lvl w:ilvl="0" w:tplc="4D2A9564">
      <w:start w:val="1"/>
      <w:numFmt w:val="bullet"/>
      <w:lvlText w:val=""/>
      <w:lvlJc w:val="left"/>
      <w:pPr>
        <w:ind w:left="45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nsid w:val="1825781B"/>
    <w:multiLevelType w:val="hybridMultilevel"/>
    <w:tmpl w:val="E018AF34"/>
    <w:lvl w:ilvl="0" w:tplc="4D2A9564">
      <w:start w:val="1"/>
      <w:numFmt w:val="bullet"/>
      <w:lvlText w:val=""/>
      <w:lvlJc w:val="left"/>
      <w:pPr>
        <w:ind w:left="360" w:hanging="360"/>
      </w:pPr>
      <w:rPr>
        <w:rFonts w:ascii="Symbol" w:hAnsi="Symbol" w:hint="default"/>
        <w:color w:val="203864"/>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nsid w:val="18441B87"/>
    <w:multiLevelType w:val="hybridMultilevel"/>
    <w:tmpl w:val="8042C92C"/>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8">
    <w:nsid w:val="185810B9"/>
    <w:multiLevelType w:val="hybridMultilevel"/>
    <w:tmpl w:val="5B182CB4"/>
    <w:lvl w:ilvl="0" w:tplc="4D2A9564">
      <w:start w:val="1"/>
      <w:numFmt w:val="bullet"/>
      <w:lvlText w:val=""/>
      <w:lvlJc w:val="left"/>
      <w:pPr>
        <w:ind w:left="720" w:hanging="360"/>
      </w:pPr>
      <w:rPr>
        <w:rFonts w:ascii="Symbol" w:hAnsi="Symbol" w:hint="default"/>
        <w:color w:val="20386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189000A5"/>
    <w:multiLevelType w:val="hybridMultilevel"/>
    <w:tmpl w:val="D1BA7212"/>
    <w:lvl w:ilvl="0" w:tplc="5290D98E">
      <w:start w:val="1"/>
      <w:numFmt w:val="bullet"/>
      <w:lvlText w:val=""/>
      <w:lvlJc w:val="left"/>
      <w:pPr>
        <w:ind w:left="720" w:hanging="360"/>
      </w:pPr>
      <w:rPr>
        <w:rFonts w:ascii="Symbol" w:hAnsi="Symbol" w:hint="default"/>
        <w:color w:val="203864"/>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18D551E6"/>
    <w:multiLevelType w:val="hybridMultilevel"/>
    <w:tmpl w:val="7A766EF0"/>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1">
    <w:nsid w:val="19AC0584"/>
    <w:multiLevelType w:val="hybridMultilevel"/>
    <w:tmpl w:val="93825706"/>
    <w:lvl w:ilvl="0" w:tplc="4D2A9564">
      <w:start w:val="1"/>
      <w:numFmt w:val="bullet"/>
      <w:lvlText w:val=""/>
      <w:lvlJc w:val="left"/>
      <w:pPr>
        <w:ind w:left="45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2">
    <w:nsid w:val="1A6257FE"/>
    <w:multiLevelType w:val="hybridMultilevel"/>
    <w:tmpl w:val="0D4C7758"/>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3">
    <w:nsid w:val="1B887224"/>
    <w:multiLevelType w:val="hybridMultilevel"/>
    <w:tmpl w:val="40929BC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54">
    <w:nsid w:val="1B9B4CB3"/>
    <w:multiLevelType w:val="hybridMultilevel"/>
    <w:tmpl w:val="643A8E4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5">
    <w:nsid w:val="1BDB46DC"/>
    <w:multiLevelType w:val="hybridMultilevel"/>
    <w:tmpl w:val="643A6DD6"/>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6">
    <w:nsid w:val="1D2E22AD"/>
    <w:multiLevelType w:val="hybridMultilevel"/>
    <w:tmpl w:val="EF38C45E"/>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7">
    <w:nsid w:val="1DA6104C"/>
    <w:multiLevelType w:val="hybridMultilevel"/>
    <w:tmpl w:val="AEBA8D26"/>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8">
    <w:nsid w:val="1E845852"/>
    <w:multiLevelType w:val="hybridMultilevel"/>
    <w:tmpl w:val="F0D6FDA8"/>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9">
    <w:nsid w:val="1EA14D05"/>
    <w:multiLevelType w:val="hybridMultilevel"/>
    <w:tmpl w:val="1AB638D2"/>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0">
    <w:nsid w:val="2070110A"/>
    <w:multiLevelType w:val="hybridMultilevel"/>
    <w:tmpl w:val="E618DB3A"/>
    <w:lvl w:ilvl="0" w:tplc="4D2A9564">
      <w:start w:val="1"/>
      <w:numFmt w:val="bullet"/>
      <w:lvlText w:val=""/>
      <w:lvlJc w:val="left"/>
      <w:pPr>
        <w:ind w:left="360" w:hanging="360"/>
      </w:pPr>
      <w:rPr>
        <w:rFonts w:ascii="Symbol" w:hAnsi="Symbol" w:hint="default"/>
        <w:b/>
        <w:i w:val="0"/>
        <w:color w:val="203864"/>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1">
    <w:nsid w:val="20D552FE"/>
    <w:multiLevelType w:val="hybridMultilevel"/>
    <w:tmpl w:val="2BD8722C"/>
    <w:lvl w:ilvl="0" w:tplc="4D2A9564">
      <w:start w:val="1"/>
      <w:numFmt w:val="bullet"/>
      <w:lvlText w:val=""/>
      <w:lvlJc w:val="left"/>
      <w:pPr>
        <w:ind w:left="360" w:hanging="360"/>
      </w:pPr>
      <w:rPr>
        <w:rFonts w:ascii="Symbol" w:hAnsi="Symbol" w:hint="default"/>
        <w:b/>
        <w:i w:val="0"/>
        <w:color w:val="203864"/>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2">
    <w:nsid w:val="218C2580"/>
    <w:multiLevelType w:val="multilevel"/>
    <w:tmpl w:val="9134E524"/>
    <w:lvl w:ilvl="0">
      <w:start w:val="1"/>
      <w:numFmt w:val="bullet"/>
      <w:lvlText w:val=""/>
      <w:lvlJc w:val="left"/>
      <w:pPr>
        <w:ind w:left="360" w:hanging="360"/>
      </w:pPr>
      <w:rPr>
        <w:rFonts w:ascii="Symbol" w:hAnsi="Symbol" w:hint="default"/>
        <w:b/>
        <w:i w:val="0"/>
        <w:color w:val="20386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3">
    <w:nsid w:val="21A567A4"/>
    <w:multiLevelType w:val="hybridMultilevel"/>
    <w:tmpl w:val="A04AC894"/>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4">
    <w:nsid w:val="21E57AD1"/>
    <w:multiLevelType w:val="hybridMultilevel"/>
    <w:tmpl w:val="E132DAEC"/>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5">
    <w:nsid w:val="23164003"/>
    <w:multiLevelType w:val="hybridMultilevel"/>
    <w:tmpl w:val="E5DCEB34"/>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6">
    <w:nsid w:val="23331D14"/>
    <w:multiLevelType w:val="hybridMultilevel"/>
    <w:tmpl w:val="635C5A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nsid w:val="23937892"/>
    <w:multiLevelType w:val="hybridMultilevel"/>
    <w:tmpl w:val="997472C0"/>
    <w:lvl w:ilvl="0" w:tplc="4D2A9564">
      <w:start w:val="1"/>
      <w:numFmt w:val="bullet"/>
      <w:lvlText w:val=""/>
      <w:lvlJc w:val="left"/>
      <w:pPr>
        <w:ind w:left="360" w:hanging="360"/>
      </w:pPr>
      <w:rPr>
        <w:rFonts w:ascii="Symbol" w:hAnsi="Symbol" w:hint="default"/>
        <w:b/>
        <w:i w:val="0"/>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8">
    <w:nsid w:val="23A76F85"/>
    <w:multiLevelType w:val="hybridMultilevel"/>
    <w:tmpl w:val="1274624A"/>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9">
    <w:nsid w:val="23FC330E"/>
    <w:multiLevelType w:val="hybridMultilevel"/>
    <w:tmpl w:val="D7821B36"/>
    <w:lvl w:ilvl="0" w:tplc="BBD44B2A">
      <w:start w:val="1"/>
      <w:numFmt w:val="decimal"/>
      <w:lvlText w:val="%1."/>
      <w:lvlJc w:val="left"/>
      <w:pPr>
        <w:ind w:left="360" w:hanging="360"/>
      </w:pPr>
      <w:rPr>
        <w:rFonts w:hint="default"/>
        <w:b/>
        <w:i w:val="0"/>
        <w:color w:val="20386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24032D25"/>
    <w:multiLevelType w:val="hybridMultilevel"/>
    <w:tmpl w:val="3F32C0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1">
    <w:nsid w:val="24145AD5"/>
    <w:multiLevelType w:val="hybridMultilevel"/>
    <w:tmpl w:val="B7E2F4A6"/>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2">
    <w:nsid w:val="242D7989"/>
    <w:multiLevelType w:val="hybridMultilevel"/>
    <w:tmpl w:val="8A464B06"/>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3">
    <w:nsid w:val="2459314A"/>
    <w:multiLevelType w:val="hybridMultilevel"/>
    <w:tmpl w:val="60F615B6"/>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4">
    <w:nsid w:val="249D4690"/>
    <w:multiLevelType w:val="hybridMultilevel"/>
    <w:tmpl w:val="71AEA348"/>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5">
    <w:nsid w:val="24AD3A07"/>
    <w:multiLevelType w:val="hybridMultilevel"/>
    <w:tmpl w:val="AB36D640"/>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6">
    <w:nsid w:val="25C93D92"/>
    <w:multiLevelType w:val="hybridMultilevel"/>
    <w:tmpl w:val="A7260C50"/>
    <w:lvl w:ilvl="0" w:tplc="5290D98E">
      <w:start w:val="1"/>
      <w:numFmt w:val="bullet"/>
      <w:lvlText w:val=""/>
      <w:lvlJc w:val="left"/>
      <w:pPr>
        <w:ind w:left="360" w:hanging="360"/>
      </w:pPr>
      <w:rPr>
        <w:rFonts w:ascii="Symbol" w:hAnsi="Symbol" w:hint="default"/>
        <w:color w:val="203864"/>
        <w:sz w:val="22"/>
        <w:szCs w:val="22"/>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7">
    <w:nsid w:val="263A4782"/>
    <w:multiLevelType w:val="hybridMultilevel"/>
    <w:tmpl w:val="F0CA0A16"/>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8">
    <w:nsid w:val="26C80A99"/>
    <w:multiLevelType w:val="hybridMultilevel"/>
    <w:tmpl w:val="65640C2C"/>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9">
    <w:nsid w:val="26D86FF1"/>
    <w:multiLevelType w:val="hybridMultilevel"/>
    <w:tmpl w:val="750608E4"/>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0">
    <w:nsid w:val="27082500"/>
    <w:multiLevelType w:val="hybridMultilevel"/>
    <w:tmpl w:val="398E46DE"/>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1">
    <w:nsid w:val="27412309"/>
    <w:multiLevelType w:val="hybridMultilevel"/>
    <w:tmpl w:val="AAA638A8"/>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2">
    <w:nsid w:val="27CB54E9"/>
    <w:multiLevelType w:val="hybridMultilevel"/>
    <w:tmpl w:val="4BEAAC08"/>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3">
    <w:nsid w:val="27F50C0A"/>
    <w:multiLevelType w:val="hybridMultilevel"/>
    <w:tmpl w:val="F816F66C"/>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4">
    <w:nsid w:val="27FA6853"/>
    <w:multiLevelType w:val="hybridMultilevel"/>
    <w:tmpl w:val="13B09E38"/>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5">
    <w:nsid w:val="28EE5CC0"/>
    <w:multiLevelType w:val="hybridMultilevel"/>
    <w:tmpl w:val="D62623F4"/>
    <w:lvl w:ilvl="0" w:tplc="5290D98E">
      <w:start w:val="1"/>
      <w:numFmt w:val="bullet"/>
      <w:lvlText w:val=""/>
      <w:lvlJc w:val="left"/>
      <w:pPr>
        <w:ind w:left="450" w:hanging="360"/>
      </w:pPr>
      <w:rPr>
        <w:rFonts w:ascii="Symbol" w:hAnsi="Symbol" w:hint="default"/>
        <w:color w:val="203864"/>
        <w:sz w:val="22"/>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86">
    <w:nsid w:val="29597855"/>
    <w:multiLevelType w:val="hybridMultilevel"/>
    <w:tmpl w:val="8A6E0D7E"/>
    <w:lvl w:ilvl="0" w:tplc="5290D98E">
      <w:start w:val="1"/>
      <w:numFmt w:val="bullet"/>
      <w:lvlText w:val=""/>
      <w:lvlJc w:val="left"/>
      <w:pPr>
        <w:ind w:left="360" w:hanging="360"/>
      </w:pPr>
      <w:rPr>
        <w:rFonts w:ascii="Symbol" w:hAnsi="Symbol" w:hint="default"/>
        <w:color w:val="203864"/>
        <w:sz w:val="22"/>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7">
    <w:nsid w:val="29916258"/>
    <w:multiLevelType w:val="hybridMultilevel"/>
    <w:tmpl w:val="F17EED8A"/>
    <w:lvl w:ilvl="0" w:tplc="8BAA9C4C">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8">
    <w:nsid w:val="2AD610A4"/>
    <w:multiLevelType w:val="hybridMultilevel"/>
    <w:tmpl w:val="3DFC7B6E"/>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9">
    <w:nsid w:val="2AFB0BD8"/>
    <w:multiLevelType w:val="hybridMultilevel"/>
    <w:tmpl w:val="FEB0508E"/>
    <w:lvl w:ilvl="0" w:tplc="4D2A9564">
      <w:start w:val="1"/>
      <w:numFmt w:val="bullet"/>
      <w:lvlText w:val=""/>
      <w:lvlJc w:val="left"/>
      <w:pPr>
        <w:ind w:left="360" w:hanging="360"/>
      </w:pPr>
      <w:rPr>
        <w:rFonts w:ascii="Symbol" w:hAnsi="Symbol" w:hint="default"/>
        <w:color w:val="203864"/>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0">
    <w:nsid w:val="2B355823"/>
    <w:multiLevelType w:val="hybridMultilevel"/>
    <w:tmpl w:val="557866A0"/>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1">
    <w:nsid w:val="2B627A6F"/>
    <w:multiLevelType w:val="hybridMultilevel"/>
    <w:tmpl w:val="A352F0C8"/>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2">
    <w:nsid w:val="2BA21286"/>
    <w:multiLevelType w:val="hybridMultilevel"/>
    <w:tmpl w:val="AE14AAFC"/>
    <w:lvl w:ilvl="0" w:tplc="4D2A9564">
      <w:start w:val="1"/>
      <w:numFmt w:val="bullet"/>
      <w:lvlText w:val=""/>
      <w:lvlJc w:val="left"/>
      <w:pPr>
        <w:ind w:left="720" w:hanging="360"/>
      </w:pPr>
      <w:rPr>
        <w:rFonts w:ascii="Symbol" w:hAnsi="Symbol" w:hint="default"/>
        <w:color w:val="20386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nsid w:val="2C881B4E"/>
    <w:multiLevelType w:val="hybridMultilevel"/>
    <w:tmpl w:val="51EAFF22"/>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4">
    <w:nsid w:val="2D612C0F"/>
    <w:multiLevelType w:val="hybridMultilevel"/>
    <w:tmpl w:val="CF96694C"/>
    <w:lvl w:ilvl="0" w:tplc="4D2A9564">
      <w:start w:val="1"/>
      <w:numFmt w:val="bullet"/>
      <w:lvlText w:val=""/>
      <w:lvlJc w:val="left"/>
      <w:pPr>
        <w:ind w:left="360" w:hanging="360"/>
      </w:pPr>
      <w:rPr>
        <w:rFonts w:ascii="Symbol" w:hAnsi="Symbol" w:hint="default"/>
        <w:color w:val="203864"/>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5">
    <w:nsid w:val="2DA8438B"/>
    <w:multiLevelType w:val="hybridMultilevel"/>
    <w:tmpl w:val="C2E0B82C"/>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6">
    <w:nsid w:val="2F3F3148"/>
    <w:multiLevelType w:val="hybridMultilevel"/>
    <w:tmpl w:val="901E503C"/>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7">
    <w:nsid w:val="300D1FD2"/>
    <w:multiLevelType w:val="hybridMultilevel"/>
    <w:tmpl w:val="2A46238E"/>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8">
    <w:nsid w:val="30F440D8"/>
    <w:multiLevelType w:val="hybridMultilevel"/>
    <w:tmpl w:val="9B105F98"/>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9">
    <w:nsid w:val="312C2936"/>
    <w:multiLevelType w:val="hybridMultilevel"/>
    <w:tmpl w:val="7B1C4C54"/>
    <w:lvl w:ilvl="0" w:tplc="85BAAB46">
      <w:start w:val="1"/>
      <w:numFmt w:val="bullet"/>
      <w:lvlText w:val=""/>
      <w:lvlJc w:val="left"/>
      <w:pPr>
        <w:ind w:left="360" w:hanging="360"/>
      </w:pPr>
      <w:rPr>
        <w:rFonts w:ascii="Symbol" w:hAnsi="Symbol" w:hint="default"/>
        <w:color w:val="2F5496" w:themeColor="accent1" w:themeShade="BF"/>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0">
    <w:nsid w:val="33421C3E"/>
    <w:multiLevelType w:val="hybridMultilevel"/>
    <w:tmpl w:val="6316CABA"/>
    <w:lvl w:ilvl="0" w:tplc="4D2A9564">
      <w:start w:val="1"/>
      <w:numFmt w:val="bullet"/>
      <w:lvlText w:val=""/>
      <w:lvlJc w:val="left"/>
      <w:pPr>
        <w:ind w:left="360" w:hanging="360"/>
      </w:pPr>
      <w:rPr>
        <w:rFonts w:ascii="Symbol" w:hAnsi="Symbol" w:hint="default"/>
        <w:color w:val="203864"/>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1">
    <w:nsid w:val="353874F1"/>
    <w:multiLevelType w:val="hybridMultilevel"/>
    <w:tmpl w:val="06A09548"/>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2">
    <w:nsid w:val="35943369"/>
    <w:multiLevelType w:val="hybridMultilevel"/>
    <w:tmpl w:val="095436BE"/>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3">
    <w:nsid w:val="35C510AC"/>
    <w:multiLevelType w:val="hybridMultilevel"/>
    <w:tmpl w:val="1E4E085E"/>
    <w:lvl w:ilvl="0" w:tplc="4D2A9564">
      <w:start w:val="1"/>
      <w:numFmt w:val="bullet"/>
      <w:lvlText w:val=""/>
      <w:lvlJc w:val="left"/>
      <w:pPr>
        <w:ind w:left="360" w:hanging="360"/>
      </w:pPr>
      <w:rPr>
        <w:rFonts w:ascii="Symbol" w:hAnsi="Symbol" w:hint="default"/>
        <w:color w:val="203864"/>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4">
    <w:nsid w:val="36EE7FE0"/>
    <w:multiLevelType w:val="hybridMultilevel"/>
    <w:tmpl w:val="F572C6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5">
    <w:nsid w:val="377379D2"/>
    <w:multiLevelType w:val="hybridMultilevel"/>
    <w:tmpl w:val="873A5846"/>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6">
    <w:nsid w:val="38625180"/>
    <w:multiLevelType w:val="hybridMultilevel"/>
    <w:tmpl w:val="A984CD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7">
    <w:nsid w:val="395C45AD"/>
    <w:multiLevelType w:val="hybridMultilevel"/>
    <w:tmpl w:val="5D6A15F6"/>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8">
    <w:nsid w:val="3A7426FB"/>
    <w:multiLevelType w:val="hybridMultilevel"/>
    <w:tmpl w:val="2E469C9C"/>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9">
    <w:nsid w:val="3AFC0B9D"/>
    <w:multiLevelType w:val="hybridMultilevel"/>
    <w:tmpl w:val="720463F8"/>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0">
    <w:nsid w:val="3C8164EE"/>
    <w:multiLevelType w:val="hybridMultilevel"/>
    <w:tmpl w:val="B6686CCA"/>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1">
    <w:nsid w:val="3D2C022D"/>
    <w:multiLevelType w:val="hybridMultilevel"/>
    <w:tmpl w:val="70FCF292"/>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2">
    <w:nsid w:val="3DB16255"/>
    <w:multiLevelType w:val="hybridMultilevel"/>
    <w:tmpl w:val="42CE45EC"/>
    <w:lvl w:ilvl="0" w:tplc="04090001">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3">
    <w:nsid w:val="3EE63E67"/>
    <w:multiLevelType w:val="hybridMultilevel"/>
    <w:tmpl w:val="573AB4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4">
    <w:nsid w:val="404F563B"/>
    <w:multiLevelType w:val="hybridMultilevel"/>
    <w:tmpl w:val="CB62066A"/>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5">
    <w:nsid w:val="4065249C"/>
    <w:multiLevelType w:val="hybridMultilevel"/>
    <w:tmpl w:val="79508CE0"/>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6">
    <w:nsid w:val="40F95F1D"/>
    <w:multiLevelType w:val="hybridMultilevel"/>
    <w:tmpl w:val="61521CD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7">
    <w:nsid w:val="41DC486E"/>
    <w:multiLevelType w:val="hybridMultilevel"/>
    <w:tmpl w:val="D468102A"/>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8">
    <w:nsid w:val="4214305E"/>
    <w:multiLevelType w:val="hybridMultilevel"/>
    <w:tmpl w:val="5448A47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9">
    <w:nsid w:val="422D70F0"/>
    <w:multiLevelType w:val="hybridMultilevel"/>
    <w:tmpl w:val="E90C10DC"/>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0">
    <w:nsid w:val="4257348A"/>
    <w:multiLevelType w:val="hybridMultilevel"/>
    <w:tmpl w:val="B4DE5F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1">
    <w:nsid w:val="427546ED"/>
    <w:multiLevelType w:val="hybridMultilevel"/>
    <w:tmpl w:val="2800D03C"/>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2">
    <w:nsid w:val="42D41408"/>
    <w:multiLevelType w:val="hybridMultilevel"/>
    <w:tmpl w:val="357E881E"/>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3">
    <w:nsid w:val="42E76767"/>
    <w:multiLevelType w:val="hybridMultilevel"/>
    <w:tmpl w:val="76D6873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4">
    <w:nsid w:val="42ED4468"/>
    <w:multiLevelType w:val="hybridMultilevel"/>
    <w:tmpl w:val="0DDE82E0"/>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5">
    <w:nsid w:val="450E6099"/>
    <w:multiLevelType w:val="hybridMultilevel"/>
    <w:tmpl w:val="0E203DD4"/>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6">
    <w:nsid w:val="453F4063"/>
    <w:multiLevelType w:val="hybridMultilevel"/>
    <w:tmpl w:val="C23E374E"/>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7">
    <w:nsid w:val="454073AA"/>
    <w:multiLevelType w:val="hybridMultilevel"/>
    <w:tmpl w:val="392A4B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8">
    <w:nsid w:val="45A939AA"/>
    <w:multiLevelType w:val="hybridMultilevel"/>
    <w:tmpl w:val="C874885A"/>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9">
    <w:nsid w:val="45AB7CEB"/>
    <w:multiLevelType w:val="hybridMultilevel"/>
    <w:tmpl w:val="4DE84252"/>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0">
    <w:nsid w:val="467C53DC"/>
    <w:multiLevelType w:val="hybridMultilevel"/>
    <w:tmpl w:val="6D32B960"/>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1">
    <w:nsid w:val="480820FB"/>
    <w:multiLevelType w:val="hybridMultilevel"/>
    <w:tmpl w:val="C5889D9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2">
    <w:nsid w:val="480B006E"/>
    <w:multiLevelType w:val="hybridMultilevel"/>
    <w:tmpl w:val="3B069F68"/>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3">
    <w:nsid w:val="48C21035"/>
    <w:multiLevelType w:val="hybridMultilevel"/>
    <w:tmpl w:val="E2D24F88"/>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4">
    <w:nsid w:val="49FF1230"/>
    <w:multiLevelType w:val="hybridMultilevel"/>
    <w:tmpl w:val="E69ED790"/>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5">
    <w:nsid w:val="4A333B85"/>
    <w:multiLevelType w:val="hybridMultilevel"/>
    <w:tmpl w:val="53E4D846"/>
    <w:lvl w:ilvl="0" w:tplc="4D2A9564">
      <w:start w:val="1"/>
      <w:numFmt w:val="bullet"/>
      <w:lvlText w:val=""/>
      <w:lvlJc w:val="left"/>
      <w:pPr>
        <w:ind w:left="360" w:hanging="360"/>
      </w:pPr>
      <w:rPr>
        <w:rFonts w:ascii="Symbol" w:hAnsi="Symbol" w:hint="default"/>
        <w:color w:val="203864"/>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6">
    <w:nsid w:val="4A560183"/>
    <w:multiLevelType w:val="hybridMultilevel"/>
    <w:tmpl w:val="62049F0C"/>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7">
    <w:nsid w:val="4CA50EE7"/>
    <w:multiLevelType w:val="hybridMultilevel"/>
    <w:tmpl w:val="A9A2526E"/>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8">
    <w:nsid w:val="4CC318F3"/>
    <w:multiLevelType w:val="hybridMultilevel"/>
    <w:tmpl w:val="D3DA0CB0"/>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9">
    <w:nsid w:val="4E72292C"/>
    <w:multiLevelType w:val="hybridMultilevel"/>
    <w:tmpl w:val="56E28D60"/>
    <w:lvl w:ilvl="0" w:tplc="4D2A9564">
      <w:start w:val="1"/>
      <w:numFmt w:val="bullet"/>
      <w:lvlText w:val=""/>
      <w:lvlJc w:val="left"/>
      <w:pPr>
        <w:ind w:left="360" w:hanging="360"/>
      </w:pPr>
      <w:rPr>
        <w:rFonts w:ascii="Symbol" w:hAnsi="Symbol" w:hint="default"/>
        <w:color w:val="203864"/>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0">
    <w:nsid w:val="4F2D3E4F"/>
    <w:multiLevelType w:val="hybridMultilevel"/>
    <w:tmpl w:val="226850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1">
    <w:nsid w:val="4FCB6BD8"/>
    <w:multiLevelType w:val="hybridMultilevel"/>
    <w:tmpl w:val="317236FE"/>
    <w:lvl w:ilvl="0" w:tplc="BBD44B2A">
      <w:start w:val="1"/>
      <w:numFmt w:val="decimal"/>
      <w:lvlText w:val="%1."/>
      <w:lvlJc w:val="left"/>
      <w:pPr>
        <w:ind w:left="360" w:hanging="360"/>
      </w:pPr>
      <w:rPr>
        <w:rFonts w:hint="default"/>
        <w:b/>
        <w:i w:val="0"/>
        <w:color w:val="20386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2">
    <w:nsid w:val="4FCE575D"/>
    <w:multiLevelType w:val="hybridMultilevel"/>
    <w:tmpl w:val="87CAF2D4"/>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3">
    <w:nsid w:val="50564C79"/>
    <w:multiLevelType w:val="hybridMultilevel"/>
    <w:tmpl w:val="FD3225AE"/>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4">
    <w:nsid w:val="50BA3256"/>
    <w:multiLevelType w:val="hybridMultilevel"/>
    <w:tmpl w:val="A2E809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5">
    <w:nsid w:val="5256035A"/>
    <w:multiLevelType w:val="hybridMultilevel"/>
    <w:tmpl w:val="AB5EA7AE"/>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6">
    <w:nsid w:val="53313FB2"/>
    <w:multiLevelType w:val="hybridMultilevel"/>
    <w:tmpl w:val="B5366636"/>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7">
    <w:nsid w:val="53A93794"/>
    <w:multiLevelType w:val="hybridMultilevel"/>
    <w:tmpl w:val="BF66675A"/>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8">
    <w:nsid w:val="5523656F"/>
    <w:multiLevelType w:val="hybridMultilevel"/>
    <w:tmpl w:val="85CEB8A8"/>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9">
    <w:nsid w:val="555B42CE"/>
    <w:multiLevelType w:val="hybridMultilevel"/>
    <w:tmpl w:val="569C02C0"/>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0">
    <w:nsid w:val="55A67F12"/>
    <w:multiLevelType w:val="hybridMultilevel"/>
    <w:tmpl w:val="DF5C919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alibri"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alibri"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alibri"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1">
    <w:nsid w:val="55DA581B"/>
    <w:multiLevelType w:val="hybridMultilevel"/>
    <w:tmpl w:val="97D2D326"/>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2">
    <w:nsid w:val="56193EBC"/>
    <w:multiLevelType w:val="hybridMultilevel"/>
    <w:tmpl w:val="CB1A4CB6"/>
    <w:lvl w:ilvl="0" w:tplc="04090001">
      <w:start w:val="1"/>
      <w:numFmt w:val="bullet"/>
      <w:lvlText w:val=""/>
      <w:lvlJc w:val="left"/>
      <w:pPr>
        <w:ind w:left="360" w:hanging="360"/>
      </w:pPr>
      <w:rPr>
        <w:rFonts w:ascii="Symbol" w:hAnsi="Symbol" w:hint="default"/>
        <w:b/>
        <w:i w:val="0"/>
        <w:color w:val="auto"/>
      </w:rPr>
    </w:lvl>
    <w:lvl w:ilvl="1" w:tplc="4D2A9564">
      <w:start w:val="1"/>
      <w:numFmt w:val="bullet"/>
      <w:lvlText w:val=""/>
      <w:lvlJc w:val="left"/>
      <w:pPr>
        <w:ind w:left="1080" w:hanging="360"/>
      </w:pPr>
      <w:rPr>
        <w:rFonts w:ascii="Symbol" w:hAnsi="Symbol" w:hint="default"/>
        <w:color w:val="203864"/>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3">
    <w:nsid w:val="562B670F"/>
    <w:multiLevelType w:val="hybridMultilevel"/>
    <w:tmpl w:val="E5E418F6"/>
    <w:lvl w:ilvl="0" w:tplc="5290D98E">
      <w:start w:val="1"/>
      <w:numFmt w:val="bullet"/>
      <w:lvlText w:val=""/>
      <w:lvlJc w:val="left"/>
      <w:pPr>
        <w:ind w:left="360" w:hanging="360"/>
      </w:pPr>
      <w:rPr>
        <w:rFonts w:ascii="Symbol" w:hAnsi="Symbol" w:hint="default"/>
        <w:b/>
        <w:i w:val="0"/>
        <w:color w:val="203864"/>
        <w:sz w:val="22"/>
      </w:rPr>
    </w:lvl>
    <w:lvl w:ilvl="1" w:tplc="4D2A9564">
      <w:start w:val="1"/>
      <w:numFmt w:val="bullet"/>
      <w:lvlText w:val=""/>
      <w:lvlJc w:val="left"/>
      <w:pPr>
        <w:ind w:left="1080" w:hanging="360"/>
      </w:pPr>
      <w:rPr>
        <w:rFonts w:ascii="Symbol" w:hAnsi="Symbol" w:hint="default"/>
        <w:color w:val="203864"/>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4">
    <w:nsid w:val="564A2DA5"/>
    <w:multiLevelType w:val="hybridMultilevel"/>
    <w:tmpl w:val="8ED4D99C"/>
    <w:lvl w:ilvl="0" w:tplc="4D2A9564">
      <w:start w:val="1"/>
      <w:numFmt w:val="bullet"/>
      <w:lvlText w:val=""/>
      <w:lvlJc w:val="left"/>
      <w:pPr>
        <w:ind w:left="360" w:hanging="360"/>
      </w:pPr>
      <w:rPr>
        <w:rFonts w:ascii="Symbol" w:hAnsi="Symbol" w:hint="default"/>
        <w:color w:val="203864"/>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5">
    <w:nsid w:val="56FD6ABB"/>
    <w:multiLevelType w:val="hybridMultilevel"/>
    <w:tmpl w:val="9D0428D2"/>
    <w:lvl w:ilvl="0" w:tplc="AF08376C">
      <w:numFmt w:val="bullet"/>
      <w:lvlText w:val="•"/>
      <w:lvlJc w:val="left"/>
      <w:pPr>
        <w:ind w:left="720" w:hanging="360"/>
      </w:pPr>
      <w:rPr>
        <w:rFonts w:ascii="SymbolMT" w:hAnsi="Calibri" w:cs="SymbolMT" w:hint="default"/>
        <w:color w:val="1F3863"/>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6">
    <w:nsid w:val="576A56F3"/>
    <w:multiLevelType w:val="hybridMultilevel"/>
    <w:tmpl w:val="C4C2F8BE"/>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7">
    <w:nsid w:val="577A3D30"/>
    <w:multiLevelType w:val="hybridMultilevel"/>
    <w:tmpl w:val="3FC2599A"/>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8">
    <w:nsid w:val="579370E4"/>
    <w:multiLevelType w:val="hybridMultilevel"/>
    <w:tmpl w:val="E43A0624"/>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9">
    <w:nsid w:val="5859278F"/>
    <w:multiLevelType w:val="hybridMultilevel"/>
    <w:tmpl w:val="8244EBF0"/>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0">
    <w:nsid w:val="58BE4399"/>
    <w:multiLevelType w:val="hybridMultilevel"/>
    <w:tmpl w:val="2E6E9CF8"/>
    <w:lvl w:ilvl="0" w:tplc="4D2A9564">
      <w:start w:val="1"/>
      <w:numFmt w:val="bullet"/>
      <w:lvlText w:val=""/>
      <w:lvlJc w:val="left"/>
      <w:pPr>
        <w:ind w:left="360" w:hanging="360"/>
      </w:pPr>
      <w:rPr>
        <w:rFonts w:ascii="Symbol" w:hAnsi="Symbol" w:hint="default"/>
        <w:color w:val="203864"/>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1">
    <w:nsid w:val="5B033EC5"/>
    <w:multiLevelType w:val="hybridMultilevel"/>
    <w:tmpl w:val="BC768894"/>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2">
    <w:nsid w:val="5B0C15F1"/>
    <w:multiLevelType w:val="hybridMultilevel"/>
    <w:tmpl w:val="C2EEA92E"/>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3">
    <w:nsid w:val="5B5F1C41"/>
    <w:multiLevelType w:val="hybridMultilevel"/>
    <w:tmpl w:val="5D2CE754"/>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4">
    <w:nsid w:val="5CCC4407"/>
    <w:multiLevelType w:val="hybridMultilevel"/>
    <w:tmpl w:val="E9E497A8"/>
    <w:lvl w:ilvl="0" w:tplc="4D2A9564">
      <w:start w:val="1"/>
      <w:numFmt w:val="bullet"/>
      <w:lvlText w:val=""/>
      <w:lvlJc w:val="left"/>
      <w:pPr>
        <w:ind w:left="360" w:hanging="360"/>
      </w:pPr>
      <w:rPr>
        <w:rFonts w:ascii="Symbol" w:hAnsi="Symbol" w:hint="default"/>
        <w:b/>
        <w:i w:val="0"/>
        <w:color w:val="203864"/>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5">
    <w:nsid w:val="5CDF1C44"/>
    <w:multiLevelType w:val="hybridMultilevel"/>
    <w:tmpl w:val="0B7A8D2A"/>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6">
    <w:nsid w:val="5E105EBA"/>
    <w:multiLevelType w:val="hybridMultilevel"/>
    <w:tmpl w:val="A958394E"/>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7">
    <w:nsid w:val="5E5A61A3"/>
    <w:multiLevelType w:val="hybridMultilevel"/>
    <w:tmpl w:val="CDAE4174"/>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8">
    <w:nsid w:val="5EB875F2"/>
    <w:multiLevelType w:val="hybridMultilevel"/>
    <w:tmpl w:val="AC70D774"/>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9">
    <w:nsid w:val="5EDB31EC"/>
    <w:multiLevelType w:val="hybridMultilevel"/>
    <w:tmpl w:val="B6DED6EA"/>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0">
    <w:nsid w:val="5F201AC1"/>
    <w:multiLevelType w:val="hybridMultilevel"/>
    <w:tmpl w:val="03646246"/>
    <w:lvl w:ilvl="0" w:tplc="4D2A9564">
      <w:start w:val="1"/>
      <w:numFmt w:val="bullet"/>
      <w:lvlText w:val=""/>
      <w:lvlJc w:val="left"/>
      <w:pPr>
        <w:ind w:left="360" w:hanging="360"/>
      </w:pPr>
      <w:rPr>
        <w:rFonts w:ascii="Symbol" w:hAnsi="Symbol" w:hint="default"/>
        <w:color w:val="203864"/>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1">
    <w:nsid w:val="5F423FDF"/>
    <w:multiLevelType w:val="hybridMultilevel"/>
    <w:tmpl w:val="2DD6BB12"/>
    <w:lvl w:ilvl="0" w:tplc="4D2A9564">
      <w:start w:val="1"/>
      <w:numFmt w:val="bullet"/>
      <w:lvlText w:val=""/>
      <w:lvlJc w:val="left"/>
      <w:pPr>
        <w:ind w:left="360" w:hanging="360"/>
      </w:pPr>
      <w:rPr>
        <w:rFonts w:ascii="Symbol" w:hAnsi="Symbol" w:hint="default"/>
        <w:b/>
        <w:i w:val="0"/>
        <w:color w:val="203864"/>
      </w:rPr>
    </w:lvl>
    <w:lvl w:ilvl="1" w:tplc="85BAAB46">
      <w:start w:val="1"/>
      <w:numFmt w:val="bullet"/>
      <w:lvlText w:val=""/>
      <w:lvlJc w:val="left"/>
      <w:pPr>
        <w:ind w:left="1080" w:hanging="360"/>
      </w:pPr>
      <w:rPr>
        <w:rFonts w:ascii="Symbol" w:hAnsi="Symbol" w:hint="default"/>
        <w:color w:val="2F5496" w:themeColor="accent1" w:themeShade="BF"/>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2">
    <w:nsid w:val="607400F6"/>
    <w:multiLevelType w:val="hybridMultilevel"/>
    <w:tmpl w:val="F342C086"/>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3">
    <w:nsid w:val="60BB2F5A"/>
    <w:multiLevelType w:val="hybridMultilevel"/>
    <w:tmpl w:val="A1ACB99E"/>
    <w:lvl w:ilvl="0" w:tplc="BBD44B2A">
      <w:start w:val="1"/>
      <w:numFmt w:val="decimal"/>
      <w:lvlText w:val="%1."/>
      <w:lvlJc w:val="left"/>
      <w:pPr>
        <w:ind w:left="360" w:hanging="360"/>
      </w:pPr>
      <w:rPr>
        <w:rFonts w:hint="default"/>
        <w:b/>
        <w:i w:val="0"/>
        <w:color w:val="20386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4">
    <w:nsid w:val="620F2D49"/>
    <w:multiLevelType w:val="hybridMultilevel"/>
    <w:tmpl w:val="181060D8"/>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5">
    <w:nsid w:val="621B7C4A"/>
    <w:multiLevelType w:val="hybridMultilevel"/>
    <w:tmpl w:val="0E60BA6E"/>
    <w:lvl w:ilvl="0" w:tplc="8E8E806E">
      <w:start w:val="1"/>
      <w:numFmt w:val="upperLetter"/>
      <w:lvlText w:val="%1."/>
      <w:lvlJc w:val="left"/>
      <w:pPr>
        <w:ind w:left="720" w:hanging="360"/>
      </w:pPr>
      <w:rPr>
        <w:rFonts w:hint="default"/>
        <w:b/>
        <w:i w:val="0"/>
        <w:color w:val="20386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6">
    <w:nsid w:val="62233155"/>
    <w:multiLevelType w:val="hybridMultilevel"/>
    <w:tmpl w:val="9B221052"/>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7">
    <w:nsid w:val="62D001E3"/>
    <w:multiLevelType w:val="hybridMultilevel"/>
    <w:tmpl w:val="023AA682"/>
    <w:lvl w:ilvl="0" w:tplc="5290D98E">
      <w:start w:val="1"/>
      <w:numFmt w:val="bullet"/>
      <w:lvlText w:val=""/>
      <w:lvlJc w:val="left"/>
      <w:pPr>
        <w:ind w:left="360" w:hanging="360"/>
      </w:pPr>
      <w:rPr>
        <w:rFonts w:ascii="Symbol" w:hAnsi="Symbol" w:hint="default"/>
        <w:color w:val="203864"/>
        <w:sz w:val="22"/>
        <w:szCs w:val="22"/>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8">
    <w:nsid w:val="639104E6"/>
    <w:multiLevelType w:val="hybridMultilevel"/>
    <w:tmpl w:val="4DB209C4"/>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9">
    <w:nsid w:val="63A50FDD"/>
    <w:multiLevelType w:val="hybridMultilevel"/>
    <w:tmpl w:val="91562010"/>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0">
    <w:nsid w:val="63E05A99"/>
    <w:multiLevelType w:val="hybridMultilevel"/>
    <w:tmpl w:val="F448FE36"/>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1">
    <w:nsid w:val="645D21F7"/>
    <w:multiLevelType w:val="hybridMultilevel"/>
    <w:tmpl w:val="71AA229A"/>
    <w:lvl w:ilvl="0" w:tplc="4D2A9564">
      <w:start w:val="1"/>
      <w:numFmt w:val="bullet"/>
      <w:lvlText w:val=""/>
      <w:lvlJc w:val="left"/>
      <w:pPr>
        <w:ind w:left="360" w:hanging="360"/>
      </w:pPr>
      <w:rPr>
        <w:rFonts w:ascii="Symbol" w:hAnsi="Symbol" w:hint="default"/>
        <w:color w:val="203864"/>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2">
    <w:nsid w:val="646F34B4"/>
    <w:multiLevelType w:val="hybridMultilevel"/>
    <w:tmpl w:val="C2F613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Aria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Arial"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Arial" w:hint="default"/>
      </w:rPr>
    </w:lvl>
    <w:lvl w:ilvl="8" w:tplc="04090005" w:tentative="1">
      <w:start w:val="1"/>
      <w:numFmt w:val="bullet"/>
      <w:lvlText w:val=""/>
      <w:lvlJc w:val="left"/>
      <w:pPr>
        <w:ind w:left="6120" w:hanging="360"/>
      </w:pPr>
      <w:rPr>
        <w:rFonts w:ascii="Wingdings" w:hAnsi="Wingdings" w:hint="default"/>
      </w:rPr>
    </w:lvl>
  </w:abstractNum>
  <w:abstractNum w:abstractNumId="183">
    <w:nsid w:val="647401A2"/>
    <w:multiLevelType w:val="hybridMultilevel"/>
    <w:tmpl w:val="CB4A6644"/>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4">
    <w:nsid w:val="64A60370"/>
    <w:multiLevelType w:val="hybridMultilevel"/>
    <w:tmpl w:val="3D3467A6"/>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5">
    <w:nsid w:val="64BC4DCD"/>
    <w:multiLevelType w:val="hybridMultilevel"/>
    <w:tmpl w:val="F7D69498"/>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6">
    <w:nsid w:val="651773B3"/>
    <w:multiLevelType w:val="hybridMultilevel"/>
    <w:tmpl w:val="CAA6C9F4"/>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7">
    <w:nsid w:val="65EE1DDD"/>
    <w:multiLevelType w:val="hybridMultilevel"/>
    <w:tmpl w:val="A4D64C08"/>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8">
    <w:nsid w:val="66EB0229"/>
    <w:multiLevelType w:val="hybridMultilevel"/>
    <w:tmpl w:val="068A1D7E"/>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9">
    <w:nsid w:val="66FA53C7"/>
    <w:multiLevelType w:val="hybridMultilevel"/>
    <w:tmpl w:val="9EB2A3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0">
    <w:nsid w:val="67D77023"/>
    <w:multiLevelType w:val="hybridMultilevel"/>
    <w:tmpl w:val="792613E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1">
    <w:nsid w:val="689724E2"/>
    <w:multiLevelType w:val="hybridMultilevel"/>
    <w:tmpl w:val="6E0E6BA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2">
    <w:nsid w:val="68CB74F5"/>
    <w:multiLevelType w:val="hybridMultilevel"/>
    <w:tmpl w:val="6C489AB6"/>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3">
    <w:nsid w:val="6957729A"/>
    <w:multiLevelType w:val="hybridMultilevel"/>
    <w:tmpl w:val="7F30D6BE"/>
    <w:lvl w:ilvl="0" w:tplc="BBD44B2A">
      <w:start w:val="1"/>
      <w:numFmt w:val="decimal"/>
      <w:lvlText w:val="%1."/>
      <w:lvlJc w:val="left"/>
      <w:pPr>
        <w:ind w:left="0" w:hanging="360"/>
      </w:pPr>
      <w:rPr>
        <w:rFonts w:hint="default"/>
        <w:b/>
        <w:i w:val="0"/>
        <w:color w:val="203864"/>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94">
    <w:nsid w:val="699A7E75"/>
    <w:multiLevelType w:val="hybridMultilevel"/>
    <w:tmpl w:val="5942B432"/>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5">
    <w:nsid w:val="69C5733A"/>
    <w:multiLevelType w:val="hybridMultilevel"/>
    <w:tmpl w:val="84F6383E"/>
    <w:lvl w:ilvl="0" w:tplc="4D2A9564">
      <w:start w:val="1"/>
      <w:numFmt w:val="bullet"/>
      <w:lvlText w:val=""/>
      <w:lvlJc w:val="left"/>
      <w:pPr>
        <w:ind w:left="720" w:hanging="360"/>
      </w:pPr>
      <w:rPr>
        <w:rFonts w:ascii="Symbol" w:hAnsi="Symbol" w:hint="default"/>
        <w:color w:val="20386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6">
    <w:nsid w:val="6A143E4D"/>
    <w:multiLevelType w:val="hybridMultilevel"/>
    <w:tmpl w:val="0E0890A4"/>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7">
    <w:nsid w:val="6A2F4DDC"/>
    <w:multiLevelType w:val="hybridMultilevel"/>
    <w:tmpl w:val="8C9CB5CA"/>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8">
    <w:nsid w:val="6AA92CD4"/>
    <w:multiLevelType w:val="multilevel"/>
    <w:tmpl w:val="4F166B70"/>
    <w:lvl w:ilvl="0">
      <w:start w:val="1"/>
      <w:numFmt w:val="bullet"/>
      <w:lvlText w:val=""/>
      <w:lvlJc w:val="left"/>
      <w:pPr>
        <w:ind w:left="360" w:hanging="360"/>
      </w:pPr>
      <w:rPr>
        <w:rFonts w:ascii="Symbol" w:hAnsi="Symbol" w:hint="default"/>
        <w:b/>
        <w:i w:val="0"/>
        <w:color w:val="20386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99">
    <w:nsid w:val="6AF87186"/>
    <w:multiLevelType w:val="hybridMultilevel"/>
    <w:tmpl w:val="061246BA"/>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0">
    <w:nsid w:val="6B4A4503"/>
    <w:multiLevelType w:val="hybridMultilevel"/>
    <w:tmpl w:val="CDAA8110"/>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1">
    <w:nsid w:val="6C1A02CE"/>
    <w:multiLevelType w:val="hybridMultilevel"/>
    <w:tmpl w:val="8C9836F2"/>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2">
    <w:nsid w:val="6C7C213A"/>
    <w:multiLevelType w:val="hybridMultilevel"/>
    <w:tmpl w:val="D99E3002"/>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3">
    <w:nsid w:val="6EE8064E"/>
    <w:multiLevelType w:val="hybridMultilevel"/>
    <w:tmpl w:val="923A3022"/>
    <w:lvl w:ilvl="0" w:tplc="8E8E806E">
      <w:start w:val="1"/>
      <w:numFmt w:val="upperLetter"/>
      <w:lvlText w:val="%1."/>
      <w:lvlJc w:val="left"/>
      <w:pPr>
        <w:ind w:left="360" w:hanging="360"/>
      </w:pPr>
      <w:rPr>
        <w:rFonts w:hint="default"/>
        <w:b/>
        <w:i w:val="0"/>
        <w:color w:val="20386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4">
    <w:nsid w:val="6F9324F2"/>
    <w:multiLevelType w:val="hybridMultilevel"/>
    <w:tmpl w:val="45ECC5AA"/>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5">
    <w:nsid w:val="70897A47"/>
    <w:multiLevelType w:val="hybridMultilevel"/>
    <w:tmpl w:val="9AF06A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6">
    <w:nsid w:val="70AB3221"/>
    <w:multiLevelType w:val="hybridMultilevel"/>
    <w:tmpl w:val="A502C42A"/>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7">
    <w:nsid w:val="70F541EC"/>
    <w:multiLevelType w:val="hybridMultilevel"/>
    <w:tmpl w:val="90E4E57C"/>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8">
    <w:nsid w:val="713726FF"/>
    <w:multiLevelType w:val="hybridMultilevel"/>
    <w:tmpl w:val="6CA0B478"/>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9">
    <w:nsid w:val="72DB7F93"/>
    <w:multiLevelType w:val="hybridMultilevel"/>
    <w:tmpl w:val="03729D12"/>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0">
    <w:nsid w:val="765271F1"/>
    <w:multiLevelType w:val="hybridMultilevel"/>
    <w:tmpl w:val="168AF962"/>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1">
    <w:nsid w:val="774A2ACC"/>
    <w:multiLevelType w:val="hybridMultilevel"/>
    <w:tmpl w:val="3ADC753A"/>
    <w:lvl w:ilvl="0" w:tplc="4D2A9564">
      <w:start w:val="1"/>
      <w:numFmt w:val="bullet"/>
      <w:lvlText w:val=""/>
      <w:lvlJc w:val="left"/>
      <w:pPr>
        <w:ind w:left="720" w:hanging="360"/>
      </w:pPr>
      <w:rPr>
        <w:rFonts w:ascii="Symbol" w:hAnsi="Symbol" w:hint="default"/>
        <w:color w:val="20386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2">
    <w:nsid w:val="779A1B36"/>
    <w:multiLevelType w:val="hybridMultilevel"/>
    <w:tmpl w:val="57CA4838"/>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3">
    <w:nsid w:val="77C061C2"/>
    <w:multiLevelType w:val="hybridMultilevel"/>
    <w:tmpl w:val="231C62EC"/>
    <w:lvl w:ilvl="0" w:tplc="4D2A9564">
      <w:start w:val="1"/>
      <w:numFmt w:val="bullet"/>
      <w:lvlText w:val=""/>
      <w:lvlJc w:val="left"/>
      <w:pPr>
        <w:ind w:left="360" w:hanging="360"/>
      </w:pPr>
      <w:rPr>
        <w:rFonts w:ascii="Symbol" w:hAnsi="Symbol" w:hint="default"/>
        <w:color w:val="203864"/>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14">
    <w:nsid w:val="78510000"/>
    <w:multiLevelType w:val="hybridMultilevel"/>
    <w:tmpl w:val="7F64B60C"/>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5">
    <w:nsid w:val="79742284"/>
    <w:multiLevelType w:val="hybridMultilevel"/>
    <w:tmpl w:val="C06681A8"/>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6">
    <w:nsid w:val="7ACB1B05"/>
    <w:multiLevelType w:val="hybridMultilevel"/>
    <w:tmpl w:val="AE126DD6"/>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7">
    <w:nsid w:val="7B1526AD"/>
    <w:multiLevelType w:val="hybridMultilevel"/>
    <w:tmpl w:val="F68E3D02"/>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8">
    <w:nsid w:val="7BF129F0"/>
    <w:multiLevelType w:val="hybridMultilevel"/>
    <w:tmpl w:val="2F623FBA"/>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9">
    <w:nsid w:val="7D67255E"/>
    <w:multiLevelType w:val="hybridMultilevel"/>
    <w:tmpl w:val="702828E6"/>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0">
    <w:nsid w:val="7FBB6C27"/>
    <w:multiLevelType w:val="hybridMultilevel"/>
    <w:tmpl w:val="CBCC0354"/>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69"/>
  </w:num>
  <w:num w:numId="2">
    <w:abstractNumId w:val="203"/>
  </w:num>
  <w:num w:numId="3">
    <w:abstractNumId w:val="53"/>
  </w:num>
  <w:num w:numId="4">
    <w:abstractNumId w:val="198"/>
  </w:num>
  <w:num w:numId="5">
    <w:abstractNumId w:val="99"/>
  </w:num>
  <w:num w:numId="6">
    <w:abstractNumId w:val="9"/>
  </w:num>
  <w:num w:numId="7">
    <w:abstractNumId w:val="27"/>
  </w:num>
  <w:num w:numId="8">
    <w:abstractNumId w:val="1"/>
  </w:num>
  <w:num w:numId="9">
    <w:abstractNumId w:val="67"/>
  </w:num>
  <w:num w:numId="10">
    <w:abstractNumId w:val="103"/>
  </w:num>
  <w:num w:numId="11">
    <w:abstractNumId w:val="61"/>
  </w:num>
  <w:num w:numId="12">
    <w:abstractNumId w:val="108"/>
  </w:num>
  <w:num w:numId="13">
    <w:abstractNumId w:val="40"/>
  </w:num>
  <w:num w:numId="14">
    <w:abstractNumId w:val="168"/>
  </w:num>
  <w:num w:numId="15">
    <w:abstractNumId w:val="173"/>
  </w:num>
  <w:num w:numId="16">
    <w:abstractNumId w:val="195"/>
  </w:num>
  <w:num w:numId="17">
    <w:abstractNumId w:val="48"/>
  </w:num>
  <w:num w:numId="18">
    <w:abstractNumId w:val="92"/>
  </w:num>
  <w:num w:numId="19">
    <w:abstractNumId w:val="193"/>
  </w:num>
  <w:num w:numId="20">
    <w:abstractNumId w:val="188"/>
  </w:num>
  <w:num w:numId="21">
    <w:abstractNumId w:val="102"/>
  </w:num>
  <w:num w:numId="22">
    <w:abstractNumId w:val="163"/>
  </w:num>
  <w:num w:numId="23">
    <w:abstractNumId w:val="60"/>
  </w:num>
  <w:num w:numId="24">
    <w:abstractNumId w:val="150"/>
  </w:num>
  <w:num w:numId="25">
    <w:abstractNumId w:val="182"/>
  </w:num>
  <w:num w:numId="26">
    <w:abstractNumId w:val="118"/>
  </w:num>
  <w:num w:numId="27">
    <w:abstractNumId w:val="54"/>
  </w:num>
  <w:num w:numId="28">
    <w:abstractNumId w:val="123"/>
  </w:num>
  <w:num w:numId="29">
    <w:abstractNumId w:val="116"/>
  </w:num>
  <w:num w:numId="30">
    <w:abstractNumId w:val="190"/>
  </w:num>
  <w:num w:numId="31">
    <w:abstractNumId w:val="106"/>
  </w:num>
  <w:num w:numId="32">
    <w:abstractNumId w:val="140"/>
  </w:num>
  <w:num w:numId="33">
    <w:abstractNumId w:val="131"/>
  </w:num>
  <w:num w:numId="34">
    <w:abstractNumId w:val="70"/>
  </w:num>
  <w:num w:numId="35">
    <w:abstractNumId w:val="35"/>
  </w:num>
  <w:num w:numId="36">
    <w:abstractNumId w:val="189"/>
  </w:num>
  <w:num w:numId="37">
    <w:abstractNumId w:val="104"/>
  </w:num>
  <w:num w:numId="38">
    <w:abstractNumId w:val="29"/>
  </w:num>
  <w:num w:numId="39">
    <w:abstractNumId w:val="127"/>
  </w:num>
  <w:num w:numId="40">
    <w:abstractNumId w:val="87"/>
  </w:num>
  <w:num w:numId="41">
    <w:abstractNumId w:val="120"/>
  </w:num>
  <w:num w:numId="42">
    <w:abstractNumId w:val="191"/>
  </w:num>
  <w:num w:numId="43">
    <w:abstractNumId w:val="126"/>
  </w:num>
  <w:num w:numId="44">
    <w:abstractNumId w:val="156"/>
  </w:num>
  <w:num w:numId="45">
    <w:abstractNumId w:val="100"/>
  </w:num>
  <w:num w:numId="46">
    <w:abstractNumId w:val="115"/>
  </w:num>
  <w:num w:numId="47">
    <w:abstractNumId w:val="211"/>
  </w:num>
  <w:num w:numId="48">
    <w:abstractNumId w:val="179"/>
  </w:num>
  <w:num w:numId="49">
    <w:abstractNumId w:val="71"/>
  </w:num>
  <w:num w:numId="50">
    <w:abstractNumId w:val="51"/>
  </w:num>
  <w:num w:numId="51">
    <w:abstractNumId w:val="134"/>
  </w:num>
  <w:num w:numId="52">
    <w:abstractNumId w:val="199"/>
  </w:num>
  <w:num w:numId="53">
    <w:abstractNumId w:val="73"/>
  </w:num>
  <w:num w:numId="54">
    <w:abstractNumId w:val="169"/>
  </w:num>
  <w:num w:numId="55">
    <w:abstractNumId w:val="4"/>
  </w:num>
  <w:num w:numId="56">
    <w:abstractNumId w:val="178"/>
  </w:num>
  <w:num w:numId="57">
    <w:abstractNumId w:val="209"/>
  </w:num>
  <w:num w:numId="58">
    <w:abstractNumId w:val="162"/>
  </w:num>
  <w:num w:numId="59">
    <w:abstractNumId w:val="139"/>
  </w:num>
  <w:num w:numId="60">
    <w:abstractNumId w:val="170"/>
  </w:num>
  <w:num w:numId="61">
    <w:abstractNumId w:val="23"/>
  </w:num>
  <w:num w:numId="62">
    <w:abstractNumId w:val="154"/>
  </w:num>
  <w:num w:numId="63">
    <w:abstractNumId w:val="16"/>
  </w:num>
  <w:num w:numId="64">
    <w:abstractNumId w:val="21"/>
  </w:num>
  <w:num w:numId="65">
    <w:abstractNumId w:val="187"/>
  </w:num>
  <w:num w:numId="66">
    <w:abstractNumId w:val="90"/>
  </w:num>
  <w:num w:numId="67">
    <w:abstractNumId w:val="141"/>
  </w:num>
  <w:num w:numId="68">
    <w:abstractNumId w:val="192"/>
  </w:num>
  <w:num w:numId="69">
    <w:abstractNumId w:val="167"/>
  </w:num>
  <w:num w:numId="70">
    <w:abstractNumId w:val="176"/>
  </w:num>
  <w:num w:numId="71">
    <w:abstractNumId w:val="183"/>
  </w:num>
  <w:num w:numId="72">
    <w:abstractNumId w:val="55"/>
  </w:num>
  <w:num w:numId="73">
    <w:abstractNumId w:val="52"/>
  </w:num>
  <w:num w:numId="74">
    <w:abstractNumId w:val="202"/>
  </w:num>
  <w:num w:numId="75">
    <w:abstractNumId w:val="25"/>
  </w:num>
  <w:num w:numId="76">
    <w:abstractNumId w:val="63"/>
  </w:num>
  <w:num w:numId="77">
    <w:abstractNumId w:val="109"/>
  </w:num>
  <w:num w:numId="78">
    <w:abstractNumId w:val="128"/>
  </w:num>
  <w:num w:numId="79">
    <w:abstractNumId w:val="56"/>
  </w:num>
  <w:num w:numId="80">
    <w:abstractNumId w:val="148"/>
  </w:num>
  <w:num w:numId="81">
    <w:abstractNumId w:val="84"/>
  </w:num>
  <w:num w:numId="82">
    <w:abstractNumId w:val="72"/>
  </w:num>
  <w:num w:numId="83">
    <w:abstractNumId w:val="80"/>
  </w:num>
  <w:num w:numId="84">
    <w:abstractNumId w:val="204"/>
  </w:num>
  <w:num w:numId="85">
    <w:abstractNumId w:val="79"/>
  </w:num>
  <w:num w:numId="86">
    <w:abstractNumId w:val="218"/>
  </w:num>
  <w:num w:numId="87">
    <w:abstractNumId w:val="28"/>
  </w:num>
  <w:num w:numId="88">
    <w:abstractNumId w:val="185"/>
  </w:num>
  <w:num w:numId="89">
    <w:abstractNumId w:val="37"/>
  </w:num>
  <w:num w:numId="90">
    <w:abstractNumId w:val="201"/>
  </w:num>
  <w:num w:numId="91">
    <w:abstractNumId w:val="138"/>
  </w:num>
  <w:num w:numId="92">
    <w:abstractNumId w:val="137"/>
  </w:num>
  <w:num w:numId="93">
    <w:abstractNumId w:val="45"/>
  </w:num>
  <w:num w:numId="94">
    <w:abstractNumId w:val="7"/>
  </w:num>
  <w:num w:numId="95">
    <w:abstractNumId w:val="147"/>
  </w:num>
  <w:num w:numId="96">
    <w:abstractNumId w:val="112"/>
  </w:num>
  <w:num w:numId="97">
    <w:abstractNumId w:val="152"/>
  </w:num>
  <w:num w:numId="98">
    <w:abstractNumId w:val="88"/>
  </w:num>
  <w:num w:numId="99">
    <w:abstractNumId w:val="5"/>
  </w:num>
  <w:num w:numId="100">
    <w:abstractNumId w:val="41"/>
  </w:num>
  <w:num w:numId="101">
    <w:abstractNumId w:val="135"/>
  </w:num>
  <w:num w:numId="102">
    <w:abstractNumId w:val="94"/>
  </w:num>
  <w:num w:numId="103">
    <w:abstractNumId w:val="22"/>
  </w:num>
  <w:num w:numId="104">
    <w:abstractNumId w:val="207"/>
  </w:num>
  <w:num w:numId="105">
    <w:abstractNumId w:val="114"/>
  </w:num>
  <w:num w:numId="106">
    <w:abstractNumId w:val="184"/>
  </w:num>
  <w:num w:numId="107">
    <w:abstractNumId w:val="164"/>
  </w:num>
  <w:num w:numId="108">
    <w:abstractNumId w:val="171"/>
  </w:num>
  <w:num w:numId="109">
    <w:abstractNumId w:val="213"/>
  </w:num>
  <w:num w:numId="110">
    <w:abstractNumId w:val="10"/>
  </w:num>
  <w:num w:numId="111">
    <w:abstractNumId w:val="212"/>
  </w:num>
  <w:num w:numId="112">
    <w:abstractNumId w:val="43"/>
  </w:num>
  <w:num w:numId="113">
    <w:abstractNumId w:val="111"/>
  </w:num>
  <w:num w:numId="114">
    <w:abstractNumId w:val="181"/>
  </w:num>
  <w:num w:numId="115">
    <w:abstractNumId w:val="36"/>
  </w:num>
  <w:num w:numId="116">
    <w:abstractNumId w:val="89"/>
  </w:num>
  <w:num w:numId="117">
    <w:abstractNumId w:val="46"/>
  </w:num>
  <w:num w:numId="118">
    <w:abstractNumId w:val="83"/>
  </w:num>
  <w:num w:numId="119">
    <w:abstractNumId w:val="13"/>
  </w:num>
  <w:num w:numId="120">
    <w:abstractNumId w:val="166"/>
  </w:num>
  <w:num w:numId="121">
    <w:abstractNumId w:val="62"/>
  </w:num>
  <w:num w:numId="122">
    <w:abstractNumId w:val="47"/>
  </w:num>
  <w:num w:numId="123">
    <w:abstractNumId w:val="42"/>
  </w:num>
  <w:num w:numId="124">
    <w:abstractNumId w:val="6"/>
  </w:num>
  <w:num w:numId="125">
    <w:abstractNumId w:val="14"/>
  </w:num>
  <w:num w:numId="126">
    <w:abstractNumId w:val="129"/>
  </w:num>
  <w:num w:numId="127">
    <w:abstractNumId w:val="96"/>
  </w:num>
  <w:num w:numId="128">
    <w:abstractNumId w:val="91"/>
  </w:num>
  <w:num w:numId="129">
    <w:abstractNumId w:val="24"/>
  </w:num>
  <w:num w:numId="130">
    <w:abstractNumId w:val="2"/>
  </w:num>
  <w:num w:numId="131">
    <w:abstractNumId w:val="146"/>
  </w:num>
  <w:num w:numId="132">
    <w:abstractNumId w:val="59"/>
  </w:num>
  <w:num w:numId="133">
    <w:abstractNumId w:val="20"/>
  </w:num>
  <w:num w:numId="134">
    <w:abstractNumId w:val="17"/>
  </w:num>
  <w:num w:numId="135">
    <w:abstractNumId w:val="130"/>
  </w:num>
  <w:num w:numId="136">
    <w:abstractNumId w:val="50"/>
  </w:num>
  <w:num w:numId="137">
    <w:abstractNumId w:val="217"/>
  </w:num>
  <w:num w:numId="138">
    <w:abstractNumId w:val="11"/>
  </w:num>
  <w:num w:numId="139">
    <w:abstractNumId w:val="101"/>
  </w:num>
  <w:num w:numId="140">
    <w:abstractNumId w:val="175"/>
  </w:num>
  <w:num w:numId="141">
    <w:abstractNumId w:val="57"/>
  </w:num>
  <w:num w:numId="142">
    <w:abstractNumId w:val="76"/>
  </w:num>
  <w:num w:numId="143">
    <w:abstractNumId w:val="180"/>
  </w:num>
  <w:num w:numId="144">
    <w:abstractNumId w:val="210"/>
  </w:num>
  <w:num w:numId="145">
    <w:abstractNumId w:val="208"/>
  </w:num>
  <w:num w:numId="146">
    <w:abstractNumId w:val="12"/>
  </w:num>
  <w:num w:numId="147">
    <w:abstractNumId w:val="143"/>
  </w:num>
  <w:num w:numId="148">
    <w:abstractNumId w:val="132"/>
  </w:num>
  <w:num w:numId="149">
    <w:abstractNumId w:val="157"/>
  </w:num>
  <w:num w:numId="150">
    <w:abstractNumId w:val="161"/>
  </w:num>
  <w:num w:numId="151">
    <w:abstractNumId w:val="82"/>
  </w:num>
  <w:num w:numId="152">
    <w:abstractNumId w:val="206"/>
  </w:num>
  <w:num w:numId="153">
    <w:abstractNumId w:val="158"/>
  </w:num>
  <w:num w:numId="154">
    <w:abstractNumId w:val="31"/>
  </w:num>
  <w:num w:numId="155">
    <w:abstractNumId w:val="119"/>
  </w:num>
  <w:num w:numId="156">
    <w:abstractNumId w:val="18"/>
  </w:num>
  <w:num w:numId="157">
    <w:abstractNumId w:val="197"/>
  </w:num>
  <w:num w:numId="158">
    <w:abstractNumId w:val="122"/>
  </w:num>
  <w:num w:numId="159">
    <w:abstractNumId w:val="3"/>
  </w:num>
  <w:num w:numId="160">
    <w:abstractNumId w:val="172"/>
  </w:num>
  <w:num w:numId="161">
    <w:abstractNumId w:val="196"/>
  </w:num>
  <w:num w:numId="162">
    <w:abstractNumId w:val="219"/>
  </w:num>
  <w:num w:numId="163">
    <w:abstractNumId w:val="19"/>
  </w:num>
  <w:num w:numId="164">
    <w:abstractNumId w:val="78"/>
  </w:num>
  <w:num w:numId="165">
    <w:abstractNumId w:val="214"/>
  </w:num>
  <w:num w:numId="166">
    <w:abstractNumId w:val="32"/>
  </w:num>
  <w:num w:numId="167">
    <w:abstractNumId w:val="34"/>
  </w:num>
  <w:num w:numId="168">
    <w:abstractNumId w:val="81"/>
  </w:num>
  <w:num w:numId="169">
    <w:abstractNumId w:val="142"/>
  </w:num>
  <w:num w:numId="170">
    <w:abstractNumId w:val="65"/>
  </w:num>
  <w:num w:numId="171">
    <w:abstractNumId w:val="74"/>
  </w:num>
  <w:num w:numId="172">
    <w:abstractNumId w:val="75"/>
  </w:num>
  <w:num w:numId="173">
    <w:abstractNumId w:val="26"/>
  </w:num>
  <w:num w:numId="174">
    <w:abstractNumId w:val="0"/>
  </w:num>
  <w:num w:numId="175">
    <w:abstractNumId w:val="216"/>
  </w:num>
  <w:num w:numId="176">
    <w:abstractNumId w:val="33"/>
  </w:num>
  <w:num w:numId="177">
    <w:abstractNumId w:val="159"/>
  </w:num>
  <w:num w:numId="178">
    <w:abstractNumId w:val="220"/>
  </w:num>
  <w:num w:numId="179">
    <w:abstractNumId w:val="49"/>
  </w:num>
  <w:num w:numId="180">
    <w:abstractNumId w:val="133"/>
  </w:num>
  <w:num w:numId="181">
    <w:abstractNumId w:val="8"/>
  </w:num>
  <w:num w:numId="182">
    <w:abstractNumId w:val="105"/>
  </w:num>
  <w:num w:numId="183">
    <w:abstractNumId w:val="125"/>
  </w:num>
  <w:num w:numId="184">
    <w:abstractNumId w:val="174"/>
  </w:num>
  <w:num w:numId="185">
    <w:abstractNumId w:val="110"/>
  </w:num>
  <w:num w:numId="186">
    <w:abstractNumId w:val="95"/>
  </w:num>
  <w:num w:numId="187">
    <w:abstractNumId w:val="39"/>
  </w:num>
  <w:num w:numId="188">
    <w:abstractNumId w:val="186"/>
  </w:num>
  <w:num w:numId="189">
    <w:abstractNumId w:val="117"/>
  </w:num>
  <w:num w:numId="190">
    <w:abstractNumId w:val="151"/>
  </w:num>
  <w:num w:numId="191">
    <w:abstractNumId w:val="149"/>
  </w:num>
  <w:num w:numId="192">
    <w:abstractNumId w:val="107"/>
  </w:num>
  <w:num w:numId="193">
    <w:abstractNumId w:val="97"/>
  </w:num>
  <w:num w:numId="194">
    <w:abstractNumId w:val="93"/>
  </w:num>
  <w:num w:numId="195">
    <w:abstractNumId w:val="86"/>
  </w:num>
  <w:num w:numId="196">
    <w:abstractNumId w:val="136"/>
  </w:num>
  <w:num w:numId="197">
    <w:abstractNumId w:val="98"/>
  </w:num>
  <w:num w:numId="198">
    <w:abstractNumId w:val="64"/>
  </w:num>
  <w:num w:numId="199">
    <w:abstractNumId w:val="38"/>
  </w:num>
  <w:num w:numId="200">
    <w:abstractNumId w:val="44"/>
  </w:num>
  <w:num w:numId="201">
    <w:abstractNumId w:val="165"/>
  </w:num>
  <w:num w:numId="202">
    <w:abstractNumId w:val="200"/>
  </w:num>
  <w:num w:numId="203">
    <w:abstractNumId w:val="85"/>
  </w:num>
  <w:num w:numId="204">
    <w:abstractNumId w:val="30"/>
  </w:num>
  <w:num w:numId="205">
    <w:abstractNumId w:val="68"/>
  </w:num>
  <w:num w:numId="206">
    <w:abstractNumId w:val="160"/>
  </w:num>
  <w:num w:numId="207">
    <w:abstractNumId w:val="121"/>
  </w:num>
  <w:num w:numId="208">
    <w:abstractNumId w:val="194"/>
  </w:num>
  <w:num w:numId="209">
    <w:abstractNumId w:val="124"/>
  </w:num>
  <w:num w:numId="210">
    <w:abstractNumId w:val="58"/>
  </w:num>
  <w:num w:numId="211">
    <w:abstractNumId w:val="15"/>
  </w:num>
  <w:num w:numId="212">
    <w:abstractNumId w:val="177"/>
  </w:num>
  <w:num w:numId="213">
    <w:abstractNumId w:val="215"/>
  </w:num>
  <w:num w:numId="214">
    <w:abstractNumId w:val="77"/>
  </w:num>
  <w:num w:numId="215">
    <w:abstractNumId w:val="153"/>
  </w:num>
  <w:num w:numId="216">
    <w:abstractNumId w:val="205"/>
  </w:num>
  <w:num w:numId="217">
    <w:abstractNumId w:val="155"/>
  </w:num>
  <w:num w:numId="218">
    <w:abstractNumId w:val="66"/>
  </w:num>
  <w:num w:numId="219">
    <w:abstractNumId w:val="144"/>
  </w:num>
  <w:num w:numId="220">
    <w:abstractNumId w:val="113"/>
  </w:num>
  <w:num w:numId="221">
    <w:abstractNumId w:val="145"/>
  </w:num>
  <w:numIdMacAtCleanup w:val="2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proofState w:spelling="clean" w:grammar="clean"/>
  <w:defaultTabStop w:val="720"/>
  <w:characterSpacingControl w:val="doNotCompress"/>
  <w:hdrShapeDefaults>
    <o:shapedefaults v:ext="edit" spidmax="2049"/>
  </w:hdrShapeDefaults>
  <w:footnotePr>
    <w:footnote w:id="-1"/>
    <w:footnote w:id="0"/>
    <w:footnote w:id="1"/>
  </w:footnotePr>
  <w:endnotePr>
    <w:pos w:val="sectEnd"/>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559F"/>
    <w:rsid w:val="000004AE"/>
    <w:rsid w:val="0000087B"/>
    <w:rsid w:val="00002D70"/>
    <w:rsid w:val="00006698"/>
    <w:rsid w:val="00007602"/>
    <w:rsid w:val="00011462"/>
    <w:rsid w:val="00011520"/>
    <w:rsid w:val="0001351A"/>
    <w:rsid w:val="00016064"/>
    <w:rsid w:val="00021392"/>
    <w:rsid w:val="00024331"/>
    <w:rsid w:val="00024ABD"/>
    <w:rsid w:val="00026617"/>
    <w:rsid w:val="0003034F"/>
    <w:rsid w:val="00031EDF"/>
    <w:rsid w:val="0003304E"/>
    <w:rsid w:val="00033EA5"/>
    <w:rsid w:val="00033EA9"/>
    <w:rsid w:val="0003428C"/>
    <w:rsid w:val="00036BFA"/>
    <w:rsid w:val="00037037"/>
    <w:rsid w:val="00037514"/>
    <w:rsid w:val="00041F6A"/>
    <w:rsid w:val="00045870"/>
    <w:rsid w:val="00045ED4"/>
    <w:rsid w:val="00047934"/>
    <w:rsid w:val="00050022"/>
    <w:rsid w:val="00050053"/>
    <w:rsid w:val="00050AC2"/>
    <w:rsid w:val="0005150A"/>
    <w:rsid w:val="000527E5"/>
    <w:rsid w:val="00055777"/>
    <w:rsid w:val="00055B12"/>
    <w:rsid w:val="000612A6"/>
    <w:rsid w:val="00065464"/>
    <w:rsid w:val="000715AB"/>
    <w:rsid w:val="00071C9D"/>
    <w:rsid w:val="00071CD6"/>
    <w:rsid w:val="000722DE"/>
    <w:rsid w:val="00073F2A"/>
    <w:rsid w:val="00074DF8"/>
    <w:rsid w:val="00074F78"/>
    <w:rsid w:val="00074F95"/>
    <w:rsid w:val="00075159"/>
    <w:rsid w:val="00075341"/>
    <w:rsid w:val="0007683E"/>
    <w:rsid w:val="00077561"/>
    <w:rsid w:val="000807B7"/>
    <w:rsid w:val="000816FD"/>
    <w:rsid w:val="00082905"/>
    <w:rsid w:val="00082B5D"/>
    <w:rsid w:val="00086430"/>
    <w:rsid w:val="000902A4"/>
    <w:rsid w:val="000907BE"/>
    <w:rsid w:val="00090803"/>
    <w:rsid w:val="00094FE2"/>
    <w:rsid w:val="00095A7B"/>
    <w:rsid w:val="000966D0"/>
    <w:rsid w:val="00096EAC"/>
    <w:rsid w:val="000970B6"/>
    <w:rsid w:val="000A0431"/>
    <w:rsid w:val="000A1976"/>
    <w:rsid w:val="000A38E4"/>
    <w:rsid w:val="000A5378"/>
    <w:rsid w:val="000A669D"/>
    <w:rsid w:val="000A75FF"/>
    <w:rsid w:val="000A7743"/>
    <w:rsid w:val="000B016E"/>
    <w:rsid w:val="000B130A"/>
    <w:rsid w:val="000B199A"/>
    <w:rsid w:val="000B4605"/>
    <w:rsid w:val="000B5145"/>
    <w:rsid w:val="000B520F"/>
    <w:rsid w:val="000B54D3"/>
    <w:rsid w:val="000B54E7"/>
    <w:rsid w:val="000B5763"/>
    <w:rsid w:val="000B65F3"/>
    <w:rsid w:val="000B74DA"/>
    <w:rsid w:val="000C01E4"/>
    <w:rsid w:val="000C02C9"/>
    <w:rsid w:val="000C14EC"/>
    <w:rsid w:val="000C29DC"/>
    <w:rsid w:val="000C310F"/>
    <w:rsid w:val="000C3E09"/>
    <w:rsid w:val="000C4649"/>
    <w:rsid w:val="000C4F53"/>
    <w:rsid w:val="000C6C16"/>
    <w:rsid w:val="000C7E55"/>
    <w:rsid w:val="000D054A"/>
    <w:rsid w:val="000D1E5F"/>
    <w:rsid w:val="000D3215"/>
    <w:rsid w:val="000D59AF"/>
    <w:rsid w:val="000D6F37"/>
    <w:rsid w:val="000E0DDF"/>
    <w:rsid w:val="000E1374"/>
    <w:rsid w:val="000E1637"/>
    <w:rsid w:val="000E16B9"/>
    <w:rsid w:val="000E1EF1"/>
    <w:rsid w:val="000E3ABE"/>
    <w:rsid w:val="000E40CF"/>
    <w:rsid w:val="000E5741"/>
    <w:rsid w:val="000E5942"/>
    <w:rsid w:val="000E7569"/>
    <w:rsid w:val="000E763A"/>
    <w:rsid w:val="000F179D"/>
    <w:rsid w:val="000F3675"/>
    <w:rsid w:val="000F5141"/>
    <w:rsid w:val="000F5649"/>
    <w:rsid w:val="000F635A"/>
    <w:rsid w:val="000F6418"/>
    <w:rsid w:val="000F773C"/>
    <w:rsid w:val="001004E7"/>
    <w:rsid w:val="00100ABE"/>
    <w:rsid w:val="00104327"/>
    <w:rsid w:val="00104609"/>
    <w:rsid w:val="00107354"/>
    <w:rsid w:val="00107B78"/>
    <w:rsid w:val="00113590"/>
    <w:rsid w:val="00113EE4"/>
    <w:rsid w:val="00113EF6"/>
    <w:rsid w:val="0012094E"/>
    <w:rsid w:val="001210CF"/>
    <w:rsid w:val="0012291D"/>
    <w:rsid w:val="00123044"/>
    <w:rsid w:val="00123D8F"/>
    <w:rsid w:val="00125FF9"/>
    <w:rsid w:val="001260EC"/>
    <w:rsid w:val="00126462"/>
    <w:rsid w:val="00127F33"/>
    <w:rsid w:val="0013180E"/>
    <w:rsid w:val="00131C54"/>
    <w:rsid w:val="00132BB6"/>
    <w:rsid w:val="001337FA"/>
    <w:rsid w:val="001338F5"/>
    <w:rsid w:val="00133A04"/>
    <w:rsid w:val="00133C0A"/>
    <w:rsid w:val="00134027"/>
    <w:rsid w:val="00134050"/>
    <w:rsid w:val="001348C4"/>
    <w:rsid w:val="001350FE"/>
    <w:rsid w:val="001362B4"/>
    <w:rsid w:val="001362EE"/>
    <w:rsid w:val="00140C96"/>
    <w:rsid w:val="00140FCB"/>
    <w:rsid w:val="001416B5"/>
    <w:rsid w:val="00142C05"/>
    <w:rsid w:val="0014321B"/>
    <w:rsid w:val="001438AB"/>
    <w:rsid w:val="00144B21"/>
    <w:rsid w:val="0014624F"/>
    <w:rsid w:val="001465C0"/>
    <w:rsid w:val="001503C2"/>
    <w:rsid w:val="001504F3"/>
    <w:rsid w:val="00151304"/>
    <w:rsid w:val="0015136A"/>
    <w:rsid w:val="00152EB7"/>
    <w:rsid w:val="00152FAB"/>
    <w:rsid w:val="00153669"/>
    <w:rsid w:val="00153901"/>
    <w:rsid w:val="00153AEC"/>
    <w:rsid w:val="00154BBF"/>
    <w:rsid w:val="00155191"/>
    <w:rsid w:val="0015731D"/>
    <w:rsid w:val="00157C3C"/>
    <w:rsid w:val="00163162"/>
    <w:rsid w:val="00165A26"/>
    <w:rsid w:val="00166AEA"/>
    <w:rsid w:val="001722E3"/>
    <w:rsid w:val="00172459"/>
    <w:rsid w:val="0017365D"/>
    <w:rsid w:val="001812A7"/>
    <w:rsid w:val="0018158B"/>
    <w:rsid w:val="001828AC"/>
    <w:rsid w:val="0018401F"/>
    <w:rsid w:val="001844D8"/>
    <w:rsid w:val="00186F46"/>
    <w:rsid w:val="00187344"/>
    <w:rsid w:val="00187D0C"/>
    <w:rsid w:val="00191B9B"/>
    <w:rsid w:val="00192ED1"/>
    <w:rsid w:val="0019313D"/>
    <w:rsid w:val="001955C2"/>
    <w:rsid w:val="00195F02"/>
    <w:rsid w:val="00197870"/>
    <w:rsid w:val="001A15E0"/>
    <w:rsid w:val="001A3139"/>
    <w:rsid w:val="001A34E7"/>
    <w:rsid w:val="001A59F4"/>
    <w:rsid w:val="001A7E31"/>
    <w:rsid w:val="001B0E95"/>
    <w:rsid w:val="001B0F70"/>
    <w:rsid w:val="001B1AB0"/>
    <w:rsid w:val="001B2649"/>
    <w:rsid w:val="001B27A0"/>
    <w:rsid w:val="001B2DBE"/>
    <w:rsid w:val="001B3FD1"/>
    <w:rsid w:val="001B406E"/>
    <w:rsid w:val="001B52C7"/>
    <w:rsid w:val="001C0EB8"/>
    <w:rsid w:val="001C2D99"/>
    <w:rsid w:val="001C41B0"/>
    <w:rsid w:val="001C46C4"/>
    <w:rsid w:val="001C47BA"/>
    <w:rsid w:val="001C631F"/>
    <w:rsid w:val="001C7198"/>
    <w:rsid w:val="001D075B"/>
    <w:rsid w:val="001D149E"/>
    <w:rsid w:val="001D1E74"/>
    <w:rsid w:val="001D2EA9"/>
    <w:rsid w:val="001D4CA7"/>
    <w:rsid w:val="001D5AD3"/>
    <w:rsid w:val="001D7956"/>
    <w:rsid w:val="001E1356"/>
    <w:rsid w:val="001E1405"/>
    <w:rsid w:val="001E1461"/>
    <w:rsid w:val="001E1B36"/>
    <w:rsid w:val="001E2DF1"/>
    <w:rsid w:val="001E33B7"/>
    <w:rsid w:val="001E3647"/>
    <w:rsid w:val="001E38D5"/>
    <w:rsid w:val="001E4B12"/>
    <w:rsid w:val="001E51AA"/>
    <w:rsid w:val="001E67C2"/>
    <w:rsid w:val="001F06E2"/>
    <w:rsid w:val="001F22AE"/>
    <w:rsid w:val="001F2469"/>
    <w:rsid w:val="001F4D53"/>
    <w:rsid w:val="001F4D7D"/>
    <w:rsid w:val="001F5145"/>
    <w:rsid w:val="001F5709"/>
    <w:rsid w:val="001F578D"/>
    <w:rsid w:val="001F654F"/>
    <w:rsid w:val="00201856"/>
    <w:rsid w:val="00202EBE"/>
    <w:rsid w:val="00206588"/>
    <w:rsid w:val="002132BE"/>
    <w:rsid w:val="00213BCF"/>
    <w:rsid w:val="00214693"/>
    <w:rsid w:val="00214AB9"/>
    <w:rsid w:val="00214C7F"/>
    <w:rsid w:val="00220F9E"/>
    <w:rsid w:val="0022163F"/>
    <w:rsid w:val="0022234C"/>
    <w:rsid w:val="00223036"/>
    <w:rsid w:val="00223341"/>
    <w:rsid w:val="00223F81"/>
    <w:rsid w:val="00224A7C"/>
    <w:rsid w:val="00227D95"/>
    <w:rsid w:val="002302FA"/>
    <w:rsid w:val="00230DF9"/>
    <w:rsid w:val="0023232C"/>
    <w:rsid w:val="00234FFF"/>
    <w:rsid w:val="00235958"/>
    <w:rsid w:val="0024027E"/>
    <w:rsid w:val="002404C0"/>
    <w:rsid w:val="00241AF5"/>
    <w:rsid w:val="00242094"/>
    <w:rsid w:val="0024284E"/>
    <w:rsid w:val="00245CBA"/>
    <w:rsid w:val="002466D5"/>
    <w:rsid w:val="00250755"/>
    <w:rsid w:val="002507D9"/>
    <w:rsid w:val="00250B88"/>
    <w:rsid w:val="002529E0"/>
    <w:rsid w:val="00252E11"/>
    <w:rsid w:val="0025490E"/>
    <w:rsid w:val="00254F82"/>
    <w:rsid w:val="002601B4"/>
    <w:rsid w:val="00261496"/>
    <w:rsid w:val="00261B48"/>
    <w:rsid w:val="002628E9"/>
    <w:rsid w:val="00263252"/>
    <w:rsid w:val="00265C30"/>
    <w:rsid w:val="00266D32"/>
    <w:rsid w:val="00270201"/>
    <w:rsid w:val="00271737"/>
    <w:rsid w:val="002721FE"/>
    <w:rsid w:val="002744B6"/>
    <w:rsid w:val="00274929"/>
    <w:rsid w:val="002752C0"/>
    <w:rsid w:val="00276790"/>
    <w:rsid w:val="00276A66"/>
    <w:rsid w:val="00277DDB"/>
    <w:rsid w:val="0028497F"/>
    <w:rsid w:val="002865E8"/>
    <w:rsid w:val="002870E3"/>
    <w:rsid w:val="00290B63"/>
    <w:rsid w:val="00294C51"/>
    <w:rsid w:val="002958F0"/>
    <w:rsid w:val="002976A1"/>
    <w:rsid w:val="002A002F"/>
    <w:rsid w:val="002A205C"/>
    <w:rsid w:val="002A2213"/>
    <w:rsid w:val="002A233B"/>
    <w:rsid w:val="002A451A"/>
    <w:rsid w:val="002A453E"/>
    <w:rsid w:val="002A6946"/>
    <w:rsid w:val="002A6AC0"/>
    <w:rsid w:val="002A6D15"/>
    <w:rsid w:val="002A7664"/>
    <w:rsid w:val="002B1820"/>
    <w:rsid w:val="002B1C3E"/>
    <w:rsid w:val="002B278B"/>
    <w:rsid w:val="002B2EF6"/>
    <w:rsid w:val="002B2FF4"/>
    <w:rsid w:val="002B3609"/>
    <w:rsid w:val="002B3A27"/>
    <w:rsid w:val="002B79C0"/>
    <w:rsid w:val="002C086C"/>
    <w:rsid w:val="002C3BA3"/>
    <w:rsid w:val="002C6F32"/>
    <w:rsid w:val="002D25C2"/>
    <w:rsid w:val="002D2FB1"/>
    <w:rsid w:val="002D3694"/>
    <w:rsid w:val="002D41F4"/>
    <w:rsid w:val="002D465E"/>
    <w:rsid w:val="002D4B30"/>
    <w:rsid w:val="002D50CC"/>
    <w:rsid w:val="002D618E"/>
    <w:rsid w:val="002D794E"/>
    <w:rsid w:val="002E4F71"/>
    <w:rsid w:val="002E50A2"/>
    <w:rsid w:val="002E5997"/>
    <w:rsid w:val="002E610F"/>
    <w:rsid w:val="002E6E53"/>
    <w:rsid w:val="002E794E"/>
    <w:rsid w:val="002E7D22"/>
    <w:rsid w:val="002F2E4F"/>
    <w:rsid w:val="002F3038"/>
    <w:rsid w:val="002F30EA"/>
    <w:rsid w:val="002F3684"/>
    <w:rsid w:val="002F3D24"/>
    <w:rsid w:val="002F68C9"/>
    <w:rsid w:val="002F6D45"/>
    <w:rsid w:val="002F6F97"/>
    <w:rsid w:val="002F7090"/>
    <w:rsid w:val="00300758"/>
    <w:rsid w:val="0030215F"/>
    <w:rsid w:val="00302456"/>
    <w:rsid w:val="003054AA"/>
    <w:rsid w:val="00305F76"/>
    <w:rsid w:val="0031048C"/>
    <w:rsid w:val="00310533"/>
    <w:rsid w:val="00310EE3"/>
    <w:rsid w:val="003154D4"/>
    <w:rsid w:val="0031653F"/>
    <w:rsid w:val="00316AB1"/>
    <w:rsid w:val="00317565"/>
    <w:rsid w:val="003216C7"/>
    <w:rsid w:val="003230FD"/>
    <w:rsid w:val="00323182"/>
    <w:rsid w:val="00325161"/>
    <w:rsid w:val="0032704F"/>
    <w:rsid w:val="0032772B"/>
    <w:rsid w:val="0033000E"/>
    <w:rsid w:val="0033048E"/>
    <w:rsid w:val="00331EE9"/>
    <w:rsid w:val="003326A2"/>
    <w:rsid w:val="00332A07"/>
    <w:rsid w:val="00337F19"/>
    <w:rsid w:val="00340703"/>
    <w:rsid w:val="00345048"/>
    <w:rsid w:val="003469E4"/>
    <w:rsid w:val="00353620"/>
    <w:rsid w:val="00353648"/>
    <w:rsid w:val="003566A6"/>
    <w:rsid w:val="0035675F"/>
    <w:rsid w:val="00357215"/>
    <w:rsid w:val="00357E64"/>
    <w:rsid w:val="00363563"/>
    <w:rsid w:val="003643A1"/>
    <w:rsid w:val="00365430"/>
    <w:rsid w:val="003659CA"/>
    <w:rsid w:val="00367354"/>
    <w:rsid w:val="00370763"/>
    <w:rsid w:val="0037275C"/>
    <w:rsid w:val="00373C65"/>
    <w:rsid w:val="00373F3B"/>
    <w:rsid w:val="00373F54"/>
    <w:rsid w:val="00374487"/>
    <w:rsid w:val="00375D1C"/>
    <w:rsid w:val="00375F55"/>
    <w:rsid w:val="003767D8"/>
    <w:rsid w:val="003774B9"/>
    <w:rsid w:val="00382525"/>
    <w:rsid w:val="003839D3"/>
    <w:rsid w:val="00383ADD"/>
    <w:rsid w:val="00384CBE"/>
    <w:rsid w:val="00387B27"/>
    <w:rsid w:val="00387BD3"/>
    <w:rsid w:val="00393867"/>
    <w:rsid w:val="00393A19"/>
    <w:rsid w:val="0039566C"/>
    <w:rsid w:val="00396273"/>
    <w:rsid w:val="00397E54"/>
    <w:rsid w:val="003A1C28"/>
    <w:rsid w:val="003A4A07"/>
    <w:rsid w:val="003A690B"/>
    <w:rsid w:val="003A6B31"/>
    <w:rsid w:val="003A763D"/>
    <w:rsid w:val="003A799E"/>
    <w:rsid w:val="003B01CE"/>
    <w:rsid w:val="003B3905"/>
    <w:rsid w:val="003B451E"/>
    <w:rsid w:val="003B540E"/>
    <w:rsid w:val="003B6A97"/>
    <w:rsid w:val="003B7236"/>
    <w:rsid w:val="003B748D"/>
    <w:rsid w:val="003B7B6D"/>
    <w:rsid w:val="003B7C27"/>
    <w:rsid w:val="003C11C1"/>
    <w:rsid w:val="003C1D48"/>
    <w:rsid w:val="003C1F44"/>
    <w:rsid w:val="003C32E8"/>
    <w:rsid w:val="003C447F"/>
    <w:rsid w:val="003C4565"/>
    <w:rsid w:val="003C5D34"/>
    <w:rsid w:val="003D14D9"/>
    <w:rsid w:val="003D1BF3"/>
    <w:rsid w:val="003D1E50"/>
    <w:rsid w:val="003D3F8D"/>
    <w:rsid w:val="003D4575"/>
    <w:rsid w:val="003D475A"/>
    <w:rsid w:val="003D5242"/>
    <w:rsid w:val="003D5B95"/>
    <w:rsid w:val="003D6AAA"/>
    <w:rsid w:val="003E0BD6"/>
    <w:rsid w:val="003E1125"/>
    <w:rsid w:val="003E2327"/>
    <w:rsid w:val="003E2D78"/>
    <w:rsid w:val="003E3840"/>
    <w:rsid w:val="003E6FE3"/>
    <w:rsid w:val="003E73B4"/>
    <w:rsid w:val="003F0E4B"/>
    <w:rsid w:val="003F0F56"/>
    <w:rsid w:val="003F257A"/>
    <w:rsid w:val="003F42E9"/>
    <w:rsid w:val="003F5322"/>
    <w:rsid w:val="003F57F0"/>
    <w:rsid w:val="003F597A"/>
    <w:rsid w:val="003F74DF"/>
    <w:rsid w:val="003F7A96"/>
    <w:rsid w:val="004031B6"/>
    <w:rsid w:val="004032DD"/>
    <w:rsid w:val="004043AD"/>
    <w:rsid w:val="00405999"/>
    <w:rsid w:val="00410E46"/>
    <w:rsid w:val="00411100"/>
    <w:rsid w:val="004120C3"/>
    <w:rsid w:val="0041612E"/>
    <w:rsid w:val="00416E52"/>
    <w:rsid w:val="0041739A"/>
    <w:rsid w:val="004205A1"/>
    <w:rsid w:val="00424211"/>
    <w:rsid w:val="00424EAA"/>
    <w:rsid w:val="0042592A"/>
    <w:rsid w:val="0042717F"/>
    <w:rsid w:val="00433367"/>
    <w:rsid w:val="004339B1"/>
    <w:rsid w:val="00435945"/>
    <w:rsid w:val="004361EB"/>
    <w:rsid w:val="00436CA7"/>
    <w:rsid w:val="0044153B"/>
    <w:rsid w:val="004415D8"/>
    <w:rsid w:val="00441EF7"/>
    <w:rsid w:val="004420BE"/>
    <w:rsid w:val="004421AE"/>
    <w:rsid w:val="00442803"/>
    <w:rsid w:val="004430DC"/>
    <w:rsid w:val="0044423B"/>
    <w:rsid w:val="00445BE4"/>
    <w:rsid w:val="0044762A"/>
    <w:rsid w:val="00451498"/>
    <w:rsid w:val="00451909"/>
    <w:rsid w:val="00451B6C"/>
    <w:rsid w:val="00454BE9"/>
    <w:rsid w:val="00455A74"/>
    <w:rsid w:val="00462303"/>
    <w:rsid w:val="00464907"/>
    <w:rsid w:val="00467901"/>
    <w:rsid w:val="00470356"/>
    <w:rsid w:val="00472AD3"/>
    <w:rsid w:val="004807EB"/>
    <w:rsid w:val="00481426"/>
    <w:rsid w:val="00481F9C"/>
    <w:rsid w:val="00482430"/>
    <w:rsid w:val="00483E24"/>
    <w:rsid w:val="00484583"/>
    <w:rsid w:val="004848E7"/>
    <w:rsid w:val="00492322"/>
    <w:rsid w:val="00492AB1"/>
    <w:rsid w:val="0049403A"/>
    <w:rsid w:val="004943D8"/>
    <w:rsid w:val="00494574"/>
    <w:rsid w:val="004971B7"/>
    <w:rsid w:val="00497729"/>
    <w:rsid w:val="004A15EE"/>
    <w:rsid w:val="004A3FFC"/>
    <w:rsid w:val="004A4BC0"/>
    <w:rsid w:val="004A5C28"/>
    <w:rsid w:val="004A6161"/>
    <w:rsid w:val="004A6941"/>
    <w:rsid w:val="004A75E5"/>
    <w:rsid w:val="004A7A9E"/>
    <w:rsid w:val="004B5123"/>
    <w:rsid w:val="004C0845"/>
    <w:rsid w:val="004C17DC"/>
    <w:rsid w:val="004C4721"/>
    <w:rsid w:val="004C4D3A"/>
    <w:rsid w:val="004C5055"/>
    <w:rsid w:val="004C6189"/>
    <w:rsid w:val="004D1523"/>
    <w:rsid w:val="004D187E"/>
    <w:rsid w:val="004D46A9"/>
    <w:rsid w:val="004E3482"/>
    <w:rsid w:val="004E631F"/>
    <w:rsid w:val="004E7654"/>
    <w:rsid w:val="004F050A"/>
    <w:rsid w:val="004F1FB7"/>
    <w:rsid w:val="004F3BD8"/>
    <w:rsid w:val="004F5793"/>
    <w:rsid w:val="0050285F"/>
    <w:rsid w:val="005037FC"/>
    <w:rsid w:val="00504416"/>
    <w:rsid w:val="005044CD"/>
    <w:rsid w:val="00506CE3"/>
    <w:rsid w:val="00507FED"/>
    <w:rsid w:val="00510FF1"/>
    <w:rsid w:val="00511F90"/>
    <w:rsid w:val="00517721"/>
    <w:rsid w:val="005225B6"/>
    <w:rsid w:val="00523580"/>
    <w:rsid w:val="0052427C"/>
    <w:rsid w:val="005302F2"/>
    <w:rsid w:val="00533A75"/>
    <w:rsid w:val="00533DBC"/>
    <w:rsid w:val="005355DA"/>
    <w:rsid w:val="00535EA4"/>
    <w:rsid w:val="0054387D"/>
    <w:rsid w:val="00543D3F"/>
    <w:rsid w:val="00546BAA"/>
    <w:rsid w:val="00550FA9"/>
    <w:rsid w:val="005537E7"/>
    <w:rsid w:val="0055714A"/>
    <w:rsid w:val="0056199E"/>
    <w:rsid w:val="00561BF0"/>
    <w:rsid w:val="00561D9E"/>
    <w:rsid w:val="00563659"/>
    <w:rsid w:val="0056630B"/>
    <w:rsid w:val="00567C2A"/>
    <w:rsid w:val="005706DC"/>
    <w:rsid w:val="00571FB3"/>
    <w:rsid w:val="00576A6D"/>
    <w:rsid w:val="0058080A"/>
    <w:rsid w:val="005815DC"/>
    <w:rsid w:val="0058182E"/>
    <w:rsid w:val="00581871"/>
    <w:rsid w:val="00582880"/>
    <w:rsid w:val="005835E6"/>
    <w:rsid w:val="00583968"/>
    <w:rsid w:val="00583FB8"/>
    <w:rsid w:val="00584CCB"/>
    <w:rsid w:val="00584EE6"/>
    <w:rsid w:val="00584F3B"/>
    <w:rsid w:val="005856F1"/>
    <w:rsid w:val="005953B5"/>
    <w:rsid w:val="00595655"/>
    <w:rsid w:val="00595DFF"/>
    <w:rsid w:val="00595FDE"/>
    <w:rsid w:val="00597150"/>
    <w:rsid w:val="005A0277"/>
    <w:rsid w:val="005A03BF"/>
    <w:rsid w:val="005A198D"/>
    <w:rsid w:val="005A3994"/>
    <w:rsid w:val="005A6007"/>
    <w:rsid w:val="005A7D24"/>
    <w:rsid w:val="005B0897"/>
    <w:rsid w:val="005B1096"/>
    <w:rsid w:val="005B201E"/>
    <w:rsid w:val="005B2FD6"/>
    <w:rsid w:val="005B3F14"/>
    <w:rsid w:val="005B5BD8"/>
    <w:rsid w:val="005C00B3"/>
    <w:rsid w:val="005C0456"/>
    <w:rsid w:val="005C0CE3"/>
    <w:rsid w:val="005C0FFF"/>
    <w:rsid w:val="005C125E"/>
    <w:rsid w:val="005C1881"/>
    <w:rsid w:val="005C28C2"/>
    <w:rsid w:val="005C5B27"/>
    <w:rsid w:val="005D0558"/>
    <w:rsid w:val="005D0776"/>
    <w:rsid w:val="005D1FDB"/>
    <w:rsid w:val="005D2F8B"/>
    <w:rsid w:val="005D4973"/>
    <w:rsid w:val="005D6DF2"/>
    <w:rsid w:val="005D6E46"/>
    <w:rsid w:val="005E0AF7"/>
    <w:rsid w:val="005E267D"/>
    <w:rsid w:val="005E273F"/>
    <w:rsid w:val="005E2F5C"/>
    <w:rsid w:val="005E44B6"/>
    <w:rsid w:val="005E4B81"/>
    <w:rsid w:val="005E5339"/>
    <w:rsid w:val="005E53A5"/>
    <w:rsid w:val="005E6260"/>
    <w:rsid w:val="005E64CD"/>
    <w:rsid w:val="005E6E98"/>
    <w:rsid w:val="005E751D"/>
    <w:rsid w:val="005E7BFB"/>
    <w:rsid w:val="005F1770"/>
    <w:rsid w:val="005F42E2"/>
    <w:rsid w:val="005F55D7"/>
    <w:rsid w:val="005F609E"/>
    <w:rsid w:val="005F6F4A"/>
    <w:rsid w:val="006016F6"/>
    <w:rsid w:val="00602A29"/>
    <w:rsid w:val="00602E18"/>
    <w:rsid w:val="00603A69"/>
    <w:rsid w:val="006043BC"/>
    <w:rsid w:val="00604679"/>
    <w:rsid w:val="00604814"/>
    <w:rsid w:val="00604E05"/>
    <w:rsid w:val="00605A78"/>
    <w:rsid w:val="006112CE"/>
    <w:rsid w:val="00611F9D"/>
    <w:rsid w:val="006120C3"/>
    <w:rsid w:val="0061436E"/>
    <w:rsid w:val="0061528D"/>
    <w:rsid w:val="0061596E"/>
    <w:rsid w:val="00615D7C"/>
    <w:rsid w:val="006165F4"/>
    <w:rsid w:val="00617070"/>
    <w:rsid w:val="006178F3"/>
    <w:rsid w:val="00624EB8"/>
    <w:rsid w:val="0062701A"/>
    <w:rsid w:val="00631018"/>
    <w:rsid w:val="006315E1"/>
    <w:rsid w:val="006316FD"/>
    <w:rsid w:val="006334EC"/>
    <w:rsid w:val="00633E87"/>
    <w:rsid w:val="00633EB7"/>
    <w:rsid w:val="00634CB8"/>
    <w:rsid w:val="00636067"/>
    <w:rsid w:val="00637541"/>
    <w:rsid w:val="00640EF9"/>
    <w:rsid w:val="00641719"/>
    <w:rsid w:val="00641977"/>
    <w:rsid w:val="00641A30"/>
    <w:rsid w:val="0064316B"/>
    <w:rsid w:val="006438C8"/>
    <w:rsid w:val="006444C9"/>
    <w:rsid w:val="006454AF"/>
    <w:rsid w:val="00647A9E"/>
    <w:rsid w:val="006508EC"/>
    <w:rsid w:val="006525BF"/>
    <w:rsid w:val="00652B4B"/>
    <w:rsid w:val="00656880"/>
    <w:rsid w:val="00656F81"/>
    <w:rsid w:val="006572C7"/>
    <w:rsid w:val="0065738A"/>
    <w:rsid w:val="006573DF"/>
    <w:rsid w:val="00660D4A"/>
    <w:rsid w:val="0066277B"/>
    <w:rsid w:val="00664E76"/>
    <w:rsid w:val="00664F07"/>
    <w:rsid w:val="00667087"/>
    <w:rsid w:val="00667FEB"/>
    <w:rsid w:val="00671686"/>
    <w:rsid w:val="006734A5"/>
    <w:rsid w:val="0067368F"/>
    <w:rsid w:val="006767B5"/>
    <w:rsid w:val="006809A9"/>
    <w:rsid w:val="00685DBC"/>
    <w:rsid w:val="0068673E"/>
    <w:rsid w:val="00686CC5"/>
    <w:rsid w:val="00687A90"/>
    <w:rsid w:val="00691079"/>
    <w:rsid w:val="0069110A"/>
    <w:rsid w:val="0069452C"/>
    <w:rsid w:val="00695105"/>
    <w:rsid w:val="00697100"/>
    <w:rsid w:val="006975FF"/>
    <w:rsid w:val="006A062C"/>
    <w:rsid w:val="006A0689"/>
    <w:rsid w:val="006A07B2"/>
    <w:rsid w:val="006A12BA"/>
    <w:rsid w:val="006A1740"/>
    <w:rsid w:val="006A182C"/>
    <w:rsid w:val="006A31D0"/>
    <w:rsid w:val="006A450C"/>
    <w:rsid w:val="006A496E"/>
    <w:rsid w:val="006A5C03"/>
    <w:rsid w:val="006B0C31"/>
    <w:rsid w:val="006B1855"/>
    <w:rsid w:val="006B1F37"/>
    <w:rsid w:val="006B4334"/>
    <w:rsid w:val="006B467F"/>
    <w:rsid w:val="006B538E"/>
    <w:rsid w:val="006B66FF"/>
    <w:rsid w:val="006C047D"/>
    <w:rsid w:val="006C055D"/>
    <w:rsid w:val="006C14D4"/>
    <w:rsid w:val="006C152A"/>
    <w:rsid w:val="006C213E"/>
    <w:rsid w:val="006C3072"/>
    <w:rsid w:val="006C3321"/>
    <w:rsid w:val="006C6F75"/>
    <w:rsid w:val="006C767F"/>
    <w:rsid w:val="006D4B5F"/>
    <w:rsid w:val="006D5076"/>
    <w:rsid w:val="006D55A8"/>
    <w:rsid w:val="006D5A34"/>
    <w:rsid w:val="006D70E5"/>
    <w:rsid w:val="006E07CF"/>
    <w:rsid w:val="006E082C"/>
    <w:rsid w:val="006E0952"/>
    <w:rsid w:val="006E097B"/>
    <w:rsid w:val="006E19FA"/>
    <w:rsid w:val="006E245C"/>
    <w:rsid w:val="006E2514"/>
    <w:rsid w:val="006E3904"/>
    <w:rsid w:val="006E4D3B"/>
    <w:rsid w:val="006E5935"/>
    <w:rsid w:val="006E69F2"/>
    <w:rsid w:val="006E6B4D"/>
    <w:rsid w:val="006E7264"/>
    <w:rsid w:val="006F23A2"/>
    <w:rsid w:val="006F30D5"/>
    <w:rsid w:val="006F49DC"/>
    <w:rsid w:val="00704F99"/>
    <w:rsid w:val="00705692"/>
    <w:rsid w:val="00712144"/>
    <w:rsid w:val="007138E5"/>
    <w:rsid w:val="00715AF8"/>
    <w:rsid w:val="00715E89"/>
    <w:rsid w:val="007215EF"/>
    <w:rsid w:val="007227ED"/>
    <w:rsid w:val="00722D9F"/>
    <w:rsid w:val="00724CCF"/>
    <w:rsid w:val="0072625E"/>
    <w:rsid w:val="0073434E"/>
    <w:rsid w:val="00734FAA"/>
    <w:rsid w:val="007356E6"/>
    <w:rsid w:val="00736427"/>
    <w:rsid w:val="007365D8"/>
    <w:rsid w:val="00740CF8"/>
    <w:rsid w:val="00741429"/>
    <w:rsid w:val="00741CCC"/>
    <w:rsid w:val="007432B1"/>
    <w:rsid w:val="00743576"/>
    <w:rsid w:val="00746768"/>
    <w:rsid w:val="00746EAF"/>
    <w:rsid w:val="00752C93"/>
    <w:rsid w:val="00753569"/>
    <w:rsid w:val="00753790"/>
    <w:rsid w:val="00754175"/>
    <w:rsid w:val="00754BF0"/>
    <w:rsid w:val="0075764E"/>
    <w:rsid w:val="00757A56"/>
    <w:rsid w:val="00757C0E"/>
    <w:rsid w:val="00757E76"/>
    <w:rsid w:val="00760D8A"/>
    <w:rsid w:val="00760EE3"/>
    <w:rsid w:val="00761205"/>
    <w:rsid w:val="00766A3F"/>
    <w:rsid w:val="007731A9"/>
    <w:rsid w:val="007734EA"/>
    <w:rsid w:val="00774109"/>
    <w:rsid w:val="00774D1C"/>
    <w:rsid w:val="00774E27"/>
    <w:rsid w:val="0077573F"/>
    <w:rsid w:val="007768B5"/>
    <w:rsid w:val="00777205"/>
    <w:rsid w:val="007812CC"/>
    <w:rsid w:val="00782B30"/>
    <w:rsid w:val="007830CD"/>
    <w:rsid w:val="00783397"/>
    <w:rsid w:val="0078473D"/>
    <w:rsid w:val="00786474"/>
    <w:rsid w:val="00786D99"/>
    <w:rsid w:val="00787996"/>
    <w:rsid w:val="00793562"/>
    <w:rsid w:val="00793BCF"/>
    <w:rsid w:val="00793ED2"/>
    <w:rsid w:val="00794A55"/>
    <w:rsid w:val="00795A65"/>
    <w:rsid w:val="00796139"/>
    <w:rsid w:val="00796F79"/>
    <w:rsid w:val="00797225"/>
    <w:rsid w:val="007973ED"/>
    <w:rsid w:val="0079760B"/>
    <w:rsid w:val="007A09E6"/>
    <w:rsid w:val="007A216A"/>
    <w:rsid w:val="007A31E5"/>
    <w:rsid w:val="007A3A24"/>
    <w:rsid w:val="007A4510"/>
    <w:rsid w:val="007A4A28"/>
    <w:rsid w:val="007A77C7"/>
    <w:rsid w:val="007B00B9"/>
    <w:rsid w:val="007B0F17"/>
    <w:rsid w:val="007B1CE2"/>
    <w:rsid w:val="007B26BC"/>
    <w:rsid w:val="007B2B68"/>
    <w:rsid w:val="007B462E"/>
    <w:rsid w:val="007B5608"/>
    <w:rsid w:val="007B69C3"/>
    <w:rsid w:val="007C1711"/>
    <w:rsid w:val="007C1806"/>
    <w:rsid w:val="007C3DA2"/>
    <w:rsid w:val="007C4A97"/>
    <w:rsid w:val="007C5011"/>
    <w:rsid w:val="007C52AD"/>
    <w:rsid w:val="007C6777"/>
    <w:rsid w:val="007C6D54"/>
    <w:rsid w:val="007D132D"/>
    <w:rsid w:val="007D4492"/>
    <w:rsid w:val="007D69F0"/>
    <w:rsid w:val="007D7811"/>
    <w:rsid w:val="007E0624"/>
    <w:rsid w:val="007E094E"/>
    <w:rsid w:val="007E10B2"/>
    <w:rsid w:val="007E174E"/>
    <w:rsid w:val="007E17D8"/>
    <w:rsid w:val="007E4FE1"/>
    <w:rsid w:val="007E50E6"/>
    <w:rsid w:val="007E7F97"/>
    <w:rsid w:val="007F17C4"/>
    <w:rsid w:val="007F26EC"/>
    <w:rsid w:val="007F2FCD"/>
    <w:rsid w:val="007F3C34"/>
    <w:rsid w:val="007F4EC8"/>
    <w:rsid w:val="007F515C"/>
    <w:rsid w:val="007F5658"/>
    <w:rsid w:val="007F5E92"/>
    <w:rsid w:val="007F5F23"/>
    <w:rsid w:val="008012A7"/>
    <w:rsid w:val="008014B0"/>
    <w:rsid w:val="00801F63"/>
    <w:rsid w:val="008023C9"/>
    <w:rsid w:val="0080274A"/>
    <w:rsid w:val="008031DE"/>
    <w:rsid w:val="0080649D"/>
    <w:rsid w:val="0080657A"/>
    <w:rsid w:val="0080659B"/>
    <w:rsid w:val="00807737"/>
    <w:rsid w:val="0081105C"/>
    <w:rsid w:val="00811B77"/>
    <w:rsid w:val="0081568E"/>
    <w:rsid w:val="00816DC6"/>
    <w:rsid w:val="008207D4"/>
    <w:rsid w:val="008231EE"/>
    <w:rsid w:val="00823FDF"/>
    <w:rsid w:val="00830251"/>
    <w:rsid w:val="0083070D"/>
    <w:rsid w:val="00830F54"/>
    <w:rsid w:val="008310A9"/>
    <w:rsid w:val="00831335"/>
    <w:rsid w:val="00831A69"/>
    <w:rsid w:val="008329DE"/>
    <w:rsid w:val="00834A70"/>
    <w:rsid w:val="00834AA8"/>
    <w:rsid w:val="0084065F"/>
    <w:rsid w:val="00840BD0"/>
    <w:rsid w:val="00840BD9"/>
    <w:rsid w:val="00840D67"/>
    <w:rsid w:val="008410EC"/>
    <w:rsid w:val="0084326F"/>
    <w:rsid w:val="00844F8D"/>
    <w:rsid w:val="008451F8"/>
    <w:rsid w:val="0084530B"/>
    <w:rsid w:val="008469AD"/>
    <w:rsid w:val="00846C22"/>
    <w:rsid w:val="00850A7C"/>
    <w:rsid w:val="00851176"/>
    <w:rsid w:val="008511CA"/>
    <w:rsid w:val="008549B4"/>
    <w:rsid w:val="00854CD9"/>
    <w:rsid w:val="00856169"/>
    <w:rsid w:val="008569B1"/>
    <w:rsid w:val="008571EE"/>
    <w:rsid w:val="008575C1"/>
    <w:rsid w:val="00860E22"/>
    <w:rsid w:val="00860F09"/>
    <w:rsid w:val="00861BBA"/>
    <w:rsid w:val="008624BD"/>
    <w:rsid w:val="00864CE9"/>
    <w:rsid w:val="008652B7"/>
    <w:rsid w:val="008656E4"/>
    <w:rsid w:val="00866BC0"/>
    <w:rsid w:val="00866C42"/>
    <w:rsid w:val="00867951"/>
    <w:rsid w:val="00867AF0"/>
    <w:rsid w:val="00867EBB"/>
    <w:rsid w:val="00870729"/>
    <w:rsid w:val="00873159"/>
    <w:rsid w:val="00873528"/>
    <w:rsid w:val="00875608"/>
    <w:rsid w:val="00875FA2"/>
    <w:rsid w:val="00876459"/>
    <w:rsid w:val="00876511"/>
    <w:rsid w:val="008816D9"/>
    <w:rsid w:val="0088258B"/>
    <w:rsid w:val="00882C9E"/>
    <w:rsid w:val="00885307"/>
    <w:rsid w:val="00886CB3"/>
    <w:rsid w:val="00886DA7"/>
    <w:rsid w:val="00886FEE"/>
    <w:rsid w:val="0088761F"/>
    <w:rsid w:val="00887E51"/>
    <w:rsid w:val="008920B5"/>
    <w:rsid w:val="008930E6"/>
    <w:rsid w:val="0089447A"/>
    <w:rsid w:val="00895A5C"/>
    <w:rsid w:val="008A3BD0"/>
    <w:rsid w:val="008A4E2D"/>
    <w:rsid w:val="008A57EE"/>
    <w:rsid w:val="008A5C3B"/>
    <w:rsid w:val="008A6C0C"/>
    <w:rsid w:val="008A7C66"/>
    <w:rsid w:val="008B1BC2"/>
    <w:rsid w:val="008B2716"/>
    <w:rsid w:val="008B30F2"/>
    <w:rsid w:val="008B597B"/>
    <w:rsid w:val="008B691A"/>
    <w:rsid w:val="008C0E54"/>
    <w:rsid w:val="008C1EC7"/>
    <w:rsid w:val="008C3CB6"/>
    <w:rsid w:val="008C7407"/>
    <w:rsid w:val="008C7D74"/>
    <w:rsid w:val="008C7FCF"/>
    <w:rsid w:val="008D01B2"/>
    <w:rsid w:val="008D0843"/>
    <w:rsid w:val="008D22ED"/>
    <w:rsid w:val="008D5BDB"/>
    <w:rsid w:val="008D61D8"/>
    <w:rsid w:val="008D631A"/>
    <w:rsid w:val="008E0661"/>
    <w:rsid w:val="008E1083"/>
    <w:rsid w:val="008E1600"/>
    <w:rsid w:val="008E19C7"/>
    <w:rsid w:val="008E2E88"/>
    <w:rsid w:val="008E2FC8"/>
    <w:rsid w:val="008E4B48"/>
    <w:rsid w:val="008E50DC"/>
    <w:rsid w:val="008E6F4D"/>
    <w:rsid w:val="008E71DE"/>
    <w:rsid w:val="008E7D50"/>
    <w:rsid w:val="008F0494"/>
    <w:rsid w:val="008F0DD5"/>
    <w:rsid w:val="008F1974"/>
    <w:rsid w:val="009000F1"/>
    <w:rsid w:val="00900AB8"/>
    <w:rsid w:val="00904153"/>
    <w:rsid w:val="00906394"/>
    <w:rsid w:val="009068C5"/>
    <w:rsid w:val="00911393"/>
    <w:rsid w:val="009127D5"/>
    <w:rsid w:val="00912C0A"/>
    <w:rsid w:val="00913956"/>
    <w:rsid w:val="00915C9F"/>
    <w:rsid w:val="009210EE"/>
    <w:rsid w:val="009214F5"/>
    <w:rsid w:val="00921F35"/>
    <w:rsid w:val="00922D6E"/>
    <w:rsid w:val="00922DB5"/>
    <w:rsid w:val="00923324"/>
    <w:rsid w:val="009237E7"/>
    <w:rsid w:val="009245D9"/>
    <w:rsid w:val="00924D5C"/>
    <w:rsid w:val="00925A89"/>
    <w:rsid w:val="00926B48"/>
    <w:rsid w:val="00930807"/>
    <w:rsid w:val="0093113E"/>
    <w:rsid w:val="009346C4"/>
    <w:rsid w:val="00935B15"/>
    <w:rsid w:val="0094038D"/>
    <w:rsid w:val="00940B6A"/>
    <w:rsid w:val="00943A94"/>
    <w:rsid w:val="00945BDC"/>
    <w:rsid w:val="00946982"/>
    <w:rsid w:val="009474E6"/>
    <w:rsid w:val="00947A6E"/>
    <w:rsid w:val="0095398C"/>
    <w:rsid w:val="00955FE6"/>
    <w:rsid w:val="00956C82"/>
    <w:rsid w:val="0095709A"/>
    <w:rsid w:val="009576FD"/>
    <w:rsid w:val="00957CEA"/>
    <w:rsid w:val="009618D2"/>
    <w:rsid w:val="00963B6F"/>
    <w:rsid w:val="009646EB"/>
    <w:rsid w:val="00964E91"/>
    <w:rsid w:val="00965429"/>
    <w:rsid w:val="00965BEA"/>
    <w:rsid w:val="00970E21"/>
    <w:rsid w:val="00970F0A"/>
    <w:rsid w:val="009717C3"/>
    <w:rsid w:val="00972148"/>
    <w:rsid w:val="00973062"/>
    <w:rsid w:val="0097359F"/>
    <w:rsid w:val="0097398C"/>
    <w:rsid w:val="00973E43"/>
    <w:rsid w:val="009756AA"/>
    <w:rsid w:val="00975C4C"/>
    <w:rsid w:val="0097710C"/>
    <w:rsid w:val="009771D5"/>
    <w:rsid w:val="0098050B"/>
    <w:rsid w:val="0098282A"/>
    <w:rsid w:val="00982FA3"/>
    <w:rsid w:val="009836AF"/>
    <w:rsid w:val="00983774"/>
    <w:rsid w:val="009837D5"/>
    <w:rsid w:val="00983DFF"/>
    <w:rsid w:val="0098472B"/>
    <w:rsid w:val="00984BB6"/>
    <w:rsid w:val="00984D89"/>
    <w:rsid w:val="00987620"/>
    <w:rsid w:val="009878EF"/>
    <w:rsid w:val="00990CA8"/>
    <w:rsid w:val="00991244"/>
    <w:rsid w:val="0099143C"/>
    <w:rsid w:val="0099259D"/>
    <w:rsid w:val="0099310A"/>
    <w:rsid w:val="00993D54"/>
    <w:rsid w:val="00993E05"/>
    <w:rsid w:val="00995D3B"/>
    <w:rsid w:val="009976B9"/>
    <w:rsid w:val="009A0B66"/>
    <w:rsid w:val="009A221A"/>
    <w:rsid w:val="009A2934"/>
    <w:rsid w:val="009A2C9E"/>
    <w:rsid w:val="009A3E6C"/>
    <w:rsid w:val="009A628F"/>
    <w:rsid w:val="009A7260"/>
    <w:rsid w:val="009A794C"/>
    <w:rsid w:val="009A7A53"/>
    <w:rsid w:val="009B01DA"/>
    <w:rsid w:val="009B2EBE"/>
    <w:rsid w:val="009B334C"/>
    <w:rsid w:val="009B366D"/>
    <w:rsid w:val="009C0EC1"/>
    <w:rsid w:val="009C488A"/>
    <w:rsid w:val="009C6A97"/>
    <w:rsid w:val="009C7508"/>
    <w:rsid w:val="009D22F6"/>
    <w:rsid w:val="009D4750"/>
    <w:rsid w:val="009D488C"/>
    <w:rsid w:val="009D5577"/>
    <w:rsid w:val="009D5E83"/>
    <w:rsid w:val="009D70DF"/>
    <w:rsid w:val="009E0179"/>
    <w:rsid w:val="009E1E51"/>
    <w:rsid w:val="009E4DF2"/>
    <w:rsid w:val="009E5BBB"/>
    <w:rsid w:val="009E6946"/>
    <w:rsid w:val="009E7ECB"/>
    <w:rsid w:val="009F30C7"/>
    <w:rsid w:val="009F5DCE"/>
    <w:rsid w:val="009F621A"/>
    <w:rsid w:val="009F6354"/>
    <w:rsid w:val="00A00456"/>
    <w:rsid w:val="00A0247D"/>
    <w:rsid w:val="00A04018"/>
    <w:rsid w:val="00A04432"/>
    <w:rsid w:val="00A0559F"/>
    <w:rsid w:val="00A0631A"/>
    <w:rsid w:val="00A073BE"/>
    <w:rsid w:val="00A07B92"/>
    <w:rsid w:val="00A10F0B"/>
    <w:rsid w:val="00A12B2D"/>
    <w:rsid w:val="00A139F8"/>
    <w:rsid w:val="00A13B3A"/>
    <w:rsid w:val="00A13FF3"/>
    <w:rsid w:val="00A167B4"/>
    <w:rsid w:val="00A16E12"/>
    <w:rsid w:val="00A1749C"/>
    <w:rsid w:val="00A177F2"/>
    <w:rsid w:val="00A20823"/>
    <w:rsid w:val="00A20E11"/>
    <w:rsid w:val="00A21573"/>
    <w:rsid w:val="00A218FA"/>
    <w:rsid w:val="00A22639"/>
    <w:rsid w:val="00A23CDD"/>
    <w:rsid w:val="00A263D6"/>
    <w:rsid w:val="00A26494"/>
    <w:rsid w:val="00A26DC2"/>
    <w:rsid w:val="00A27FA2"/>
    <w:rsid w:val="00A30B96"/>
    <w:rsid w:val="00A318E4"/>
    <w:rsid w:val="00A324A0"/>
    <w:rsid w:val="00A350C3"/>
    <w:rsid w:val="00A3521A"/>
    <w:rsid w:val="00A37A74"/>
    <w:rsid w:val="00A40A56"/>
    <w:rsid w:val="00A428A3"/>
    <w:rsid w:val="00A434E6"/>
    <w:rsid w:val="00A44406"/>
    <w:rsid w:val="00A460E8"/>
    <w:rsid w:val="00A46C5D"/>
    <w:rsid w:val="00A470AA"/>
    <w:rsid w:val="00A50056"/>
    <w:rsid w:val="00A5132F"/>
    <w:rsid w:val="00A528BF"/>
    <w:rsid w:val="00A53CCE"/>
    <w:rsid w:val="00A55BE9"/>
    <w:rsid w:val="00A605D0"/>
    <w:rsid w:val="00A60B64"/>
    <w:rsid w:val="00A60C6C"/>
    <w:rsid w:val="00A63BEE"/>
    <w:rsid w:val="00A6521D"/>
    <w:rsid w:val="00A6532C"/>
    <w:rsid w:val="00A656C6"/>
    <w:rsid w:val="00A657E9"/>
    <w:rsid w:val="00A65B86"/>
    <w:rsid w:val="00A71A6F"/>
    <w:rsid w:val="00A723B0"/>
    <w:rsid w:val="00A72D4E"/>
    <w:rsid w:val="00A72DE3"/>
    <w:rsid w:val="00A7307C"/>
    <w:rsid w:val="00A73874"/>
    <w:rsid w:val="00A758FC"/>
    <w:rsid w:val="00A807A6"/>
    <w:rsid w:val="00A80843"/>
    <w:rsid w:val="00A811C4"/>
    <w:rsid w:val="00A81308"/>
    <w:rsid w:val="00A814C0"/>
    <w:rsid w:val="00A82165"/>
    <w:rsid w:val="00A82A3E"/>
    <w:rsid w:val="00A82E45"/>
    <w:rsid w:val="00A85112"/>
    <w:rsid w:val="00A852E4"/>
    <w:rsid w:val="00A857CE"/>
    <w:rsid w:val="00A85B78"/>
    <w:rsid w:val="00A90215"/>
    <w:rsid w:val="00A91EA9"/>
    <w:rsid w:val="00A92F88"/>
    <w:rsid w:val="00A94C9B"/>
    <w:rsid w:val="00A975D3"/>
    <w:rsid w:val="00AA055A"/>
    <w:rsid w:val="00AA12A1"/>
    <w:rsid w:val="00AA19A4"/>
    <w:rsid w:val="00AA1D5F"/>
    <w:rsid w:val="00AA22EC"/>
    <w:rsid w:val="00AA24C3"/>
    <w:rsid w:val="00AA67DF"/>
    <w:rsid w:val="00AB351D"/>
    <w:rsid w:val="00AB4734"/>
    <w:rsid w:val="00AB510E"/>
    <w:rsid w:val="00AB63BD"/>
    <w:rsid w:val="00AB65DC"/>
    <w:rsid w:val="00AC06CF"/>
    <w:rsid w:val="00AC0991"/>
    <w:rsid w:val="00AC0A62"/>
    <w:rsid w:val="00AC0E4D"/>
    <w:rsid w:val="00AC196D"/>
    <w:rsid w:val="00AC1A52"/>
    <w:rsid w:val="00AC3308"/>
    <w:rsid w:val="00AC3DF3"/>
    <w:rsid w:val="00AC4361"/>
    <w:rsid w:val="00AC48BB"/>
    <w:rsid w:val="00AC4D06"/>
    <w:rsid w:val="00AC602C"/>
    <w:rsid w:val="00AC7FAE"/>
    <w:rsid w:val="00AD1072"/>
    <w:rsid w:val="00AD2AC0"/>
    <w:rsid w:val="00AD7437"/>
    <w:rsid w:val="00AE01E6"/>
    <w:rsid w:val="00AE0687"/>
    <w:rsid w:val="00AE2F07"/>
    <w:rsid w:val="00AE638A"/>
    <w:rsid w:val="00AE661F"/>
    <w:rsid w:val="00AE68D9"/>
    <w:rsid w:val="00AF107B"/>
    <w:rsid w:val="00AF1D8E"/>
    <w:rsid w:val="00AF2A6F"/>
    <w:rsid w:val="00AF4907"/>
    <w:rsid w:val="00AF7C2E"/>
    <w:rsid w:val="00AF7CFA"/>
    <w:rsid w:val="00B00120"/>
    <w:rsid w:val="00B01762"/>
    <w:rsid w:val="00B01D2C"/>
    <w:rsid w:val="00B06E88"/>
    <w:rsid w:val="00B109EA"/>
    <w:rsid w:val="00B10C41"/>
    <w:rsid w:val="00B133BB"/>
    <w:rsid w:val="00B13CAA"/>
    <w:rsid w:val="00B151AE"/>
    <w:rsid w:val="00B16036"/>
    <w:rsid w:val="00B161B4"/>
    <w:rsid w:val="00B17B3A"/>
    <w:rsid w:val="00B20B1F"/>
    <w:rsid w:val="00B20D75"/>
    <w:rsid w:val="00B21C71"/>
    <w:rsid w:val="00B21D02"/>
    <w:rsid w:val="00B21F4A"/>
    <w:rsid w:val="00B220C3"/>
    <w:rsid w:val="00B23802"/>
    <w:rsid w:val="00B23FE0"/>
    <w:rsid w:val="00B24A81"/>
    <w:rsid w:val="00B27B60"/>
    <w:rsid w:val="00B309B6"/>
    <w:rsid w:val="00B343C9"/>
    <w:rsid w:val="00B3514B"/>
    <w:rsid w:val="00B35FC2"/>
    <w:rsid w:val="00B36D86"/>
    <w:rsid w:val="00B37973"/>
    <w:rsid w:val="00B400CC"/>
    <w:rsid w:val="00B41C62"/>
    <w:rsid w:val="00B45F8C"/>
    <w:rsid w:val="00B472F1"/>
    <w:rsid w:val="00B50F3E"/>
    <w:rsid w:val="00B51FF2"/>
    <w:rsid w:val="00B55DB4"/>
    <w:rsid w:val="00B606B4"/>
    <w:rsid w:val="00B62D94"/>
    <w:rsid w:val="00B62EF4"/>
    <w:rsid w:val="00B645B9"/>
    <w:rsid w:val="00B64805"/>
    <w:rsid w:val="00B65A0F"/>
    <w:rsid w:val="00B6620D"/>
    <w:rsid w:val="00B66293"/>
    <w:rsid w:val="00B66BAF"/>
    <w:rsid w:val="00B72D42"/>
    <w:rsid w:val="00B74402"/>
    <w:rsid w:val="00B746B4"/>
    <w:rsid w:val="00B74CDB"/>
    <w:rsid w:val="00B759E2"/>
    <w:rsid w:val="00B7764F"/>
    <w:rsid w:val="00B77854"/>
    <w:rsid w:val="00B77C93"/>
    <w:rsid w:val="00B829F5"/>
    <w:rsid w:val="00B85C84"/>
    <w:rsid w:val="00B875C8"/>
    <w:rsid w:val="00B90B7C"/>
    <w:rsid w:val="00B93A69"/>
    <w:rsid w:val="00B94BE9"/>
    <w:rsid w:val="00B95971"/>
    <w:rsid w:val="00B96DCD"/>
    <w:rsid w:val="00B97A86"/>
    <w:rsid w:val="00BA0713"/>
    <w:rsid w:val="00BA0AAF"/>
    <w:rsid w:val="00BA1D8C"/>
    <w:rsid w:val="00BA2534"/>
    <w:rsid w:val="00BA273F"/>
    <w:rsid w:val="00BA2E13"/>
    <w:rsid w:val="00BA3BBA"/>
    <w:rsid w:val="00BA41E3"/>
    <w:rsid w:val="00BA502D"/>
    <w:rsid w:val="00BB0717"/>
    <w:rsid w:val="00BB0E8B"/>
    <w:rsid w:val="00BB295F"/>
    <w:rsid w:val="00BB2AC7"/>
    <w:rsid w:val="00BB2DC4"/>
    <w:rsid w:val="00BB333C"/>
    <w:rsid w:val="00BB4A31"/>
    <w:rsid w:val="00BB68A2"/>
    <w:rsid w:val="00BB7E2E"/>
    <w:rsid w:val="00BC0751"/>
    <w:rsid w:val="00BC0B6E"/>
    <w:rsid w:val="00BC3F0B"/>
    <w:rsid w:val="00BC552E"/>
    <w:rsid w:val="00BC6089"/>
    <w:rsid w:val="00BC7930"/>
    <w:rsid w:val="00BD0688"/>
    <w:rsid w:val="00BD1F5B"/>
    <w:rsid w:val="00BD244E"/>
    <w:rsid w:val="00BD3194"/>
    <w:rsid w:val="00BD401F"/>
    <w:rsid w:val="00BD4966"/>
    <w:rsid w:val="00BD4AFE"/>
    <w:rsid w:val="00BD507F"/>
    <w:rsid w:val="00BD57ED"/>
    <w:rsid w:val="00BD6EC7"/>
    <w:rsid w:val="00BE3EBB"/>
    <w:rsid w:val="00BE4E92"/>
    <w:rsid w:val="00BE5B1E"/>
    <w:rsid w:val="00BE748B"/>
    <w:rsid w:val="00BF0AD2"/>
    <w:rsid w:val="00BF0D65"/>
    <w:rsid w:val="00BF1363"/>
    <w:rsid w:val="00BF2B90"/>
    <w:rsid w:val="00BF371B"/>
    <w:rsid w:val="00BF3DA8"/>
    <w:rsid w:val="00BF4600"/>
    <w:rsid w:val="00BF7C40"/>
    <w:rsid w:val="00C00402"/>
    <w:rsid w:val="00C00EFB"/>
    <w:rsid w:val="00C0102C"/>
    <w:rsid w:val="00C043BF"/>
    <w:rsid w:val="00C059B6"/>
    <w:rsid w:val="00C05BAB"/>
    <w:rsid w:val="00C10C5D"/>
    <w:rsid w:val="00C1128D"/>
    <w:rsid w:val="00C13814"/>
    <w:rsid w:val="00C15947"/>
    <w:rsid w:val="00C21585"/>
    <w:rsid w:val="00C2166C"/>
    <w:rsid w:val="00C22086"/>
    <w:rsid w:val="00C23A8F"/>
    <w:rsid w:val="00C23FA3"/>
    <w:rsid w:val="00C24C23"/>
    <w:rsid w:val="00C252E5"/>
    <w:rsid w:val="00C26568"/>
    <w:rsid w:val="00C32A59"/>
    <w:rsid w:val="00C32DD2"/>
    <w:rsid w:val="00C332E5"/>
    <w:rsid w:val="00C34137"/>
    <w:rsid w:val="00C3510E"/>
    <w:rsid w:val="00C36738"/>
    <w:rsid w:val="00C36A1D"/>
    <w:rsid w:val="00C41670"/>
    <w:rsid w:val="00C42C1E"/>
    <w:rsid w:val="00C44156"/>
    <w:rsid w:val="00C4534B"/>
    <w:rsid w:val="00C453EE"/>
    <w:rsid w:val="00C45C9D"/>
    <w:rsid w:val="00C46CAB"/>
    <w:rsid w:val="00C46E2D"/>
    <w:rsid w:val="00C46EBB"/>
    <w:rsid w:val="00C521ED"/>
    <w:rsid w:val="00C523BC"/>
    <w:rsid w:val="00C5244A"/>
    <w:rsid w:val="00C57CE1"/>
    <w:rsid w:val="00C6019B"/>
    <w:rsid w:val="00C618DC"/>
    <w:rsid w:val="00C61A1D"/>
    <w:rsid w:val="00C65FCC"/>
    <w:rsid w:val="00C70601"/>
    <w:rsid w:val="00C713EB"/>
    <w:rsid w:val="00C71A22"/>
    <w:rsid w:val="00C7336E"/>
    <w:rsid w:val="00C765D6"/>
    <w:rsid w:val="00C76CD1"/>
    <w:rsid w:val="00C76D31"/>
    <w:rsid w:val="00C7785F"/>
    <w:rsid w:val="00C77BFF"/>
    <w:rsid w:val="00C81EA8"/>
    <w:rsid w:val="00C82BEC"/>
    <w:rsid w:val="00C86588"/>
    <w:rsid w:val="00C86B9F"/>
    <w:rsid w:val="00C877E8"/>
    <w:rsid w:val="00C87EC4"/>
    <w:rsid w:val="00C95116"/>
    <w:rsid w:val="00C9671C"/>
    <w:rsid w:val="00C97417"/>
    <w:rsid w:val="00CA1EBA"/>
    <w:rsid w:val="00CA298B"/>
    <w:rsid w:val="00CA3913"/>
    <w:rsid w:val="00CA4877"/>
    <w:rsid w:val="00CA5DA5"/>
    <w:rsid w:val="00CB054C"/>
    <w:rsid w:val="00CB21A8"/>
    <w:rsid w:val="00CB2D49"/>
    <w:rsid w:val="00CB3B52"/>
    <w:rsid w:val="00CB463E"/>
    <w:rsid w:val="00CB4F96"/>
    <w:rsid w:val="00CB6A88"/>
    <w:rsid w:val="00CC0798"/>
    <w:rsid w:val="00CC443A"/>
    <w:rsid w:val="00CC49DA"/>
    <w:rsid w:val="00CC5F0B"/>
    <w:rsid w:val="00CC7139"/>
    <w:rsid w:val="00CD0D85"/>
    <w:rsid w:val="00CD4F84"/>
    <w:rsid w:val="00CD5C5B"/>
    <w:rsid w:val="00CD69CF"/>
    <w:rsid w:val="00CD6CA2"/>
    <w:rsid w:val="00CE1285"/>
    <w:rsid w:val="00CE216E"/>
    <w:rsid w:val="00CE4A3E"/>
    <w:rsid w:val="00CE5841"/>
    <w:rsid w:val="00CE58BB"/>
    <w:rsid w:val="00CE5FA1"/>
    <w:rsid w:val="00CE7198"/>
    <w:rsid w:val="00CE72DD"/>
    <w:rsid w:val="00CF07DC"/>
    <w:rsid w:val="00CF0FAF"/>
    <w:rsid w:val="00CF1413"/>
    <w:rsid w:val="00CF1E73"/>
    <w:rsid w:val="00CF2421"/>
    <w:rsid w:val="00CF2B2D"/>
    <w:rsid w:val="00CF30F3"/>
    <w:rsid w:val="00CF405B"/>
    <w:rsid w:val="00D0203D"/>
    <w:rsid w:val="00D0347A"/>
    <w:rsid w:val="00D04009"/>
    <w:rsid w:val="00D0439F"/>
    <w:rsid w:val="00D05483"/>
    <w:rsid w:val="00D05AAD"/>
    <w:rsid w:val="00D0634A"/>
    <w:rsid w:val="00D07770"/>
    <w:rsid w:val="00D12B72"/>
    <w:rsid w:val="00D130D7"/>
    <w:rsid w:val="00D2149D"/>
    <w:rsid w:val="00D21790"/>
    <w:rsid w:val="00D22A5F"/>
    <w:rsid w:val="00D2365B"/>
    <w:rsid w:val="00D237F8"/>
    <w:rsid w:val="00D24983"/>
    <w:rsid w:val="00D269FA"/>
    <w:rsid w:val="00D3059D"/>
    <w:rsid w:val="00D332EE"/>
    <w:rsid w:val="00D332F5"/>
    <w:rsid w:val="00D355BC"/>
    <w:rsid w:val="00D367E3"/>
    <w:rsid w:val="00D36956"/>
    <w:rsid w:val="00D37AB4"/>
    <w:rsid w:val="00D5205F"/>
    <w:rsid w:val="00D5585C"/>
    <w:rsid w:val="00D56150"/>
    <w:rsid w:val="00D56BDE"/>
    <w:rsid w:val="00D61094"/>
    <w:rsid w:val="00D6187A"/>
    <w:rsid w:val="00D61890"/>
    <w:rsid w:val="00D621BC"/>
    <w:rsid w:val="00D66DE5"/>
    <w:rsid w:val="00D67B4C"/>
    <w:rsid w:val="00D70349"/>
    <w:rsid w:val="00D70BEF"/>
    <w:rsid w:val="00D71828"/>
    <w:rsid w:val="00D71BF9"/>
    <w:rsid w:val="00D735FA"/>
    <w:rsid w:val="00D73F76"/>
    <w:rsid w:val="00D74BFE"/>
    <w:rsid w:val="00D75185"/>
    <w:rsid w:val="00D76C2A"/>
    <w:rsid w:val="00D80D0A"/>
    <w:rsid w:val="00D816DF"/>
    <w:rsid w:val="00D8333C"/>
    <w:rsid w:val="00D865C3"/>
    <w:rsid w:val="00D87BCB"/>
    <w:rsid w:val="00D91104"/>
    <w:rsid w:val="00D92262"/>
    <w:rsid w:val="00D9346A"/>
    <w:rsid w:val="00D935F0"/>
    <w:rsid w:val="00D97209"/>
    <w:rsid w:val="00DA0412"/>
    <w:rsid w:val="00DA06EC"/>
    <w:rsid w:val="00DA16A2"/>
    <w:rsid w:val="00DA2612"/>
    <w:rsid w:val="00DA3440"/>
    <w:rsid w:val="00DA58F7"/>
    <w:rsid w:val="00DA5F98"/>
    <w:rsid w:val="00DA71C9"/>
    <w:rsid w:val="00DA7CCE"/>
    <w:rsid w:val="00DA7F01"/>
    <w:rsid w:val="00DB6E44"/>
    <w:rsid w:val="00DC09AA"/>
    <w:rsid w:val="00DC371D"/>
    <w:rsid w:val="00DC5B15"/>
    <w:rsid w:val="00DC5DAD"/>
    <w:rsid w:val="00DC6290"/>
    <w:rsid w:val="00DC6891"/>
    <w:rsid w:val="00DC78E8"/>
    <w:rsid w:val="00DD12F9"/>
    <w:rsid w:val="00DD1306"/>
    <w:rsid w:val="00DD1780"/>
    <w:rsid w:val="00DD190E"/>
    <w:rsid w:val="00DD316F"/>
    <w:rsid w:val="00DD519D"/>
    <w:rsid w:val="00DD6A3E"/>
    <w:rsid w:val="00DD6C7B"/>
    <w:rsid w:val="00DD7385"/>
    <w:rsid w:val="00DE15AC"/>
    <w:rsid w:val="00DE2715"/>
    <w:rsid w:val="00DE374A"/>
    <w:rsid w:val="00DE618D"/>
    <w:rsid w:val="00DE6420"/>
    <w:rsid w:val="00DE6517"/>
    <w:rsid w:val="00DF13D3"/>
    <w:rsid w:val="00DF205C"/>
    <w:rsid w:val="00DF2B88"/>
    <w:rsid w:val="00DF2F28"/>
    <w:rsid w:val="00DF3261"/>
    <w:rsid w:val="00DF40AC"/>
    <w:rsid w:val="00DF5F7F"/>
    <w:rsid w:val="00DF697F"/>
    <w:rsid w:val="00DF7F19"/>
    <w:rsid w:val="00E005D0"/>
    <w:rsid w:val="00E0349A"/>
    <w:rsid w:val="00E05A4C"/>
    <w:rsid w:val="00E06303"/>
    <w:rsid w:val="00E069C1"/>
    <w:rsid w:val="00E07060"/>
    <w:rsid w:val="00E07400"/>
    <w:rsid w:val="00E1069F"/>
    <w:rsid w:val="00E1086F"/>
    <w:rsid w:val="00E10C7B"/>
    <w:rsid w:val="00E11DBA"/>
    <w:rsid w:val="00E124DB"/>
    <w:rsid w:val="00E16A08"/>
    <w:rsid w:val="00E16FA8"/>
    <w:rsid w:val="00E170F3"/>
    <w:rsid w:val="00E22371"/>
    <w:rsid w:val="00E22D71"/>
    <w:rsid w:val="00E23188"/>
    <w:rsid w:val="00E233C1"/>
    <w:rsid w:val="00E234B6"/>
    <w:rsid w:val="00E33B03"/>
    <w:rsid w:val="00E35789"/>
    <w:rsid w:val="00E36111"/>
    <w:rsid w:val="00E36280"/>
    <w:rsid w:val="00E3641A"/>
    <w:rsid w:val="00E36D41"/>
    <w:rsid w:val="00E40103"/>
    <w:rsid w:val="00E41A7E"/>
    <w:rsid w:val="00E42DAB"/>
    <w:rsid w:val="00E43381"/>
    <w:rsid w:val="00E447C2"/>
    <w:rsid w:val="00E46E2E"/>
    <w:rsid w:val="00E4707F"/>
    <w:rsid w:val="00E474C3"/>
    <w:rsid w:val="00E479AA"/>
    <w:rsid w:val="00E47C79"/>
    <w:rsid w:val="00E50799"/>
    <w:rsid w:val="00E519CD"/>
    <w:rsid w:val="00E52B49"/>
    <w:rsid w:val="00E52BC6"/>
    <w:rsid w:val="00E552D2"/>
    <w:rsid w:val="00E5658D"/>
    <w:rsid w:val="00E6059A"/>
    <w:rsid w:val="00E617A8"/>
    <w:rsid w:val="00E62FB8"/>
    <w:rsid w:val="00E6357B"/>
    <w:rsid w:val="00E71300"/>
    <w:rsid w:val="00E739B7"/>
    <w:rsid w:val="00E73E94"/>
    <w:rsid w:val="00E756C0"/>
    <w:rsid w:val="00E7576A"/>
    <w:rsid w:val="00E7696A"/>
    <w:rsid w:val="00E77118"/>
    <w:rsid w:val="00E84BE2"/>
    <w:rsid w:val="00E877F2"/>
    <w:rsid w:val="00E90B58"/>
    <w:rsid w:val="00E90CBD"/>
    <w:rsid w:val="00E911AC"/>
    <w:rsid w:val="00E91BB8"/>
    <w:rsid w:val="00E92E08"/>
    <w:rsid w:val="00E931A9"/>
    <w:rsid w:val="00E93A36"/>
    <w:rsid w:val="00E951F3"/>
    <w:rsid w:val="00E95476"/>
    <w:rsid w:val="00E966A2"/>
    <w:rsid w:val="00E97746"/>
    <w:rsid w:val="00E97F77"/>
    <w:rsid w:val="00EA0BCD"/>
    <w:rsid w:val="00EA0F5A"/>
    <w:rsid w:val="00EA3D40"/>
    <w:rsid w:val="00EA52E7"/>
    <w:rsid w:val="00EA5ACA"/>
    <w:rsid w:val="00EA6625"/>
    <w:rsid w:val="00EB1179"/>
    <w:rsid w:val="00EB2691"/>
    <w:rsid w:val="00EB2C23"/>
    <w:rsid w:val="00EB3335"/>
    <w:rsid w:val="00EB3850"/>
    <w:rsid w:val="00EB4DDB"/>
    <w:rsid w:val="00EB51E7"/>
    <w:rsid w:val="00EB5333"/>
    <w:rsid w:val="00EB66C1"/>
    <w:rsid w:val="00EB6930"/>
    <w:rsid w:val="00EB6ACE"/>
    <w:rsid w:val="00EC13AD"/>
    <w:rsid w:val="00EC151A"/>
    <w:rsid w:val="00EC180D"/>
    <w:rsid w:val="00EC4797"/>
    <w:rsid w:val="00EC4CFC"/>
    <w:rsid w:val="00EC73EF"/>
    <w:rsid w:val="00EC76C6"/>
    <w:rsid w:val="00ED0B7F"/>
    <w:rsid w:val="00ED1330"/>
    <w:rsid w:val="00ED25C0"/>
    <w:rsid w:val="00ED35F7"/>
    <w:rsid w:val="00ED3F79"/>
    <w:rsid w:val="00ED5304"/>
    <w:rsid w:val="00EE44F2"/>
    <w:rsid w:val="00EE7C9F"/>
    <w:rsid w:val="00EF0801"/>
    <w:rsid w:val="00EF35E8"/>
    <w:rsid w:val="00EF463E"/>
    <w:rsid w:val="00EF6249"/>
    <w:rsid w:val="00EF6D5B"/>
    <w:rsid w:val="00EF7361"/>
    <w:rsid w:val="00F00002"/>
    <w:rsid w:val="00F015D5"/>
    <w:rsid w:val="00F019D9"/>
    <w:rsid w:val="00F01FC7"/>
    <w:rsid w:val="00F04692"/>
    <w:rsid w:val="00F04C4B"/>
    <w:rsid w:val="00F10BC1"/>
    <w:rsid w:val="00F11C66"/>
    <w:rsid w:val="00F121E0"/>
    <w:rsid w:val="00F12830"/>
    <w:rsid w:val="00F13540"/>
    <w:rsid w:val="00F20B44"/>
    <w:rsid w:val="00F20CE8"/>
    <w:rsid w:val="00F22FCE"/>
    <w:rsid w:val="00F23431"/>
    <w:rsid w:val="00F259CB"/>
    <w:rsid w:val="00F26514"/>
    <w:rsid w:val="00F26C2A"/>
    <w:rsid w:val="00F30CEB"/>
    <w:rsid w:val="00F310FC"/>
    <w:rsid w:val="00F33C91"/>
    <w:rsid w:val="00F3429F"/>
    <w:rsid w:val="00F352E9"/>
    <w:rsid w:val="00F3552A"/>
    <w:rsid w:val="00F35CFC"/>
    <w:rsid w:val="00F402D9"/>
    <w:rsid w:val="00F40507"/>
    <w:rsid w:val="00F4227D"/>
    <w:rsid w:val="00F424D6"/>
    <w:rsid w:val="00F46EED"/>
    <w:rsid w:val="00F51278"/>
    <w:rsid w:val="00F52379"/>
    <w:rsid w:val="00F5398A"/>
    <w:rsid w:val="00F54F5F"/>
    <w:rsid w:val="00F564B8"/>
    <w:rsid w:val="00F56E08"/>
    <w:rsid w:val="00F6301D"/>
    <w:rsid w:val="00F63252"/>
    <w:rsid w:val="00F64CE5"/>
    <w:rsid w:val="00F66554"/>
    <w:rsid w:val="00F66FB9"/>
    <w:rsid w:val="00F6716B"/>
    <w:rsid w:val="00F6775B"/>
    <w:rsid w:val="00F67A4A"/>
    <w:rsid w:val="00F701D9"/>
    <w:rsid w:val="00F714EA"/>
    <w:rsid w:val="00F743A3"/>
    <w:rsid w:val="00F75C79"/>
    <w:rsid w:val="00F76316"/>
    <w:rsid w:val="00F76C92"/>
    <w:rsid w:val="00F77140"/>
    <w:rsid w:val="00F82378"/>
    <w:rsid w:val="00F8465A"/>
    <w:rsid w:val="00F85EB7"/>
    <w:rsid w:val="00F8650C"/>
    <w:rsid w:val="00F86BE6"/>
    <w:rsid w:val="00F90B5F"/>
    <w:rsid w:val="00F91247"/>
    <w:rsid w:val="00F93059"/>
    <w:rsid w:val="00F945F7"/>
    <w:rsid w:val="00F95412"/>
    <w:rsid w:val="00F97658"/>
    <w:rsid w:val="00F97BE1"/>
    <w:rsid w:val="00FA02F2"/>
    <w:rsid w:val="00FA069B"/>
    <w:rsid w:val="00FA209A"/>
    <w:rsid w:val="00FA3C0F"/>
    <w:rsid w:val="00FB3359"/>
    <w:rsid w:val="00FB4491"/>
    <w:rsid w:val="00FB77D6"/>
    <w:rsid w:val="00FC022C"/>
    <w:rsid w:val="00FC0BF4"/>
    <w:rsid w:val="00FC13FB"/>
    <w:rsid w:val="00FC2EFB"/>
    <w:rsid w:val="00FC64DD"/>
    <w:rsid w:val="00FD1190"/>
    <w:rsid w:val="00FD1476"/>
    <w:rsid w:val="00FD5C11"/>
    <w:rsid w:val="00FD5C75"/>
    <w:rsid w:val="00FE272C"/>
    <w:rsid w:val="00FE346D"/>
    <w:rsid w:val="00FE36C7"/>
    <w:rsid w:val="00FE3A12"/>
    <w:rsid w:val="00FE4FD3"/>
    <w:rsid w:val="00FE529F"/>
    <w:rsid w:val="00FF11D9"/>
    <w:rsid w:val="00FF2607"/>
    <w:rsid w:val="00FF2A43"/>
    <w:rsid w:val="00FF3EA0"/>
    <w:rsid w:val="00FF4822"/>
    <w:rsid w:val="00FF4C07"/>
    <w:rsid w:val="00FF5EDB"/>
    <w:rsid w:val="00FF620B"/>
    <w:rsid w:val="00FF7042"/>
    <w:rsid w:val="00FF7B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341BB7"/>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6D41"/>
    <w:pPr>
      <w:spacing w:before="120"/>
      <w:ind w:left="-360" w:right="2880"/>
      <w:jc w:val="both"/>
    </w:pPr>
    <w:rPr>
      <w:noProof/>
    </w:rPr>
  </w:style>
  <w:style w:type="paragraph" w:styleId="Heading1">
    <w:name w:val="heading 1"/>
    <w:aliases w:val="SHA HEADING 1"/>
    <w:basedOn w:val="Normal"/>
    <w:next w:val="Normal"/>
    <w:link w:val="Heading1Char"/>
    <w:uiPriority w:val="9"/>
    <w:qFormat/>
    <w:rsid w:val="00EF7361"/>
    <w:pPr>
      <w:keepNext/>
      <w:keepLines/>
      <w:spacing w:before="360" w:after="240"/>
      <w:ind w:right="-360"/>
      <w:jc w:val="left"/>
      <w:outlineLvl w:val="0"/>
    </w:pPr>
    <w:rPr>
      <w:rFonts w:eastAsiaTheme="majorEastAsia" w:cstheme="majorBidi"/>
      <w:b/>
      <w:sz w:val="40"/>
      <w:szCs w:val="40"/>
    </w:rPr>
  </w:style>
  <w:style w:type="paragraph" w:styleId="Heading2">
    <w:name w:val="heading 2"/>
    <w:basedOn w:val="Normal"/>
    <w:next w:val="Normal"/>
    <w:link w:val="Heading2Char"/>
    <w:uiPriority w:val="9"/>
    <w:unhideWhenUsed/>
    <w:qFormat/>
    <w:rsid w:val="00EF7361"/>
    <w:pPr>
      <w:spacing w:before="360"/>
      <w:outlineLvl w:val="1"/>
    </w:pPr>
    <w:rPr>
      <w:b/>
      <w:sz w:val="30"/>
      <w:szCs w:val="30"/>
    </w:rPr>
  </w:style>
  <w:style w:type="paragraph" w:styleId="Heading3">
    <w:name w:val="heading 3"/>
    <w:basedOn w:val="Normal"/>
    <w:next w:val="Normal"/>
    <w:link w:val="Heading3Char"/>
    <w:uiPriority w:val="9"/>
    <w:unhideWhenUsed/>
    <w:qFormat/>
    <w:rsid w:val="007D7811"/>
    <w:pPr>
      <w:keepNext/>
      <w:keepLines/>
      <w:spacing w:before="240" w:after="0"/>
      <w:ind w:right="-360"/>
      <w:jc w:val="left"/>
      <w:outlineLvl w:val="2"/>
    </w:pPr>
    <w:rPr>
      <w:rFonts w:eastAsiaTheme="majorEastAsia" w:cstheme="majorBidi"/>
      <w:color w:val="203864"/>
      <w:sz w:val="26"/>
      <w:szCs w:val="26"/>
    </w:rPr>
  </w:style>
  <w:style w:type="paragraph" w:styleId="Heading4">
    <w:name w:val="heading 4"/>
    <w:basedOn w:val="Heading2"/>
    <w:next w:val="Normal"/>
    <w:link w:val="Heading4Char"/>
    <w:uiPriority w:val="9"/>
    <w:unhideWhenUsed/>
    <w:qFormat/>
    <w:rsid w:val="00EF7361"/>
    <w:pPr>
      <w:spacing w:before="240"/>
      <w:ind w:right="-360"/>
      <w:outlineLvl w:val="3"/>
    </w:pPr>
    <w:rPr>
      <w:sz w:val="24"/>
      <w:szCs w:val="24"/>
    </w:rPr>
  </w:style>
  <w:style w:type="paragraph" w:styleId="Heading5">
    <w:name w:val="heading 5"/>
    <w:basedOn w:val="Normal"/>
    <w:next w:val="Normal"/>
    <w:link w:val="Heading5Char"/>
    <w:uiPriority w:val="9"/>
    <w:unhideWhenUsed/>
    <w:qFormat/>
    <w:rsid w:val="004D187E"/>
    <w:pPr>
      <w:ind w:right="-360"/>
      <w:outlineLvl w:val="4"/>
    </w:pPr>
    <w:rPr>
      <w:b/>
      <w:color w:val="203864"/>
    </w:rPr>
  </w:style>
  <w:style w:type="paragraph" w:styleId="Heading6">
    <w:name w:val="heading 6"/>
    <w:basedOn w:val="Normal"/>
    <w:next w:val="Normal"/>
    <w:link w:val="Heading6Char"/>
    <w:uiPriority w:val="9"/>
    <w:unhideWhenUsed/>
    <w:qFormat/>
    <w:rsid w:val="00492AB1"/>
    <w:pPr>
      <w:spacing w:after="0" w:line="271" w:lineRule="auto"/>
      <w:ind w:left="0" w:right="0"/>
      <w:outlineLvl w:val="5"/>
    </w:pPr>
    <w:rPr>
      <w:rFonts w:asciiTheme="majorHAnsi" w:eastAsiaTheme="majorEastAsia" w:hAnsiTheme="majorHAnsi" w:cstheme="majorBidi"/>
      <w:b/>
      <w:bCs/>
      <w:i/>
      <w:iCs/>
      <w:noProof w:val="0"/>
      <w:color w:val="7F7F7F" w:themeColor="text1" w:themeTint="80"/>
    </w:rPr>
  </w:style>
  <w:style w:type="paragraph" w:styleId="Heading7">
    <w:name w:val="heading 7"/>
    <w:basedOn w:val="Normal"/>
    <w:next w:val="Normal"/>
    <w:link w:val="Heading7Char"/>
    <w:uiPriority w:val="9"/>
    <w:semiHidden/>
    <w:unhideWhenUsed/>
    <w:qFormat/>
    <w:rsid w:val="00492AB1"/>
    <w:pPr>
      <w:spacing w:after="0" w:line="276" w:lineRule="auto"/>
      <w:ind w:left="0" w:right="0"/>
      <w:outlineLvl w:val="6"/>
    </w:pPr>
    <w:rPr>
      <w:rFonts w:asciiTheme="majorHAnsi" w:eastAsiaTheme="majorEastAsia" w:hAnsiTheme="majorHAnsi" w:cstheme="majorBidi"/>
      <w:i/>
      <w:iCs/>
      <w:noProof w:val="0"/>
    </w:rPr>
  </w:style>
  <w:style w:type="paragraph" w:styleId="Heading8">
    <w:name w:val="heading 8"/>
    <w:basedOn w:val="Normal"/>
    <w:next w:val="Normal"/>
    <w:link w:val="Heading8Char"/>
    <w:uiPriority w:val="9"/>
    <w:semiHidden/>
    <w:unhideWhenUsed/>
    <w:qFormat/>
    <w:rsid w:val="00492AB1"/>
    <w:pPr>
      <w:spacing w:after="0" w:line="276" w:lineRule="auto"/>
      <w:ind w:left="0" w:right="0"/>
      <w:outlineLvl w:val="7"/>
    </w:pPr>
    <w:rPr>
      <w:rFonts w:asciiTheme="majorHAnsi" w:eastAsiaTheme="majorEastAsia" w:hAnsiTheme="majorHAnsi" w:cstheme="majorBidi"/>
      <w:noProof w:val="0"/>
      <w:sz w:val="20"/>
      <w:szCs w:val="20"/>
    </w:rPr>
  </w:style>
  <w:style w:type="paragraph" w:styleId="Heading9">
    <w:name w:val="heading 9"/>
    <w:basedOn w:val="Normal"/>
    <w:next w:val="Normal"/>
    <w:link w:val="Heading9Char"/>
    <w:uiPriority w:val="9"/>
    <w:semiHidden/>
    <w:unhideWhenUsed/>
    <w:qFormat/>
    <w:rsid w:val="00492AB1"/>
    <w:pPr>
      <w:spacing w:after="0" w:line="276" w:lineRule="auto"/>
      <w:ind w:left="0" w:right="0"/>
      <w:outlineLvl w:val="8"/>
    </w:pPr>
    <w:rPr>
      <w:rFonts w:asciiTheme="majorHAnsi" w:eastAsiaTheme="majorEastAsia" w:hAnsiTheme="majorHAnsi" w:cstheme="majorBidi"/>
      <w:i/>
      <w:iCs/>
      <w:noProof w:val="0"/>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rialHermann">
    <w:name w:val="Memorial Hermann"/>
    <w:basedOn w:val="Heading1"/>
    <w:rsid w:val="001503C2"/>
    <w:pPr>
      <w:spacing w:before="0" w:line="240" w:lineRule="auto"/>
    </w:pPr>
    <w:rPr>
      <w:b w:val="0"/>
      <w:color w:val="195974"/>
    </w:rPr>
  </w:style>
  <w:style w:type="character" w:customStyle="1" w:styleId="Heading1Char">
    <w:name w:val="Heading 1 Char"/>
    <w:aliases w:val="SHA HEADING 1 Char"/>
    <w:basedOn w:val="DefaultParagraphFont"/>
    <w:link w:val="Heading1"/>
    <w:uiPriority w:val="9"/>
    <w:rsid w:val="00EF7361"/>
    <w:rPr>
      <w:rFonts w:eastAsiaTheme="majorEastAsia" w:cstheme="majorBidi"/>
      <w:b/>
      <w:noProof/>
      <w:sz w:val="40"/>
      <w:szCs w:val="40"/>
    </w:rPr>
  </w:style>
  <w:style w:type="paragraph" w:customStyle="1" w:styleId="SHA">
    <w:name w:val="SHA"/>
    <w:basedOn w:val="Normal"/>
    <w:link w:val="SHAChar"/>
    <w:autoRedefine/>
    <w:qFormat/>
    <w:rsid w:val="00EF6249"/>
    <w:rPr>
      <w:rFonts w:ascii="Aileron Heavy" w:hAnsi="Aileron Heavy"/>
      <w:b/>
      <w:sz w:val="32"/>
      <w:szCs w:val="32"/>
    </w:rPr>
  </w:style>
  <w:style w:type="character" w:customStyle="1" w:styleId="SHAChar">
    <w:name w:val="SHA Char"/>
    <w:basedOn w:val="DefaultParagraphFont"/>
    <w:link w:val="SHA"/>
    <w:rsid w:val="00EF6249"/>
    <w:rPr>
      <w:rFonts w:ascii="Aileron Heavy" w:hAnsi="Aileron Heavy"/>
      <w:b/>
      <w:sz w:val="32"/>
      <w:szCs w:val="32"/>
    </w:rPr>
  </w:style>
  <w:style w:type="paragraph" w:styleId="Title">
    <w:name w:val="Title"/>
    <w:basedOn w:val="Normal"/>
    <w:next w:val="Normal"/>
    <w:link w:val="TitleChar"/>
    <w:uiPriority w:val="10"/>
    <w:qFormat/>
    <w:rsid w:val="006E3904"/>
    <w:pPr>
      <w:spacing w:before="360" w:after="0" w:line="240" w:lineRule="auto"/>
      <w:ind w:right="2160"/>
    </w:pPr>
    <w:rPr>
      <w:rFonts w:eastAsiaTheme="majorEastAsia" w:cstheme="majorBidi"/>
      <w:spacing w:val="-10"/>
      <w:kern w:val="28"/>
      <w:sz w:val="60"/>
      <w:szCs w:val="60"/>
    </w:rPr>
  </w:style>
  <w:style w:type="character" w:customStyle="1" w:styleId="TitleChar">
    <w:name w:val="Title Char"/>
    <w:basedOn w:val="DefaultParagraphFont"/>
    <w:link w:val="Title"/>
    <w:uiPriority w:val="10"/>
    <w:rsid w:val="006E3904"/>
    <w:rPr>
      <w:rFonts w:eastAsiaTheme="majorEastAsia" w:cstheme="majorBidi"/>
      <w:noProof/>
      <w:spacing w:val="-10"/>
      <w:kern w:val="28"/>
      <w:sz w:val="60"/>
      <w:szCs w:val="60"/>
    </w:rPr>
  </w:style>
  <w:style w:type="character" w:customStyle="1" w:styleId="Heading2Char">
    <w:name w:val="Heading 2 Char"/>
    <w:basedOn w:val="DefaultParagraphFont"/>
    <w:link w:val="Heading2"/>
    <w:uiPriority w:val="9"/>
    <w:rsid w:val="00EF7361"/>
    <w:rPr>
      <w:b/>
      <w:noProof/>
      <w:sz w:val="30"/>
      <w:szCs w:val="30"/>
    </w:rPr>
  </w:style>
  <w:style w:type="paragraph" w:styleId="Header">
    <w:name w:val="header"/>
    <w:basedOn w:val="Normal"/>
    <w:link w:val="HeaderChar"/>
    <w:uiPriority w:val="99"/>
    <w:unhideWhenUsed/>
    <w:rsid w:val="00195F02"/>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195F02"/>
    <w:rPr>
      <w:rFonts w:ascii="Aileron" w:hAnsi="Aileron"/>
    </w:rPr>
  </w:style>
  <w:style w:type="paragraph" w:styleId="Footer">
    <w:name w:val="footer"/>
    <w:basedOn w:val="Normal"/>
    <w:link w:val="FooterChar"/>
    <w:uiPriority w:val="99"/>
    <w:unhideWhenUsed/>
    <w:rsid w:val="00195F02"/>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195F02"/>
    <w:rPr>
      <w:rFonts w:ascii="Aileron" w:hAnsi="Aileron"/>
    </w:rPr>
  </w:style>
  <w:style w:type="paragraph" w:styleId="NoSpacing">
    <w:name w:val="No Spacing"/>
    <w:link w:val="NoSpacingChar"/>
    <w:uiPriority w:val="1"/>
    <w:qFormat/>
    <w:rsid w:val="00561BF0"/>
    <w:pPr>
      <w:spacing w:after="0" w:line="240" w:lineRule="auto"/>
      <w:jc w:val="both"/>
    </w:pPr>
    <w:rPr>
      <w:rFonts w:ascii="Aileron" w:hAnsi="Aileron"/>
      <w:sz w:val="21"/>
      <w:szCs w:val="21"/>
    </w:rPr>
  </w:style>
  <w:style w:type="paragraph" w:customStyle="1" w:styleId="Chapter">
    <w:name w:val="Chapter"/>
    <w:basedOn w:val="NoSpacing"/>
    <w:link w:val="ChapterChar"/>
    <w:qFormat/>
    <w:rsid w:val="00FC64DD"/>
    <w:pPr>
      <w:ind w:left="-360"/>
    </w:pPr>
    <w:rPr>
      <w:rFonts w:asciiTheme="minorHAnsi" w:hAnsiTheme="minorHAnsi"/>
      <w:b/>
      <w:sz w:val="60"/>
      <w:szCs w:val="60"/>
    </w:rPr>
  </w:style>
  <w:style w:type="paragraph" w:customStyle="1" w:styleId="ChapterName">
    <w:name w:val="Chapter Name"/>
    <w:basedOn w:val="NoSpacing"/>
    <w:link w:val="ChapterNameChar"/>
    <w:qFormat/>
    <w:rsid w:val="00E36D41"/>
    <w:pPr>
      <w:ind w:firstLine="720"/>
    </w:pPr>
    <w:rPr>
      <w:rFonts w:asciiTheme="minorHAnsi" w:hAnsiTheme="minorHAnsi"/>
      <w:sz w:val="68"/>
      <w:szCs w:val="68"/>
    </w:rPr>
  </w:style>
  <w:style w:type="character" w:customStyle="1" w:styleId="NoSpacingChar">
    <w:name w:val="No Spacing Char"/>
    <w:basedOn w:val="DefaultParagraphFont"/>
    <w:link w:val="NoSpacing"/>
    <w:uiPriority w:val="1"/>
    <w:rsid w:val="000B4605"/>
    <w:rPr>
      <w:rFonts w:ascii="Aileron" w:hAnsi="Aileron"/>
      <w:sz w:val="21"/>
      <w:szCs w:val="21"/>
    </w:rPr>
  </w:style>
  <w:style w:type="character" w:customStyle="1" w:styleId="ChapterChar">
    <w:name w:val="Chapter Char"/>
    <w:basedOn w:val="NoSpacingChar"/>
    <w:link w:val="Chapter"/>
    <w:rsid w:val="00FC64DD"/>
    <w:rPr>
      <w:rFonts w:ascii="Aileron" w:hAnsi="Aileron"/>
      <w:b/>
      <w:sz w:val="60"/>
      <w:szCs w:val="60"/>
    </w:rPr>
  </w:style>
  <w:style w:type="paragraph" w:styleId="ListParagraph">
    <w:name w:val="List Paragraph"/>
    <w:basedOn w:val="Normal"/>
    <w:uiPriority w:val="34"/>
    <w:qFormat/>
    <w:rsid w:val="002C6F32"/>
    <w:pPr>
      <w:ind w:left="720"/>
      <w:contextualSpacing/>
    </w:pPr>
  </w:style>
  <w:style w:type="character" w:customStyle="1" w:styleId="ChapterNameChar">
    <w:name w:val="Chapter Name Char"/>
    <w:basedOn w:val="NoSpacingChar"/>
    <w:link w:val="ChapterName"/>
    <w:rsid w:val="00E36D41"/>
    <w:rPr>
      <w:rFonts w:ascii="Aileron" w:hAnsi="Aileron"/>
      <w:sz w:val="68"/>
      <w:szCs w:val="68"/>
    </w:rPr>
  </w:style>
  <w:style w:type="paragraph" w:styleId="NormalWeb">
    <w:name w:val="Normal (Web)"/>
    <w:basedOn w:val="Normal"/>
    <w:uiPriority w:val="99"/>
    <w:rsid w:val="00033EA5"/>
    <w:pPr>
      <w:spacing w:before="100" w:beforeAutospacing="1" w:after="100" w:afterAutospacing="1" w:line="240" w:lineRule="auto"/>
      <w:jc w:val="left"/>
    </w:pPr>
    <w:rPr>
      <w:rFonts w:ascii="Times New Roman" w:eastAsia="Times New Roman" w:hAnsi="Times New Roman" w:cs="Times New Roman"/>
      <w:color w:val="000000"/>
      <w:sz w:val="24"/>
      <w:szCs w:val="24"/>
    </w:rPr>
  </w:style>
  <w:style w:type="character" w:customStyle="1" w:styleId="Heading3Char">
    <w:name w:val="Heading 3 Char"/>
    <w:basedOn w:val="DefaultParagraphFont"/>
    <w:link w:val="Heading3"/>
    <w:uiPriority w:val="9"/>
    <w:rsid w:val="007D7811"/>
    <w:rPr>
      <w:rFonts w:eastAsiaTheme="majorEastAsia" w:cstheme="majorBidi"/>
      <w:noProof/>
      <w:color w:val="203864"/>
      <w:sz w:val="26"/>
      <w:szCs w:val="26"/>
    </w:rPr>
  </w:style>
  <w:style w:type="paragraph" w:styleId="BalloonText">
    <w:name w:val="Balloon Text"/>
    <w:basedOn w:val="Normal"/>
    <w:link w:val="BalloonTextChar"/>
    <w:uiPriority w:val="99"/>
    <w:semiHidden/>
    <w:unhideWhenUsed/>
    <w:rsid w:val="006165F4"/>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165F4"/>
    <w:rPr>
      <w:rFonts w:ascii="Tahoma" w:hAnsi="Tahoma" w:cs="Tahoma"/>
      <w:sz w:val="16"/>
      <w:szCs w:val="16"/>
    </w:rPr>
  </w:style>
  <w:style w:type="character" w:styleId="CommentReference">
    <w:name w:val="annotation reference"/>
    <w:basedOn w:val="DefaultParagraphFont"/>
    <w:uiPriority w:val="99"/>
    <w:unhideWhenUsed/>
    <w:rsid w:val="00746EAF"/>
    <w:rPr>
      <w:sz w:val="16"/>
      <w:szCs w:val="16"/>
    </w:rPr>
  </w:style>
  <w:style w:type="paragraph" w:styleId="CommentText">
    <w:name w:val="annotation text"/>
    <w:basedOn w:val="Normal"/>
    <w:link w:val="CommentTextChar"/>
    <w:unhideWhenUsed/>
    <w:rsid w:val="00746EAF"/>
    <w:pPr>
      <w:spacing w:line="240" w:lineRule="auto"/>
    </w:pPr>
    <w:rPr>
      <w:sz w:val="20"/>
      <w:szCs w:val="20"/>
    </w:rPr>
  </w:style>
  <w:style w:type="character" w:customStyle="1" w:styleId="CommentTextChar">
    <w:name w:val="Comment Text Char"/>
    <w:basedOn w:val="DefaultParagraphFont"/>
    <w:link w:val="CommentText"/>
    <w:rsid w:val="00746EAF"/>
    <w:rPr>
      <w:rFonts w:ascii="Aileron" w:hAnsi="Aileron"/>
      <w:sz w:val="20"/>
      <w:szCs w:val="20"/>
    </w:rPr>
  </w:style>
  <w:style w:type="paragraph" w:styleId="CommentSubject">
    <w:name w:val="annotation subject"/>
    <w:basedOn w:val="CommentText"/>
    <w:next w:val="CommentText"/>
    <w:link w:val="CommentSubjectChar"/>
    <w:uiPriority w:val="99"/>
    <w:semiHidden/>
    <w:unhideWhenUsed/>
    <w:rsid w:val="00746EAF"/>
    <w:rPr>
      <w:b/>
      <w:bCs/>
    </w:rPr>
  </w:style>
  <w:style w:type="character" w:customStyle="1" w:styleId="CommentSubjectChar">
    <w:name w:val="Comment Subject Char"/>
    <w:basedOn w:val="CommentTextChar"/>
    <w:link w:val="CommentSubject"/>
    <w:uiPriority w:val="99"/>
    <w:semiHidden/>
    <w:rsid w:val="00746EAF"/>
    <w:rPr>
      <w:rFonts w:ascii="Aileron" w:hAnsi="Aileron"/>
      <w:b/>
      <w:bCs/>
      <w:sz w:val="20"/>
      <w:szCs w:val="20"/>
    </w:rPr>
  </w:style>
  <w:style w:type="paragraph" w:styleId="FootnoteText">
    <w:name w:val="footnote text"/>
    <w:basedOn w:val="Normal"/>
    <w:link w:val="FootnoteTextChar"/>
    <w:uiPriority w:val="99"/>
    <w:unhideWhenUsed/>
    <w:rsid w:val="00C9671C"/>
    <w:pPr>
      <w:spacing w:before="0" w:after="0" w:line="240" w:lineRule="auto"/>
    </w:pPr>
    <w:rPr>
      <w:sz w:val="20"/>
      <w:szCs w:val="20"/>
    </w:rPr>
  </w:style>
  <w:style w:type="character" w:customStyle="1" w:styleId="FootnoteTextChar">
    <w:name w:val="Footnote Text Char"/>
    <w:basedOn w:val="DefaultParagraphFont"/>
    <w:link w:val="FootnoteText"/>
    <w:uiPriority w:val="99"/>
    <w:rsid w:val="00C9671C"/>
    <w:rPr>
      <w:noProof/>
      <w:sz w:val="20"/>
      <w:szCs w:val="20"/>
    </w:rPr>
  </w:style>
  <w:style w:type="character" w:styleId="FootnoteReference">
    <w:name w:val="footnote reference"/>
    <w:basedOn w:val="DefaultParagraphFont"/>
    <w:uiPriority w:val="99"/>
    <w:unhideWhenUsed/>
    <w:rsid w:val="00C9671C"/>
    <w:rPr>
      <w:vertAlign w:val="superscript"/>
    </w:rPr>
  </w:style>
  <w:style w:type="paragraph" w:customStyle="1" w:styleId="Fignum">
    <w:name w:val="Fignum"/>
    <w:basedOn w:val="NoSpacing"/>
    <w:link w:val="FignumChar"/>
    <w:rsid w:val="00C9671C"/>
    <w:pPr>
      <w:spacing w:before="120" w:after="160"/>
      <w:ind w:left="-360" w:right="-360"/>
    </w:pPr>
    <w:rPr>
      <w:rFonts w:asciiTheme="minorHAnsi" w:hAnsiTheme="minorHAnsi"/>
      <w:smallCaps/>
      <w:sz w:val="22"/>
      <w:szCs w:val="22"/>
    </w:rPr>
  </w:style>
  <w:style w:type="paragraph" w:customStyle="1" w:styleId="FigName">
    <w:name w:val="FigName"/>
    <w:basedOn w:val="NoSpacing"/>
    <w:link w:val="FigNameChar"/>
    <w:rsid w:val="00C9671C"/>
    <w:pPr>
      <w:spacing w:before="120" w:after="160"/>
      <w:ind w:left="-360" w:right="-360"/>
    </w:pPr>
    <w:rPr>
      <w:rFonts w:asciiTheme="minorHAnsi" w:hAnsiTheme="minorHAnsi"/>
      <w:b/>
      <w:sz w:val="22"/>
      <w:szCs w:val="22"/>
    </w:rPr>
  </w:style>
  <w:style w:type="character" w:customStyle="1" w:styleId="FignumChar">
    <w:name w:val="Fignum Char"/>
    <w:basedOn w:val="NoSpacingChar"/>
    <w:link w:val="Fignum"/>
    <w:rsid w:val="00C9671C"/>
    <w:rPr>
      <w:rFonts w:ascii="Aileron" w:hAnsi="Aileron"/>
      <w:smallCaps/>
      <w:sz w:val="21"/>
      <w:szCs w:val="21"/>
    </w:rPr>
  </w:style>
  <w:style w:type="character" w:customStyle="1" w:styleId="FigNameChar">
    <w:name w:val="FigName Char"/>
    <w:basedOn w:val="NoSpacingChar"/>
    <w:link w:val="FigName"/>
    <w:rsid w:val="00C9671C"/>
    <w:rPr>
      <w:rFonts w:ascii="Aileron" w:hAnsi="Aileron"/>
      <w:b/>
      <w:sz w:val="21"/>
      <w:szCs w:val="21"/>
    </w:rPr>
  </w:style>
  <w:style w:type="character" w:customStyle="1" w:styleId="Heading4Char">
    <w:name w:val="Heading 4 Char"/>
    <w:basedOn w:val="DefaultParagraphFont"/>
    <w:link w:val="Heading4"/>
    <w:uiPriority w:val="9"/>
    <w:rsid w:val="00EF7361"/>
    <w:rPr>
      <w:b/>
      <w:noProof/>
      <w:sz w:val="24"/>
      <w:szCs w:val="24"/>
    </w:rPr>
  </w:style>
  <w:style w:type="paragraph" w:styleId="EndnoteText">
    <w:name w:val="endnote text"/>
    <w:basedOn w:val="Normal"/>
    <w:link w:val="EndnoteTextChar"/>
    <w:uiPriority w:val="99"/>
    <w:unhideWhenUsed/>
    <w:rsid w:val="00FB3359"/>
    <w:pPr>
      <w:spacing w:before="0" w:after="0" w:line="240" w:lineRule="auto"/>
    </w:pPr>
    <w:rPr>
      <w:sz w:val="20"/>
      <w:szCs w:val="20"/>
    </w:rPr>
  </w:style>
  <w:style w:type="character" w:customStyle="1" w:styleId="EndnoteTextChar">
    <w:name w:val="Endnote Text Char"/>
    <w:basedOn w:val="DefaultParagraphFont"/>
    <w:link w:val="EndnoteText"/>
    <w:uiPriority w:val="99"/>
    <w:rsid w:val="00FB3359"/>
    <w:rPr>
      <w:noProof/>
      <w:sz w:val="20"/>
      <w:szCs w:val="20"/>
    </w:rPr>
  </w:style>
  <w:style w:type="character" w:styleId="EndnoteReference">
    <w:name w:val="endnote reference"/>
    <w:basedOn w:val="DefaultParagraphFont"/>
    <w:uiPriority w:val="99"/>
    <w:unhideWhenUsed/>
    <w:rsid w:val="00FB3359"/>
    <w:rPr>
      <w:vertAlign w:val="superscript"/>
    </w:rPr>
  </w:style>
  <w:style w:type="paragraph" w:styleId="Revision">
    <w:name w:val="Revision"/>
    <w:hidden/>
    <w:uiPriority w:val="99"/>
    <w:semiHidden/>
    <w:rsid w:val="000F3675"/>
    <w:pPr>
      <w:spacing w:after="0" w:line="240" w:lineRule="auto"/>
    </w:pPr>
    <w:rPr>
      <w:noProof/>
    </w:rPr>
  </w:style>
  <w:style w:type="character" w:styleId="Hyperlink">
    <w:name w:val="Hyperlink"/>
    <w:uiPriority w:val="99"/>
    <w:unhideWhenUsed/>
    <w:rsid w:val="001E2DF1"/>
    <w:rPr>
      <w:rFonts w:cstheme="minorHAnsi"/>
      <w:color w:val="303030"/>
      <w:shd w:val="clear" w:color="auto" w:fill="FFFFFF"/>
    </w:rPr>
  </w:style>
  <w:style w:type="table" w:styleId="TableGrid">
    <w:name w:val="Table Grid"/>
    <w:basedOn w:val="TableNormal"/>
    <w:rsid w:val="00EF0801"/>
    <w:pPr>
      <w:spacing w:before="120" w:after="0" w:line="240" w:lineRule="auto"/>
      <w:ind w:left="-360" w:right="-3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link w:val="CaptionChar"/>
    <w:uiPriority w:val="35"/>
    <w:unhideWhenUsed/>
    <w:qFormat/>
    <w:rsid w:val="00EF0801"/>
    <w:pPr>
      <w:spacing w:before="0" w:after="200" w:line="240" w:lineRule="auto"/>
      <w:ind w:left="0" w:right="0"/>
    </w:pPr>
    <w:rPr>
      <w:rFonts w:cstheme="minorHAnsi"/>
      <w:iCs/>
      <w:smallCaps/>
      <w:color w:val="000000" w:themeColor="text1"/>
      <w:sz w:val="20"/>
      <w:szCs w:val="18"/>
    </w:rPr>
  </w:style>
  <w:style w:type="character" w:customStyle="1" w:styleId="apple-converted-space">
    <w:name w:val="apple-converted-space"/>
    <w:basedOn w:val="DefaultParagraphFont"/>
    <w:rsid w:val="00EF0801"/>
  </w:style>
  <w:style w:type="character" w:styleId="FollowedHyperlink">
    <w:name w:val="FollowedHyperlink"/>
    <w:basedOn w:val="DefaultParagraphFont"/>
    <w:uiPriority w:val="99"/>
    <w:semiHidden/>
    <w:unhideWhenUsed/>
    <w:rsid w:val="00EF0801"/>
    <w:rPr>
      <w:color w:val="954F72" w:themeColor="followedHyperlink"/>
      <w:u w:val="single"/>
    </w:rPr>
  </w:style>
  <w:style w:type="table" w:customStyle="1" w:styleId="PlainTable31">
    <w:name w:val="Plain Table 31"/>
    <w:basedOn w:val="TableNormal"/>
    <w:next w:val="PlainTable32"/>
    <w:uiPriority w:val="43"/>
    <w:rsid w:val="00EF0801"/>
    <w:pPr>
      <w:spacing w:before="120" w:after="0" w:line="240" w:lineRule="auto"/>
      <w:ind w:left="-360" w:right="-360"/>
      <w:jc w:val="both"/>
    </w:p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32">
    <w:name w:val="Plain Table 32"/>
    <w:basedOn w:val="TableNormal"/>
    <w:uiPriority w:val="43"/>
    <w:rsid w:val="00EF0801"/>
    <w:pPr>
      <w:spacing w:before="120" w:after="0" w:line="240" w:lineRule="auto"/>
      <w:ind w:left="-360" w:right="-360"/>
      <w:jc w:val="both"/>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Subtitle">
    <w:name w:val="Subtitle"/>
    <w:aliases w:val="FigNum"/>
    <w:basedOn w:val="Normal"/>
    <w:next w:val="Normal"/>
    <w:link w:val="SubtitleChar"/>
    <w:uiPriority w:val="11"/>
    <w:qFormat/>
    <w:rsid w:val="00EF0801"/>
    <w:pPr>
      <w:numPr>
        <w:ilvl w:val="1"/>
      </w:numPr>
      <w:ind w:left="-360" w:right="0"/>
    </w:pPr>
    <w:rPr>
      <w:rFonts w:eastAsiaTheme="minorEastAsia" w:cstheme="minorHAnsi"/>
      <w:b/>
      <w:color w:val="000000" w:themeColor="text1"/>
    </w:rPr>
  </w:style>
  <w:style w:type="character" w:customStyle="1" w:styleId="SubtitleChar">
    <w:name w:val="Subtitle Char"/>
    <w:aliases w:val="FigNum Char"/>
    <w:basedOn w:val="DefaultParagraphFont"/>
    <w:link w:val="Subtitle"/>
    <w:uiPriority w:val="11"/>
    <w:rsid w:val="00EF0801"/>
    <w:rPr>
      <w:rFonts w:eastAsiaTheme="minorEastAsia" w:cstheme="minorHAnsi"/>
      <w:b/>
      <w:noProof/>
      <w:color w:val="000000" w:themeColor="text1"/>
    </w:rPr>
  </w:style>
  <w:style w:type="character" w:styleId="Strong">
    <w:name w:val="Strong"/>
    <w:uiPriority w:val="22"/>
    <w:qFormat/>
    <w:rsid w:val="00EF0801"/>
    <w:rPr>
      <w:smallCaps/>
    </w:rPr>
  </w:style>
  <w:style w:type="paragraph" w:customStyle="1" w:styleId="FigureorTable">
    <w:name w:val="Figure or Table"/>
    <w:basedOn w:val="FigTitle"/>
    <w:link w:val="FigureorTableChar"/>
    <w:rsid w:val="00EF0801"/>
    <w:rPr>
      <w:b w:val="0"/>
    </w:rPr>
  </w:style>
  <w:style w:type="paragraph" w:customStyle="1" w:styleId="FigTitle">
    <w:name w:val="FigTitle"/>
    <w:basedOn w:val="Subtitle"/>
    <w:link w:val="FigTitleChar"/>
    <w:rsid w:val="00EF0801"/>
  </w:style>
  <w:style w:type="character" w:customStyle="1" w:styleId="FigureorTableChar">
    <w:name w:val="Figure or Table Char"/>
    <w:basedOn w:val="SubtitleChar"/>
    <w:link w:val="FigureorTable"/>
    <w:rsid w:val="00EF0801"/>
    <w:rPr>
      <w:rFonts w:eastAsiaTheme="minorEastAsia" w:cstheme="minorHAnsi"/>
      <w:b w:val="0"/>
      <w:noProof/>
      <w:color w:val="000000" w:themeColor="text1"/>
    </w:rPr>
  </w:style>
  <w:style w:type="paragraph" w:customStyle="1" w:styleId="Source">
    <w:name w:val="Source"/>
    <w:basedOn w:val="Caption"/>
    <w:link w:val="SourceChar"/>
    <w:rsid w:val="00EF0801"/>
  </w:style>
  <w:style w:type="character" w:customStyle="1" w:styleId="FigTitleChar">
    <w:name w:val="FigTitle Char"/>
    <w:basedOn w:val="SubtitleChar"/>
    <w:link w:val="FigTitle"/>
    <w:rsid w:val="00EF0801"/>
    <w:rPr>
      <w:rFonts w:eastAsiaTheme="minorEastAsia" w:cstheme="minorHAnsi"/>
      <w:b/>
      <w:noProof/>
      <w:color w:val="000000" w:themeColor="text1"/>
    </w:rPr>
  </w:style>
  <w:style w:type="table" w:customStyle="1" w:styleId="TableGrid1">
    <w:name w:val="Table Grid1"/>
    <w:basedOn w:val="TableNormal"/>
    <w:next w:val="TableGrid"/>
    <w:uiPriority w:val="39"/>
    <w:rsid w:val="00EF0801"/>
    <w:pPr>
      <w:spacing w:before="120" w:after="0" w:line="240" w:lineRule="auto"/>
      <w:ind w:left="-360" w:right="-3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ptionChar">
    <w:name w:val="Caption Char"/>
    <w:basedOn w:val="DefaultParagraphFont"/>
    <w:link w:val="Caption"/>
    <w:uiPriority w:val="35"/>
    <w:rsid w:val="00EF0801"/>
    <w:rPr>
      <w:rFonts w:cstheme="minorHAnsi"/>
      <w:iCs/>
      <w:smallCaps/>
      <w:noProof/>
      <w:color w:val="000000" w:themeColor="text1"/>
      <w:sz w:val="20"/>
      <w:szCs w:val="18"/>
    </w:rPr>
  </w:style>
  <w:style w:type="character" w:customStyle="1" w:styleId="SourceChar">
    <w:name w:val="Source Char"/>
    <w:basedOn w:val="CaptionChar"/>
    <w:link w:val="Source"/>
    <w:rsid w:val="00EF0801"/>
    <w:rPr>
      <w:rFonts w:cstheme="minorHAnsi"/>
      <w:iCs/>
      <w:smallCaps/>
      <w:noProof/>
      <w:color w:val="000000" w:themeColor="text1"/>
      <w:sz w:val="20"/>
      <w:szCs w:val="18"/>
    </w:rPr>
  </w:style>
  <w:style w:type="table" w:customStyle="1" w:styleId="PlainTable311">
    <w:name w:val="Plain Table 311"/>
    <w:basedOn w:val="TableNormal"/>
    <w:next w:val="PlainTable32"/>
    <w:uiPriority w:val="43"/>
    <w:rsid w:val="00EF0801"/>
    <w:pPr>
      <w:spacing w:before="120" w:after="0" w:line="240" w:lineRule="auto"/>
      <w:ind w:left="-360" w:right="-360"/>
      <w:jc w:val="both"/>
    </w:p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customStyle="1" w:styleId="fIGnUM0">
    <w:name w:val="fIG nUM"/>
    <w:basedOn w:val="FigureorTable"/>
    <w:link w:val="fIGnUMChar0"/>
    <w:qFormat/>
    <w:rsid w:val="00EF0801"/>
  </w:style>
  <w:style w:type="character" w:customStyle="1" w:styleId="fIGnUMChar0">
    <w:name w:val="fIG nUM Char"/>
    <w:basedOn w:val="FigTitleChar"/>
    <w:link w:val="fIGnUM0"/>
    <w:rsid w:val="00EF0801"/>
    <w:rPr>
      <w:rFonts w:eastAsiaTheme="minorEastAsia" w:cstheme="minorHAnsi"/>
      <w:b w:val="0"/>
      <w:noProof/>
      <w:color w:val="000000" w:themeColor="text1"/>
    </w:rPr>
  </w:style>
  <w:style w:type="paragraph" w:customStyle="1" w:styleId="Normal1">
    <w:name w:val="Normal1"/>
    <w:rsid w:val="00EF0801"/>
    <w:pPr>
      <w:widowControl w:val="0"/>
      <w:pBdr>
        <w:top w:val="nil"/>
        <w:left w:val="nil"/>
        <w:bottom w:val="nil"/>
        <w:right w:val="nil"/>
        <w:between w:val="nil"/>
        <w:bar w:val="nil"/>
      </w:pBdr>
      <w:spacing w:after="200" w:line="276" w:lineRule="auto"/>
    </w:pPr>
    <w:rPr>
      <w:rFonts w:ascii="Calibri" w:eastAsia="Calibri" w:hAnsi="Calibri" w:cs="Calibri"/>
      <w:color w:val="000000"/>
      <w:u w:color="000000"/>
      <w:bdr w:val="nil"/>
    </w:rPr>
  </w:style>
  <w:style w:type="character" w:customStyle="1" w:styleId="sr-only">
    <w:name w:val="sr-only"/>
    <w:basedOn w:val="DefaultParagraphFont"/>
    <w:rsid w:val="00EF0801"/>
  </w:style>
  <w:style w:type="character" w:customStyle="1" w:styleId="text">
    <w:name w:val="text"/>
    <w:basedOn w:val="DefaultParagraphFont"/>
    <w:rsid w:val="00EF0801"/>
  </w:style>
  <w:style w:type="character" w:customStyle="1" w:styleId="author-ref">
    <w:name w:val="author-ref"/>
    <w:basedOn w:val="DefaultParagraphFont"/>
    <w:rsid w:val="00EF0801"/>
  </w:style>
  <w:style w:type="paragraph" w:styleId="HTMLPreformatted">
    <w:name w:val="HTML Preformatted"/>
    <w:basedOn w:val="Normal"/>
    <w:link w:val="HTMLPreformattedChar"/>
    <w:uiPriority w:val="99"/>
    <w:unhideWhenUsed/>
    <w:rsid w:val="00BA2E13"/>
    <w:pPr>
      <w:spacing w:before="0" w:after="0" w:line="240" w:lineRule="auto"/>
      <w:ind w:left="0" w:right="0"/>
      <w:jc w:val="left"/>
    </w:pPr>
    <w:rPr>
      <w:rFonts w:ascii="Consolas" w:hAnsi="Consolas" w:cs="Consolas"/>
      <w:noProof w:val="0"/>
      <w:sz w:val="20"/>
      <w:szCs w:val="20"/>
    </w:rPr>
  </w:style>
  <w:style w:type="character" w:customStyle="1" w:styleId="HTMLPreformattedChar">
    <w:name w:val="HTML Preformatted Char"/>
    <w:basedOn w:val="DefaultParagraphFont"/>
    <w:link w:val="HTMLPreformatted"/>
    <w:uiPriority w:val="99"/>
    <w:rsid w:val="00BA2E13"/>
    <w:rPr>
      <w:rFonts w:ascii="Consolas" w:hAnsi="Consolas" w:cs="Consolas"/>
      <w:sz w:val="20"/>
      <w:szCs w:val="20"/>
    </w:rPr>
  </w:style>
  <w:style w:type="character" w:styleId="Emphasis">
    <w:name w:val="Emphasis"/>
    <w:basedOn w:val="DefaultParagraphFont"/>
    <w:uiPriority w:val="20"/>
    <w:qFormat/>
    <w:rsid w:val="00BA2E13"/>
    <w:rPr>
      <w:i/>
      <w:iCs/>
    </w:rPr>
  </w:style>
  <w:style w:type="character" w:customStyle="1" w:styleId="A15">
    <w:name w:val="A15"/>
    <w:uiPriority w:val="99"/>
    <w:rsid w:val="00BA2E13"/>
    <w:rPr>
      <w:rFonts w:cs="TradeGothic Light"/>
      <w:color w:val="000000"/>
      <w:sz w:val="16"/>
      <w:szCs w:val="16"/>
    </w:rPr>
  </w:style>
  <w:style w:type="character" w:customStyle="1" w:styleId="wi-fullname">
    <w:name w:val="wi-fullname"/>
    <w:basedOn w:val="DefaultParagraphFont"/>
    <w:rsid w:val="00BA2E13"/>
  </w:style>
  <w:style w:type="character" w:customStyle="1" w:styleId="meta-citation-journal-name">
    <w:name w:val="meta-citation-journal-name"/>
    <w:basedOn w:val="DefaultParagraphFont"/>
    <w:rsid w:val="00BA2E13"/>
  </w:style>
  <w:style w:type="character" w:customStyle="1" w:styleId="meta-citation">
    <w:name w:val="meta-citation"/>
    <w:basedOn w:val="DefaultParagraphFont"/>
    <w:rsid w:val="00BA2E13"/>
  </w:style>
  <w:style w:type="character" w:customStyle="1" w:styleId="ms-rtefontface-5">
    <w:name w:val="ms-rtefontface-5"/>
    <w:basedOn w:val="DefaultParagraphFont"/>
    <w:rsid w:val="00BA2E13"/>
  </w:style>
  <w:style w:type="paragraph" w:customStyle="1" w:styleId="Default">
    <w:name w:val="Default"/>
    <w:rsid w:val="00BA2E13"/>
    <w:pPr>
      <w:autoSpaceDE w:val="0"/>
      <w:autoSpaceDN w:val="0"/>
      <w:adjustRightInd w:val="0"/>
      <w:spacing w:after="0" w:line="240" w:lineRule="auto"/>
    </w:pPr>
    <w:rPr>
      <w:rFonts w:ascii="Arial" w:hAnsi="Arial" w:cs="Arial"/>
      <w:color w:val="000000"/>
      <w:sz w:val="24"/>
      <w:szCs w:val="24"/>
    </w:rPr>
  </w:style>
  <w:style w:type="character" w:customStyle="1" w:styleId="highlight">
    <w:name w:val="highlight"/>
    <w:basedOn w:val="DefaultParagraphFont"/>
    <w:rsid w:val="00BA2E13"/>
  </w:style>
  <w:style w:type="paragraph" w:customStyle="1" w:styleId="fignum1">
    <w:name w:val="fignum"/>
    <w:basedOn w:val="Normal"/>
    <w:link w:val="fignumChar1"/>
    <w:rsid w:val="00BA2E13"/>
    <w:pPr>
      <w:ind w:left="0" w:right="0"/>
      <w:jc w:val="left"/>
    </w:pPr>
    <w:rPr>
      <w:smallCaps/>
      <w:noProof w:val="0"/>
    </w:rPr>
  </w:style>
  <w:style w:type="paragraph" w:customStyle="1" w:styleId="figtitle0">
    <w:name w:val="figtitle"/>
    <w:basedOn w:val="Normal"/>
    <w:link w:val="figtitleChar0"/>
    <w:rsid w:val="00BA2E13"/>
    <w:pPr>
      <w:ind w:left="0" w:right="0"/>
      <w:jc w:val="left"/>
    </w:pPr>
    <w:rPr>
      <w:b/>
      <w:noProof w:val="0"/>
    </w:rPr>
  </w:style>
  <w:style w:type="character" w:customStyle="1" w:styleId="fignumChar1">
    <w:name w:val="fignum Char"/>
    <w:basedOn w:val="DefaultParagraphFont"/>
    <w:link w:val="fignum1"/>
    <w:rsid w:val="00BA2E13"/>
    <w:rPr>
      <w:smallCaps/>
    </w:rPr>
  </w:style>
  <w:style w:type="paragraph" w:customStyle="1" w:styleId="source0">
    <w:name w:val="source"/>
    <w:basedOn w:val="Normal"/>
    <w:link w:val="sourceChar0"/>
    <w:rsid w:val="00BA2E13"/>
    <w:pPr>
      <w:spacing w:after="120"/>
      <w:ind w:left="0" w:right="0"/>
      <w:jc w:val="left"/>
    </w:pPr>
    <w:rPr>
      <w:smallCaps/>
      <w:noProof w:val="0"/>
      <w:sz w:val="21"/>
      <w:szCs w:val="21"/>
    </w:rPr>
  </w:style>
  <w:style w:type="character" w:customStyle="1" w:styleId="figtitleChar0">
    <w:name w:val="figtitle Char"/>
    <w:basedOn w:val="DefaultParagraphFont"/>
    <w:link w:val="figtitle0"/>
    <w:rsid w:val="00BA2E13"/>
    <w:rPr>
      <w:b/>
    </w:rPr>
  </w:style>
  <w:style w:type="character" w:customStyle="1" w:styleId="sourceChar0">
    <w:name w:val="source Char"/>
    <w:basedOn w:val="DefaultParagraphFont"/>
    <w:link w:val="source0"/>
    <w:rsid w:val="00BA2E13"/>
    <w:rPr>
      <w:smallCaps/>
      <w:sz w:val="21"/>
      <w:szCs w:val="21"/>
    </w:rPr>
  </w:style>
  <w:style w:type="character" w:customStyle="1" w:styleId="cit-auth">
    <w:name w:val="cit-auth"/>
    <w:basedOn w:val="DefaultParagraphFont"/>
    <w:rsid w:val="00BA2E13"/>
  </w:style>
  <w:style w:type="character" w:customStyle="1" w:styleId="cit-name-surname">
    <w:name w:val="cit-name-surname"/>
    <w:basedOn w:val="DefaultParagraphFont"/>
    <w:rsid w:val="00BA2E13"/>
  </w:style>
  <w:style w:type="character" w:customStyle="1" w:styleId="cit-name-given-names">
    <w:name w:val="cit-name-given-names"/>
    <w:basedOn w:val="DefaultParagraphFont"/>
    <w:rsid w:val="00BA2E13"/>
  </w:style>
  <w:style w:type="character" w:styleId="HTMLCite">
    <w:name w:val="HTML Cite"/>
    <w:basedOn w:val="DefaultParagraphFont"/>
    <w:uiPriority w:val="99"/>
    <w:semiHidden/>
    <w:unhideWhenUsed/>
    <w:rsid w:val="00BA2E13"/>
    <w:rPr>
      <w:i/>
      <w:iCs/>
    </w:rPr>
  </w:style>
  <w:style w:type="character" w:customStyle="1" w:styleId="cit-article-title">
    <w:name w:val="cit-article-title"/>
    <w:basedOn w:val="DefaultParagraphFont"/>
    <w:rsid w:val="00BA2E13"/>
  </w:style>
  <w:style w:type="character" w:customStyle="1" w:styleId="cit-pub-date">
    <w:name w:val="cit-pub-date"/>
    <w:basedOn w:val="DefaultParagraphFont"/>
    <w:rsid w:val="00BA2E13"/>
  </w:style>
  <w:style w:type="character" w:customStyle="1" w:styleId="cit-vol">
    <w:name w:val="cit-vol"/>
    <w:basedOn w:val="DefaultParagraphFont"/>
    <w:rsid w:val="00BA2E13"/>
  </w:style>
  <w:style w:type="character" w:customStyle="1" w:styleId="cit-issue">
    <w:name w:val="cit-issue"/>
    <w:basedOn w:val="DefaultParagraphFont"/>
    <w:rsid w:val="00BA2E13"/>
  </w:style>
  <w:style w:type="character" w:customStyle="1" w:styleId="cit-pub-id">
    <w:name w:val="cit-pub-id"/>
    <w:basedOn w:val="DefaultParagraphFont"/>
    <w:rsid w:val="00BA2E13"/>
  </w:style>
  <w:style w:type="character" w:customStyle="1" w:styleId="cit-pub-id-scheme-pmid">
    <w:name w:val="cit-pub-id-scheme-pmid"/>
    <w:basedOn w:val="DefaultParagraphFont"/>
    <w:rsid w:val="00BA2E13"/>
  </w:style>
  <w:style w:type="character" w:customStyle="1" w:styleId="cit-etal">
    <w:name w:val="cit-etal"/>
    <w:basedOn w:val="DefaultParagraphFont"/>
    <w:rsid w:val="00BA2E13"/>
  </w:style>
  <w:style w:type="character" w:customStyle="1" w:styleId="Mention1">
    <w:name w:val="Mention1"/>
    <w:basedOn w:val="DefaultParagraphFont"/>
    <w:uiPriority w:val="99"/>
    <w:semiHidden/>
    <w:unhideWhenUsed/>
    <w:rsid w:val="00367354"/>
    <w:rPr>
      <w:color w:val="2B579A"/>
      <w:shd w:val="clear" w:color="auto" w:fill="E6E6E6"/>
    </w:rPr>
  </w:style>
  <w:style w:type="character" w:styleId="SubtleEmphasis">
    <w:name w:val="Subtle Emphasis"/>
    <w:uiPriority w:val="19"/>
    <w:qFormat/>
    <w:rsid w:val="00367354"/>
    <w:rPr>
      <w:rFonts w:asciiTheme="minorHAnsi" w:hAnsiTheme="minorHAnsi"/>
      <w:b/>
      <w:i w:val="0"/>
      <w:iCs/>
      <w:color w:val="404040" w:themeColor="text1" w:themeTint="BF"/>
      <w:sz w:val="22"/>
    </w:rPr>
  </w:style>
  <w:style w:type="character" w:styleId="PlaceholderText">
    <w:name w:val="Placeholder Text"/>
    <w:basedOn w:val="DefaultParagraphFont"/>
    <w:uiPriority w:val="99"/>
    <w:semiHidden/>
    <w:rsid w:val="00367354"/>
    <w:rPr>
      <w:color w:val="808080"/>
    </w:rPr>
  </w:style>
  <w:style w:type="character" w:customStyle="1" w:styleId="Hyperlink1">
    <w:name w:val="Hyperlink1"/>
    <w:basedOn w:val="DefaultParagraphFont"/>
    <w:unhideWhenUsed/>
    <w:rsid w:val="00367354"/>
    <w:rPr>
      <w:color w:val="0563C1"/>
      <w:u w:val="single"/>
    </w:rPr>
  </w:style>
  <w:style w:type="character" w:customStyle="1" w:styleId="print-only">
    <w:name w:val="print-only"/>
    <w:basedOn w:val="DefaultParagraphFont"/>
    <w:rsid w:val="00AA055A"/>
  </w:style>
  <w:style w:type="character" w:customStyle="1" w:styleId="Heading5Char">
    <w:name w:val="Heading 5 Char"/>
    <w:basedOn w:val="DefaultParagraphFont"/>
    <w:link w:val="Heading5"/>
    <w:uiPriority w:val="9"/>
    <w:rsid w:val="004D187E"/>
    <w:rPr>
      <w:b/>
      <w:noProof/>
      <w:color w:val="203864"/>
    </w:rPr>
  </w:style>
  <w:style w:type="character" w:customStyle="1" w:styleId="label">
    <w:name w:val="label"/>
    <w:basedOn w:val="DefaultParagraphFont"/>
    <w:rsid w:val="00197870"/>
  </w:style>
  <w:style w:type="character" w:customStyle="1" w:styleId="mixed-citation">
    <w:name w:val="mixed-citation"/>
    <w:basedOn w:val="DefaultParagraphFont"/>
    <w:rsid w:val="00197870"/>
  </w:style>
  <w:style w:type="paragraph" w:customStyle="1" w:styleId="Figtitle1">
    <w:name w:val="Figtitle"/>
    <w:basedOn w:val="figtitle0"/>
    <w:link w:val="FigtitleChar1"/>
    <w:rsid w:val="00197870"/>
    <w:pPr>
      <w:jc w:val="both"/>
    </w:pPr>
  </w:style>
  <w:style w:type="character" w:customStyle="1" w:styleId="FigtitleChar1">
    <w:name w:val="Figtitle Char"/>
    <w:basedOn w:val="figtitleChar0"/>
    <w:link w:val="Figtitle1"/>
    <w:rsid w:val="00197870"/>
    <w:rPr>
      <w:b/>
    </w:rPr>
  </w:style>
  <w:style w:type="paragraph" w:customStyle="1" w:styleId="CM20">
    <w:name w:val="CM20"/>
    <w:basedOn w:val="Normal"/>
    <w:next w:val="Normal"/>
    <w:uiPriority w:val="99"/>
    <w:rsid w:val="00197870"/>
    <w:pPr>
      <w:autoSpaceDE w:val="0"/>
      <w:autoSpaceDN w:val="0"/>
      <w:adjustRightInd w:val="0"/>
      <w:spacing w:before="0" w:after="0" w:line="240" w:lineRule="auto"/>
      <w:ind w:left="0" w:right="0"/>
    </w:pPr>
    <w:rPr>
      <w:rFonts w:ascii="Adobe Caslon Pro" w:hAnsi="Adobe Caslon Pro"/>
      <w:noProof w:val="0"/>
      <w:sz w:val="24"/>
      <w:szCs w:val="24"/>
    </w:rPr>
  </w:style>
  <w:style w:type="character" w:customStyle="1" w:styleId="footnote0020textchar">
    <w:name w:val="footnote_0020text__char"/>
    <w:basedOn w:val="DefaultParagraphFont"/>
    <w:rsid w:val="00197870"/>
  </w:style>
  <w:style w:type="character" w:customStyle="1" w:styleId="hyperlinkchar">
    <w:name w:val="hyperlink__char"/>
    <w:basedOn w:val="DefaultParagraphFont"/>
    <w:rsid w:val="00197870"/>
  </w:style>
  <w:style w:type="paragraph" w:customStyle="1" w:styleId="Style1">
    <w:name w:val="Style1"/>
    <w:basedOn w:val="Heading2"/>
    <w:link w:val="Style1Char"/>
    <w:qFormat/>
    <w:rsid w:val="00197870"/>
    <w:pPr>
      <w:ind w:left="0" w:right="0"/>
    </w:pPr>
    <w:rPr>
      <w:sz w:val="36"/>
      <w:szCs w:val="36"/>
    </w:rPr>
  </w:style>
  <w:style w:type="character" w:customStyle="1" w:styleId="Style1Char">
    <w:name w:val="Style1 Char"/>
    <w:basedOn w:val="Heading2Char"/>
    <w:link w:val="Style1"/>
    <w:rsid w:val="00197870"/>
    <w:rPr>
      <w:b/>
      <w:noProof/>
      <w:sz w:val="36"/>
      <w:szCs w:val="36"/>
    </w:rPr>
  </w:style>
  <w:style w:type="paragraph" w:styleId="BodyText">
    <w:name w:val="Body Text"/>
    <w:basedOn w:val="Normal"/>
    <w:link w:val="BodyTextChar"/>
    <w:uiPriority w:val="99"/>
    <w:unhideWhenUsed/>
    <w:rsid w:val="000902A4"/>
    <w:pPr>
      <w:spacing w:after="120"/>
      <w:ind w:left="0" w:right="0"/>
    </w:pPr>
    <w:rPr>
      <w:noProof w:val="0"/>
    </w:rPr>
  </w:style>
  <w:style w:type="character" w:customStyle="1" w:styleId="BodyTextChar">
    <w:name w:val="Body Text Char"/>
    <w:basedOn w:val="DefaultParagraphFont"/>
    <w:link w:val="BodyText"/>
    <w:uiPriority w:val="99"/>
    <w:rsid w:val="000902A4"/>
  </w:style>
  <w:style w:type="paragraph" w:styleId="BodyTextFirstIndent">
    <w:name w:val="Body Text First Indent"/>
    <w:basedOn w:val="BodyText"/>
    <w:link w:val="BodyTextFirstIndentChar"/>
    <w:uiPriority w:val="99"/>
    <w:unhideWhenUsed/>
    <w:rsid w:val="000902A4"/>
    <w:pPr>
      <w:autoSpaceDE w:val="0"/>
      <w:autoSpaceDN w:val="0"/>
      <w:spacing w:before="0" w:line="360" w:lineRule="auto"/>
      <w:ind w:firstLine="432"/>
      <w:jc w:val="left"/>
    </w:pPr>
    <w:rPr>
      <w:rFonts w:ascii="Times New Roman" w:eastAsia="Times New Roman" w:hAnsi="Times New Roman" w:cs="Times New Roman"/>
    </w:rPr>
  </w:style>
  <w:style w:type="character" w:customStyle="1" w:styleId="BodyTextFirstIndentChar">
    <w:name w:val="Body Text First Indent Char"/>
    <w:basedOn w:val="BodyTextChar"/>
    <w:link w:val="BodyTextFirstIndent"/>
    <w:uiPriority w:val="99"/>
    <w:rsid w:val="000902A4"/>
    <w:rPr>
      <w:rFonts w:ascii="Times New Roman" w:eastAsia="Times New Roman" w:hAnsi="Times New Roman" w:cs="Times New Roman"/>
    </w:rPr>
  </w:style>
  <w:style w:type="character" w:customStyle="1" w:styleId="pagefirst">
    <w:name w:val="pagefirst"/>
    <w:basedOn w:val="DefaultParagraphFont"/>
    <w:rsid w:val="000902A4"/>
  </w:style>
  <w:style w:type="character" w:customStyle="1" w:styleId="hlfld-fulltext">
    <w:name w:val="hlfld-fulltext"/>
    <w:basedOn w:val="DefaultParagraphFont"/>
    <w:rsid w:val="000902A4"/>
  </w:style>
  <w:style w:type="character" w:customStyle="1" w:styleId="button">
    <w:name w:val="button"/>
    <w:basedOn w:val="DefaultParagraphFont"/>
    <w:rsid w:val="000902A4"/>
  </w:style>
  <w:style w:type="character" w:customStyle="1" w:styleId="fieldset-legend">
    <w:name w:val="fieldset-legend"/>
    <w:basedOn w:val="DefaultParagraphFont"/>
    <w:rsid w:val="000902A4"/>
  </w:style>
  <w:style w:type="character" w:customStyle="1" w:styleId="date-display-single">
    <w:name w:val="date-display-single"/>
    <w:basedOn w:val="DefaultParagraphFont"/>
    <w:rsid w:val="000902A4"/>
  </w:style>
  <w:style w:type="character" w:customStyle="1" w:styleId="ref-journal">
    <w:name w:val="ref-journal"/>
    <w:basedOn w:val="DefaultParagraphFont"/>
    <w:rsid w:val="000902A4"/>
  </w:style>
  <w:style w:type="character" w:customStyle="1" w:styleId="ref-vol">
    <w:name w:val="ref-vol"/>
    <w:basedOn w:val="DefaultParagraphFont"/>
    <w:rsid w:val="000902A4"/>
  </w:style>
  <w:style w:type="character" w:customStyle="1" w:styleId="ProTextChar">
    <w:name w:val="ProText Char"/>
    <w:basedOn w:val="DefaultParagraphFont"/>
    <w:link w:val="ProText"/>
    <w:locked/>
    <w:rsid w:val="000902A4"/>
    <w:rPr>
      <w:rFonts w:ascii="Calibri" w:hAnsi="Calibri"/>
      <w:color w:val="000000"/>
    </w:rPr>
  </w:style>
  <w:style w:type="paragraph" w:customStyle="1" w:styleId="ProText">
    <w:name w:val="ProText"/>
    <w:basedOn w:val="Normal"/>
    <w:link w:val="ProTextChar"/>
    <w:rsid w:val="000902A4"/>
    <w:pPr>
      <w:autoSpaceDE w:val="0"/>
      <w:autoSpaceDN w:val="0"/>
      <w:spacing w:before="0" w:after="240" w:line="240" w:lineRule="auto"/>
      <w:ind w:left="0" w:right="0"/>
      <w:jc w:val="left"/>
    </w:pPr>
    <w:rPr>
      <w:rFonts w:ascii="Calibri" w:hAnsi="Calibri"/>
      <w:noProof w:val="0"/>
      <w:color w:val="000000"/>
    </w:rPr>
  </w:style>
  <w:style w:type="character" w:customStyle="1" w:styleId="bkciteavail">
    <w:name w:val="bk_cite_avail"/>
    <w:basedOn w:val="DefaultParagraphFont"/>
    <w:rsid w:val="000902A4"/>
  </w:style>
  <w:style w:type="paragraph" w:customStyle="1" w:styleId="msonormal0">
    <w:name w:val="msonormal"/>
    <w:basedOn w:val="Normal"/>
    <w:uiPriority w:val="99"/>
    <w:rsid w:val="006508EC"/>
    <w:pPr>
      <w:spacing w:before="100" w:beforeAutospacing="1" w:after="100" w:afterAutospacing="1" w:line="240" w:lineRule="auto"/>
      <w:ind w:left="0" w:right="0"/>
      <w:jc w:val="left"/>
    </w:pPr>
    <w:rPr>
      <w:rFonts w:ascii="Times New Roman" w:eastAsia="Times New Roman" w:hAnsi="Times New Roman" w:cs="Times New Roman"/>
      <w:noProof w:val="0"/>
      <w:color w:val="000000"/>
      <w:sz w:val="24"/>
      <w:szCs w:val="24"/>
    </w:rPr>
  </w:style>
  <w:style w:type="character" w:customStyle="1" w:styleId="Mention2">
    <w:name w:val="Mention2"/>
    <w:basedOn w:val="DefaultParagraphFont"/>
    <w:uiPriority w:val="99"/>
    <w:semiHidden/>
    <w:rsid w:val="006508EC"/>
    <w:rPr>
      <w:color w:val="2B579A"/>
      <w:shd w:val="clear" w:color="auto" w:fill="E6E6E6"/>
    </w:rPr>
  </w:style>
  <w:style w:type="table" w:customStyle="1" w:styleId="GridTable1Light-Accent11">
    <w:name w:val="Grid Table 1 Light - Accent 11"/>
    <w:basedOn w:val="TableNormal"/>
    <w:uiPriority w:val="46"/>
    <w:rsid w:val="006508EC"/>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GridTable2-Accent11">
    <w:name w:val="Grid Table 2 - Accent 11"/>
    <w:basedOn w:val="TableNormal"/>
    <w:uiPriority w:val="47"/>
    <w:rsid w:val="006508EC"/>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GridTable3-Accent11">
    <w:name w:val="Grid Table 3 - Accent 11"/>
    <w:basedOn w:val="TableNormal"/>
    <w:uiPriority w:val="48"/>
    <w:rsid w:val="006508EC"/>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customStyle="1" w:styleId="GridTable2-Accent51">
    <w:name w:val="Grid Table 2 - Accent 51"/>
    <w:basedOn w:val="TableNormal"/>
    <w:uiPriority w:val="47"/>
    <w:rsid w:val="006508EC"/>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customStyle="1" w:styleId="SHAFigureNumber">
    <w:name w:val="SHA Figure Number"/>
    <w:basedOn w:val="FigName"/>
    <w:link w:val="SHAFigureNumberChar"/>
    <w:qFormat/>
    <w:rsid w:val="00EF7361"/>
    <w:pPr>
      <w:jc w:val="center"/>
    </w:pPr>
  </w:style>
  <w:style w:type="paragraph" w:customStyle="1" w:styleId="SHAFigureNote">
    <w:name w:val="SHA Figure Note"/>
    <w:basedOn w:val="SHAFigureNumber"/>
    <w:link w:val="SHAFigureNoteChar"/>
    <w:qFormat/>
    <w:rsid w:val="00F6716B"/>
    <w:rPr>
      <w:b w:val="0"/>
      <w:sz w:val="20"/>
      <w:szCs w:val="20"/>
    </w:rPr>
  </w:style>
  <w:style w:type="character" w:customStyle="1" w:styleId="SHAFigureNumberChar">
    <w:name w:val="SHA Figure Number Char"/>
    <w:basedOn w:val="FigNameChar"/>
    <w:link w:val="SHAFigureNumber"/>
    <w:rsid w:val="00EF7361"/>
    <w:rPr>
      <w:rFonts w:ascii="Aileron" w:hAnsi="Aileron"/>
      <w:b/>
      <w:sz w:val="21"/>
      <w:szCs w:val="21"/>
    </w:rPr>
  </w:style>
  <w:style w:type="table" w:customStyle="1" w:styleId="GridTable3-Accent111">
    <w:name w:val="Grid Table 3 - Accent 111"/>
    <w:basedOn w:val="TableNormal"/>
    <w:uiPriority w:val="48"/>
    <w:rsid w:val="0044423B"/>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character" w:customStyle="1" w:styleId="SHAFigureNoteChar">
    <w:name w:val="SHA Figure Note Char"/>
    <w:basedOn w:val="SHAFigureNumberChar"/>
    <w:link w:val="SHAFigureNote"/>
    <w:rsid w:val="00F6716B"/>
    <w:rPr>
      <w:rFonts w:ascii="Aileron" w:hAnsi="Aileron"/>
      <w:b w:val="0"/>
      <w:sz w:val="20"/>
      <w:szCs w:val="20"/>
    </w:rPr>
  </w:style>
  <w:style w:type="paragraph" w:customStyle="1" w:styleId="Body1">
    <w:name w:val="Body1"/>
    <w:basedOn w:val="NoSpacing"/>
    <w:link w:val="Body1Char"/>
    <w:qFormat/>
    <w:rsid w:val="009646EB"/>
    <w:pPr>
      <w:spacing w:after="120"/>
      <w:jc w:val="left"/>
    </w:pPr>
    <w:rPr>
      <w:sz w:val="24"/>
      <w:szCs w:val="24"/>
    </w:rPr>
  </w:style>
  <w:style w:type="character" w:customStyle="1" w:styleId="Body1Char">
    <w:name w:val="Body1 Char"/>
    <w:basedOn w:val="NoSpacingChar"/>
    <w:link w:val="Body1"/>
    <w:rsid w:val="009646EB"/>
    <w:rPr>
      <w:rFonts w:ascii="Aileron" w:hAnsi="Aileron"/>
      <w:sz w:val="24"/>
      <w:szCs w:val="24"/>
    </w:rPr>
  </w:style>
  <w:style w:type="table" w:customStyle="1" w:styleId="TableGrid2">
    <w:name w:val="Table Grid2"/>
    <w:basedOn w:val="TableNormal"/>
    <w:next w:val="TableGrid"/>
    <w:rsid w:val="00840D6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3111">
    <w:name w:val="Plain Table 3111"/>
    <w:basedOn w:val="TableNormal"/>
    <w:next w:val="PlainTable32"/>
    <w:uiPriority w:val="43"/>
    <w:rsid w:val="001B52C7"/>
    <w:pPr>
      <w:spacing w:before="120" w:after="0" w:line="240" w:lineRule="auto"/>
      <w:ind w:left="-360" w:right="-360"/>
      <w:jc w:val="both"/>
    </w:p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Heading6Char">
    <w:name w:val="Heading 6 Char"/>
    <w:basedOn w:val="DefaultParagraphFont"/>
    <w:link w:val="Heading6"/>
    <w:uiPriority w:val="9"/>
    <w:rsid w:val="00492AB1"/>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492AB1"/>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492AB1"/>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492AB1"/>
    <w:rPr>
      <w:rFonts w:asciiTheme="majorHAnsi" w:eastAsiaTheme="majorEastAsia" w:hAnsiTheme="majorHAnsi" w:cstheme="majorBidi"/>
      <w:i/>
      <w:iCs/>
      <w:spacing w:val="5"/>
      <w:sz w:val="20"/>
      <w:szCs w:val="20"/>
    </w:rPr>
  </w:style>
  <w:style w:type="paragraph" w:styleId="Quote">
    <w:name w:val="Quote"/>
    <w:basedOn w:val="Normal"/>
    <w:next w:val="Normal"/>
    <w:link w:val="QuoteChar"/>
    <w:uiPriority w:val="29"/>
    <w:qFormat/>
    <w:rsid w:val="00492AB1"/>
    <w:pPr>
      <w:spacing w:before="200" w:after="0" w:line="276" w:lineRule="auto"/>
      <w:ind w:left="360" w:right="360"/>
    </w:pPr>
    <w:rPr>
      <w:rFonts w:eastAsiaTheme="minorEastAsia"/>
      <w:i/>
      <w:iCs/>
      <w:noProof w:val="0"/>
    </w:rPr>
  </w:style>
  <w:style w:type="character" w:customStyle="1" w:styleId="QuoteChar">
    <w:name w:val="Quote Char"/>
    <w:basedOn w:val="DefaultParagraphFont"/>
    <w:link w:val="Quote"/>
    <w:uiPriority w:val="29"/>
    <w:rsid w:val="00492AB1"/>
    <w:rPr>
      <w:rFonts w:eastAsiaTheme="minorEastAsia"/>
      <w:i/>
      <w:iCs/>
    </w:rPr>
  </w:style>
  <w:style w:type="paragraph" w:styleId="IntenseQuote">
    <w:name w:val="Intense Quote"/>
    <w:basedOn w:val="Normal"/>
    <w:next w:val="Normal"/>
    <w:link w:val="IntenseQuoteChar"/>
    <w:uiPriority w:val="30"/>
    <w:qFormat/>
    <w:rsid w:val="00492AB1"/>
    <w:pPr>
      <w:pBdr>
        <w:bottom w:val="single" w:sz="4" w:space="1" w:color="auto"/>
      </w:pBdr>
      <w:spacing w:before="200" w:after="280" w:line="276" w:lineRule="auto"/>
      <w:ind w:left="1008" w:right="1152"/>
    </w:pPr>
    <w:rPr>
      <w:rFonts w:eastAsiaTheme="minorEastAsia"/>
      <w:b/>
      <w:bCs/>
      <w:i/>
      <w:iCs/>
      <w:noProof w:val="0"/>
    </w:rPr>
  </w:style>
  <w:style w:type="character" w:customStyle="1" w:styleId="IntenseQuoteChar">
    <w:name w:val="Intense Quote Char"/>
    <w:basedOn w:val="DefaultParagraphFont"/>
    <w:link w:val="IntenseQuote"/>
    <w:uiPriority w:val="30"/>
    <w:rsid w:val="00492AB1"/>
    <w:rPr>
      <w:rFonts w:eastAsiaTheme="minorEastAsia"/>
      <w:b/>
      <w:bCs/>
      <w:i/>
      <w:iCs/>
    </w:rPr>
  </w:style>
  <w:style w:type="character" w:styleId="IntenseEmphasis">
    <w:name w:val="Intense Emphasis"/>
    <w:uiPriority w:val="21"/>
    <w:qFormat/>
    <w:rsid w:val="00492AB1"/>
    <w:rPr>
      <w:b/>
      <w:bCs/>
    </w:rPr>
  </w:style>
  <w:style w:type="character" w:styleId="SubtleReference">
    <w:name w:val="Subtle Reference"/>
    <w:uiPriority w:val="31"/>
    <w:qFormat/>
    <w:rsid w:val="00492AB1"/>
    <w:rPr>
      <w:smallCaps/>
    </w:rPr>
  </w:style>
  <w:style w:type="character" w:styleId="IntenseReference">
    <w:name w:val="Intense Reference"/>
    <w:uiPriority w:val="32"/>
    <w:qFormat/>
    <w:rsid w:val="00492AB1"/>
    <w:rPr>
      <w:smallCaps/>
      <w:spacing w:val="5"/>
      <w:u w:val="single"/>
    </w:rPr>
  </w:style>
  <w:style w:type="character" w:styleId="BookTitle">
    <w:name w:val="Book Title"/>
    <w:uiPriority w:val="33"/>
    <w:qFormat/>
    <w:rsid w:val="00492AB1"/>
    <w:rPr>
      <w:i/>
      <w:iCs/>
      <w:smallCaps/>
      <w:spacing w:val="5"/>
    </w:rPr>
  </w:style>
  <w:style w:type="paragraph" w:styleId="TOCHeading">
    <w:name w:val="TOC Heading"/>
    <w:basedOn w:val="Heading1"/>
    <w:next w:val="Normal"/>
    <w:uiPriority w:val="39"/>
    <w:semiHidden/>
    <w:unhideWhenUsed/>
    <w:qFormat/>
    <w:rsid w:val="00492AB1"/>
    <w:pPr>
      <w:keepNext w:val="0"/>
      <w:keepLines w:val="0"/>
      <w:spacing w:before="160" w:after="120" w:line="276" w:lineRule="auto"/>
      <w:ind w:left="0" w:right="0"/>
      <w:outlineLvl w:val="9"/>
    </w:pPr>
    <w:rPr>
      <w:bCs/>
      <w:noProof w:val="0"/>
      <w:sz w:val="48"/>
      <w:lang w:bidi="en-US"/>
    </w:rPr>
  </w:style>
  <w:style w:type="character" w:customStyle="1" w:styleId="element-citation">
    <w:name w:val="element-citation"/>
    <w:basedOn w:val="DefaultParagraphFont"/>
    <w:rsid w:val="00492AB1"/>
  </w:style>
  <w:style w:type="character" w:customStyle="1" w:styleId="nowrap">
    <w:name w:val="nowrap"/>
    <w:basedOn w:val="DefaultParagraphFont"/>
    <w:rsid w:val="00492AB1"/>
  </w:style>
  <w:style w:type="paragraph" w:customStyle="1" w:styleId="REFERENCES">
    <w:name w:val="REFERENCES"/>
    <w:basedOn w:val="NoSpacing"/>
    <w:link w:val="REFERENCESChar"/>
    <w:qFormat/>
    <w:rsid w:val="00C97417"/>
    <w:pPr>
      <w:ind w:left="-360" w:right="-360"/>
      <w:jc w:val="left"/>
    </w:pPr>
    <w:rPr>
      <w:rFonts w:asciiTheme="minorHAnsi" w:hAnsiTheme="minorHAnsi"/>
      <w:sz w:val="22"/>
      <w:szCs w:val="22"/>
    </w:rPr>
  </w:style>
  <w:style w:type="character" w:customStyle="1" w:styleId="UnresolvedMention1">
    <w:name w:val="Unresolved Mention1"/>
    <w:basedOn w:val="DefaultParagraphFont"/>
    <w:uiPriority w:val="99"/>
    <w:semiHidden/>
    <w:unhideWhenUsed/>
    <w:rsid w:val="00636067"/>
    <w:rPr>
      <w:color w:val="808080"/>
      <w:shd w:val="clear" w:color="auto" w:fill="E6E6E6"/>
    </w:rPr>
  </w:style>
  <w:style w:type="character" w:customStyle="1" w:styleId="REFERENCESChar">
    <w:name w:val="REFERENCES Char"/>
    <w:basedOn w:val="NoSpacingChar"/>
    <w:link w:val="REFERENCES"/>
    <w:rsid w:val="00C97417"/>
    <w:rPr>
      <w:rFonts w:ascii="Aileron" w:hAnsi="Aileron"/>
      <w:sz w:val="21"/>
      <w:szCs w:val="21"/>
    </w:rPr>
  </w:style>
  <w:style w:type="numbering" w:customStyle="1" w:styleId="NoList1">
    <w:name w:val="No List1"/>
    <w:next w:val="NoList"/>
    <w:uiPriority w:val="99"/>
    <w:semiHidden/>
    <w:unhideWhenUsed/>
    <w:rsid w:val="005A0277"/>
  </w:style>
  <w:style w:type="table" w:customStyle="1" w:styleId="GridTable4-Accent11">
    <w:name w:val="Grid Table 4 - Accent 11"/>
    <w:basedOn w:val="TableNormal"/>
    <w:uiPriority w:val="49"/>
    <w:rsid w:val="005A0277"/>
    <w:pPr>
      <w:spacing w:after="0" w:line="240" w:lineRule="auto"/>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customStyle="1" w:styleId="Heading11">
    <w:name w:val="Heading 11"/>
    <w:basedOn w:val="Normal"/>
    <w:next w:val="Normal"/>
    <w:uiPriority w:val="9"/>
    <w:rsid w:val="005A0277"/>
    <w:pPr>
      <w:keepNext/>
      <w:keepLines/>
      <w:spacing w:before="240" w:after="0"/>
      <w:ind w:left="0" w:right="0"/>
      <w:outlineLvl w:val="0"/>
    </w:pPr>
    <w:rPr>
      <w:rFonts w:ascii="Aileron" w:eastAsia="Times New Roman" w:hAnsi="Aileron" w:cs="Times New Roman"/>
      <w:noProof w:val="0"/>
      <w:color w:val="0B5294"/>
      <w:sz w:val="32"/>
      <w:szCs w:val="32"/>
    </w:rPr>
  </w:style>
  <w:style w:type="paragraph" w:customStyle="1" w:styleId="Heading21">
    <w:name w:val="Heading 21"/>
    <w:basedOn w:val="Normal"/>
    <w:next w:val="Normal"/>
    <w:uiPriority w:val="9"/>
    <w:unhideWhenUsed/>
    <w:rsid w:val="005A0277"/>
    <w:pPr>
      <w:keepNext/>
      <w:keepLines/>
      <w:spacing w:before="40" w:after="0"/>
      <w:ind w:left="0" w:right="0"/>
      <w:outlineLvl w:val="1"/>
    </w:pPr>
    <w:rPr>
      <w:rFonts w:ascii="Aileron Bold" w:eastAsia="Times New Roman" w:hAnsi="Aileron Bold" w:cs="Times New Roman"/>
      <w:noProof w:val="0"/>
      <w:color w:val="0B5294"/>
      <w:sz w:val="32"/>
      <w:szCs w:val="26"/>
    </w:rPr>
  </w:style>
  <w:style w:type="paragraph" w:customStyle="1" w:styleId="Heading31">
    <w:name w:val="Heading 31"/>
    <w:basedOn w:val="Normal"/>
    <w:next w:val="Normal"/>
    <w:uiPriority w:val="9"/>
    <w:unhideWhenUsed/>
    <w:rsid w:val="005A0277"/>
    <w:pPr>
      <w:keepNext/>
      <w:keepLines/>
      <w:spacing w:before="40" w:after="0"/>
      <w:ind w:left="0" w:right="0"/>
      <w:outlineLvl w:val="2"/>
    </w:pPr>
    <w:rPr>
      <w:rFonts w:ascii="Aileron" w:eastAsia="Times New Roman" w:hAnsi="Aileron" w:cs="Times New Roman"/>
      <w:noProof w:val="0"/>
      <w:color w:val="073662"/>
      <w:sz w:val="24"/>
      <w:szCs w:val="24"/>
    </w:rPr>
  </w:style>
  <w:style w:type="paragraph" w:customStyle="1" w:styleId="Heading41">
    <w:name w:val="Heading 41"/>
    <w:basedOn w:val="Normal"/>
    <w:next w:val="Normal"/>
    <w:uiPriority w:val="9"/>
    <w:unhideWhenUsed/>
    <w:qFormat/>
    <w:rsid w:val="005A0277"/>
    <w:pPr>
      <w:keepNext/>
      <w:keepLines/>
      <w:spacing w:before="40" w:after="0"/>
      <w:ind w:left="0" w:right="0"/>
      <w:outlineLvl w:val="3"/>
    </w:pPr>
    <w:rPr>
      <w:rFonts w:ascii="Aileron Bold" w:eastAsia="Times New Roman" w:hAnsi="Aileron Bold" w:cs="Times New Roman"/>
      <w:b/>
      <w:iCs/>
      <w:noProof w:val="0"/>
      <w:color w:val="0F6FC6"/>
      <w:sz w:val="26"/>
    </w:rPr>
  </w:style>
  <w:style w:type="paragraph" w:customStyle="1" w:styleId="Heading51">
    <w:name w:val="Heading 51"/>
    <w:basedOn w:val="Normal"/>
    <w:next w:val="Normal"/>
    <w:uiPriority w:val="9"/>
    <w:unhideWhenUsed/>
    <w:qFormat/>
    <w:rsid w:val="005A0277"/>
    <w:pPr>
      <w:keepNext/>
      <w:keepLines/>
      <w:spacing w:before="40" w:after="0"/>
      <w:ind w:left="0" w:right="0"/>
      <w:outlineLvl w:val="4"/>
    </w:pPr>
    <w:rPr>
      <w:rFonts w:ascii="Aileron" w:eastAsia="Times New Roman" w:hAnsi="Aileron" w:cs="Times New Roman"/>
      <w:noProof w:val="0"/>
      <w:color w:val="0B5294"/>
      <w:sz w:val="23"/>
    </w:rPr>
  </w:style>
  <w:style w:type="paragraph" w:customStyle="1" w:styleId="Heading61">
    <w:name w:val="Heading 61"/>
    <w:basedOn w:val="Normal"/>
    <w:next w:val="Normal"/>
    <w:uiPriority w:val="9"/>
    <w:unhideWhenUsed/>
    <w:qFormat/>
    <w:rsid w:val="005A0277"/>
    <w:pPr>
      <w:keepNext/>
      <w:keepLines/>
      <w:spacing w:before="40" w:after="0"/>
      <w:ind w:left="0" w:right="0"/>
      <w:outlineLvl w:val="5"/>
    </w:pPr>
    <w:rPr>
      <w:rFonts w:ascii="Aileron" w:eastAsia="Times New Roman" w:hAnsi="Aileron" w:cs="Times New Roman"/>
      <w:b/>
      <w:noProof w:val="0"/>
      <w:color w:val="073662"/>
      <w:sz w:val="24"/>
    </w:rPr>
  </w:style>
  <w:style w:type="numbering" w:customStyle="1" w:styleId="NoList11">
    <w:name w:val="No List11"/>
    <w:next w:val="NoList"/>
    <w:uiPriority w:val="99"/>
    <w:semiHidden/>
    <w:unhideWhenUsed/>
    <w:rsid w:val="005A0277"/>
  </w:style>
  <w:style w:type="paragraph" w:customStyle="1" w:styleId="Title1">
    <w:name w:val="Title1"/>
    <w:basedOn w:val="Normal"/>
    <w:next w:val="Normal"/>
    <w:uiPriority w:val="10"/>
    <w:qFormat/>
    <w:rsid w:val="005A0277"/>
    <w:pPr>
      <w:spacing w:before="0" w:after="0" w:line="240" w:lineRule="auto"/>
      <w:ind w:left="0" w:right="0"/>
      <w:contextualSpacing/>
    </w:pPr>
    <w:rPr>
      <w:rFonts w:ascii="Arial" w:eastAsia="Times New Roman" w:hAnsi="Arial" w:cs="Times New Roman"/>
      <w:noProof w:val="0"/>
      <w:spacing w:val="-10"/>
      <w:kern w:val="28"/>
      <w:sz w:val="44"/>
      <w:szCs w:val="56"/>
    </w:rPr>
  </w:style>
  <w:style w:type="paragraph" w:customStyle="1" w:styleId="Subtitle1">
    <w:name w:val="Subtitle1"/>
    <w:basedOn w:val="Normal"/>
    <w:next w:val="Normal"/>
    <w:uiPriority w:val="11"/>
    <w:qFormat/>
    <w:rsid w:val="005A0277"/>
    <w:pPr>
      <w:numPr>
        <w:ilvl w:val="1"/>
      </w:numPr>
      <w:spacing w:before="0"/>
      <w:ind w:left="-360" w:right="0"/>
    </w:pPr>
    <w:rPr>
      <w:rFonts w:ascii="Times New Roman" w:eastAsia="Times New Roman" w:hAnsi="Times New Roman"/>
      <w:noProof w:val="0"/>
      <w:color w:val="5A5A5A"/>
      <w:spacing w:val="15"/>
      <w:sz w:val="23"/>
    </w:rPr>
  </w:style>
  <w:style w:type="table" w:customStyle="1" w:styleId="TableGrid3">
    <w:name w:val="Table Grid3"/>
    <w:basedOn w:val="TableNormal"/>
    <w:next w:val="TableGrid"/>
    <w:uiPriority w:val="39"/>
    <w:rsid w:val="005A02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111">
    <w:name w:val="Grid Table 1 Light - Accent 111"/>
    <w:basedOn w:val="TableNormal"/>
    <w:uiPriority w:val="46"/>
    <w:rsid w:val="005A0277"/>
    <w:pPr>
      <w:spacing w:after="0" w:line="240" w:lineRule="auto"/>
    </w:pPr>
    <w:tblPr>
      <w:tblStyleRowBandSize w:val="1"/>
      <w:tblStyleColBandSize w:val="1"/>
      <w:tblBorders>
        <w:top w:val="single" w:sz="4" w:space="0" w:color="90C5F6"/>
        <w:left w:val="single" w:sz="4" w:space="0" w:color="90C5F6"/>
        <w:bottom w:val="single" w:sz="4" w:space="0" w:color="90C5F6"/>
        <w:right w:val="single" w:sz="4" w:space="0" w:color="90C5F6"/>
        <w:insideH w:val="single" w:sz="4" w:space="0" w:color="90C5F6"/>
        <w:insideV w:val="single" w:sz="4" w:space="0" w:color="90C5F6"/>
      </w:tblBorders>
    </w:tblPr>
    <w:tblStylePr w:type="firstRow">
      <w:rPr>
        <w:b/>
        <w:bCs/>
      </w:rPr>
      <w:tblPr/>
      <w:tcPr>
        <w:tcBorders>
          <w:bottom w:val="single" w:sz="12" w:space="0" w:color="59A9F2"/>
        </w:tcBorders>
      </w:tcPr>
    </w:tblStylePr>
    <w:tblStylePr w:type="lastRow">
      <w:rPr>
        <w:b/>
        <w:bCs/>
      </w:rPr>
      <w:tblPr/>
      <w:tcPr>
        <w:tcBorders>
          <w:top w:val="double" w:sz="2" w:space="0" w:color="59A9F2"/>
        </w:tcBorders>
      </w:tcPr>
    </w:tblStylePr>
    <w:tblStylePr w:type="firstCol">
      <w:rPr>
        <w:b/>
        <w:bCs/>
      </w:rPr>
    </w:tblStylePr>
    <w:tblStylePr w:type="lastCol">
      <w:rPr>
        <w:b/>
        <w:bCs/>
      </w:rPr>
    </w:tblStylePr>
  </w:style>
  <w:style w:type="table" w:customStyle="1" w:styleId="GridTable2-Accent111">
    <w:name w:val="Grid Table 2 - Accent 111"/>
    <w:basedOn w:val="TableNormal"/>
    <w:uiPriority w:val="47"/>
    <w:rsid w:val="005A0277"/>
    <w:pPr>
      <w:spacing w:after="0" w:line="240" w:lineRule="auto"/>
    </w:pPr>
    <w:tblPr>
      <w:tblStyleRowBandSize w:val="1"/>
      <w:tblStyleColBandSize w:val="1"/>
      <w:tblBorders>
        <w:top w:val="single" w:sz="2" w:space="0" w:color="59A9F2"/>
        <w:bottom w:val="single" w:sz="2" w:space="0" w:color="59A9F2"/>
        <w:insideH w:val="single" w:sz="2" w:space="0" w:color="59A9F2"/>
        <w:insideV w:val="single" w:sz="2" w:space="0" w:color="59A9F2"/>
      </w:tblBorders>
    </w:tblPr>
    <w:tblStylePr w:type="firstRow">
      <w:rPr>
        <w:b/>
        <w:bCs/>
      </w:rPr>
      <w:tblPr/>
      <w:tcPr>
        <w:tcBorders>
          <w:top w:val="nil"/>
          <w:bottom w:val="single" w:sz="12" w:space="0" w:color="59A9F2"/>
          <w:insideH w:val="nil"/>
          <w:insideV w:val="nil"/>
        </w:tcBorders>
        <w:shd w:val="clear" w:color="auto" w:fill="FFFFFF"/>
      </w:tcPr>
    </w:tblStylePr>
    <w:tblStylePr w:type="lastRow">
      <w:rPr>
        <w:b/>
        <w:bCs/>
      </w:rPr>
      <w:tblPr/>
      <w:tcPr>
        <w:tcBorders>
          <w:top w:val="double" w:sz="2" w:space="0" w:color="59A9F2"/>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7E2FA"/>
      </w:tcPr>
    </w:tblStylePr>
    <w:tblStylePr w:type="band1Horz">
      <w:tblPr/>
      <w:tcPr>
        <w:shd w:val="clear" w:color="auto" w:fill="C7E2FA"/>
      </w:tcPr>
    </w:tblStylePr>
  </w:style>
  <w:style w:type="table" w:customStyle="1" w:styleId="GridTable4-Accent111">
    <w:name w:val="Grid Table 4 - Accent 111"/>
    <w:basedOn w:val="TableNormal"/>
    <w:uiPriority w:val="49"/>
    <w:rsid w:val="005A0277"/>
    <w:pPr>
      <w:spacing w:after="0" w:line="240" w:lineRule="auto"/>
    </w:pPr>
    <w:tblPr>
      <w:tblStyleRowBandSize w:val="1"/>
      <w:tblStyleColBandSize w:val="1"/>
      <w:tblBorders>
        <w:top w:val="single" w:sz="4" w:space="0" w:color="59A9F2"/>
        <w:left w:val="single" w:sz="4" w:space="0" w:color="59A9F2"/>
        <w:bottom w:val="single" w:sz="4" w:space="0" w:color="59A9F2"/>
        <w:right w:val="single" w:sz="4" w:space="0" w:color="59A9F2"/>
        <w:insideH w:val="single" w:sz="4" w:space="0" w:color="59A9F2"/>
        <w:insideV w:val="single" w:sz="4" w:space="0" w:color="59A9F2"/>
      </w:tblBorders>
    </w:tblPr>
    <w:tblStylePr w:type="firstRow">
      <w:rPr>
        <w:b/>
        <w:bCs/>
        <w:color w:val="FFFFFF"/>
      </w:rPr>
      <w:tblPr/>
      <w:tcPr>
        <w:tcBorders>
          <w:top w:val="single" w:sz="4" w:space="0" w:color="0F6FC6"/>
          <w:left w:val="single" w:sz="4" w:space="0" w:color="0F6FC6"/>
          <w:bottom w:val="single" w:sz="4" w:space="0" w:color="0F6FC6"/>
          <w:right w:val="single" w:sz="4" w:space="0" w:color="0F6FC6"/>
          <w:insideH w:val="nil"/>
          <w:insideV w:val="nil"/>
        </w:tcBorders>
        <w:shd w:val="clear" w:color="auto" w:fill="0F6FC6"/>
      </w:tcPr>
    </w:tblStylePr>
    <w:tblStylePr w:type="lastRow">
      <w:rPr>
        <w:b/>
        <w:bCs/>
      </w:rPr>
      <w:tblPr/>
      <w:tcPr>
        <w:tcBorders>
          <w:top w:val="double" w:sz="4" w:space="0" w:color="0F6FC6"/>
        </w:tcBorders>
      </w:tcPr>
    </w:tblStylePr>
    <w:tblStylePr w:type="firstCol">
      <w:rPr>
        <w:b/>
        <w:bCs/>
      </w:rPr>
    </w:tblStylePr>
    <w:tblStylePr w:type="lastCol">
      <w:rPr>
        <w:b/>
        <w:bCs/>
      </w:rPr>
    </w:tblStylePr>
    <w:tblStylePr w:type="band1Vert">
      <w:tblPr/>
      <w:tcPr>
        <w:shd w:val="clear" w:color="auto" w:fill="C7E2FA"/>
      </w:tcPr>
    </w:tblStylePr>
    <w:tblStylePr w:type="band1Horz">
      <w:tblPr/>
      <w:tcPr>
        <w:shd w:val="clear" w:color="auto" w:fill="C7E2FA"/>
      </w:tcPr>
    </w:tblStylePr>
  </w:style>
  <w:style w:type="character" w:customStyle="1" w:styleId="TitleChar1">
    <w:name w:val="Title Char1"/>
    <w:basedOn w:val="DefaultParagraphFont"/>
    <w:uiPriority w:val="10"/>
    <w:rsid w:val="005A0277"/>
    <w:rPr>
      <w:rFonts w:ascii="Calibri Light" w:eastAsia="Times New Roman" w:hAnsi="Calibri Light" w:cs="Times New Roman"/>
      <w:spacing w:val="-10"/>
      <w:kern w:val="28"/>
      <w:sz w:val="56"/>
      <w:szCs w:val="56"/>
    </w:rPr>
  </w:style>
  <w:style w:type="character" w:customStyle="1" w:styleId="SubtitleChar1">
    <w:name w:val="Subtitle Char1"/>
    <w:basedOn w:val="DefaultParagraphFont"/>
    <w:uiPriority w:val="11"/>
    <w:rsid w:val="005A0277"/>
    <w:rPr>
      <w:rFonts w:eastAsia="Times New Roman"/>
      <w:color w:val="5A5A5A"/>
      <w:spacing w:val="15"/>
    </w:rPr>
  </w:style>
  <w:style w:type="character" w:customStyle="1" w:styleId="Heading1Char1">
    <w:name w:val="Heading 1 Char1"/>
    <w:basedOn w:val="DefaultParagraphFont"/>
    <w:uiPriority w:val="9"/>
    <w:rsid w:val="005A0277"/>
    <w:rPr>
      <w:rFonts w:ascii="Calibri Light" w:eastAsia="Times New Roman" w:hAnsi="Calibri Light" w:cs="Times New Roman"/>
      <w:color w:val="2E74B5"/>
      <w:sz w:val="32"/>
      <w:szCs w:val="32"/>
    </w:rPr>
  </w:style>
  <w:style w:type="character" w:customStyle="1" w:styleId="Heading2Char1">
    <w:name w:val="Heading 2 Char1"/>
    <w:basedOn w:val="DefaultParagraphFont"/>
    <w:uiPriority w:val="9"/>
    <w:semiHidden/>
    <w:rsid w:val="005A0277"/>
    <w:rPr>
      <w:rFonts w:ascii="Calibri Light" w:eastAsia="Times New Roman" w:hAnsi="Calibri Light" w:cs="Times New Roman"/>
      <w:color w:val="2E74B5"/>
      <w:sz w:val="26"/>
      <w:szCs w:val="26"/>
    </w:rPr>
  </w:style>
  <w:style w:type="character" w:customStyle="1" w:styleId="Heading3Char1">
    <w:name w:val="Heading 3 Char1"/>
    <w:basedOn w:val="DefaultParagraphFont"/>
    <w:uiPriority w:val="9"/>
    <w:semiHidden/>
    <w:rsid w:val="005A0277"/>
    <w:rPr>
      <w:rFonts w:ascii="Calibri Light" w:eastAsia="Times New Roman" w:hAnsi="Calibri Light" w:cs="Times New Roman"/>
      <w:color w:val="1F4D78"/>
      <w:sz w:val="24"/>
      <w:szCs w:val="24"/>
    </w:rPr>
  </w:style>
  <w:style w:type="character" w:customStyle="1" w:styleId="Heading4Char1">
    <w:name w:val="Heading 4 Char1"/>
    <w:basedOn w:val="DefaultParagraphFont"/>
    <w:uiPriority w:val="9"/>
    <w:semiHidden/>
    <w:rsid w:val="005A0277"/>
    <w:rPr>
      <w:rFonts w:ascii="Calibri Light" w:eastAsia="Times New Roman" w:hAnsi="Calibri Light" w:cs="Times New Roman"/>
      <w:i/>
      <w:iCs/>
      <w:color w:val="2E74B5"/>
    </w:rPr>
  </w:style>
  <w:style w:type="character" w:customStyle="1" w:styleId="Heading5Char1">
    <w:name w:val="Heading 5 Char1"/>
    <w:basedOn w:val="DefaultParagraphFont"/>
    <w:uiPriority w:val="9"/>
    <w:semiHidden/>
    <w:rsid w:val="005A0277"/>
    <w:rPr>
      <w:rFonts w:ascii="Calibri Light" w:eastAsia="Times New Roman" w:hAnsi="Calibri Light" w:cs="Times New Roman"/>
      <w:color w:val="2E74B5"/>
    </w:rPr>
  </w:style>
  <w:style w:type="character" w:customStyle="1" w:styleId="Heading6Char1">
    <w:name w:val="Heading 6 Char1"/>
    <w:basedOn w:val="DefaultParagraphFont"/>
    <w:uiPriority w:val="9"/>
    <w:semiHidden/>
    <w:rsid w:val="005A0277"/>
    <w:rPr>
      <w:rFonts w:ascii="Calibri Light" w:eastAsia="Times New Roman" w:hAnsi="Calibri Light" w:cs="Times New Roman"/>
      <w:color w:val="1F4D78"/>
    </w:rPr>
  </w:style>
  <w:style w:type="paragraph" w:customStyle="1" w:styleId="ColorfulList-Accent11">
    <w:name w:val="Colorful List - Accent 11"/>
    <w:basedOn w:val="Normal"/>
    <w:qFormat/>
    <w:rsid w:val="005A0277"/>
    <w:pPr>
      <w:spacing w:before="0" w:after="0" w:line="240" w:lineRule="auto"/>
      <w:ind w:left="720" w:right="0"/>
      <w:contextualSpacing/>
      <w:jc w:val="left"/>
    </w:pPr>
    <w:rPr>
      <w:rFonts w:ascii="Calibri" w:eastAsia="Calibri" w:hAnsi="Calibri" w:cs="Times New Roman"/>
      <w:noProof w:val="0"/>
    </w:rPr>
  </w:style>
  <w:style w:type="paragraph" w:customStyle="1" w:styleId="Heading71">
    <w:name w:val="Heading 71"/>
    <w:basedOn w:val="Normal"/>
    <w:next w:val="Normal"/>
    <w:uiPriority w:val="9"/>
    <w:semiHidden/>
    <w:unhideWhenUsed/>
    <w:qFormat/>
    <w:rsid w:val="005A0277"/>
    <w:pPr>
      <w:spacing w:before="280" w:after="0" w:line="360" w:lineRule="auto"/>
      <w:ind w:left="0" w:right="0"/>
      <w:jc w:val="left"/>
      <w:outlineLvl w:val="6"/>
    </w:pPr>
    <w:rPr>
      <w:rFonts w:ascii="Cambria" w:eastAsia="Times New Roman" w:hAnsi="Cambria" w:cs="Times New Roman"/>
      <w:b/>
      <w:bCs/>
      <w:i/>
      <w:iCs/>
      <w:noProof w:val="0"/>
      <w:sz w:val="20"/>
      <w:szCs w:val="20"/>
    </w:rPr>
  </w:style>
  <w:style w:type="paragraph" w:customStyle="1" w:styleId="Heading81">
    <w:name w:val="Heading 81"/>
    <w:basedOn w:val="Normal"/>
    <w:next w:val="Normal"/>
    <w:uiPriority w:val="9"/>
    <w:semiHidden/>
    <w:unhideWhenUsed/>
    <w:qFormat/>
    <w:rsid w:val="005A0277"/>
    <w:pPr>
      <w:spacing w:before="280" w:after="0" w:line="360" w:lineRule="auto"/>
      <w:ind w:left="0" w:right="0"/>
      <w:jc w:val="left"/>
      <w:outlineLvl w:val="7"/>
    </w:pPr>
    <w:rPr>
      <w:rFonts w:ascii="Cambria" w:eastAsia="Times New Roman" w:hAnsi="Cambria" w:cs="Times New Roman"/>
      <w:b/>
      <w:bCs/>
      <w:i/>
      <w:iCs/>
      <w:noProof w:val="0"/>
      <w:sz w:val="18"/>
      <w:szCs w:val="18"/>
    </w:rPr>
  </w:style>
  <w:style w:type="paragraph" w:customStyle="1" w:styleId="Heading91">
    <w:name w:val="Heading 91"/>
    <w:basedOn w:val="Normal"/>
    <w:next w:val="Normal"/>
    <w:uiPriority w:val="9"/>
    <w:semiHidden/>
    <w:unhideWhenUsed/>
    <w:qFormat/>
    <w:rsid w:val="005A0277"/>
    <w:pPr>
      <w:spacing w:before="280" w:after="0" w:line="360" w:lineRule="auto"/>
      <w:ind w:left="0" w:right="0"/>
      <w:jc w:val="left"/>
      <w:outlineLvl w:val="8"/>
    </w:pPr>
    <w:rPr>
      <w:rFonts w:ascii="Cambria" w:eastAsia="Times New Roman" w:hAnsi="Cambria" w:cs="Times New Roman"/>
      <w:i/>
      <w:iCs/>
      <w:noProof w:val="0"/>
      <w:sz w:val="18"/>
      <w:szCs w:val="18"/>
    </w:rPr>
  </w:style>
  <w:style w:type="numbering" w:customStyle="1" w:styleId="NoList2">
    <w:name w:val="No List2"/>
    <w:next w:val="NoList"/>
    <w:uiPriority w:val="99"/>
    <w:semiHidden/>
    <w:unhideWhenUsed/>
    <w:rsid w:val="005A0277"/>
  </w:style>
  <w:style w:type="table" w:customStyle="1" w:styleId="LightShading-Accent11">
    <w:name w:val="Light Shading - Accent 11"/>
    <w:basedOn w:val="TableNormal"/>
    <w:next w:val="LightShading-Accent1"/>
    <w:uiPriority w:val="60"/>
    <w:rsid w:val="005A0277"/>
    <w:pPr>
      <w:spacing w:before="100" w:after="100" w:line="480" w:lineRule="auto"/>
      <w:ind w:firstLine="360"/>
    </w:pPr>
    <w:rPr>
      <w:rFonts w:eastAsia="Times New Roman"/>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Quote1">
    <w:name w:val="Quote1"/>
    <w:basedOn w:val="Normal"/>
    <w:next w:val="Normal"/>
    <w:uiPriority w:val="29"/>
    <w:qFormat/>
    <w:rsid w:val="005A0277"/>
    <w:pPr>
      <w:spacing w:line="240" w:lineRule="auto"/>
      <w:ind w:left="0" w:right="0"/>
      <w:jc w:val="left"/>
    </w:pPr>
    <w:rPr>
      <w:rFonts w:eastAsia="Times New Roman"/>
      <w:noProof w:val="0"/>
      <w:color w:val="5A5A5A"/>
    </w:rPr>
  </w:style>
  <w:style w:type="paragraph" w:customStyle="1" w:styleId="IntenseQuote1">
    <w:name w:val="Intense Quote1"/>
    <w:basedOn w:val="Normal"/>
    <w:next w:val="Normal"/>
    <w:uiPriority w:val="30"/>
    <w:qFormat/>
    <w:rsid w:val="005A0277"/>
    <w:pPr>
      <w:spacing w:before="320" w:after="480" w:line="240" w:lineRule="auto"/>
      <w:ind w:left="720" w:right="720"/>
      <w:jc w:val="center"/>
    </w:pPr>
    <w:rPr>
      <w:rFonts w:ascii="Cambria" w:eastAsia="Times New Roman" w:hAnsi="Cambria" w:cs="Times New Roman"/>
      <w:i/>
      <w:iCs/>
      <w:noProof w:val="0"/>
      <w:sz w:val="20"/>
      <w:szCs w:val="20"/>
    </w:rPr>
  </w:style>
  <w:style w:type="character" w:customStyle="1" w:styleId="SubtleEmphasis1">
    <w:name w:val="Subtle Emphasis1"/>
    <w:uiPriority w:val="19"/>
    <w:qFormat/>
    <w:rsid w:val="005A0277"/>
    <w:rPr>
      <w:i/>
      <w:iCs/>
      <w:color w:val="5A5A5A"/>
    </w:rPr>
  </w:style>
  <w:style w:type="character" w:customStyle="1" w:styleId="BookTitle1">
    <w:name w:val="Book Title1"/>
    <w:uiPriority w:val="33"/>
    <w:qFormat/>
    <w:rsid w:val="005A0277"/>
    <w:rPr>
      <w:rFonts w:ascii="Cambria" w:eastAsia="Times New Roman" w:hAnsi="Cambria" w:cs="Times New Roman"/>
      <w:b/>
      <w:bCs/>
      <w:smallCaps/>
      <w:color w:val="auto"/>
      <w:u w:val="single"/>
    </w:rPr>
  </w:style>
  <w:style w:type="character" w:styleId="PageNumber">
    <w:name w:val="page number"/>
    <w:basedOn w:val="DefaultParagraphFont"/>
    <w:uiPriority w:val="99"/>
    <w:semiHidden/>
    <w:unhideWhenUsed/>
    <w:rsid w:val="005A0277"/>
  </w:style>
  <w:style w:type="paragraph" w:customStyle="1" w:styleId="CM13">
    <w:name w:val="CM13"/>
    <w:basedOn w:val="Normal"/>
    <w:next w:val="Normal"/>
    <w:uiPriority w:val="99"/>
    <w:rsid w:val="005A0277"/>
    <w:pPr>
      <w:widowControl w:val="0"/>
      <w:autoSpaceDE w:val="0"/>
      <w:autoSpaceDN w:val="0"/>
      <w:adjustRightInd w:val="0"/>
      <w:spacing w:before="0" w:after="0" w:line="240" w:lineRule="auto"/>
      <w:ind w:left="0" w:right="0"/>
      <w:jc w:val="left"/>
    </w:pPr>
    <w:rPr>
      <w:rFonts w:ascii="DINMittelschrift" w:eastAsia="Times New Roman" w:hAnsi="DINMittelschrift" w:cs="Times New Roman"/>
      <w:noProof w:val="0"/>
      <w:sz w:val="24"/>
      <w:szCs w:val="24"/>
    </w:rPr>
  </w:style>
  <w:style w:type="table" w:customStyle="1" w:styleId="LightShading-Accent12">
    <w:name w:val="Light Shading - Accent 12"/>
    <w:basedOn w:val="TableNormal"/>
    <w:next w:val="LightShading-Accent1"/>
    <w:uiPriority w:val="60"/>
    <w:rsid w:val="005A0277"/>
    <w:pPr>
      <w:spacing w:after="0" w:line="240" w:lineRule="auto"/>
    </w:pPr>
    <w:rPr>
      <w:color w:val="2E74B5"/>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character" w:customStyle="1" w:styleId="Heading7Char1">
    <w:name w:val="Heading 7 Char1"/>
    <w:basedOn w:val="DefaultParagraphFont"/>
    <w:uiPriority w:val="9"/>
    <w:semiHidden/>
    <w:rsid w:val="005A0277"/>
    <w:rPr>
      <w:rFonts w:ascii="Calibri Light" w:eastAsia="Times New Roman" w:hAnsi="Calibri Light" w:cs="Times New Roman"/>
      <w:i/>
      <w:iCs/>
      <w:color w:val="404040"/>
    </w:rPr>
  </w:style>
  <w:style w:type="character" w:customStyle="1" w:styleId="Heading8Char1">
    <w:name w:val="Heading 8 Char1"/>
    <w:basedOn w:val="DefaultParagraphFont"/>
    <w:uiPriority w:val="9"/>
    <w:semiHidden/>
    <w:rsid w:val="005A0277"/>
    <w:rPr>
      <w:rFonts w:ascii="Calibri Light" w:eastAsia="Times New Roman" w:hAnsi="Calibri Light" w:cs="Times New Roman"/>
      <w:color w:val="404040"/>
      <w:sz w:val="20"/>
      <w:szCs w:val="20"/>
    </w:rPr>
  </w:style>
  <w:style w:type="character" w:customStyle="1" w:styleId="Heading9Char1">
    <w:name w:val="Heading 9 Char1"/>
    <w:basedOn w:val="DefaultParagraphFont"/>
    <w:uiPriority w:val="9"/>
    <w:semiHidden/>
    <w:rsid w:val="005A0277"/>
    <w:rPr>
      <w:rFonts w:ascii="Calibri Light" w:eastAsia="Times New Roman" w:hAnsi="Calibri Light" w:cs="Times New Roman"/>
      <w:i/>
      <w:iCs/>
      <w:color w:val="404040"/>
      <w:sz w:val="20"/>
      <w:szCs w:val="20"/>
    </w:rPr>
  </w:style>
  <w:style w:type="character" w:customStyle="1" w:styleId="QuoteChar1">
    <w:name w:val="Quote Char1"/>
    <w:basedOn w:val="DefaultParagraphFont"/>
    <w:uiPriority w:val="29"/>
    <w:rsid w:val="005A0277"/>
    <w:rPr>
      <w:i/>
      <w:iCs/>
      <w:color w:val="000000"/>
    </w:rPr>
  </w:style>
  <w:style w:type="character" w:customStyle="1" w:styleId="IntenseQuoteChar1">
    <w:name w:val="Intense Quote Char1"/>
    <w:basedOn w:val="DefaultParagraphFont"/>
    <w:uiPriority w:val="30"/>
    <w:rsid w:val="005A0277"/>
    <w:rPr>
      <w:b/>
      <w:bCs/>
      <w:i/>
      <w:iCs/>
      <w:color w:val="5B9BD5"/>
    </w:rPr>
  </w:style>
  <w:style w:type="table" w:styleId="LightShading-Accent1">
    <w:name w:val="Light Shading Accent 1"/>
    <w:basedOn w:val="TableNormal"/>
    <w:uiPriority w:val="60"/>
    <w:rsid w:val="005A0277"/>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GridTable4-Accent112">
    <w:name w:val="Grid Table 4 - Accent 112"/>
    <w:basedOn w:val="TableNormal"/>
    <w:uiPriority w:val="49"/>
    <w:rsid w:val="005A0277"/>
    <w:pPr>
      <w:spacing w:after="0" w:line="240" w:lineRule="auto"/>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character" w:customStyle="1" w:styleId="UnresolvedMention2">
    <w:name w:val="Unresolved Mention2"/>
    <w:basedOn w:val="DefaultParagraphFont"/>
    <w:uiPriority w:val="99"/>
    <w:semiHidden/>
    <w:unhideWhenUsed/>
    <w:rsid w:val="006A1740"/>
    <w:rPr>
      <w:color w:val="808080"/>
      <w:shd w:val="clear" w:color="auto" w:fill="E6E6E6"/>
    </w:rPr>
  </w:style>
  <w:style w:type="character" w:customStyle="1" w:styleId="UnresolvedMention">
    <w:name w:val="Unresolved Mention"/>
    <w:basedOn w:val="DefaultParagraphFont"/>
    <w:uiPriority w:val="99"/>
    <w:semiHidden/>
    <w:unhideWhenUsed/>
    <w:rsid w:val="005B3F14"/>
    <w:rPr>
      <w:color w:val="808080"/>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6D41"/>
    <w:pPr>
      <w:spacing w:before="120"/>
      <w:ind w:left="-360" w:right="2880"/>
      <w:jc w:val="both"/>
    </w:pPr>
    <w:rPr>
      <w:noProof/>
    </w:rPr>
  </w:style>
  <w:style w:type="paragraph" w:styleId="Heading1">
    <w:name w:val="heading 1"/>
    <w:aliases w:val="SHA HEADING 1"/>
    <w:basedOn w:val="Normal"/>
    <w:next w:val="Normal"/>
    <w:link w:val="Heading1Char"/>
    <w:uiPriority w:val="9"/>
    <w:qFormat/>
    <w:rsid w:val="00EF7361"/>
    <w:pPr>
      <w:keepNext/>
      <w:keepLines/>
      <w:spacing w:before="360" w:after="240"/>
      <w:ind w:right="-360"/>
      <w:jc w:val="left"/>
      <w:outlineLvl w:val="0"/>
    </w:pPr>
    <w:rPr>
      <w:rFonts w:eastAsiaTheme="majorEastAsia" w:cstheme="majorBidi"/>
      <w:b/>
      <w:sz w:val="40"/>
      <w:szCs w:val="40"/>
    </w:rPr>
  </w:style>
  <w:style w:type="paragraph" w:styleId="Heading2">
    <w:name w:val="heading 2"/>
    <w:basedOn w:val="Normal"/>
    <w:next w:val="Normal"/>
    <w:link w:val="Heading2Char"/>
    <w:uiPriority w:val="9"/>
    <w:unhideWhenUsed/>
    <w:qFormat/>
    <w:rsid w:val="00EF7361"/>
    <w:pPr>
      <w:spacing w:before="360"/>
      <w:outlineLvl w:val="1"/>
    </w:pPr>
    <w:rPr>
      <w:b/>
      <w:sz w:val="30"/>
      <w:szCs w:val="30"/>
    </w:rPr>
  </w:style>
  <w:style w:type="paragraph" w:styleId="Heading3">
    <w:name w:val="heading 3"/>
    <w:basedOn w:val="Normal"/>
    <w:next w:val="Normal"/>
    <w:link w:val="Heading3Char"/>
    <w:uiPriority w:val="9"/>
    <w:unhideWhenUsed/>
    <w:qFormat/>
    <w:rsid w:val="007D7811"/>
    <w:pPr>
      <w:keepNext/>
      <w:keepLines/>
      <w:spacing w:before="240" w:after="0"/>
      <w:ind w:right="-360"/>
      <w:jc w:val="left"/>
      <w:outlineLvl w:val="2"/>
    </w:pPr>
    <w:rPr>
      <w:rFonts w:eastAsiaTheme="majorEastAsia" w:cstheme="majorBidi"/>
      <w:color w:val="203864"/>
      <w:sz w:val="26"/>
      <w:szCs w:val="26"/>
    </w:rPr>
  </w:style>
  <w:style w:type="paragraph" w:styleId="Heading4">
    <w:name w:val="heading 4"/>
    <w:basedOn w:val="Heading2"/>
    <w:next w:val="Normal"/>
    <w:link w:val="Heading4Char"/>
    <w:uiPriority w:val="9"/>
    <w:unhideWhenUsed/>
    <w:qFormat/>
    <w:rsid w:val="00EF7361"/>
    <w:pPr>
      <w:spacing w:before="240"/>
      <w:ind w:right="-360"/>
      <w:outlineLvl w:val="3"/>
    </w:pPr>
    <w:rPr>
      <w:sz w:val="24"/>
      <w:szCs w:val="24"/>
    </w:rPr>
  </w:style>
  <w:style w:type="paragraph" w:styleId="Heading5">
    <w:name w:val="heading 5"/>
    <w:basedOn w:val="Normal"/>
    <w:next w:val="Normal"/>
    <w:link w:val="Heading5Char"/>
    <w:uiPriority w:val="9"/>
    <w:unhideWhenUsed/>
    <w:qFormat/>
    <w:rsid w:val="004D187E"/>
    <w:pPr>
      <w:ind w:right="-360"/>
      <w:outlineLvl w:val="4"/>
    </w:pPr>
    <w:rPr>
      <w:b/>
      <w:color w:val="203864"/>
    </w:rPr>
  </w:style>
  <w:style w:type="paragraph" w:styleId="Heading6">
    <w:name w:val="heading 6"/>
    <w:basedOn w:val="Normal"/>
    <w:next w:val="Normal"/>
    <w:link w:val="Heading6Char"/>
    <w:uiPriority w:val="9"/>
    <w:unhideWhenUsed/>
    <w:qFormat/>
    <w:rsid w:val="00492AB1"/>
    <w:pPr>
      <w:spacing w:after="0" w:line="271" w:lineRule="auto"/>
      <w:ind w:left="0" w:right="0"/>
      <w:outlineLvl w:val="5"/>
    </w:pPr>
    <w:rPr>
      <w:rFonts w:asciiTheme="majorHAnsi" w:eastAsiaTheme="majorEastAsia" w:hAnsiTheme="majorHAnsi" w:cstheme="majorBidi"/>
      <w:b/>
      <w:bCs/>
      <w:i/>
      <w:iCs/>
      <w:noProof w:val="0"/>
      <w:color w:val="7F7F7F" w:themeColor="text1" w:themeTint="80"/>
    </w:rPr>
  </w:style>
  <w:style w:type="paragraph" w:styleId="Heading7">
    <w:name w:val="heading 7"/>
    <w:basedOn w:val="Normal"/>
    <w:next w:val="Normal"/>
    <w:link w:val="Heading7Char"/>
    <w:uiPriority w:val="9"/>
    <w:semiHidden/>
    <w:unhideWhenUsed/>
    <w:qFormat/>
    <w:rsid w:val="00492AB1"/>
    <w:pPr>
      <w:spacing w:after="0" w:line="276" w:lineRule="auto"/>
      <w:ind w:left="0" w:right="0"/>
      <w:outlineLvl w:val="6"/>
    </w:pPr>
    <w:rPr>
      <w:rFonts w:asciiTheme="majorHAnsi" w:eastAsiaTheme="majorEastAsia" w:hAnsiTheme="majorHAnsi" w:cstheme="majorBidi"/>
      <w:i/>
      <w:iCs/>
      <w:noProof w:val="0"/>
    </w:rPr>
  </w:style>
  <w:style w:type="paragraph" w:styleId="Heading8">
    <w:name w:val="heading 8"/>
    <w:basedOn w:val="Normal"/>
    <w:next w:val="Normal"/>
    <w:link w:val="Heading8Char"/>
    <w:uiPriority w:val="9"/>
    <w:semiHidden/>
    <w:unhideWhenUsed/>
    <w:qFormat/>
    <w:rsid w:val="00492AB1"/>
    <w:pPr>
      <w:spacing w:after="0" w:line="276" w:lineRule="auto"/>
      <w:ind w:left="0" w:right="0"/>
      <w:outlineLvl w:val="7"/>
    </w:pPr>
    <w:rPr>
      <w:rFonts w:asciiTheme="majorHAnsi" w:eastAsiaTheme="majorEastAsia" w:hAnsiTheme="majorHAnsi" w:cstheme="majorBidi"/>
      <w:noProof w:val="0"/>
      <w:sz w:val="20"/>
      <w:szCs w:val="20"/>
    </w:rPr>
  </w:style>
  <w:style w:type="paragraph" w:styleId="Heading9">
    <w:name w:val="heading 9"/>
    <w:basedOn w:val="Normal"/>
    <w:next w:val="Normal"/>
    <w:link w:val="Heading9Char"/>
    <w:uiPriority w:val="9"/>
    <w:semiHidden/>
    <w:unhideWhenUsed/>
    <w:qFormat/>
    <w:rsid w:val="00492AB1"/>
    <w:pPr>
      <w:spacing w:after="0" w:line="276" w:lineRule="auto"/>
      <w:ind w:left="0" w:right="0"/>
      <w:outlineLvl w:val="8"/>
    </w:pPr>
    <w:rPr>
      <w:rFonts w:asciiTheme="majorHAnsi" w:eastAsiaTheme="majorEastAsia" w:hAnsiTheme="majorHAnsi" w:cstheme="majorBidi"/>
      <w:i/>
      <w:iCs/>
      <w:noProof w:val="0"/>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rialHermann">
    <w:name w:val="Memorial Hermann"/>
    <w:basedOn w:val="Heading1"/>
    <w:rsid w:val="001503C2"/>
    <w:pPr>
      <w:spacing w:before="0" w:line="240" w:lineRule="auto"/>
    </w:pPr>
    <w:rPr>
      <w:b w:val="0"/>
      <w:color w:val="195974"/>
    </w:rPr>
  </w:style>
  <w:style w:type="character" w:customStyle="1" w:styleId="Heading1Char">
    <w:name w:val="Heading 1 Char"/>
    <w:aliases w:val="SHA HEADING 1 Char"/>
    <w:basedOn w:val="DefaultParagraphFont"/>
    <w:link w:val="Heading1"/>
    <w:uiPriority w:val="9"/>
    <w:rsid w:val="00EF7361"/>
    <w:rPr>
      <w:rFonts w:eastAsiaTheme="majorEastAsia" w:cstheme="majorBidi"/>
      <w:b/>
      <w:noProof/>
      <w:sz w:val="40"/>
      <w:szCs w:val="40"/>
    </w:rPr>
  </w:style>
  <w:style w:type="paragraph" w:customStyle="1" w:styleId="SHA">
    <w:name w:val="SHA"/>
    <w:basedOn w:val="Normal"/>
    <w:link w:val="SHAChar"/>
    <w:autoRedefine/>
    <w:qFormat/>
    <w:rsid w:val="00EF6249"/>
    <w:rPr>
      <w:rFonts w:ascii="Aileron Heavy" w:hAnsi="Aileron Heavy"/>
      <w:b/>
      <w:sz w:val="32"/>
      <w:szCs w:val="32"/>
    </w:rPr>
  </w:style>
  <w:style w:type="character" w:customStyle="1" w:styleId="SHAChar">
    <w:name w:val="SHA Char"/>
    <w:basedOn w:val="DefaultParagraphFont"/>
    <w:link w:val="SHA"/>
    <w:rsid w:val="00EF6249"/>
    <w:rPr>
      <w:rFonts w:ascii="Aileron Heavy" w:hAnsi="Aileron Heavy"/>
      <w:b/>
      <w:sz w:val="32"/>
      <w:szCs w:val="32"/>
    </w:rPr>
  </w:style>
  <w:style w:type="paragraph" w:styleId="Title">
    <w:name w:val="Title"/>
    <w:basedOn w:val="Normal"/>
    <w:next w:val="Normal"/>
    <w:link w:val="TitleChar"/>
    <w:uiPriority w:val="10"/>
    <w:qFormat/>
    <w:rsid w:val="006E3904"/>
    <w:pPr>
      <w:spacing w:before="360" w:after="0" w:line="240" w:lineRule="auto"/>
      <w:ind w:right="2160"/>
    </w:pPr>
    <w:rPr>
      <w:rFonts w:eastAsiaTheme="majorEastAsia" w:cstheme="majorBidi"/>
      <w:spacing w:val="-10"/>
      <w:kern w:val="28"/>
      <w:sz w:val="60"/>
      <w:szCs w:val="60"/>
    </w:rPr>
  </w:style>
  <w:style w:type="character" w:customStyle="1" w:styleId="TitleChar">
    <w:name w:val="Title Char"/>
    <w:basedOn w:val="DefaultParagraphFont"/>
    <w:link w:val="Title"/>
    <w:uiPriority w:val="10"/>
    <w:rsid w:val="006E3904"/>
    <w:rPr>
      <w:rFonts w:eastAsiaTheme="majorEastAsia" w:cstheme="majorBidi"/>
      <w:noProof/>
      <w:spacing w:val="-10"/>
      <w:kern w:val="28"/>
      <w:sz w:val="60"/>
      <w:szCs w:val="60"/>
    </w:rPr>
  </w:style>
  <w:style w:type="character" w:customStyle="1" w:styleId="Heading2Char">
    <w:name w:val="Heading 2 Char"/>
    <w:basedOn w:val="DefaultParagraphFont"/>
    <w:link w:val="Heading2"/>
    <w:uiPriority w:val="9"/>
    <w:rsid w:val="00EF7361"/>
    <w:rPr>
      <w:b/>
      <w:noProof/>
      <w:sz w:val="30"/>
      <w:szCs w:val="30"/>
    </w:rPr>
  </w:style>
  <w:style w:type="paragraph" w:styleId="Header">
    <w:name w:val="header"/>
    <w:basedOn w:val="Normal"/>
    <w:link w:val="HeaderChar"/>
    <w:uiPriority w:val="99"/>
    <w:unhideWhenUsed/>
    <w:rsid w:val="00195F02"/>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195F02"/>
    <w:rPr>
      <w:rFonts w:ascii="Aileron" w:hAnsi="Aileron"/>
    </w:rPr>
  </w:style>
  <w:style w:type="paragraph" w:styleId="Footer">
    <w:name w:val="footer"/>
    <w:basedOn w:val="Normal"/>
    <w:link w:val="FooterChar"/>
    <w:uiPriority w:val="99"/>
    <w:unhideWhenUsed/>
    <w:rsid w:val="00195F02"/>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195F02"/>
    <w:rPr>
      <w:rFonts w:ascii="Aileron" w:hAnsi="Aileron"/>
    </w:rPr>
  </w:style>
  <w:style w:type="paragraph" w:styleId="NoSpacing">
    <w:name w:val="No Spacing"/>
    <w:link w:val="NoSpacingChar"/>
    <w:uiPriority w:val="1"/>
    <w:qFormat/>
    <w:rsid w:val="00561BF0"/>
    <w:pPr>
      <w:spacing w:after="0" w:line="240" w:lineRule="auto"/>
      <w:jc w:val="both"/>
    </w:pPr>
    <w:rPr>
      <w:rFonts w:ascii="Aileron" w:hAnsi="Aileron"/>
      <w:sz w:val="21"/>
      <w:szCs w:val="21"/>
    </w:rPr>
  </w:style>
  <w:style w:type="paragraph" w:customStyle="1" w:styleId="Chapter">
    <w:name w:val="Chapter"/>
    <w:basedOn w:val="NoSpacing"/>
    <w:link w:val="ChapterChar"/>
    <w:qFormat/>
    <w:rsid w:val="00FC64DD"/>
    <w:pPr>
      <w:ind w:left="-360"/>
    </w:pPr>
    <w:rPr>
      <w:rFonts w:asciiTheme="minorHAnsi" w:hAnsiTheme="minorHAnsi"/>
      <w:b/>
      <w:sz w:val="60"/>
      <w:szCs w:val="60"/>
    </w:rPr>
  </w:style>
  <w:style w:type="paragraph" w:customStyle="1" w:styleId="ChapterName">
    <w:name w:val="Chapter Name"/>
    <w:basedOn w:val="NoSpacing"/>
    <w:link w:val="ChapterNameChar"/>
    <w:qFormat/>
    <w:rsid w:val="00E36D41"/>
    <w:pPr>
      <w:ind w:firstLine="720"/>
    </w:pPr>
    <w:rPr>
      <w:rFonts w:asciiTheme="minorHAnsi" w:hAnsiTheme="minorHAnsi"/>
      <w:sz w:val="68"/>
      <w:szCs w:val="68"/>
    </w:rPr>
  </w:style>
  <w:style w:type="character" w:customStyle="1" w:styleId="NoSpacingChar">
    <w:name w:val="No Spacing Char"/>
    <w:basedOn w:val="DefaultParagraphFont"/>
    <w:link w:val="NoSpacing"/>
    <w:uiPriority w:val="1"/>
    <w:rsid w:val="000B4605"/>
    <w:rPr>
      <w:rFonts w:ascii="Aileron" w:hAnsi="Aileron"/>
      <w:sz w:val="21"/>
      <w:szCs w:val="21"/>
    </w:rPr>
  </w:style>
  <w:style w:type="character" w:customStyle="1" w:styleId="ChapterChar">
    <w:name w:val="Chapter Char"/>
    <w:basedOn w:val="NoSpacingChar"/>
    <w:link w:val="Chapter"/>
    <w:rsid w:val="00FC64DD"/>
    <w:rPr>
      <w:rFonts w:ascii="Aileron" w:hAnsi="Aileron"/>
      <w:b/>
      <w:sz w:val="60"/>
      <w:szCs w:val="60"/>
    </w:rPr>
  </w:style>
  <w:style w:type="paragraph" w:styleId="ListParagraph">
    <w:name w:val="List Paragraph"/>
    <w:basedOn w:val="Normal"/>
    <w:uiPriority w:val="34"/>
    <w:qFormat/>
    <w:rsid w:val="002C6F32"/>
    <w:pPr>
      <w:ind w:left="720"/>
      <w:contextualSpacing/>
    </w:pPr>
  </w:style>
  <w:style w:type="character" w:customStyle="1" w:styleId="ChapterNameChar">
    <w:name w:val="Chapter Name Char"/>
    <w:basedOn w:val="NoSpacingChar"/>
    <w:link w:val="ChapterName"/>
    <w:rsid w:val="00E36D41"/>
    <w:rPr>
      <w:rFonts w:ascii="Aileron" w:hAnsi="Aileron"/>
      <w:sz w:val="68"/>
      <w:szCs w:val="68"/>
    </w:rPr>
  </w:style>
  <w:style w:type="paragraph" w:styleId="NormalWeb">
    <w:name w:val="Normal (Web)"/>
    <w:basedOn w:val="Normal"/>
    <w:uiPriority w:val="99"/>
    <w:rsid w:val="00033EA5"/>
    <w:pPr>
      <w:spacing w:before="100" w:beforeAutospacing="1" w:after="100" w:afterAutospacing="1" w:line="240" w:lineRule="auto"/>
      <w:jc w:val="left"/>
    </w:pPr>
    <w:rPr>
      <w:rFonts w:ascii="Times New Roman" w:eastAsia="Times New Roman" w:hAnsi="Times New Roman" w:cs="Times New Roman"/>
      <w:color w:val="000000"/>
      <w:sz w:val="24"/>
      <w:szCs w:val="24"/>
    </w:rPr>
  </w:style>
  <w:style w:type="character" w:customStyle="1" w:styleId="Heading3Char">
    <w:name w:val="Heading 3 Char"/>
    <w:basedOn w:val="DefaultParagraphFont"/>
    <w:link w:val="Heading3"/>
    <w:uiPriority w:val="9"/>
    <w:rsid w:val="007D7811"/>
    <w:rPr>
      <w:rFonts w:eastAsiaTheme="majorEastAsia" w:cstheme="majorBidi"/>
      <w:noProof/>
      <w:color w:val="203864"/>
      <w:sz w:val="26"/>
      <w:szCs w:val="26"/>
    </w:rPr>
  </w:style>
  <w:style w:type="paragraph" w:styleId="BalloonText">
    <w:name w:val="Balloon Text"/>
    <w:basedOn w:val="Normal"/>
    <w:link w:val="BalloonTextChar"/>
    <w:uiPriority w:val="99"/>
    <w:semiHidden/>
    <w:unhideWhenUsed/>
    <w:rsid w:val="006165F4"/>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165F4"/>
    <w:rPr>
      <w:rFonts w:ascii="Tahoma" w:hAnsi="Tahoma" w:cs="Tahoma"/>
      <w:sz w:val="16"/>
      <w:szCs w:val="16"/>
    </w:rPr>
  </w:style>
  <w:style w:type="character" w:styleId="CommentReference">
    <w:name w:val="annotation reference"/>
    <w:basedOn w:val="DefaultParagraphFont"/>
    <w:uiPriority w:val="99"/>
    <w:unhideWhenUsed/>
    <w:rsid w:val="00746EAF"/>
    <w:rPr>
      <w:sz w:val="16"/>
      <w:szCs w:val="16"/>
    </w:rPr>
  </w:style>
  <w:style w:type="paragraph" w:styleId="CommentText">
    <w:name w:val="annotation text"/>
    <w:basedOn w:val="Normal"/>
    <w:link w:val="CommentTextChar"/>
    <w:unhideWhenUsed/>
    <w:rsid w:val="00746EAF"/>
    <w:pPr>
      <w:spacing w:line="240" w:lineRule="auto"/>
    </w:pPr>
    <w:rPr>
      <w:sz w:val="20"/>
      <w:szCs w:val="20"/>
    </w:rPr>
  </w:style>
  <w:style w:type="character" w:customStyle="1" w:styleId="CommentTextChar">
    <w:name w:val="Comment Text Char"/>
    <w:basedOn w:val="DefaultParagraphFont"/>
    <w:link w:val="CommentText"/>
    <w:rsid w:val="00746EAF"/>
    <w:rPr>
      <w:rFonts w:ascii="Aileron" w:hAnsi="Aileron"/>
      <w:sz w:val="20"/>
      <w:szCs w:val="20"/>
    </w:rPr>
  </w:style>
  <w:style w:type="paragraph" w:styleId="CommentSubject">
    <w:name w:val="annotation subject"/>
    <w:basedOn w:val="CommentText"/>
    <w:next w:val="CommentText"/>
    <w:link w:val="CommentSubjectChar"/>
    <w:uiPriority w:val="99"/>
    <w:semiHidden/>
    <w:unhideWhenUsed/>
    <w:rsid w:val="00746EAF"/>
    <w:rPr>
      <w:b/>
      <w:bCs/>
    </w:rPr>
  </w:style>
  <w:style w:type="character" w:customStyle="1" w:styleId="CommentSubjectChar">
    <w:name w:val="Comment Subject Char"/>
    <w:basedOn w:val="CommentTextChar"/>
    <w:link w:val="CommentSubject"/>
    <w:uiPriority w:val="99"/>
    <w:semiHidden/>
    <w:rsid w:val="00746EAF"/>
    <w:rPr>
      <w:rFonts w:ascii="Aileron" w:hAnsi="Aileron"/>
      <w:b/>
      <w:bCs/>
      <w:sz w:val="20"/>
      <w:szCs w:val="20"/>
    </w:rPr>
  </w:style>
  <w:style w:type="paragraph" w:styleId="FootnoteText">
    <w:name w:val="footnote text"/>
    <w:basedOn w:val="Normal"/>
    <w:link w:val="FootnoteTextChar"/>
    <w:uiPriority w:val="99"/>
    <w:unhideWhenUsed/>
    <w:rsid w:val="00C9671C"/>
    <w:pPr>
      <w:spacing w:before="0" w:after="0" w:line="240" w:lineRule="auto"/>
    </w:pPr>
    <w:rPr>
      <w:sz w:val="20"/>
      <w:szCs w:val="20"/>
    </w:rPr>
  </w:style>
  <w:style w:type="character" w:customStyle="1" w:styleId="FootnoteTextChar">
    <w:name w:val="Footnote Text Char"/>
    <w:basedOn w:val="DefaultParagraphFont"/>
    <w:link w:val="FootnoteText"/>
    <w:uiPriority w:val="99"/>
    <w:rsid w:val="00C9671C"/>
    <w:rPr>
      <w:noProof/>
      <w:sz w:val="20"/>
      <w:szCs w:val="20"/>
    </w:rPr>
  </w:style>
  <w:style w:type="character" w:styleId="FootnoteReference">
    <w:name w:val="footnote reference"/>
    <w:basedOn w:val="DefaultParagraphFont"/>
    <w:uiPriority w:val="99"/>
    <w:unhideWhenUsed/>
    <w:rsid w:val="00C9671C"/>
    <w:rPr>
      <w:vertAlign w:val="superscript"/>
    </w:rPr>
  </w:style>
  <w:style w:type="paragraph" w:customStyle="1" w:styleId="Fignum">
    <w:name w:val="Fignum"/>
    <w:basedOn w:val="NoSpacing"/>
    <w:link w:val="FignumChar"/>
    <w:rsid w:val="00C9671C"/>
    <w:pPr>
      <w:spacing w:before="120" w:after="160"/>
      <w:ind w:left="-360" w:right="-360"/>
    </w:pPr>
    <w:rPr>
      <w:rFonts w:asciiTheme="minorHAnsi" w:hAnsiTheme="minorHAnsi"/>
      <w:smallCaps/>
      <w:sz w:val="22"/>
      <w:szCs w:val="22"/>
    </w:rPr>
  </w:style>
  <w:style w:type="paragraph" w:customStyle="1" w:styleId="FigName">
    <w:name w:val="FigName"/>
    <w:basedOn w:val="NoSpacing"/>
    <w:link w:val="FigNameChar"/>
    <w:rsid w:val="00C9671C"/>
    <w:pPr>
      <w:spacing w:before="120" w:after="160"/>
      <w:ind w:left="-360" w:right="-360"/>
    </w:pPr>
    <w:rPr>
      <w:rFonts w:asciiTheme="minorHAnsi" w:hAnsiTheme="minorHAnsi"/>
      <w:b/>
      <w:sz w:val="22"/>
      <w:szCs w:val="22"/>
    </w:rPr>
  </w:style>
  <w:style w:type="character" w:customStyle="1" w:styleId="FignumChar">
    <w:name w:val="Fignum Char"/>
    <w:basedOn w:val="NoSpacingChar"/>
    <w:link w:val="Fignum"/>
    <w:rsid w:val="00C9671C"/>
    <w:rPr>
      <w:rFonts w:ascii="Aileron" w:hAnsi="Aileron"/>
      <w:smallCaps/>
      <w:sz w:val="21"/>
      <w:szCs w:val="21"/>
    </w:rPr>
  </w:style>
  <w:style w:type="character" w:customStyle="1" w:styleId="FigNameChar">
    <w:name w:val="FigName Char"/>
    <w:basedOn w:val="NoSpacingChar"/>
    <w:link w:val="FigName"/>
    <w:rsid w:val="00C9671C"/>
    <w:rPr>
      <w:rFonts w:ascii="Aileron" w:hAnsi="Aileron"/>
      <w:b/>
      <w:sz w:val="21"/>
      <w:szCs w:val="21"/>
    </w:rPr>
  </w:style>
  <w:style w:type="character" w:customStyle="1" w:styleId="Heading4Char">
    <w:name w:val="Heading 4 Char"/>
    <w:basedOn w:val="DefaultParagraphFont"/>
    <w:link w:val="Heading4"/>
    <w:uiPriority w:val="9"/>
    <w:rsid w:val="00EF7361"/>
    <w:rPr>
      <w:b/>
      <w:noProof/>
      <w:sz w:val="24"/>
      <w:szCs w:val="24"/>
    </w:rPr>
  </w:style>
  <w:style w:type="paragraph" w:styleId="EndnoteText">
    <w:name w:val="endnote text"/>
    <w:basedOn w:val="Normal"/>
    <w:link w:val="EndnoteTextChar"/>
    <w:uiPriority w:val="99"/>
    <w:unhideWhenUsed/>
    <w:rsid w:val="00FB3359"/>
    <w:pPr>
      <w:spacing w:before="0" w:after="0" w:line="240" w:lineRule="auto"/>
    </w:pPr>
    <w:rPr>
      <w:sz w:val="20"/>
      <w:szCs w:val="20"/>
    </w:rPr>
  </w:style>
  <w:style w:type="character" w:customStyle="1" w:styleId="EndnoteTextChar">
    <w:name w:val="Endnote Text Char"/>
    <w:basedOn w:val="DefaultParagraphFont"/>
    <w:link w:val="EndnoteText"/>
    <w:uiPriority w:val="99"/>
    <w:rsid w:val="00FB3359"/>
    <w:rPr>
      <w:noProof/>
      <w:sz w:val="20"/>
      <w:szCs w:val="20"/>
    </w:rPr>
  </w:style>
  <w:style w:type="character" w:styleId="EndnoteReference">
    <w:name w:val="endnote reference"/>
    <w:basedOn w:val="DefaultParagraphFont"/>
    <w:uiPriority w:val="99"/>
    <w:unhideWhenUsed/>
    <w:rsid w:val="00FB3359"/>
    <w:rPr>
      <w:vertAlign w:val="superscript"/>
    </w:rPr>
  </w:style>
  <w:style w:type="paragraph" w:styleId="Revision">
    <w:name w:val="Revision"/>
    <w:hidden/>
    <w:uiPriority w:val="99"/>
    <w:semiHidden/>
    <w:rsid w:val="000F3675"/>
    <w:pPr>
      <w:spacing w:after="0" w:line="240" w:lineRule="auto"/>
    </w:pPr>
    <w:rPr>
      <w:noProof/>
    </w:rPr>
  </w:style>
  <w:style w:type="character" w:styleId="Hyperlink">
    <w:name w:val="Hyperlink"/>
    <w:uiPriority w:val="99"/>
    <w:unhideWhenUsed/>
    <w:rsid w:val="001E2DF1"/>
    <w:rPr>
      <w:rFonts w:cstheme="minorHAnsi"/>
      <w:color w:val="303030"/>
      <w:shd w:val="clear" w:color="auto" w:fill="FFFFFF"/>
    </w:rPr>
  </w:style>
  <w:style w:type="table" w:styleId="TableGrid">
    <w:name w:val="Table Grid"/>
    <w:basedOn w:val="TableNormal"/>
    <w:rsid w:val="00EF0801"/>
    <w:pPr>
      <w:spacing w:before="120" w:after="0" w:line="240" w:lineRule="auto"/>
      <w:ind w:left="-360" w:right="-3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link w:val="CaptionChar"/>
    <w:uiPriority w:val="35"/>
    <w:unhideWhenUsed/>
    <w:qFormat/>
    <w:rsid w:val="00EF0801"/>
    <w:pPr>
      <w:spacing w:before="0" w:after="200" w:line="240" w:lineRule="auto"/>
      <w:ind w:left="0" w:right="0"/>
    </w:pPr>
    <w:rPr>
      <w:rFonts w:cstheme="minorHAnsi"/>
      <w:iCs/>
      <w:smallCaps/>
      <w:color w:val="000000" w:themeColor="text1"/>
      <w:sz w:val="20"/>
      <w:szCs w:val="18"/>
    </w:rPr>
  </w:style>
  <w:style w:type="character" w:customStyle="1" w:styleId="apple-converted-space">
    <w:name w:val="apple-converted-space"/>
    <w:basedOn w:val="DefaultParagraphFont"/>
    <w:rsid w:val="00EF0801"/>
  </w:style>
  <w:style w:type="character" w:styleId="FollowedHyperlink">
    <w:name w:val="FollowedHyperlink"/>
    <w:basedOn w:val="DefaultParagraphFont"/>
    <w:uiPriority w:val="99"/>
    <w:semiHidden/>
    <w:unhideWhenUsed/>
    <w:rsid w:val="00EF0801"/>
    <w:rPr>
      <w:color w:val="954F72" w:themeColor="followedHyperlink"/>
      <w:u w:val="single"/>
    </w:rPr>
  </w:style>
  <w:style w:type="table" w:customStyle="1" w:styleId="PlainTable31">
    <w:name w:val="Plain Table 31"/>
    <w:basedOn w:val="TableNormal"/>
    <w:next w:val="PlainTable32"/>
    <w:uiPriority w:val="43"/>
    <w:rsid w:val="00EF0801"/>
    <w:pPr>
      <w:spacing w:before="120" w:after="0" w:line="240" w:lineRule="auto"/>
      <w:ind w:left="-360" w:right="-360"/>
      <w:jc w:val="both"/>
    </w:p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32">
    <w:name w:val="Plain Table 32"/>
    <w:basedOn w:val="TableNormal"/>
    <w:uiPriority w:val="43"/>
    <w:rsid w:val="00EF0801"/>
    <w:pPr>
      <w:spacing w:before="120" w:after="0" w:line="240" w:lineRule="auto"/>
      <w:ind w:left="-360" w:right="-360"/>
      <w:jc w:val="both"/>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Subtitle">
    <w:name w:val="Subtitle"/>
    <w:aliases w:val="FigNum"/>
    <w:basedOn w:val="Normal"/>
    <w:next w:val="Normal"/>
    <w:link w:val="SubtitleChar"/>
    <w:uiPriority w:val="11"/>
    <w:qFormat/>
    <w:rsid w:val="00EF0801"/>
    <w:pPr>
      <w:numPr>
        <w:ilvl w:val="1"/>
      </w:numPr>
      <w:ind w:left="-360" w:right="0"/>
    </w:pPr>
    <w:rPr>
      <w:rFonts w:eastAsiaTheme="minorEastAsia" w:cstheme="minorHAnsi"/>
      <w:b/>
      <w:color w:val="000000" w:themeColor="text1"/>
    </w:rPr>
  </w:style>
  <w:style w:type="character" w:customStyle="1" w:styleId="SubtitleChar">
    <w:name w:val="Subtitle Char"/>
    <w:aliases w:val="FigNum Char"/>
    <w:basedOn w:val="DefaultParagraphFont"/>
    <w:link w:val="Subtitle"/>
    <w:uiPriority w:val="11"/>
    <w:rsid w:val="00EF0801"/>
    <w:rPr>
      <w:rFonts w:eastAsiaTheme="minorEastAsia" w:cstheme="minorHAnsi"/>
      <w:b/>
      <w:noProof/>
      <w:color w:val="000000" w:themeColor="text1"/>
    </w:rPr>
  </w:style>
  <w:style w:type="character" w:styleId="Strong">
    <w:name w:val="Strong"/>
    <w:uiPriority w:val="22"/>
    <w:qFormat/>
    <w:rsid w:val="00EF0801"/>
    <w:rPr>
      <w:smallCaps/>
    </w:rPr>
  </w:style>
  <w:style w:type="paragraph" w:customStyle="1" w:styleId="FigureorTable">
    <w:name w:val="Figure or Table"/>
    <w:basedOn w:val="FigTitle"/>
    <w:link w:val="FigureorTableChar"/>
    <w:rsid w:val="00EF0801"/>
    <w:rPr>
      <w:b w:val="0"/>
    </w:rPr>
  </w:style>
  <w:style w:type="paragraph" w:customStyle="1" w:styleId="FigTitle">
    <w:name w:val="FigTitle"/>
    <w:basedOn w:val="Subtitle"/>
    <w:link w:val="FigTitleChar"/>
    <w:rsid w:val="00EF0801"/>
  </w:style>
  <w:style w:type="character" w:customStyle="1" w:styleId="FigureorTableChar">
    <w:name w:val="Figure or Table Char"/>
    <w:basedOn w:val="SubtitleChar"/>
    <w:link w:val="FigureorTable"/>
    <w:rsid w:val="00EF0801"/>
    <w:rPr>
      <w:rFonts w:eastAsiaTheme="minorEastAsia" w:cstheme="minorHAnsi"/>
      <w:b w:val="0"/>
      <w:noProof/>
      <w:color w:val="000000" w:themeColor="text1"/>
    </w:rPr>
  </w:style>
  <w:style w:type="paragraph" w:customStyle="1" w:styleId="Source">
    <w:name w:val="Source"/>
    <w:basedOn w:val="Caption"/>
    <w:link w:val="SourceChar"/>
    <w:rsid w:val="00EF0801"/>
  </w:style>
  <w:style w:type="character" w:customStyle="1" w:styleId="FigTitleChar">
    <w:name w:val="FigTitle Char"/>
    <w:basedOn w:val="SubtitleChar"/>
    <w:link w:val="FigTitle"/>
    <w:rsid w:val="00EF0801"/>
    <w:rPr>
      <w:rFonts w:eastAsiaTheme="minorEastAsia" w:cstheme="minorHAnsi"/>
      <w:b/>
      <w:noProof/>
      <w:color w:val="000000" w:themeColor="text1"/>
    </w:rPr>
  </w:style>
  <w:style w:type="table" w:customStyle="1" w:styleId="TableGrid1">
    <w:name w:val="Table Grid1"/>
    <w:basedOn w:val="TableNormal"/>
    <w:next w:val="TableGrid"/>
    <w:uiPriority w:val="39"/>
    <w:rsid w:val="00EF0801"/>
    <w:pPr>
      <w:spacing w:before="120" w:after="0" w:line="240" w:lineRule="auto"/>
      <w:ind w:left="-360" w:right="-3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ptionChar">
    <w:name w:val="Caption Char"/>
    <w:basedOn w:val="DefaultParagraphFont"/>
    <w:link w:val="Caption"/>
    <w:uiPriority w:val="35"/>
    <w:rsid w:val="00EF0801"/>
    <w:rPr>
      <w:rFonts w:cstheme="minorHAnsi"/>
      <w:iCs/>
      <w:smallCaps/>
      <w:noProof/>
      <w:color w:val="000000" w:themeColor="text1"/>
      <w:sz w:val="20"/>
      <w:szCs w:val="18"/>
    </w:rPr>
  </w:style>
  <w:style w:type="character" w:customStyle="1" w:styleId="SourceChar">
    <w:name w:val="Source Char"/>
    <w:basedOn w:val="CaptionChar"/>
    <w:link w:val="Source"/>
    <w:rsid w:val="00EF0801"/>
    <w:rPr>
      <w:rFonts w:cstheme="minorHAnsi"/>
      <w:iCs/>
      <w:smallCaps/>
      <w:noProof/>
      <w:color w:val="000000" w:themeColor="text1"/>
      <w:sz w:val="20"/>
      <w:szCs w:val="18"/>
    </w:rPr>
  </w:style>
  <w:style w:type="table" w:customStyle="1" w:styleId="PlainTable311">
    <w:name w:val="Plain Table 311"/>
    <w:basedOn w:val="TableNormal"/>
    <w:next w:val="PlainTable32"/>
    <w:uiPriority w:val="43"/>
    <w:rsid w:val="00EF0801"/>
    <w:pPr>
      <w:spacing w:before="120" w:after="0" w:line="240" w:lineRule="auto"/>
      <w:ind w:left="-360" w:right="-360"/>
      <w:jc w:val="both"/>
    </w:p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customStyle="1" w:styleId="fIGnUM0">
    <w:name w:val="fIG nUM"/>
    <w:basedOn w:val="FigureorTable"/>
    <w:link w:val="fIGnUMChar0"/>
    <w:qFormat/>
    <w:rsid w:val="00EF0801"/>
  </w:style>
  <w:style w:type="character" w:customStyle="1" w:styleId="fIGnUMChar0">
    <w:name w:val="fIG nUM Char"/>
    <w:basedOn w:val="FigTitleChar"/>
    <w:link w:val="fIGnUM0"/>
    <w:rsid w:val="00EF0801"/>
    <w:rPr>
      <w:rFonts w:eastAsiaTheme="minorEastAsia" w:cstheme="minorHAnsi"/>
      <w:b w:val="0"/>
      <w:noProof/>
      <w:color w:val="000000" w:themeColor="text1"/>
    </w:rPr>
  </w:style>
  <w:style w:type="paragraph" w:customStyle="1" w:styleId="Normal1">
    <w:name w:val="Normal1"/>
    <w:rsid w:val="00EF0801"/>
    <w:pPr>
      <w:widowControl w:val="0"/>
      <w:pBdr>
        <w:top w:val="nil"/>
        <w:left w:val="nil"/>
        <w:bottom w:val="nil"/>
        <w:right w:val="nil"/>
        <w:between w:val="nil"/>
        <w:bar w:val="nil"/>
      </w:pBdr>
      <w:spacing w:after="200" w:line="276" w:lineRule="auto"/>
    </w:pPr>
    <w:rPr>
      <w:rFonts w:ascii="Calibri" w:eastAsia="Calibri" w:hAnsi="Calibri" w:cs="Calibri"/>
      <w:color w:val="000000"/>
      <w:u w:color="000000"/>
      <w:bdr w:val="nil"/>
    </w:rPr>
  </w:style>
  <w:style w:type="character" w:customStyle="1" w:styleId="sr-only">
    <w:name w:val="sr-only"/>
    <w:basedOn w:val="DefaultParagraphFont"/>
    <w:rsid w:val="00EF0801"/>
  </w:style>
  <w:style w:type="character" w:customStyle="1" w:styleId="text">
    <w:name w:val="text"/>
    <w:basedOn w:val="DefaultParagraphFont"/>
    <w:rsid w:val="00EF0801"/>
  </w:style>
  <w:style w:type="character" w:customStyle="1" w:styleId="author-ref">
    <w:name w:val="author-ref"/>
    <w:basedOn w:val="DefaultParagraphFont"/>
    <w:rsid w:val="00EF0801"/>
  </w:style>
  <w:style w:type="paragraph" w:styleId="HTMLPreformatted">
    <w:name w:val="HTML Preformatted"/>
    <w:basedOn w:val="Normal"/>
    <w:link w:val="HTMLPreformattedChar"/>
    <w:uiPriority w:val="99"/>
    <w:unhideWhenUsed/>
    <w:rsid w:val="00BA2E13"/>
    <w:pPr>
      <w:spacing w:before="0" w:after="0" w:line="240" w:lineRule="auto"/>
      <w:ind w:left="0" w:right="0"/>
      <w:jc w:val="left"/>
    </w:pPr>
    <w:rPr>
      <w:rFonts w:ascii="Consolas" w:hAnsi="Consolas" w:cs="Consolas"/>
      <w:noProof w:val="0"/>
      <w:sz w:val="20"/>
      <w:szCs w:val="20"/>
    </w:rPr>
  </w:style>
  <w:style w:type="character" w:customStyle="1" w:styleId="HTMLPreformattedChar">
    <w:name w:val="HTML Preformatted Char"/>
    <w:basedOn w:val="DefaultParagraphFont"/>
    <w:link w:val="HTMLPreformatted"/>
    <w:uiPriority w:val="99"/>
    <w:rsid w:val="00BA2E13"/>
    <w:rPr>
      <w:rFonts w:ascii="Consolas" w:hAnsi="Consolas" w:cs="Consolas"/>
      <w:sz w:val="20"/>
      <w:szCs w:val="20"/>
    </w:rPr>
  </w:style>
  <w:style w:type="character" w:styleId="Emphasis">
    <w:name w:val="Emphasis"/>
    <w:basedOn w:val="DefaultParagraphFont"/>
    <w:uiPriority w:val="20"/>
    <w:qFormat/>
    <w:rsid w:val="00BA2E13"/>
    <w:rPr>
      <w:i/>
      <w:iCs/>
    </w:rPr>
  </w:style>
  <w:style w:type="character" w:customStyle="1" w:styleId="A15">
    <w:name w:val="A15"/>
    <w:uiPriority w:val="99"/>
    <w:rsid w:val="00BA2E13"/>
    <w:rPr>
      <w:rFonts w:cs="TradeGothic Light"/>
      <w:color w:val="000000"/>
      <w:sz w:val="16"/>
      <w:szCs w:val="16"/>
    </w:rPr>
  </w:style>
  <w:style w:type="character" w:customStyle="1" w:styleId="wi-fullname">
    <w:name w:val="wi-fullname"/>
    <w:basedOn w:val="DefaultParagraphFont"/>
    <w:rsid w:val="00BA2E13"/>
  </w:style>
  <w:style w:type="character" w:customStyle="1" w:styleId="meta-citation-journal-name">
    <w:name w:val="meta-citation-journal-name"/>
    <w:basedOn w:val="DefaultParagraphFont"/>
    <w:rsid w:val="00BA2E13"/>
  </w:style>
  <w:style w:type="character" w:customStyle="1" w:styleId="meta-citation">
    <w:name w:val="meta-citation"/>
    <w:basedOn w:val="DefaultParagraphFont"/>
    <w:rsid w:val="00BA2E13"/>
  </w:style>
  <w:style w:type="character" w:customStyle="1" w:styleId="ms-rtefontface-5">
    <w:name w:val="ms-rtefontface-5"/>
    <w:basedOn w:val="DefaultParagraphFont"/>
    <w:rsid w:val="00BA2E13"/>
  </w:style>
  <w:style w:type="paragraph" w:customStyle="1" w:styleId="Default">
    <w:name w:val="Default"/>
    <w:rsid w:val="00BA2E13"/>
    <w:pPr>
      <w:autoSpaceDE w:val="0"/>
      <w:autoSpaceDN w:val="0"/>
      <w:adjustRightInd w:val="0"/>
      <w:spacing w:after="0" w:line="240" w:lineRule="auto"/>
    </w:pPr>
    <w:rPr>
      <w:rFonts w:ascii="Arial" w:hAnsi="Arial" w:cs="Arial"/>
      <w:color w:val="000000"/>
      <w:sz w:val="24"/>
      <w:szCs w:val="24"/>
    </w:rPr>
  </w:style>
  <w:style w:type="character" w:customStyle="1" w:styleId="highlight">
    <w:name w:val="highlight"/>
    <w:basedOn w:val="DefaultParagraphFont"/>
    <w:rsid w:val="00BA2E13"/>
  </w:style>
  <w:style w:type="paragraph" w:customStyle="1" w:styleId="fignum1">
    <w:name w:val="fignum"/>
    <w:basedOn w:val="Normal"/>
    <w:link w:val="fignumChar1"/>
    <w:rsid w:val="00BA2E13"/>
    <w:pPr>
      <w:ind w:left="0" w:right="0"/>
      <w:jc w:val="left"/>
    </w:pPr>
    <w:rPr>
      <w:smallCaps/>
      <w:noProof w:val="0"/>
    </w:rPr>
  </w:style>
  <w:style w:type="paragraph" w:customStyle="1" w:styleId="figtitle0">
    <w:name w:val="figtitle"/>
    <w:basedOn w:val="Normal"/>
    <w:link w:val="figtitleChar0"/>
    <w:rsid w:val="00BA2E13"/>
    <w:pPr>
      <w:ind w:left="0" w:right="0"/>
      <w:jc w:val="left"/>
    </w:pPr>
    <w:rPr>
      <w:b/>
      <w:noProof w:val="0"/>
    </w:rPr>
  </w:style>
  <w:style w:type="character" w:customStyle="1" w:styleId="fignumChar1">
    <w:name w:val="fignum Char"/>
    <w:basedOn w:val="DefaultParagraphFont"/>
    <w:link w:val="fignum1"/>
    <w:rsid w:val="00BA2E13"/>
    <w:rPr>
      <w:smallCaps/>
    </w:rPr>
  </w:style>
  <w:style w:type="paragraph" w:customStyle="1" w:styleId="source0">
    <w:name w:val="source"/>
    <w:basedOn w:val="Normal"/>
    <w:link w:val="sourceChar0"/>
    <w:rsid w:val="00BA2E13"/>
    <w:pPr>
      <w:spacing w:after="120"/>
      <w:ind w:left="0" w:right="0"/>
      <w:jc w:val="left"/>
    </w:pPr>
    <w:rPr>
      <w:smallCaps/>
      <w:noProof w:val="0"/>
      <w:sz w:val="21"/>
      <w:szCs w:val="21"/>
    </w:rPr>
  </w:style>
  <w:style w:type="character" w:customStyle="1" w:styleId="figtitleChar0">
    <w:name w:val="figtitle Char"/>
    <w:basedOn w:val="DefaultParagraphFont"/>
    <w:link w:val="figtitle0"/>
    <w:rsid w:val="00BA2E13"/>
    <w:rPr>
      <w:b/>
    </w:rPr>
  </w:style>
  <w:style w:type="character" w:customStyle="1" w:styleId="sourceChar0">
    <w:name w:val="source Char"/>
    <w:basedOn w:val="DefaultParagraphFont"/>
    <w:link w:val="source0"/>
    <w:rsid w:val="00BA2E13"/>
    <w:rPr>
      <w:smallCaps/>
      <w:sz w:val="21"/>
      <w:szCs w:val="21"/>
    </w:rPr>
  </w:style>
  <w:style w:type="character" w:customStyle="1" w:styleId="cit-auth">
    <w:name w:val="cit-auth"/>
    <w:basedOn w:val="DefaultParagraphFont"/>
    <w:rsid w:val="00BA2E13"/>
  </w:style>
  <w:style w:type="character" w:customStyle="1" w:styleId="cit-name-surname">
    <w:name w:val="cit-name-surname"/>
    <w:basedOn w:val="DefaultParagraphFont"/>
    <w:rsid w:val="00BA2E13"/>
  </w:style>
  <w:style w:type="character" w:customStyle="1" w:styleId="cit-name-given-names">
    <w:name w:val="cit-name-given-names"/>
    <w:basedOn w:val="DefaultParagraphFont"/>
    <w:rsid w:val="00BA2E13"/>
  </w:style>
  <w:style w:type="character" w:styleId="HTMLCite">
    <w:name w:val="HTML Cite"/>
    <w:basedOn w:val="DefaultParagraphFont"/>
    <w:uiPriority w:val="99"/>
    <w:semiHidden/>
    <w:unhideWhenUsed/>
    <w:rsid w:val="00BA2E13"/>
    <w:rPr>
      <w:i/>
      <w:iCs/>
    </w:rPr>
  </w:style>
  <w:style w:type="character" w:customStyle="1" w:styleId="cit-article-title">
    <w:name w:val="cit-article-title"/>
    <w:basedOn w:val="DefaultParagraphFont"/>
    <w:rsid w:val="00BA2E13"/>
  </w:style>
  <w:style w:type="character" w:customStyle="1" w:styleId="cit-pub-date">
    <w:name w:val="cit-pub-date"/>
    <w:basedOn w:val="DefaultParagraphFont"/>
    <w:rsid w:val="00BA2E13"/>
  </w:style>
  <w:style w:type="character" w:customStyle="1" w:styleId="cit-vol">
    <w:name w:val="cit-vol"/>
    <w:basedOn w:val="DefaultParagraphFont"/>
    <w:rsid w:val="00BA2E13"/>
  </w:style>
  <w:style w:type="character" w:customStyle="1" w:styleId="cit-issue">
    <w:name w:val="cit-issue"/>
    <w:basedOn w:val="DefaultParagraphFont"/>
    <w:rsid w:val="00BA2E13"/>
  </w:style>
  <w:style w:type="character" w:customStyle="1" w:styleId="cit-pub-id">
    <w:name w:val="cit-pub-id"/>
    <w:basedOn w:val="DefaultParagraphFont"/>
    <w:rsid w:val="00BA2E13"/>
  </w:style>
  <w:style w:type="character" w:customStyle="1" w:styleId="cit-pub-id-scheme-pmid">
    <w:name w:val="cit-pub-id-scheme-pmid"/>
    <w:basedOn w:val="DefaultParagraphFont"/>
    <w:rsid w:val="00BA2E13"/>
  </w:style>
  <w:style w:type="character" w:customStyle="1" w:styleId="cit-etal">
    <w:name w:val="cit-etal"/>
    <w:basedOn w:val="DefaultParagraphFont"/>
    <w:rsid w:val="00BA2E13"/>
  </w:style>
  <w:style w:type="character" w:customStyle="1" w:styleId="Mention1">
    <w:name w:val="Mention1"/>
    <w:basedOn w:val="DefaultParagraphFont"/>
    <w:uiPriority w:val="99"/>
    <w:semiHidden/>
    <w:unhideWhenUsed/>
    <w:rsid w:val="00367354"/>
    <w:rPr>
      <w:color w:val="2B579A"/>
      <w:shd w:val="clear" w:color="auto" w:fill="E6E6E6"/>
    </w:rPr>
  </w:style>
  <w:style w:type="character" w:styleId="SubtleEmphasis">
    <w:name w:val="Subtle Emphasis"/>
    <w:uiPriority w:val="19"/>
    <w:qFormat/>
    <w:rsid w:val="00367354"/>
    <w:rPr>
      <w:rFonts w:asciiTheme="minorHAnsi" w:hAnsiTheme="minorHAnsi"/>
      <w:b/>
      <w:i w:val="0"/>
      <w:iCs/>
      <w:color w:val="404040" w:themeColor="text1" w:themeTint="BF"/>
      <w:sz w:val="22"/>
    </w:rPr>
  </w:style>
  <w:style w:type="character" w:styleId="PlaceholderText">
    <w:name w:val="Placeholder Text"/>
    <w:basedOn w:val="DefaultParagraphFont"/>
    <w:uiPriority w:val="99"/>
    <w:semiHidden/>
    <w:rsid w:val="00367354"/>
    <w:rPr>
      <w:color w:val="808080"/>
    </w:rPr>
  </w:style>
  <w:style w:type="character" w:customStyle="1" w:styleId="Hyperlink1">
    <w:name w:val="Hyperlink1"/>
    <w:basedOn w:val="DefaultParagraphFont"/>
    <w:unhideWhenUsed/>
    <w:rsid w:val="00367354"/>
    <w:rPr>
      <w:color w:val="0563C1"/>
      <w:u w:val="single"/>
    </w:rPr>
  </w:style>
  <w:style w:type="character" w:customStyle="1" w:styleId="print-only">
    <w:name w:val="print-only"/>
    <w:basedOn w:val="DefaultParagraphFont"/>
    <w:rsid w:val="00AA055A"/>
  </w:style>
  <w:style w:type="character" w:customStyle="1" w:styleId="Heading5Char">
    <w:name w:val="Heading 5 Char"/>
    <w:basedOn w:val="DefaultParagraphFont"/>
    <w:link w:val="Heading5"/>
    <w:uiPriority w:val="9"/>
    <w:rsid w:val="004D187E"/>
    <w:rPr>
      <w:b/>
      <w:noProof/>
      <w:color w:val="203864"/>
    </w:rPr>
  </w:style>
  <w:style w:type="character" w:customStyle="1" w:styleId="label">
    <w:name w:val="label"/>
    <w:basedOn w:val="DefaultParagraphFont"/>
    <w:rsid w:val="00197870"/>
  </w:style>
  <w:style w:type="character" w:customStyle="1" w:styleId="mixed-citation">
    <w:name w:val="mixed-citation"/>
    <w:basedOn w:val="DefaultParagraphFont"/>
    <w:rsid w:val="00197870"/>
  </w:style>
  <w:style w:type="paragraph" w:customStyle="1" w:styleId="Figtitle1">
    <w:name w:val="Figtitle"/>
    <w:basedOn w:val="figtitle0"/>
    <w:link w:val="FigtitleChar1"/>
    <w:rsid w:val="00197870"/>
    <w:pPr>
      <w:jc w:val="both"/>
    </w:pPr>
  </w:style>
  <w:style w:type="character" w:customStyle="1" w:styleId="FigtitleChar1">
    <w:name w:val="Figtitle Char"/>
    <w:basedOn w:val="figtitleChar0"/>
    <w:link w:val="Figtitle1"/>
    <w:rsid w:val="00197870"/>
    <w:rPr>
      <w:b/>
    </w:rPr>
  </w:style>
  <w:style w:type="paragraph" w:customStyle="1" w:styleId="CM20">
    <w:name w:val="CM20"/>
    <w:basedOn w:val="Normal"/>
    <w:next w:val="Normal"/>
    <w:uiPriority w:val="99"/>
    <w:rsid w:val="00197870"/>
    <w:pPr>
      <w:autoSpaceDE w:val="0"/>
      <w:autoSpaceDN w:val="0"/>
      <w:adjustRightInd w:val="0"/>
      <w:spacing w:before="0" w:after="0" w:line="240" w:lineRule="auto"/>
      <w:ind w:left="0" w:right="0"/>
    </w:pPr>
    <w:rPr>
      <w:rFonts w:ascii="Adobe Caslon Pro" w:hAnsi="Adobe Caslon Pro"/>
      <w:noProof w:val="0"/>
      <w:sz w:val="24"/>
      <w:szCs w:val="24"/>
    </w:rPr>
  </w:style>
  <w:style w:type="character" w:customStyle="1" w:styleId="footnote0020textchar">
    <w:name w:val="footnote_0020text__char"/>
    <w:basedOn w:val="DefaultParagraphFont"/>
    <w:rsid w:val="00197870"/>
  </w:style>
  <w:style w:type="character" w:customStyle="1" w:styleId="hyperlinkchar">
    <w:name w:val="hyperlink__char"/>
    <w:basedOn w:val="DefaultParagraphFont"/>
    <w:rsid w:val="00197870"/>
  </w:style>
  <w:style w:type="paragraph" w:customStyle="1" w:styleId="Style1">
    <w:name w:val="Style1"/>
    <w:basedOn w:val="Heading2"/>
    <w:link w:val="Style1Char"/>
    <w:qFormat/>
    <w:rsid w:val="00197870"/>
    <w:pPr>
      <w:ind w:left="0" w:right="0"/>
    </w:pPr>
    <w:rPr>
      <w:sz w:val="36"/>
      <w:szCs w:val="36"/>
    </w:rPr>
  </w:style>
  <w:style w:type="character" w:customStyle="1" w:styleId="Style1Char">
    <w:name w:val="Style1 Char"/>
    <w:basedOn w:val="Heading2Char"/>
    <w:link w:val="Style1"/>
    <w:rsid w:val="00197870"/>
    <w:rPr>
      <w:b/>
      <w:noProof/>
      <w:sz w:val="36"/>
      <w:szCs w:val="36"/>
    </w:rPr>
  </w:style>
  <w:style w:type="paragraph" w:styleId="BodyText">
    <w:name w:val="Body Text"/>
    <w:basedOn w:val="Normal"/>
    <w:link w:val="BodyTextChar"/>
    <w:uiPriority w:val="99"/>
    <w:unhideWhenUsed/>
    <w:rsid w:val="000902A4"/>
    <w:pPr>
      <w:spacing w:after="120"/>
      <w:ind w:left="0" w:right="0"/>
    </w:pPr>
    <w:rPr>
      <w:noProof w:val="0"/>
    </w:rPr>
  </w:style>
  <w:style w:type="character" w:customStyle="1" w:styleId="BodyTextChar">
    <w:name w:val="Body Text Char"/>
    <w:basedOn w:val="DefaultParagraphFont"/>
    <w:link w:val="BodyText"/>
    <w:uiPriority w:val="99"/>
    <w:rsid w:val="000902A4"/>
  </w:style>
  <w:style w:type="paragraph" w:styleId="BodyTextFirstIndent">
    <w:name w:val="Body Text First Indent"/>
    <w:basedOn w:val="BodyText"/>
    <w:link w:val="BodyTextFirstIndentChar"/>
    <w:uiPriority w:val="99"/>
    <w:unhideWhenUsed/>
    <w:rsid w:val="000902A4"/>
    <w:pPr>
      <w:autoSpaceDE w:val="0"/>
      <w:autoSpaceDN w:val="0"/>
      <w:spacing w:before="0" w:line="360" w:lineRule="auto"/>
      <w:ind w:firstLine="432"/>
      <w:jc w:val="left"/>
    </w:pPr>
    <w:rPr>
      <w:rFonts w:ascii="Times New Roman" w:eastAsia="Times New Roman" w:hAnsi="Times New Roman" w:cs="Times New Roman"/>
    </w:rPr>
  </w:style>
  <w:style w:type="character" w:customStyle="1" w:styleId="BodyTextFirstIndentChar">
    <w:name w:val="Body Text First Indent Char"/>
    <w:basedOn w:val="BodyTextChar"/>
    <w:link w:val="BodyTextFirstIndent"/>
    <w:uiPriority w:val="99"/>
    <w:rsid w:val="000902A4"/>
    <w:rPr>
      <w:rFonts w:ascii="Times New Roman" w:eastAsia="Times New Roman" w:hAnsi="Times New Roman" w:cs="Times New Roman"/>
    </w:rPr>
  </w:style>
  <w:style w:type="character" w:customStyle="1" w:styleId="pagefirst">
    <w:name w:val="pagefirst"/>
    <w:basedOn w:val="DefaultParagraphFont"/>
    <w:rsid w:val="000902A4"/>
  </w:style>
  <w:style w:type="character" w:customStyle="1" w:styleId="hlfld-fulltext">
    <w:name w:val="hlfld-fulltext"/>
    <w:basedOn w:val="DefaultParagraphFont"/>
    <w:rsid w:val="000902A4"/>
  </w:style>
  <w:style w:type="character" w:customStyle="1" w:styleId="button">
    <w:name w:val="button"/>
    <w:basedOn w:val="DefaultParagraphFont"/>
    <w:rsid w:val="000902A4"/>
  </w:style>
  <w:style w:type="character" w:customStyle="1" w:styleId="fieldset-legend">
    <w:name w:val="fieldset-legend"/>
    <w:basedOn w:val="DefaultParagraphFont"/>
    <w:rsid w:val="000902A4"/>
  </w:style>
  <w:style w:type="character" w:customStyle="1" w:styleId="date-display-single">
    <w:name w:val="date-display-single"/>
    <w:basedOn w:val="DefaultParagraphFont"/>
    <w:rsid w:val="000902A4"/>
  </w:style>
  <w:style w:type="character" w:customStyle="1" w:styleId="ref-journal">
    <w:name w:val="ref-journal"/>
    <w:basedOn w:val="DefaultParagraphFont"/>
    <w:rsid w:val="000902A4"/>
  </w:style>
  <w:style w:type="character" w:customStyle="1" w:styleId="ref-vol">
    <w:name w:val="ref-vol"/>
    <w:basedOn w:val="DefaultParagraphFont"/>
    <w:rsid w:val="000902A4"/>
  </w:style>
  <w:style w:type="character" w:customStyle="1" w:styleId="ProTextChar">
    <w:name w:val="ProText Char"/>
    <w:basedOn w:val="DefaultParagraphFont"/>
    <w:link w:val="ProText"/>
    <w:locked/>
    <w:rsid w:val="000902A4"/>
    <w:rPr>
      <w:rFonts w:ascii="Calibri" w:hAnsi="Calibri"/>
      <w:color w:val="000000"/>
    </w:rPr>
  </w:style>
  <w:style w:type="paragraph" w:customStyle="1" w:styleId="ProText">
    <w:name w:val="ProText"/>
    <w:basedOn w:val="Normal"/>
    <w:link w:val="ProTextChar"/>
    <w:rsid w:val="000902A4"/>
    <w:pPr>
      <w:autoSpaceDE w:val="0"/>
      <w:autoSpaceDN w:val="0"/>
      <w:spacing w:before="0" w:after="240" w:line="240" w:lineRule="auto"/>
      <w:ind w:left="0" w:right="0"/>
      <w:jc w:val="left"/>
    </w:pPr>
    <w:rPr>
      <w:rFonts w:ascii="Calibri" w:hAnsi="Calibri"/>
      <w:noProof w:val="0"/>
      <w:color w:val="000000"/>
    </w:rPr>
  </w:style>
  <w:style w:type="character" w:customStyle="1" w:styleId="bkciteavail">
    <w:name w:val="bk_cite_avail"/>
    <w:basedOn w:val="DefaultParagraphFont"/>
    <w:rsid w:val="000902A4"/>
  </w:style>
  <w:style w:type="paragraph" w:customStyle="1" w:styleId="msonormal0">
    <w:name w:val="msonormal"/>
    <w:basedOn w:val="Normal"/>
    <w:uiPriority w:val="99"/>
    <w:rsid w:val="006508EC"/>
    <w:pPr>
      <w:spacing w:before="100" w:beforeAutospacing="1" w:after="100" w:afterAutospacing="1" w:line="240" w:lineRule="auto"/>
      <w:ind w:left="0" w:right="0"/>
      <w:jc w:val="left"/>
    </w:pPr>
    <w:rPr>
      <w:rFonts w:ascii="Times New Roman" w:eastAsia="Times New Roman" w:hAnsi="Times New Roman" w:cs="Times New Roman"/>
      <w:noProof w:val="0"/>
      <w:color w:val="000000"/>
      <w:sz w:val="24"/>
      <w:szCs w:val="24"/>
    </w:rPr>
  </w:style>
  <w:style w:type="character" w:customStyle="1" w:styleId="Mention2">
    <w:name w:val="Mention2"/>
    <w:basedOn w:val="DefaultParagraphFont"/>
    <w:uiPriority w:val="99"/>
    <w:semiHidden/>
    <w:rsid w:val="006508EC"/>
    <w:rPr>
      <w:color w:val="2B579A"/>
      <w:shd w:val="clear" w:color="auto" w:fill="E6E6E6"/>
    </w:rPr>
  </w:style>
  <w:style w:type="table" w:customStyle="1" w:styleId="GridTable1Light-Accent11">
    <w:name w:val="Grid Table 1 Light - Accent 11"/>
    <w:basedOn w:val="TableNormal"/>
    <w:uiPriority w:val="46"/>
    <w:rsid w:val="006508EC"/>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GridTable2-Accent11">
    <w:name w:val="Grid Table 2 - Accent 11"/>
    <w:basedOn w:val="TableNormal"/>
    <w:uiPriority w:val="47"/>
    <w:rsid w:val="006508EC"/>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GridTable3-Accent11">
    <w:name w:val="Grid Table 3 - Accent 11"/>
    <w:basedOn w:val="TableNormal"/>
    <w:uiPriority w:val="48"/>
    <w:rsid w:val="006508EC"/>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customStyle="1" w:styleId="GridTable2-Accent51">
    <w:name w:val="Grid Table 2 - Accent 51"/>
    <w:basedOn w:val="TableNormal"/>
    <w:uiPriority w:val="47"/>
    <w:rsid w:val="006508EC"/>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customStyle="1" w:styleId="SHAFigureNumber">
    <w:name w:val="SHA Figure Number"/>
    <w:basedOn w:val="FigName"/>
    <w:link w:val="SHAFigureNumberChar"/>
    <w:qFormat/>
    <w:rsid w:val="00EF7361"/>
    <w:pPr>
      <w:jc w:val="center"/>
    </w:pPr>
  </w:style>
  <w:style w:type="paragraph" w:customStyle="1" w:styleId="SHAFigureNote">
    <w:name w:val="SHA Figure Note"/>
    <w:basedOn w:val="SHAFigureNumber"/>
    <w:link w:val="SHAFigureNoteChar"/>
    <w:qFormat/>
    <w:rsid w:val="00F6716B"/>
    <w:rPr>
      <w:b w:val="0"/>
      <w:sz w:val="20"/>
      <w:szCs w:val="20"/>
    </w:rPr>
  </w:style>
  <w:style w:type="character" w:customStyle="1" w:styleId="SHAFigureNumberChar">
    <w:name w:val="SHA Figure Number Char"/>
    <w:basedOn w:val="FigNameChar"/>
    <w:link w:val="SHAFigureNumber"/>
    <w:rsid w:val="00EF7361"/>
    <w:rPr>
      <w:rFonts w:ascii="Aileron" w:hAnsi="Aileron"/>
      <w:b/>
      <w:sz w:val="21"/>
      <w:szCs w:val="21"/>
    </w:rPr>
  </w:style>
  <w:style w:type="table" w:customStyle="1" w:styleId="GridTable3-Accent111">
    <w:name w:val="Grid Table 3 - Accent 111"/>
    <w:basedOn w:val="TableNormal"/>
    <w:uiPriority w:val="48"/>
    <w:rsid w:val="0044423B"/>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character" w:customStyle="1" w:styleId="SHAFigureNoteChar">
    <w:name w:val="SHA Figure Note Char"/>
    <w:basedOn w:val="SHAFigureNumberChar"/>
    <w:link w:val="SHAFigureNote"/>
    <w:rsid w:val="00F6716B"/>
    <w:rPr>
      <w:rFonts w:ascii="Aileron" w:hAnsi="Aileron"/>
      <w:b w:val="0"/>
      <w:sz w:val="20"/>
      <w:szCs w:val="20"/>
    </w:rPr>
  </w:style>
  <w:style w:type="paragraph" w:customStyle="1" w:styleId="Body1">
    <w:name w:val="Body1"/>
    <w:basedOn w:val="NoSpacing"/>
    <w:link w:val="Body1Char"/>
    <w:qFormat/>
    <w:rsid w:val="009646EB"/>
    <w:pPr>
      <w:spacing w:after="120"/>
      <w:jc w:val="left"/>
    </w:pPr>
    <w:rPr>
      <w:sz w:val="24"/>
      <w:szCs w:val="24"/>
    </w:rPr>
  </w:style>
  <w:style w:type="character" w:customStyle="1" w:styleId="Body1Char">
    <w:name w:val="Body1 Char"/>
    <w:basedOn w:val="NoSpacingChar"/>
    <w:link w:val="Body1"/>
    <w:rsid w:val="009646EB"/>
    <w:rPr>
      <w:rFonts w:ascii="Aileron" w:hAnsi="Aileron"/>
      <w:sz w:val="24"/>
      <w:szCs w:val="24"/>
    </w:rPr>
  </w:style>
  <w:style w:type="table" w:customStyle="1" w:styleId="TableGrid2">
    <w:name w:val="Table Grid2"/>
    <w:basedOn w:val="TableNormal"/>
    <w:next w:val="TableGrid"/>
    <w:rsid w:val="00840D6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3111">
    <w:name w:val="Plain Table 3111"/>
    <w:basedOn w:val="TableNormal"/>
    <w:next w:val="PlainTable32"/>
    <w:uiPriority w:val="43"/>
    <w:rsid w:val="001B52C7"/>
    <w:pPr>
      <w:spacing w:before="120" w:after="0" w:line="240" w:lineRule="auto"/>
      <w:ind w:left="-360" w:right="-360"/>
      <w:jc w:val="both"/>
    </w:p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Heading6Char">
    <w:name w:val="Heading 6 Char"/>
    <w:basedOn w:val="DefaultParagraphFont"/>
    <w:link w:val="Heading6"/>
    <w:uiPriority w:val="9"/>
    <w:rsid w:val="00492AB1"/>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492AB1"/>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492AB1"/>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492AB1"/>
    <w:rPr>
      <w:rFonts w:asciiTheme="majorHAnsi" w:eastAsiaTheme="majorEastAsia" w:hAnsiTheme="majorHAnsi" w:cstheme="majorBidi"/>
      <w:i/>
      <w:iCs/>
      <w:spacing w:val="5"/>
      <w:sz w:val="20"/>
      <w:szCs w:val="20"/>
    </w:rPr>
  </w:style>
  <w:style w:type="paragraph" w:styleId="Quote">
    <w:name w:val="Quote"/>
    <w:basedOn w:val="Normal"/>
    <w:next w:val="Normal"/>
    <w:link w:val="QuoteChar"/>
    <w:uiPriority w:val="29"/>
    <w:qFormat/>
    <w:rsid w:val="00492AB1"/>
    <w:pPr>
      <w:spacing w:before="200" w:after="0" w:line="276" w:lineRule="auto"/>
      <w:ind w:left="360" w:right="360"/>
    </w:pPr>
    <w:rPr>
      <w:rFonts w:eastAsiaTheme="minorEastAsia"/>
      <w:i/>
      <w:iCs/>
      <w:noProof w:val="0"/>
    </w:rPr>
  </w:style>
  <w:style w:type="character" w:customStyle="1" w:styleId="QuoteChar">
    <w:name w:val="Quote Char"/>
    <w:basedOn w:val="DefaultParagraphFont"/>
    <w:link w:val="Quote"/>
    <w:uiPriority w:val="29"/>
    <w:rsid w:val="00492AB1"/>
    <w:rPr>
      <w:rFonts w:eastAsiaTheme="minorEastAsia"/>
      <w:i/>
      <w:iCs/>
    </w:rPr>
  </w:style>
  <w:style w:type="paragraph" w:styleId="IntenseQuote">
    <w:name w:val="Intense Quote"/>
    <w:basedOn w:val="Normal"/>
    <w:next w:val="Normal"/>
    <w:link w:val="IntenseQuoteChar"/>
    <w:uiPriority w:val="30"/>
    <w:qFormat/>
    <w:rsid w:val="00492AB1"/>
    <w:pPr>
      <w:pBdr>
        <w:bottom w:val="single" w:sz="4" w:space="1" w:color="auto"/>
      </w:pBdr>
      <w:spacing w:before="200" w:after="280" w:line="276" w:lineRule="auto"/>
      <w:ind w:left="1008" w:right="1152"/>
    </w:pPr>
    <w:rPr>
      <w:rFonts w:eastAsiaTheme="minorEastAsia"/>
      <w:b/>
      <w:bCs/>
      <w:i/>
      <w:iCs/>
      <w:noProof w:val="0"/>
    </w:rPr>
  </w:style>
  <w:style w:type="character" w:customStyle="1" w:styleId="IntenseQuoteChar">
    <w:name w:val="Intense Quote Char"/>
    <w:basedOn w:val="DefaultParagraphFont"/>
    <w:link w:val="IntenseQuote"/>
    <w:uiPriority w:val="30"/>
    <w:rsid w:val="00492AB1"/>
    <w:rPr>
      <w:rFonts w:eastAsiaTheme="minorEastAsia"/>
      <w:b/>
      <w:bCs/>
      <w:i/>
      <w:iCs/>
    </w:rPr>
  </w:style>
  <w:style w:type="character" w:styleId="IntenseEmphasis">
    <w:name w:val="Intense Emphasis"/>
    <w:uiPriority w:val="21"/>
    <w:qFormat/>
    <w:rsid w:val="00492AB1"/>
    <w:rPr>
      <w:b/>
      <w:bCs/>
    </w:rPr>
  </w:style>
  <w:style w:type="character" w:styleId="SubtleReference">
    <w:name w:val="Subtle Reference"/>
    <w:uiPriority w:val="31"/>
    <w:qFormat/>
    <w:rsid w:val="00492AB1"/>
    <w:rPr>
      <w:smallCaps/>
    </w:rPr>
  </w:style>
  <w:style w:type="character" w:styleId="IntenseReference">
    <w:name w:val="Intense Reference"/>
    <w:uiPriority w:val="32"/>
    <w:qFormat/>
    <w:rsid w:val="00492AB1"/>
    <w:rPr>
      <w:smallCaps/>
      <w:spacing w:val="5"/>
      <w:u w:val="single"/>
    </w:rPr>
  </w:style>
  <w:style w:type="character" w:styleId="BookTitle">
    <w:name w:val="Book Title"/>
    <w:uiPriority w:val="33"/>
    <w:qFormat/>
    <w:rsid w:val="00492AB1"/>
    <w:rPr>
      <w:i/>
      <w:iCs/>
      <w:smallCaps/>
      <w:spacing w:val="5"/>
    </w:rPr>
  </w:style>
  <w:style w:type="paragraph" w:styleId="TOCHeading">
    <w:name w:val="TOC Heading"/>
    <w:basedOn w:val="Heading1"/>
    <w:next w:val="Normal"/>
    <w:uiPriority w:val="39"/>
    <w:semiHidden/>
    <w:unhideWhenUsed/>
    <w:qFormat/>
    <w:rsid w:val="00492AB1"/>
    <w:pPr>
      <w:keepNext w:val="0"/>
      <w:keepLines w:val="0"/>
      <w:spacing w:before="160" w:after="120" w:line="276" w:lineRule="auto"/>
      <w:ind w:left="0" w:right="0"/>
      <w:outlineLvl w:val="9"/>
    </w:pPr>
    <w:rPr>
      <w:bCs/>
      <w:noProof w:val="0"/>
      <w:sz w:val="48"/>
      <w:lang w:bidi="en-US"/>
    </w:rPr>
  </w:style>
  <w:style w:type="character" w:customStyle="1" w:styleId="element-citation">
    <w:name w:val="element-citation"/>
    <w:basedOn w:val="DefaultParagraphFont"/>
    <w:rsid w:val="00492AB1"/>
  </w:style>
  <w:style w:type="character" w:customStyle="1" w:styleId="nowrap">
    <w:name w:val="nowrap"/>
    <w:basedOn w:val="DefaultParagraphFont"/>
    <w:rsid w:val="00492AB1"/>
  </w:style>
  <w:style w:type="paragraph" w:customStyle="1" w:styleId="REFERENCES">
    <w:name w:val="REFERENCES"/>
    <w:basedOn w:val="NoSpacing"/>
    <w:link w:val="REFERENCESChar"/>
    <w:qFormat/>
    <w:rsid w:val="00C97417"/>
    <w:pPr>
      <w:ind w:left="-360" w:right="-360"/>
      <w:jc w:val="left"/>
    </w:pPr>
    <w:rPr>
      <w:rFonts w:asciiTheme="minorHAnsi" w:hAnsiTheme="minorHAnsi"/>
      <w:sz w:val="22"/>
      <w:szCs w:val="22"/>
    </w:rPr>
  </w:style>
  <w:style w:type="character" w:customStyle="1" w:styleId="UnresolvedMention1">
    <w:name w:val="Unresolved Mention1"/>
    <w:basedOn w:val="DefaultParagraphFont"/>
    <w:uiPriority w:val="99"/>
    <w:semiHidden/>
    <w:unhideWhenUsed/>
    <w:rsid w:val="00636067"/>
    <w:rPr>
      <w:color w:val="808080"/>
      <w:shd w:val="clear" w:color="auto" w:fill="E6E6E6"/>
    </w:rPr>
  </w:style>
  <w:style w:type="character" w:customStyle="1" w:styleId="REFERENCESChar">
    <w:name w:val="REFERENCES Char"/>
    <w:basedOn w:val="NoSpacingChar"/>
    <w:link w:val="REFERENCES"/>
    <w:rsid w:val="00C97417"/>
    <w:rPr>
      <w:rFonts w:ascii="Aileron" w:hAnsi="Aileron"/>
      <w:sz w:val="21"/>
      <w:szCs w:val="21"/>
    </w:rPr>
  </w:style>
  <w:style w:type="numbering" w:customStyle="1" w:styleId="NoList1">
    <w:name w:val="No List1"/>
    <w:next w:val="NoList"/>
    <w:uiPriority w:val="99"/>
    <w:semiHidden/>
    <w:unhideWhenUsed/>
    <w:rsid w:val="005A0277"/>
  </w:style>
  <w:style w:type="table" w:customStyle="1" w:styleId="GridTable4-Accent11">
    <w:name w:val="Grid Table 4 - Accent 11"/>
    <w:basedOn w:val="TableNormal"/>
    <w:uiPriority w:val="49"/>
    <w:rsid w:val="005A0277"/>
    <w:pPr>
      <w:spacing w:after="0" w:line="240" w:lineRule="auto"/>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customStyle="1" w:styleId="Heading11">
    <w:name w:val="Heading 11"/>
    <w:basedOn w:val="Normal"/>
    <w:next w:val="Normal"/>
    <w:uiPriority w:val="9"/>
    <w:rsid w:val="005A0277"/>
    <w:pPr>
      <w:keepNext/>
      <w:keepLines/>
      <w:spacing w:before="240" w:after="0"/>
      <w:ind w:left="0" w:right="0"/>
      <w:outlineLvl w:val="0"/>
    </w:pPr>
    <w:rPr>
      <w:rFonts w:ascii="Aileron" w:eastAsia="Times New Roman" w:hAnsi="Aileron" w:cs="Times New Roman"/>
      <w:noProof w:val="0"/>
      <w:color w:val="0B5294"/>
      <w:sz w:val="32"/>
      <w:szCs w:val="32"/>
    </w:rPr>
  </w:style>
  <w:style w:type="paragraph" w:customStyle="1" w:styleId="Heading21">
    <w:name w:val="Heading 21"/>
    <w:basedOn w:val="Normal"/>
    <w:next w:val="Normal"/>
    <w:uiPriority w:val="9"/>
    <w:unhideWhenUsed/>
    <w:rsid w:val="005A0277"/>
    <w:pPr>
      <w:keepNext/>
      <w:keepLines/>
      <w:spacing w:before="40" w:after="0"/>
      <w:ind w:left="0" w:right="0"/>
      <w:outlineLvl w:val="1"/>
    </w:pPr>
    <w:rPr>
      <w:rFonts w:ascii="Aileron Bold" w:eastAsia="Times New Roman" w:hAnsi="Aileron Bold" w:cs="Times New Roman"/>
      <w:noProof w:val="0"/>
      <w:color w:val="0B5294"/>
      <w:sz w:val="32"/>
      <w:szCs w:val="26"/>
    </w:rPr>
  </w:style>
  <w:style w:type="paragraph" w:customStyle="1" w:styleId="Heading31">
    <w:name w:val="Heading 31"/>
    <w:basedOn w:val="Normal"/>
    <w:next w:val="Normal"/>
    <w:uiPriority w:val="9"/>
    <w:unhideWhenUsed/>
    <w:rsid w:val="005A0277"/>
    <w:pPr>
      <w:keepNext/>
      <w:keepLines/>
      <w:spacing w:before="40" w:after="0"/>
      <w:ind w:left="0" w:right="0"/>
      <w:outlineLvl w:val="2"/>
    </w:pPr>
    <w:rPr>
      <w:rFonts w:ascii="Aileron" w:eastAsia="Times New Roman" w:hAnsi="Aileron" w:cs="Times New Roman"/>
      <w:noProof w:val="0"/>
      <w:color w:val="073662"/>
      <w:sz w:val="24"/>
      <w:szCs w:val="24"/>
    </w:rPr>
  </w:style>
  <w:style w:type="paragraph" w:customStyle="1" w:styleId="Heading41">
    <w:name w:val="Heading 41"/>
    <w:basedOn w:val="Normal"/>
    <w:next w:val="Normal"/>
    <w:uiPriority w:val="9"/>
    <w:unhideWhenUsed/>
    <w:qFormat/>
    <w:rsid w:val="005A0277"/>
    <w:pPr>
      <w:keepNext/>
      <w:keepLines/>
      <w:spacing w:before="40" w:after="0"/>
      <w:ind w:left="0" w:right="0"/>
      <w:outlineLvl w:val="3"/>
    </w:pPr>
    <w:rPr>
      <w:rFonts w:ascii="Aileron Bold" w:eastAsia="Times New Roman" w:hAnsi="Aileron Bold" w:cs="Times New Roman"/>
      <w:b/>
      <w:iCs/>
      <w:noProof w:val="0"/>
      <w:color w:val="0F6FC6"/>
      <w:sz w:val="26"/>
    </w:rPr>
  </w:style>
  <w:style w:type="paragraph" w:customStyle="1" w:styleId="Heading51">
    <w:name w:val="Heading 51"/>
    <w:basedOn w:val="Normal"/>
    <w:next w:val="Normal"/>
    <w:uiPriority w:val="9"/>
    <w:unhideWhenUsed/>
    <w:qFormat/>
    <w:rsid w:val="005A0277"/>
    <w:pPr>
      <w:keepNext/>
      <w:keepLines/>
      <w:spacing w:before="40" w:after="0"/>
      <w:ind w:left="0" w:right="0"/>
      <w:outlineLvl w:val="4"/>
    </w:pPr>
    <w:rPr>
      <w:rFonts w:ascii="Aileron" w:eastAsia="Times New Roman" w:hAnsi="Aileron" w:cs="Times New Roman"/>
      <w:noProof w:val="0"/>
      <w:color w:val="0B5294"/>
      <w:sz w:val="23"/>
    </w:rPr>
  </w:style>
  <w:style w:type="paragraph" w:customStyle="1" w:styleId="Heading61">
    <w:name w:val="Heading 61"/>
    <w:basedOn w:val="Normal"/>
    <w:next w:val="Normal"/>
    <w:uiPriority w:val="9"/>
    <w:unhideWhenUsed/>
    <w:qFormat/>
    <w:rsid w:val="005A0277"/>
    <w:pPr>
      <w:keepNext/>
      <w:keepLines/>
      <w:spacing w:before="40" w:after="0"/>
      <w:ind w:left="0" w:right="0"/>
      <w:outlineLvl w:val="5"/>
    </w:pPr>
    <w:rPr>
      <w:rFonts w:ascii="Aileron" w:eastAsia="Times New Roman" w:hAnsi="Aileron" w:cs="Times New Roman"/>
      <w:b/>
      <w:noProof w:val="0"/>
      <w:color w:val="073662"/>
      <w:sz w:val="24"/>
    </w:rPr>
  </w:style>
  <w:style w:type="numbering" w:customStyle="1" w:styleId="NoList11">
    <w:name w:val="No List11"/>
    <w:next w:val="NoList"/>
    <w:uiPriority w:val="99"/>
    <w:semiHidden/>
    <w:unhideWhenUsed/>
    <w:rsid w:val="005A0277"/>
  </w:style>
  <w:style w:type="paragraph" w:customStyle="1" w:styleId="Title1">
    <w:name w:val="Title1"/>
    <w:basedOn w:val="Normal"/>
    <w:next w:val="Normal"/>
    <w:uiPriority w:val="10"/>
    <w:qFormat/>
    <w:rsid w:val="005A0277"/>
    <w:pPr>
      <w:spacing w:before="0" w:after="0" w:line="240" w:lineRule="auto"/>
      <w:ind w:left="0" w:right="0"/>
      <w:contextualSpacing/>
    </w:pPr>
    <w:rPr>
      <w:rFonts w:ascii="Arial" w:eastAsia="Times New Roman" w:hAnsi="Arial" w:cs="Times New Roman"/>
      <w:noProof w:val="0"/>
      <w:spacing w:val="-10"/>
      <w:kern w:val="28"/>
      <w:sz w:val="44"/>
      <w:szCs w:val="56"/>
    </w:rPr>
  </w:style>
  <w:style w:type="paragraph" w:customStyle="1" w:styleId="Subtitle1">
    <w:name w:val="Subtitle1"/>
    <w:basedOn w:val="Normal"/>
    <w:next w:val="Normal"/>
    <w:uiPriority w:val="11"/>
    <w:qFormat/>
    <w:rsid w:val="005A0277"/>
    <w:pPr>
      <w:numPr>
        <w:ilvl w:val="1"/>
      </w:numPr>
      <w:spacing w:before="0"/>
      <w:ind w:left="-360" w:right="0"/>
    </w:pPr>
    <w:rPr>
      <w:rFonts w:ascii="Times New Roman" w:eastAsia="Times New Roman" w:hAnsi="Times New Roman"/>
      <w:noProof w:val="0"/>
      <w:color w:val="5A5A5A"/>
      <w:spacing w:val="15"/>
      <w:sz w:val="23"/>
    </w:rPr>
  </w:style>
  <w:style w:type="table" w:customStyle="1" w:styleId="TableGrid3">
    <w:name w:val="Table Grid3"/>
    <w:basedOn w:val="TableNormal"/>
    <w:next w:val="TableGrid"/>
    <w:uiPriority w:val="39"/>
    <w:rsid w:val="005A02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111">
    <w:name w:val="Grid Table 1 Light - Accent 111"/>
    <w:basedOn w:val="TableNormal"/>
    <w:uiPriority w:val="46"/>
    <w:rsid w:val="005A0277"/>
    <w:pPr>
      <w:spacing w:after="0" w:line="240" w:lineRule="auto"/>
    </w:pPr>
    <w:tblPr>
      <w:tblStyleRowBandSize w:val="1"/>
      <w:tblStyleColBandSize w:val="1"/>
      <w:tblBorders>
        <w:top w:val="single" w:sz="4" w:space="0" w:color="90C5F6"/>
        <w:left w:val="single" w:sz="4" w:space="0" w:color="90C5F6"/>
        <w:bottom w:val="single" w:sz="4" w:space="0" w:color="90C5F6"/>
        <w:right w:val="single" w:sz="4" w:space="0" w:color="90C5F6"/>
        <w:insideH w:val="single" w:sz="4" w:space="0" w:color="90C5F6"/>
        <w:insideV w:val="single" w:sz="4" w:space="0" w:color="90C5F6"/>
      </w:tblBorders>
    </w:tblPr>
    <w:tblStylePr w:type="firstRow">
      <w:rPr>
        <w:b/>
        <w:bCs/>
      </w:rPr>
      <w:tblPr/>
      <w:tcPr>
        <w:tcBorders>
          <w:bottom w:val="single" w:sz="12" w:space="0" w:color="59A9F2"/>
        </w:tcBorders>
      </w:tcPr>
    </w:tblStylePr>
    <w:tblStylePr w:type="lastRow">
      <w:rPr>
        <w:b/>
        <w:bCs/>
      </w:rPr>
      <w:tblPr/>
      <w:tcPr>
        <w:tcBorders>
          <w:top w:val="double" w:sz="2" w:space="0" w:color="59A9F2"/>
        </w:tcBorders>
      </w:tcPr>
    </w:tblStylePr>
    <w:tblStylePr w:type="firstCol">
      <w:rPr>
        <w:b/>
        <w:bCs/>
      </w:rPr>
    </w:tblStylePr>
    <w:tblStylePr w:type="lastCol">
      <w:rPr>
        <w:b/>
        <w:bCs/>
      </w:rPr>
    </w:tblStylePr>
  </w:style>
  <w:style w:type="table" w:customStyle="1" w:styleId="GridTable2-Accent111">
    <w:name w:val="Grid Table 2 - Accent 111"/>
    <w:basedOn w:val="TableNormal"/>
    <w:uiPriority w:val="47"/>
    <w:rsid w:val="005A0277"/>
    <w:pPr>
      <w:spacing w:after="0" w:line="240" w:lineRule="auto"/>
    </w:pPr>
    <w:tblPr>
      <w:tblStyleRowBandSize w:val="1"/>
      <w:tblStyleColBandSize w:val="1"/>
      <w:tblBorders>
        <w:top w:val="single" w:sz="2" w:space="0" w:color="59A9F2"/>
        <w:bottom w:val="single" w:sz="2" w:space="0" w:color="59A9F2"/>
        <w:insideH w:val="single" w:sz="2" w:space="0" w:color="59A9F2"/>
        <w:insideV w:val="single" w:sz="2" w:space="0" w:color="59A9F2"/>
      </w:tblBorders>
    </w:tblPr>
    <w:tblStylePr w:type="firstRow">
      <w:rPr>
        <w:b/>
        <w:bCs/>
      </w:rPr>
      <w:tblPr/>
      <w:tcPr>
        <w:tcBorders>
          <w:top w:val="nil"/>
          <w:bottom w:val="single" w:sz="12" w:space="0" w:color="59A9F2"/>
          <w:insideH w:val="nil"/>
          <w:insideV w:val="nil"/>
        </w:tcBorders>
        <w:shd w:val="clear" w:color="auto" w:fill="FFFFFF"/>
      </w:tcPr>
    </w:tblStylePr>
    <w:tblStylePr w:type="lastRow">
      <w:rPr>
        <w:b/>
        <w:bCs/>
      </w:rPr>
      <w:tblPr/>
      <w:tcPr>
        <w:tcBorders>
          <w:top w:val="double" w:sz="2" w:space="0" w:color="59A9F2"/>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7E2FA"/>
      </w:tcPr>
    </w:tblStylePr>
    <w:tblStylePr w:type="band1Horz">
      <w:tblPr/>
      <w:tcPr>
        <w:shd w:val="clear" w:color="auto" w:fill="C7E2FA"/>
      </w:tcPr>
    </w:tblStylePr>
  </w:style>
  <w:style w:type="table" w:customStyle="1" w:styleId="GridTable4-Accent111">
    <w:name w:val="Grid Table 4 - Accent 111"/>
    <w:basedOn w:val="TableNormal"/>
    <w:uiPriority w:val="49"/>
    <w:rsid w:val="005A0277"/>
    <w:pPr>
      <w:spacing w:after="0" w:line="240" w:lineRule="auto"/>
    </w:pPr>
    <w:tblPr>
      <w:tblStyleRowBandSize w:val="1"/>
      <w:tblStyleColBandSize w:val="1"/>
      <w:tblBorders>
        <w:top w:val="single" w:sz="4" w:space="0" w:color="59A9F2"/>
        <w:left w:val="single" w:sz="4" w:space="0" w:color="59A9F2"/>
        <w:bottom w:val="single" w:sz="4" w:space="0" w:color="59A9F2"/>
        <w:right w:val="single" w:sz="4" w:space="0" w:color="59A9F2"/>
        <w:insideH w:val="single" w:sz="4" w:space="0" w:color="59A9F2"/>
        <w:insideV w:val="single" w:sz="4" w:space="0" w:color="59A9F2"/>
      </w:tblBorders>
    </w:tblPr>
    <w:tblStylePr w:type="firstRow">
      <w:rPr>
        <w:b/>
        <w:bCs/>
        <w:color w:val="FFFFFF"/>
      </w:rPr>
      <w:tblPr/>
      <w:tcPr>
        <w:tcBorders>
          <w:top w:val="single" w:sz="4" w:space="0" w:color="0F6FC6"/>
          <w:left w:val="single" w:sz="4" w:space="0" w:color="0F6FC6"/>
          <w:bottom w:val="single" w:sz="4" w:space="0" w:color="0F6FC6"/>
          <w:right w:val="single" w:sz="4" w:space="0" w:color="0F6FC6"/>
          <w:insideH w:val="nil"/>
          <w:insideV w:val="nil"/>
        </w:tcBorders>
        <w:shd w:val="clear" w:color="auto" w:fill="0F6FC6"/>
      </w:tcPr>
    </w:tblStylePr>
    <w:tblStylePr w:type="lastRow">
      <w:rPr>
        <w:b/>
        <w:bCs/>
      </w:rPr>
      <w:tblPr/>
      <w:tcPr>
        <w:tcBorders>
          <w:top w:val="double" w:sz="4" w:space="0" w:color="0F6FC6"/>
        </w:tcBorders>
      </w:tcPr>
    </w:tblStylePr>
    <w:tblStylePr w:type="firstCol">
      <w:rPr>
        <w:b/>
        <w:bCs/>
      </w:rPr>
    </w:tblStylePr>
    <w:tblStylePr w:type="lastCol">
      <w:rPr>
        <w:b/>
        <w:bCs/>
      </w:rPr>
    </w:tblStylePr>
    <w:tblStylePr w:type="band1Vert">
      <w:tblPr/>
      <w:tcPr>
        <w:shd w:val="clear" w:color="auto" w:fill="C7E2FA"/>
      </w:tcPr>
    </w:tblStylePr>
    <w:tblStylePr w:type="band1Horz">
      <w:tblPr/>
      <w:tcPr>
        <w:shd w:val="clear" w:color="auto" w:fill="C7E2FA"/>
      </w:tcPr>
    </w:tblStylePr>
  </w:style>
  <w:style w:type="character" w:customStyle="1" w:styleId="TitleChar1">
    <w:name w:val="Title Char1"/>
    <w:basedOn w:val="DefaultParagraphFont"/>
    <w:uiPriority w:val="10"/>
    <w:rsid w:val="005A0277"/>
    <w:rPr>
      <w:rFonts w:ascii="Calibri Light" w:eastAsia="Times New Roman" w:hAnsi="Calibri Light" w:cs="Times New Roman"/>
      <w:spacing w:val="-10"/>
      <w:kern w:val="28"/>
      <w:sz w:val="56"/>
      <w:szCs w:val="56"/>
    </w:rPr>
  </w:style>
  <w:style w:type="character" w:customStyle="1" w:styleId="SubtitleChar1">
    <w:name w:val="Subtitle Char1"/>
    <w:basedOn w:val="DefaultParagraphFont"/>
    <w:uiPriority w:val="11"/>
    <w:rsid w:val="005A0277"/>
    <w:rPr>
      <w:rFonts w:eastAsia="Times New Roman"/>
      <w:color w:val="5A5A5A"/>
      <w:spacing w:val="15"/>
    </w:rPr>
  </w:style>
  <w:style w:type="character" w:customStyle="1" w:styleId="Heading1Char1">
    <w:name w:val="Heading 1 Char1"/>
    <w:basedOn w:val="DefaultParagraphFont"/>
    <w:uiPriority w:val="9"/>
    <w:rsid w:val="005A0277"/>
    <w:rPr>
      <w:rFonts w:ascii="Calibri Light" w:eastAsia="Times New Roman" w:hAnsi="Calibri Light" w:cs="Times New Roman"/>
      <w:color w:val="2E74B5"/>
      <w:sz w:val="32"/>
      <w:szCs w:val="32"/>
    </w:rPr>
  </w:style>
  <w:style w:type="character" w:customStyle="1" w:styleId="Heading2Char1">
    <w:name w:val="Heading 2 Char1"/>
    <w:basedOn w:val="DefaultParagraphFont"/>
    <w:uiPriority w:val="9"/>
    <w:semiHidden/>
    <w:rsid w:val="005A0277"/>
    <w:rPr>
      <w:rFonts w:ascii="Calibri Light" w:eastAsia="Times New Roman" w:hAnsi="Calibri Light" w:cs="Times New Roman"/>
      <w:color w:val="2E74B5"/>
      <w:sz w:val="26"/>
      <w:szCs w:val="26"/>
    </w:rPr>
  </w:style>
  <w:style w:type="character" w:customStyle="1" w:styleId="Heading3Char1">
    <w:name w:val="Heading 3 Char1"/>
    <w:basedOn w:val="DefaultParagraphFont"/>
    <w:uiPriority w:val="9"/>
    <w:semiHidden/>
    <w:rsid w:val="005A0277"/>
    <w:rPr>
      <w:rFonts w:ascii="Calibri Light" w:eastAsia="Times New Roman" w:hAnsi="Calibri Light" w:cs="Times New Roman"/>
      <w:color w:val="1F4D78"/>
      <w:sz w:val="24"/>
      <w:szCs w:val="24"/>
    </w:rPr>
  </w:style>
  <w:style w:type="character" w:customStyle="1" w:styleId="Heading4Char1">
    <w:name w:val="Heading 4 Char1"/>
    <w:basedOn w:val="DefaultParagraphFont"/>
    <w:uiPriority w:val="9"/>
    <w:semiHidden/>
    <w:rsid w:val="005A0277"/>
    <w:rPr>
      <w:rFonts w:ascii="Calibri Light" w:eastAsia="Times New Roman" w:hAnsi="Calibri Light" w:cs="Times New Roman"/>
      <w:i/>
      <w:iCs/>
      <w:color w:val="2E74B5"/>
    </w:rPr>
  </w:style>
  <w:style w:type="character" w:customStyle="1" w:styleId="Heading5Char1">
    <w:name w:val="Heading 5 Char1"/>
    <w:basedOn w:val="DefaultParagraphFont"/>
    <w:uiPriority w:val="9"/>
    <w:semiHidden/>
    <w:rsid w:val="005A0277"/>
    <w:rPr>
      <w:rFonts w:ascii="Calibri Light" w:eastAsia="Times New Roman" w:hAnsi="Calibri Light" w:cs="Times New Roman"/>
      <w:color w:val="2E74B5"/>
    </w:rPr>
  </w:style>
  <w:style w:type="character" w:customStyle="1" w:styleId="Heading6Char1">
    <w:name w:val="Heading 6 Char1"/>
    <w:basedOn w:val="DefaultParagraphFont"/>
    <w:uiPriority w:val="9"/>
    <w:semiHidden/>
    <w:rsid w:val="005A0277"/>
    <w:rPr>
      <w:rFonts w:ascii="Calibri Light" w:eastAsia="Times New Roman" w:hAnsi="Calibri Light" w:cs="Times New Roman"/>
      <w:color w:val="1F4D78"/>
    </w:rPr>
  </w:style>
  <w:style w:type="paragraph" w:customStyle="1" w:styleId="ColorfulList-Accent11">
    <w:name w:val="Colorful List - Accent 11"/>
    <w:basedOn w:val="Normal"/>
    <w:qFormat/>
    <w:rsid w:val="005A0277"/>
    <w:pPr>
      <w:spacing w:before="0" w:after="0" w:line="240" w:lineRule="auto"/>
      <w:ind w:left="720" w:right="0"/>
      <w:contextualSpacing/>
      <w:jc w:val="left"/>
    </w:pPr>
    <w:rPr>
      <w:rFonts w:ascii="Calibri" w:eastAsia="Calibri" w:hAnsi="Calibri" w:cs="Times New Roman"/>
      <w:noProof w:val="0"/>
    </w:rPr>
  </w:style>
  <w:style w:type="paragraph" w:customStyle="1" w:styleId="Heading71">
    <w:name w:val="Heading 71"/>
    <w:basedOn w:val="Normal"/>
    <w:next w:val="Normal"/>
    <w:uiPriority w:val="9"/>
    <w:semiHidden/>
    <w:unhideWhenUsed/>
    <w:qFormat/>
    <w:rsid w:val="005A0277"/>
    <w:pPr>
      <w:spacing w:before="280" w:after="0" w:line="360" w:lineRule="auto"/>
      <w:ind w:left="0" w:right="0"/>
      <w:jc w:val="left"/>
      <w:outlineLvl w:val="6"/>
    </w:pPr>
    <w:rPr>
      <w:rFonts w:ascii="Cambria" w:eastAsia="Times New Roman" w:hAnsi="Cambria" w:cs="Times New Roman"/>
      <w:b/>
      <w:bCs/>
      <w:i/>
      <w:iCs/>
      <w:noProof w:val="0"/>
      <w:sz w:val="20"/>
      <w:szCs w:val="20"/>
    </w:rPr>
  </w:style>
  <w:style w:type="paragraph" w:customStyle="1" w:styleId="Heading81">
    <w:name w:val="Heading 81"/>
    <w:basedOn w:val="Normal"/>
    <w:next w:val="Normal"/>
    <w:uiPriority w:val="9"/>
    <w:semiHidden/>
    <w:unhideWhenUsed/>
    <w:qFormat/>
    <w:rsid w:val="005A0277"/>
    <w:pPr>
      <w:spacing w:before="280" w:after="0" w:line="360" w:lineRule="auto"/>
      <w:ind w:left="0" w:right="0"/>
      <w:jc w:val="left"/>
      <w:outlineLvl w:val="7"/>
    </w:pPr>
    <w:rPr>
      <w:rFonts w:ascii="Cambria" w:eastAsia="Times New Roman" w:hAnsi="Cambria" w:cs="Times New Roman"/>
      <w:b/>
      <w:bCs/>
      <w:i/>
      <w:iCs/>
      <w:noProof w:val="0"/>
      <w:sz w:val="18"/>
      <w:szCs w:val="18"/>
    </w:rPr>
  </w:style>
  <w:style w:type="paragraph" w:customStyle="1" w:styleId="Heading91">
    <w:name w:val="Heading 91"/>
    <w:basedOn w:val="Normal"/>
    <w:next w:val="Normal"/>
    <w:uiPriority w:val="9"/>
    <w:semiHidden/>
    <w:unhideWhenUsed/>
    <w:qFormat/>
    <w:rsid w:val="005A0277"/>
    <w:pPr>
      <w:spacing w:before="280" w:after="0" w:line="360" w:lineRule="auto"/>
      <w:ind w:left="0" w:right="0"/>
      <w:jc w:val="left"/>
      <w:outlineLvl w:val="8"/>
    </w:pPr>
    <w:rPr>
      <w:rFonts w:ascii="Cambria" w:eastAsia="Times New Roman" w:hAnsi="Cambria" w:cs="Times New Roman"/>
      <w:i/>
      <w:iCs/>
      <w:noProof w:val="0"/>
      <w:sz w:val="18"/>
      <w:szCs w:val="18"/>
    </w:rPr>
  </w:style>
  <w:style w:type="numbering" w:customStyle="1" w:styleId="NoList2">
    <w:name w:val="No List2"/>
    <w:next w:val="NoList"/>
    <w:uiPriority w:val="99"/>
    <w:semiHidden/>
    <w:unhideWhenUsed/>
    <w:rsid w:val="005A0277"/>
  </w:style>
  <w:style w:type="table" w:customStyle="1" w:styleId="LightShading-Accent11">
    <w:name w:val="Light Shading - Accent 11"/>
    <w:basedOn w:val="TableNormal"/>
    <w:next w:val="LightShading-Accent1"/>
    <w:uiPriority w:val="60"/>
    <w:rsid w:val="005A0277"/>
    <w:pPr>
      <w:spacing w:before="100" w:after="100" w:line="480" w:lineRule="auto"/>
      <w:ind w:firstLine="360"/>
    </w:pPr>
    <w:rPr>
      <w:rFonts w:eastAsia="Times New Roman"/>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Quote1">
    <w:name w:val="Quote1"/>
    <w:basedOn w:val="Normal"/>
    <w:next w:val="Normal"/>
    <w:uiPriority w:val="29"/>
    <w:qFormat/>
    <w:rsid w:val="005A0277"/>
    <w:pPr>
      <w:spacing w:line="240" w:lineRule="auto"/>
      <w:ind w:left="0" w:right="0"/>
      <w:jc w:val="left"/>
    </w:pPr>
    <w:rPr>
      <w:rFonts w:eastAsia="Times New Roman"/>
      <w:noProof w:val="0"/>
      <w:color w:val="5A5A5A"/>
    </w:rPr>
  </w:style>
  <w:style w:type="paragraph" w:customStyle="1" w:styleId="IntenseQuote1">
    <w:name w:val="Intense Quote1"/>
    <w:basedOn w:val="Normal"/>
    <w:next w:val="Normal"/>
    <w:uiPriority w:val="30"/>
    <w:qFormat/>
    <w:rsid w:val="005A0277"/>
    <w:pPr>
      <w:spacing w:before="320" w:after="480" w:line="240" w:lineRule="auto"/>
      <w:ind w:left="720" w:right="720"/>
      <w:jc w:val="center"/>
    </w:pPr>
    <w:rPr>
      <w:rFonts w:ascii="Cambria" w:eastAsia="Times New Roman" w:hAnsi="Cambria" w:cs="Times New Roman"/>
      <w:i/>
      <w:iCs/>
      <w:noProof w:val="0"/>
      <w:sz w:val="20"/>
      <w:szCs w:val="20"/>
    </w:rPr>
  </w:style>
  <w:style w:type="character" w:customStyle="1" w:styleId="SubtleEmphasis1">
    <w:name w:val="Subtle Emphasis1"/>
    <w:uiPriority w:val="19"/>
    <w:qFormat/>
    <w:rsid w:val="005A0277"/>
    <w:rPr>
      <w:i/>
      <w:iCs/>
      <w:color w:val="5A5A5A"/>
    </w:rPr>
  </w:style>
  <w:style w:type="character" w:customStyle="1" w:styleId="BookTitle1">
    <w:name w:val="Book Title1"/>
    <w:uiPriority w:val="33"/>
    <w:qFormat/>
    <w:rsid w:val="005A0277"/>
    <w:rPr>
      <w:rFonts w:ascii="Cambria" w:eastAsia="Times New Roman" w:hAnsi="Cambria" w:cs="Times New Roman"/>
      <w:b/>
      <w:bCs/>
      <w:smallCaps/>
      <w:color w:val="auto"/>
      <w:u w:val="single"/>
    </w:rPr>
  </w:style>
  <w:style w:type="character" w:styleId="PageNumber">
    <w:name w:val="page number"/>
    <w:basedOn w:val="DefaultParagraphFont"/>
    <w:uiPriority w:val="99"/>
    <w:semiHidden/>
    <w:unhideWhenUsed/>
    <w:rsid w:val="005A0277"/>
  </w:style>
  <w:style w:type="paragraph" w:customStyle="1" w:styleId="CM13">
    <w:name w:val="CM13"/>
    <w:basedOn w:val="Normal"/>
    <w:next w:val="Normal"/>
    <w:uiPriority w:val="99"/>
    <w:rsid w:val="005A0277"/>
    <w:pPr>
      <w:widowControl w:val="0"/>
      <w:autoSpaceDE w:val="0"/>
      <w:autoSpaceDN w:val="0"/>
      <w:adjustRightInd w:val="0"/>
      <w:spacing w:before="0" w:after="0" w:line="240" w:lineRule="auto"/>
      <w:ind w:left="0" w:right="0"/>
      <w:jc w:val="left"/>
    </w:pPr>
    <w:rPr>
      <w:rFonts w:ascii="DINMittelschrift" w:eastAsia="Times New Roman" w:hAnsi="DINMittelschrift" w:cs="Times New Roman"/>
      <w:noProof w:val="0"/>
      <w:sz w:val="24"/>
      <w:szCs w:val="24"/>
    </w:rPr>
  </w:style>
  <w:style w:type="table" w:customStyle="1" w:styleId="LightShading-Accent12">
    <w:name w:val="Light Shading - Accent 12"/>
    <w:basedOn w:val="TableNormal"/>
    <w:next w:val="LightShading-Accent1"/>
    <w:uiPriority w:val="60"/>
    <w:rsid w:val="005A0277"/>
    <w:pPr>
      <w:spacing w:after="0" w:line="240" w:lineRule="auto"/>
    </w:pPr>
    <w:rPr>
      <w:color w:val="2E74B5"/>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character" w:customStyle="1" w:styleId="Heading7Char1">
    <w:name w:val="Heading 7 Char1"/>
    <w:basedOn w:val="DefaultParagraphFont"/>
    <w:uiPriority w:val="9"/>
    <w:semiHidden/>
    <w:rsid w:val="005A0277"/>
    <w:rPr>
      <w:rFonts w:ascii="Calibri Light" w:eastAsia="Times New Roman" w:hAnsi="Calibri Light" w:cs="Times New Roman"/>
      <w:i/>
      <w:iCs/>
      <w:color w:val="404040"/>
    </w:rPr>
  </w:style>
  <w:style w:type="character" w:customStyle="1" w:styleId="Heading8Char1">
    <w:name w:val="Heading 8 Char1"/>
    <w:basedOn w:val="DefaultParagraphFont"/>
    <w:uiPriority w:val="9"/>
    <w:semiHidden/>
    <w:rsid w:val="005A0277"/>
    <w:rPr>
      <w:rFonts w:ascii="Calibri Light" w:eastAsia="Times New Roman" w:hAnsi="Calibri Light" w:cs="Times New Roman"/>
      <w:color w:val="404040"/>
      <w:sz w:val="20"/>
      <w:szCs w:val="20"/>
    </w:rPr>
  </w:style>
  <w:style w:type="character" w:customStyle="1" w:styleId="Heading9Char1">
    <w:name w:val="Heading 9 Char1"/>
    <w:basedOn w:val="DefaultParagraphFont"/>
    <w:uiPriority w:val="9"/>
    <w:semiHidden/>
    <w:rsid w:val="005A0277"/>
    <w:rPr>
      <w:rFonts w:ascii="Calibri Light" w:eastAsia="Times New Roman" w:hAnsi="Calibri Light" w:cs="Times New Roman"/>
      <w:i/>
      <w:iCs/>
      <w:color w:val="404040"/>
      <w:sz w:val="20"/>
      <w:szCs w:val="20"/>
    </w:rPr>
  </w:style>
  <w:style w:type="character" w:customStyle="1" w:styleId="QuoteChar1">
    <w:name w:val="Quote Char1"/>
    <w:basedOn w:val="DefaultParagraphFont"/>
    <w:uiPriority w:val="29"/>
    <w:rsid w:val="005A0277"/>
    <w:rPr>
      <w:i/>
      <w:iCs/>
      <w:color w:val="000000"/>
    </w:rPr>
  </w:style>
  <w:style w:type="character" w:customStyle="1" w:styleId="IntenseQuoteChar1">
    <w:name w:val="Intense Quote Char1"/>
    <w:basedOn w:val="DefaultParagraphFont"/>
    <w:uiPriority w:val="30"/>
    <w:rsid w:val="005A0277"/>
    <w:rPr>
      <w:b/>
      <w:bCs/>
      <w:i/>
      <w:iCs/>
      <w:color w:val="5B9BD5"/>
    </w:rPr>
  </w:style>
  <w:style w:type="table" w:styleId="LightShading-Accent1">
    <w:name w:val="Light Shading Accent 1"/>
    <w:basedOn w:val="TableNormal"/>
    <w:uiPriority w:val="60"/>
    <w:rsid w:val="005A0277"/>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GridTable4-Accent112">
    <w:name w:val="Grid Table 4 - Accent 112"/>
    <w:basedOn w:val="TableNormal"/>
    <w:uiPriority w:val="49"/>
    <w:rsid w:val="005A0277"/>
    <w:pPr>
      <w:spacing w:after="0" w:line="240" w:lineRule="auto"/>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character" w:customStyle="1" w:styleId="UnresolvedMention2">
    <w:name w:val="Unresolved Mention2"/>
    <w:basedOn w:val="DefaultParagraphFont"/>
    <w:uiPriority w:val="99"/>
    <w:semiHidden/>
    <w:unhideWhenUsed/>
    <w:rsid w:val="006A1740"/>
    <w:rPr>
      <w:color w:val="808080"/>
      <w:shd w:val="clear" w:color="auto" w:fill="E6E6E6"/>
    </w:rPr>
  </w:style>
  <w:style w:type="character" w:customStyle="1" w:styleId="UnresolvedMention">
    <w:name w:val="Unresolved Mention"/>
    <w:basedOn w:val="DefaultParagraphFont"/>
    <w:uiPriority w:val="99"/>
    <w:semiHidden/>
    <w:unhideWhenUsed/>
    <w:rsid w:val="005B3F14"/>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687940">
      <w:bodyDiv w:val="1"/>
      <w:marLeft w:val="0"/>
      <w:marRight w:val="0"/>
      <w:marTop w:val="0"/>
      <w:marBottom w:val="0"/>
      <w:divBdr>
        <w:top w:val="none" w:sz="0" w:space="0" w:color="auto"/>
        <w:left w:val="none" w:sz="0" w:space="0" w:color="auto"/>
        <w:bottom w:val="none" w:sz="0" w:space="0" w:color="auto"/>
        <w:right w:val="none" w:sz="0" w:space="0" w:color="auto"/>
      </w:divBdr>
    </w:div>
    <w:div w:id="96758068">
      <w:bodyDiv w:val="1"/>
      <w:marLeft w:val="0"/>
      <w:marRight w:val="0"/>
      <w:marTop w:val="0"/>
      <w:marBottom w:val="0"/>
      <w:divBdr>
        <w:top w:val="none" w:sz="0" w:space="0" w:color="auto"/>
        <w:left w:val="none" w:sz="0" w:space="0" w:color="auto"/>
        <w:bottom w:val="none" w:sz="0" w:space="0" w:color="auto"/>
        <w:right w:val="none" w:sz="0" w:space="0" w:color="auto"/>
      </w:divBdr>
    </w:div>
    <w:div w:id="292563808">
      <w:bodyDiv w:val="1"/>
      <w:marLeft w:val="0"/>
      <w:marRight w:val="0"/>
      <w:marTop w:val="0"/>
      <w:marBottom w:val="0"/>
      <w:divBdr>
        <w:top w:val="none" w:sz="0" w:space="0" w:color="auto"/>
        <w:left w:val="none" w:sz="0" w:space="0" w:color="auto"/>
        <w:bottom w:val="none" w:sz="0" w:space="0" w:color="auto"/>
        <w:right w:val="none" w:sz="0" w:space="0" w:color="auto"/>
      </w:divBdr>
    </w:div>
    <w:div w:id="307058535">
      <w:bodyDiv w:val="1"/>
      <w:marLeft w:val="0"/>
      <w:marRight w:val="0"/>
      <w:marTop w:val="0"/>
      <w:marBottom w:val="0"/>
      <w:divBdr>
        <w:top w:val="none" w:sz="0" w:space="0" w:color="auto"/>
        <w:left w:val="none" w:sz="0" w:space="0" w:color="auto"/>
        <w:bottom w:val="none" w:sz="0" w:space="0" w:color="auto"/>
        <w:right w:val="none" w:sz="0" w:space="0" w:color="auto"/>
      </w:divBdr>
    </w:div>
    <w:div w:id="334193270">
      <w:bodyDiv w:val="1"/>
      <w:marLeft w:val="0"/>
      <w:marRight w:val="0"/>
      <w:marTop w:val="0"/>
      <w:marBottom w:val="0"/>
      <w:divBdr>
        <w:top w:val="none" w:sz="0" w:space="0" w:color="auto"/>
        <w:left w:val="none" w:sz="0" w:space="0" w:color="auto"/>
        <w:bottom w:val="none" w:sz="0" w:space="0" w:color="auto"/>
        <w:right w:val="none" w:sz="0" w:space="0" w:color="auto"/>
      </w:divBdr>
    </w:div>
    <w:div w:id="527643209">
      <w:bodyDiv w:val="1"/>
      <w:marLeft w:val="0"/>
      <w:marRight w:val="0"/>
      <w:marTop w:val="0"/>
      <w:marBottom w:val="0"/>
      <w:divBdr>
        <w:top w:val="none" w:sz="0" w:space="0" w:color="auto"/>
        <w:left w:val="none" w:sz="0" w:space="0" w:color="auto"/>
        <w:bottom w:val="none" w:sz="0" w:space="0" w:color="auto"/>
        <w:right w:val="none" w:sz="0" w:space="0" w:color="auto"/>
      </w:divBdr>
    </w:div>
    <w:div w:id="854076380">
      <w:bodyDiv w:val="1"/>
      <w:marLeft w:val="0"/>
      <w:marRight w:val="0"/>
      <w:marTop w:val="0"/>
      <w:marBottom w:val="0"/>
      <w:divBdr>
        <w:top w:val="none" w:sz="0" w:space="0" w:color="auto"/>
        <w:left w:val="none" w:sz="0" w:space="0" w:color="auto"/>
        <w:bottom w:val="none" w:sz="0" w:space="0" w:color="auto"/>
        <w:right w:val="none" w:sz="0" w:space="0" w:color="auto"/>
      </w:divBdr>
    </w:div>
    <w:div w:id="909390300">
      <w:bodyDiv w:val="1"/>
      <w:marLeft w:val="0"/>
      <w:marRight w:val="0"/>
      <w:marTop w:val="0"/>
      <w:marBottom w:val="0"/>
      <w:divBdr>
        <w:top w:val="none" w:sz="0" w:space="0" w:color="auto"/>
        <w:left w:val="none" w:sz="0" w:space="0" w:color="auto"/>
        <w:bottom w:val="none" w:sz="0" w:space="0" w:color="auto"/>
        <w:right w:val="none" w:sz="0" w:space="0" w:color="auto"/>
      </w:divBdr>
    </w:div>
    <w:div w:id="1045251880">
      <w:bodyDiv w:val="1"/>
      <w:marLeft w:val="0"/>
      <w:marRight w:val="0"/>
      <w:marTop w:val="0"/>
      <w:marBottom w:val="0"/>
      <w:divBdr>
        <w:top w:val="none" w:sz="0" w:space="0" w:color="auto"/>
        <w:left w:val="none" w:sz="0" w:space="0" w:color="auto"/>
        <w:bottom w:val="none" w:sz="0" w:space="0" w:color="auto"/>
        <w:right w:val="none" w:sz="0" w:space="0" w:color="auto"/>
      </w:divBdr>
    </w:div>
    <w:div w:id="1372413967">
      <w:bodyDiv w:val="1"/>
      <w:marLeft w:val="0"/>
      <w:marRight w:val="0"/>
      <w:marTop w:val="0"/>
      <w:marBottom w:val="0"/>
      <w:divBdr>
        <w:top w:val="none" w:sz="0" w:space="0" w:color="auto"/>
        <w:left w:val="none" w:sz="0" w:space="0" w:color="auto"/>
        <w:bottom w:val="none" w:sz="0" w:space="0" w:color="auto"/>
        <w:right w:val="none" w:sz="0" w:space="0" w:color="auto"/>
      </w:divBdr>
    </w:div>
    <w:div w:id="1398242743">
      <w:bodyDiv w:val="1"/>
      <w:marLeft w:val="0"/>
      <w:marRight w:val="0"/>
      <w:marTop w:val="0"/>
      <w:marBottom w:val="0"/>
      <w:divBdr>
        <w:top w:val="none" w:sz="0" w:space="0" w:color="auto"/>
        <w:left w:val="none" w:sz="0" w:space="0" w:color="auto"/>
        <w:bottom w:val="none" w:sz="0" w:space="0" w:color="auto"/>
        <w:right w:val="none" w:sz="0" w:space="0" w:color="auto"/>
      </w:divBdr>
    </w:div>
    <w:div w:id="1415128611">
      <w:bodyDiv w:val="1"/>
      <w:marLeft w:val="0"/>
      <w:marRight w:val="0"/>
      <w:marTop w:val="0"/>
      <w:marBottom w:val="0"/>
      <w:divBdr>
        <w:top w:val="none" w:sz="0" w:space="0" w:color="auto"/>
        <w:left w:val="none" w:sz="0" w:space="0" w:color="auto"/>
        <w:bottom w:val="none" w:sz="0" w:space="0" w:color="auto"/>
        <w:right w:val="none" w:sz="0" w:space="0" w:color="auto"/>
      </w:divBdr>
    </w:div>
    <w:div w:id="1420560347">
      <w:bodyDiv w:val="1"/>
      <w:marLeft w:val="0"/>
      <w:marRight w:val="0"/>
      <w:marTop w:val="0"/>
      <w:marBottom w:val="0"/>
      <w:divBdr>
        <w:top w:val="none" w:sz="0" w:space="0" w:color="auto"/>
        <w:left w:val="none" w:sz="0" w:space="0" w:color="auto"/>
        <w:bottom w:val="none" w:sz="0" w:space="0" w:color="auto"/>
        <w:right w:val="none" w:sz="0" w:space="0" w:color="auto"/>
      </w:divBdr>
    </w:div>
    <w:div w:id="1498837511">
      <w:bodyDiv w:val="1"/>
      <w:marLeft w:val="0"/>
      <w:marRight w:val="0"/>
      <w:marTop w:val="0"/>
      <w:marBottom w:val="0"/>
      <w:divBdr>
        <w:top w:val="none" w:sz="0" w:space="0" w:color="auto"/>
        <w:left w:val="none" w:sz="0" w:space="0" w:color="auto"/>
        <w:bottom w:val="none" w:sz="0" w:space="0" w:color="auto"/>
        <w:right w:val="none" w:sz="0" w:space="0" w:color="auto"/>
      </w:divBdr>
    </w:div>
    <w:div w:id="1575430149">
      <w:bodyDiv w:val="1"/>
      <w:marLeft w:val="0"/>
      <w:marRight w:val="0"/>
      <w:marTop w:val="0"/>
      <w:marBottom w:val="0"/>
      <w:divBdr>
        <w:top w:val="none" w:sz="0" w:space="0" w:color="auto"/>
        <w:left w:val="none" w:sz="0" w:space="0" w:color="auto"/>
        <w:bottom w:val="none" w:sz="0" w:space="0" w:color="auto"/>
        <w:right w:val="none" w:sz="0" w:space="0" w:color="auto"/>
      </w:divBdr>
    </w:div>
    <w:div w:id="1576937838">
      <w:bodyDiv w:val="1"/>
      <w:marLeft w:val="0"/>
      <w:marRight w:val="0"/>
      <w:marTop w:val="0"/>
      <w:marBottom w:val="0"/>
      <w:divBdr>
        <w:top w:val="none" w:sz="0" w:space="0" w:color="auto"/>
        <w:left w:val="none" w:sz="0" w:space="0" w:color="auto"/>
        <w:bottom w:val="none" w:sz="0" w:space="0" w:color="auto"/>
        <w:right w:val="none" w:sz="0" w:space="0" w:color="auto"/>
      </w:divBdr>
    </w:div>
    <w:div w:id="1601524420">
      <w:bodyDiv w:val="1"/>
      <w:marLeft w:val="0"/>
      <w:marRight w:val="0"/>
      <w:marTop w:val="0"/>
      <w:marBottom w:val="0"/>
      <w:divBdr>
        <w:top w:val="none" w:sz="0" w:space="0" w:color="auto"/>
        <w:left w:val="none" w:sz="0" w:space="0" w:color="auto"/>
        <w:bottom w:val="none" w:sz="0" w:space="0" w:color="auto"/>
        <w:right w:val="none" w:sz="0" w:space="0" w:color="auto"/>
      </w:divBdr>
    </w:div>
    <w:div w:id="1819152905">
      <w:bodyDiv w:val="1"/>
      <w:marLeft w:val="0"/>
      <w:marRight w:val="0"/>
      <w:marTop w:val="0"/>
      <w:marBottom w:val="0"/>
      <w:divBdr>
        <w:top w:val="none" w:sz="0" w:space="0" w:color="auto"/>
        <w:left w:val="none" w:sz="0" w:space="0" w:color="auto"/>
        <w:bottom w:val="none" w:sz="0" w:space="0" w:color="auto"/>
        <w:right w:val="none" w:sz="0" w:space="0" w:color="auto"/>
      </w:divBdr>
    </w:div>
    <w:div w:id="1898054132">
      <w:bodyDiv w:val="1"/>
      <w:marLeft w:val="0"/>
      <w:marRight w:val="0"/>
      <w:marTop w:val="0"/>
      <w:marBottom w:val="0"/>
      <w:divBdr>
        <w:top w:val="none" w:sz="0" w:space="0" w:color="auto"/>
        <w:left w:val="none" w:sz="0" w:space="0" w:color="auto"/>
        <w:bottom w:val="none" w:sz="0" w:space="0" w:color="auto"/>
        <w:right w:val="none" w:sz="0" w:space="0" w:color="auto"/>
      </w:divBdr>
    </w:div>
    <w:div w:id="1978685283">
      <w:bodyDiv w:val="1"/>
      <w:marLeft w:val="0"/>
      <w:marRight w:val="0"/>
      <w:marTop w:val="0"/>
      <w:marBottom w:val="0"/>
      <w:divBdr>
        <w:top w:val="none" w:sz="0" w:space="0" w:color="auto"/>
        <w:left w:val="none" w:sz="0" w:space="0" w:color="auto"/>
        <w:bottom w:val="none" w:sz="0" w:space="0" w:color="auto"/>
        <w:right w:val="none" w:sz="0" w:space="0" w:color="auto"/>
      </w:divBdr>
    </w:div>
    <w:div w:id="2117367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LAS@state.ma.us" TargetMode="External"/><Relationship Id="rId184" Type="http://schemas.openxmlformats.org/officeDocument/2006/relationships/image" Target="media/image6.svg"/><Relationship Id="rId189" Type="http://schemas.openxmlformats.org/officeDocument/2006/relationships/chart" Target="charts/chart5.xml"/><Relationship Id="rId192" Type="http://schemas.openxmlformats.org/officeDocument/2006/relationships/image" Target="media/image5.jpeg"/><Relationship Id="rId197" Type="http://schemas.openxmlformats.org/officeDocument/2006/relationships/image" Target="media/image8.jpg"/><Relationship Id="rId206" Type="http://schemas.openxmlformats.org/officeDocument/2006/relationships/hyperlink" Target="http://www.mass.gov/eohhs/gov/departments/dmh/" TargetMode="External"/><Relationship Id="rId3" Type="http://schemas.openxmlformats.org/officeDocument/2006/relationships/styles" Target="styles.xml"/><Relationship Id="rId188" Type="http://schemas.openxmlformats.org/officeDocument/2006/relationships/chart" Target="charts/chart4.xml"/><Relationship Id="rId201" Type="http://schemas.openxmlformats.org/officeDocument/2006/relationships/image" Target="media/image56.svg"/><Relationship Id="rId7" Type="http://schemas.openxmlformats.org/officeDocument/2006/relationships/footnotes" Target="footnotes.xml"/><Relationship Id="rId12" Type="http://schemas.openxmlformats.org/officeDocument/2006/relationships/hyperlink" Target="http://www.mass.gov/eohhs/docs/dph/health-equity/clas-agency-self-assessment.pdf" TargetMode="External"/><Relationship Id="rId183" Type="http://schemas.openxmlformats.org/officeDocument/2006/relationships/image" Target="media/image4.png"/><Relationship Id="rId191" Type="http://schemas.openxmlformats.org/officeDocument/2006/relationships/hyperlink" Target="http://www.bu.edu/regionalization/" TargetMode="External"/><Relationship Id="rId196" Type="http://schemas.openxmlformats.org/officeDocument/2006/relationships/chart" Target="charts/chart7.xml"/><Relationship Id="rId200" Type="http://schemas.openxmlformats.org/officeDocument/2006/relationships/image" Target="media/image10.png"/><Relationship Id="rId205" Type="http://schemas.openxmlformats.org/officeDocument/2006/relationships/hyperlink" Target="http://www.mass.gov/eopss/docs/mema/2017-afn-resource-guide.pdf" TargetMode="External"/><Relationship Id="rId2" Type="http://schemas.openxmlformats.org/officeDocument/2006/relationships/numbering" Target="numbering.xml"/><Relationship Id="rId16" Type="http://schemas.openxmlformats.org/officeDocument/2006/relationships/image" Target="media/image3.png"/><Relationship Id="rId182" Type="http://schemas.openxmlformats.org/officeDocument/2006/relationships/image" Target="media/image4.svg"/><Relationship Id="rId187" Type="http://schemas.openxmlformats.org/officeDocument/2006/relationships/chart" Target="charts/chart3.xml"/><Relationship Id="rId195" Type="http://schemas.openxmlformats.org/officeDocument/2006/relationships/image" Target="media/image7.jpeg"/><Relationship Id="rId20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190" Type="http://schemas.openxmlformats.org/officeDocument/2006/relationships/hyperlink" Target="http://www.phaboard.org/" TargetMode="External"/><Relationship Id="rId204" Type="http://schemas.openxmlformats.org/officeDocument/2006/relationships/image" Target="media/image11.jpeg"/><Relationship Id="rId5" Type="http://schemas.openxmlformats.org/officeDocument/2006/relationships/settings" Target="settings.xml"/><Relationship Id="rId15" Type="http://schemas.openxmlformats.org/officeDocument/2006/relationships/hyperlink" Target="http://www.mass.gov/eohhs/gov/departments/dph/programs/admin/health-equity/clas/making-clas-happen.html" TargetMode="External"/><Relationship Id="rId186" Type="http://schemas.openxmlformats.org/officeDocument/2006/relationships/chart" Target="charts/chart2.xml"/><Relationship Id="rId194" Type="http://schemas.openxmlformats.org/officeDocument/2006/relationships/image" Target="media/image6.jpeg"/><Relationship Id="rId199" Type="http://schemas.openxmlformats.org/officeDocument/2006/relationships/chart" Target="charts/chart8.xml"/><Relationship Id="rId203" Type="http://schemas.openxmlformats.org/officeDocument/2006/relationships/chart" Target="charts/chart10.xml"/><Relationship Id="rId208" Type="http://schemas.openxmlformats.org/officeDocument/2006/relationships/hyperlink" Target="http://namimass.org/" TargetMode="External"/><Relationship Id="rId10" Type="http://schemas.openxmlformats.org/officeDocument/2006/relationships/image" Target="media/image2.jpeg"/><Relationship Id="rId185" Type="http://schemas.openxmlformats.org/officeDocument/2006/relationships/chart" Target="charts/chart1.xml"/><Relationship Id="rId198" Type="http://schemas.openxmlformats.org/officeDocument/2006/relationships/image" Target="media/image9.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mass.gov/eohhs/gov/departments/dph/programs/admin/health-equity/clas/making-clas-happen.html" TargetMode="External"/><Relationship Id="rId193" Type="http://schemas.openxmlformats.org/officeDocument/2006/relationships/chart" Target="charts/chart6.xml"/><Relationship Id="rId202" Type="http://schemas.openxmlformats.org/officeDocument/2006/relationships/chart" Target="charts/chart9.xml"/><Relationship Id="rId207" Type="http://schemas.openxmlformats.org/officeDocument/2006/relationships/hyperlink" Target="http://www.mass.gov/ocabr/licensee/dpl-boards/mh/" TargetMode="External"/><Relationship Id="rId210" Type="http://schemas.openxmlformats.org/officeDocument/2006/relationships/theme" Target="theme/theme1.xml"/></Relationships>
</file>

<file path=word/_rels/endnotes.xml.rels><?xml version="1.0" encoding="UTF-8" standalone="yes"?>
<Relationships xmlns="http://schemas.openxmlformats.org/package/2006/relationships"><Relationship Id="rId8" Type="http://schemas.openxmlformats.org/officeDocument/2006/relationships/hyperlink" Target="https://sites.duke.edu/ihss/files/2011/12/Halpern_ResearchBrief.pdf" TargetMode="External"/><Relationship Id="rId3" Type="http://schemas.openxmlformats.org/officeDocument/2006/relationships/hyperlink" Target="https://www.healthypeople.gov/2020/topics-objectives/topic/Access-to-Health-Services" TargetMode="External"/><Relationship Id="rId7" Type="http://schemas.openxmlformats.org/officeDocument/2006/relationships/hyperlink" Target="http://www.mass.gov/eohhs/docs/dph/com-health/primary-care/massachusetts-health-professions-data-series-physicians-2014.pdf" TargetMode="External"/><Relationship Id="rId12" Type="http://schemas.openxmlformats.org/officeDocument/2006/relationships/hyperlink" Target="http://namimass.org/wp-content/uploads/AdvocacyDayPaper_singlepages_2FINAL.pdf" TargetMode="External"/><Relationship Id="rId2" Type="http://schemas.openxmlformats.org/officeDocument/2006/relationships/hyperlink" Target="http://www.kff.org/disparities-policy/issue-brief/beyond-health-care-the-role-of-social-determinants-in-promoting-health-and-health-equity/" TargetMode="External"/><Relationship Id="rId1" Type="http://schemas.openxmlformats.org/officeDocument/2006/relationships/hyperlink" Target="http://www.cdc.gov/nchs/products/databriefs/db245.htm" TargetMode="External"/><Relationship Id="rId6" Type="http://schemas.openxmlformats.org/officeDocument/2006/relationships/hyperlink" Target="http://www.massdac.org/wp-content/uploads/CABG-FY2014.pdf" TargetMode="External"/><Relationship Id="rId11" Type="http://schemas.openxmlformats.org/officeDocument/2006/relationships/hyperlink" Target="https://bluecrossmafoundation.org/sites/default/files/091029CBHReportForWeb.pdf" TargetMode="External"/><Relationship Id="rId5" Type="http://schemas.openxmlformats.org/officeDocument/2006/relationships/hyperlink" Target="https://www.cdc.gov/mmwr/preview/mmwrhtml/su6203a23.htm" TargetMode="External"/><Relationship Id="rId10" Type="http://schemas.openxmlformats.org/officeDocument/2006/relationships/hyperlink" Target="http://annapoliscoalition.org/wp-content/uploads/2013/11/action-plan-full-report.pdf" TargetMode="External"/><Relationship Id="rId4" Type="http://schemas.openxmlformats.org/officeDocument/2006/relationships/hyperlink" Target="http://www.mass.gov/eohhs/docs/dph/research-epi/disparity-report.pdf" TargetMode="External"/><Relationship Id="rId9" Type="http://schemas.openxmlformats.org/officeDocument/2006/relationships/hyperlink" Target="http://www.mass.gov/eohhs/gov/departments/dph/programs/community-health/prevention-and-wellness/comm-health-wkrs/chw-definitions.html" TargetMode="External"/></Relationships>
</file>

<file path=word/charts/_rels/chart1.xml.rels><?xml version="1.0" encoding="UTF-8" standalone="yes"?>
<Relationships xmlns="http://schemas.openxmlformats.org/package/2006/relationships"><Relationship Id="rId2" Type="http://schemas.openxmlformats.org/officeDocument/2006/relationships/oleObject" Target="file:///\\hria-fs\Berkeley\Common\Research&amp;Eval%20Dept\R&amp;E%20ACTIVE%20PROJECTS\MA%20SHA\SHA%20Report\Chapter%207\MA%20SHA_Chapter%207_Figures_9.22.17.xlsx" TargetMode="External"/><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oleObject" Target="file:///\\hria-fs\Berkeley\Common\Research&amp;Eval%20Dept\R&amp;E%20ACTIVE%20PROJECTS\MA%20SHA\SHA%20Report\Chapter%207\MA%20SHA_Chapter%207_Figures_9.22.17.xlsx" TargetMode="External"/><Relationship Id="rId1" Type="http://schemas.openxmlformats.org/officeDocument/2006/relationships/themeOverride" Target="../theme/themeOverride10.xml"/></Relationships>
</file>

<file path=word/charts/_rels/chart2.xml.rels><?xml version="1.0" encoding="UTF-8" standalone="yes"?>
<Relationships xmlns="http://schemas.openxmlformats.org/package/2006/relationships"><Relationship Id="rId2" Type="http://schemas.openxmlformats.org/officeDocument/2006/relationships/oleObject" Target="file:///\\hria-fs\Berkeley\Common\Research&amp;Eval%20Dept\R&amp;E%20ACTIVE%20PROJECTS\MA%20SHA\SHA%20Report\Chapter%207\MA%20SHA_Chapter%207_Figures_9.22.17.xlsx"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oleObject" Target="file:///\\hria-fs\Berkeley\Common\Research&amp;Eval%20Dept\R&amp;E%20ACTIVE%20PROJECTS\MA%20SHA\SHA%20Report\Chapter%207\MA%20SHA_Chapter%207_Figures_9.22.17.xlsx" TargetMode="External"/><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oleObject" Target="file:///\\hria-fs\Berkeley\Common\Research&amp;Eval%20Dept\R&amp;E%20ACTIVE%20PROJECTS\MA%20SHA\SHA%20Report\Chapter%207\MA%20SHA_Chapter%207_Figures_9.22.17.xlsx" TargetMode="External"/><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oleObject" Target="file:///\\hria-fs\Berkeley\Common\Research&amp;Eval%20Dept\R&amp;E%20ACTIVE%20PROJECTS\MA%20SHA\SHA%20Report\Chapter%207\MA%20SHA_Chapter%207_Figures_9.22.17.xlsx" TargetMode="External"/><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oleObject" Target="file:///\\hria-fs\Berkeley\Common\Research&amp;Eval%20Dept\R&amp;E%20ACTIVE%20PROJECTS\MA%20SHA\SHA%20Report\Chapter%207\MA%20SHA_Chapter%207_Figures_9.22.17.xlsx" TargetMode="External"/><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oleObject" Target="file:///\\hria-fs\Berkeley\Common\Research&amp;Eval%20Dept\R&amp;E%20ACTIVE%20PROJECTS\MA%20SHA\SHA%20Report\Chapter%207\MA%20SHA_Chapter%207_Figures_9.22.17.xlsx" TargetMode="External"/><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oleObject" Target="file:///\\hria-fs\Berkeley\Common\Research&amp;Eval%20Dept\R&amp;E%20ACTIVE%20PROJECTS\MA%20SHA\SHA%20Report\Chapter%207\MA%20SHA_Chapter%207_Figures_9.22.17.xlsx" TargetMode="External"/><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2" Type="http://schemas.openxmlformats.org/officeDocument/2006/relationships/oleObject" Target="file:///\\hria-fs\Berkeley\Common\Research&amp;Eval%20Dept\R&amp;E%20ACTIVE%20PROJECTS\MA%20SHA\SHA%20Report\Chapter%207\MA%20SHA_Chapter%207_Figures_9.22.17.xlsx" TargetMode="External"/><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7332239720035"/>
          <c:y val="5.5363321799308002E-2"/>
          <c:w val="0.77626093613298297"/>
          <c:h val="0.76389909594633998"/>
        </c:manualLayout>
      </c:layout>
      <c:barChart>
        <c:barDir val="bar"/>
        <c:grouping val="clustered"/>
        <c:varyColors val="0"/>
        <c:ser>
          <c:idx val="0"/>
          <c:order val="0"/>
          <c:tx>
            <c:strRef>
              <c:f>'Figure 7.4'!$D$6</c:f>
              <c:strCache>
                <c:ptCount val="1"/>
                <c:pt idx="0">
                  <c:v>Percentage</c:v>
                </c:pt>
              </c:strCache>
            </c:strRef>
          </c:tx>
          <c:spPr>
            <a:solidFill>
              <a:srgbClr val="203864"/>
            </a:solidFill>
          </c:spPr>
          <c:invertIfNegative val="0"/>
          <c:dLbls>
            <c:spPr>
              <a:noFill/>
              <a:ln>
                <a:noFill/>
              </a:ln>
              <a:effectLst/>
            </c:spPr>
            <c:txPr>
              <a:bodyPr wrap="square" lIns="38100" tIns="19050" rIns="38100" bIns="19050" anchor="ctr">
                <a:spAutoFit/>
              </a:bodyPr>
              <a:lstStyle/>
              <a:p>
                <a:pPr>
                  <a:defRPr sz="1050">
                    <a:solidFill>
                      <a:schemeClr val="bg1"/>
                    </a:solidFill>
                  </a:defRPr>
                </a:pPr>
                <a:endParaRPr lang="en-US"/>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'Figure 7.4'!$C$7:$C$9</c:f>
              <c:strCache>
                <c:ptCount val="3"/>
                <c:pt idx="0">
                  <c:v>0-19</c:v>
                </c:pt>
                <c:pt idx="1">
                  <c:v>20-64</c:v>
                </c:pt>
                <c:pt idx="2">
                  <c:v>65+</c:v>
                </c:pt>
              </c:strCache>
            </c:strRef>
          </c:cat>
          <c:val>
            <c:numRef>
              <c:f>'Figure 7.4'!$D$7:$D$9</c:f>
              <c:numCache>
                <c:formatCode>General</c:formatCode>
                <c:ptCount val="3"/>
                <c:pt idx="0">
                  <c:v>15</c:v>
                </c:pt>
                <c:pt idx="1">
                  <c:v>48</c:v>
                </c:pt>
                <c:pt idx="2">
                  <c:v>37</c:v>
                </c:pt>
              </c:numCache>
            </c:numRef>
          </c:val>
          <c:extLst xmlns:c16r2="http://schemas.microsoft.com/office/drawing/2015/06/chart">
            <c:ext xmlns:c16="http://schemas.microsoft.com/office/drawing/2014/chart" uri="{C3380CC4-5D6E-409C-BE32-E72D297353CC}">
              <c16:uniqueId val="{00000000-C1E9-4D49-8827-84DBD34F6391}"/>
            </c:ext>
          </c:extLst>
        </c:ser>
        <c:dLbls>
          <c:showLegendKey val="0"/>
          <c:showVal val="0"/>
          <c:showCatName val="0"/>
          <c:showSerName val="0"/>
          <c:showPercent val="0"/>
          <c:showBubbleSize val="0"/>
        </c:dLbls>
        <c:gapWidth val="108"/>
        <c:overlap val="-16"/>
        <c:axId val="129129088"/>
        <c:axId val="129131264"/>
      </c:barChart>
      <c:catAx>
        <c:axId val="129129088"/>
        <c:scaling>
          <c:orientation val="maxMin"/>
        </c:scaling>
        <c:delete val="0"/>
        <c:axPos val="l"/>
        <c:title>
          <c:tx>
            <c:rich>
              <a:bodyPr/>
              <a:lstStyle/>
              <a:p>
                <a:pPr>
                  <a:defRPr b="1"/>
                </a:pPr>
                <a:r>
                  <a:rPr lang="en-US" b="1"/>
                  <a:t>Age</a:t>
                </a:r>
              </a:p>
            </c:rich>
          </c:tx>
          <c:layout>
            <c:manualLayout>
              <c:xMode val="edge"/>
              <c:yMode val="edge"/>
              <c:x val="5.7644356955380569E-3"/>
              <c:y val="0.38676873724117816"/>
            </c:manualLayout>
          </c:layout>
          <c:overlay val="0"/>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en-US"/>
          </a:p>
        </c:txPr>
        <c:crossAx val="129131264"/>
        <c:crosses val="autoZero"/>
        <c:auto val="1"/>
        <c:lblAlgn val="ctr"/>
        <c:lblOffset val="100"/>
        <c:noMultiLvlLbl val="0"/>
      </c:catAx>
      <c:valAx>
        <c:axId val="129131264"/>
        <c:scaling>
          <c:orientation val="minMax"/>
        </c:scaling>
        <c:delete val="0"/>
        <c:axPos val="b"/>
        <c:majorGridlines>
          <c:spPr>
            <a:ln w="9525" cap="flat" cmpd="sng" algn="ctr">
              <a:noFill/>
              <a:round/>
            </a:ln>
            <a:effectLst/>
          </c:spPr>
        </c:majorGridlines>
        <c:title>
          <c:tx>
            <c:rich>
              <a:bodyPr rot="0" vert="horz"/>
              <a:lstStyle/>
              <a:p>
                <a:pPr algn="ctr" rtl="0">
                  <a:defRPr b="1"/>
                </a:pPr>
                <a:r>
                  <a:rPr lang="en-US" b="1"/>
                  <a:t>Percent of Population</a:t>
                </a:r>
              </a:p>
            </c:rich>
          </c:tx>
          <c:layout>
            <c:manualLayout>
              <c:xMode val="edge"/>
              <c:yMode val="edge"/>
              <c:x val="0.44340879265091898"/>
              <c:y val="0.91665390784485301"/>
            </c:manualLayout>
          </c:layout>
          <c:overlay val="0"/>
          <c:spPr>
            <a:noFill/>
            <a:ln>
              <a:noFill/>
            </a:ln>
            <a:effectLst/>
          </c:spPr>
        </c:title>
        <c:numFmt formatCode="#,##0" sourceLinked="0"/>
        <c:majorTickMark val="none"/>
        <c:minorTickMark val="none"/>
        <c:tickLblPos val="nextTo"/>
        <c:spPr>
          <a:noFill/>
          <a:ln>
            <a:noFill/>
          </a:ln>
          <a:effectLst/>
        </c:spPr>
        <c:txPr>
          <a:bodyPr rot="-60000000" vert="horz"/>
          <a:lstStyle/>
          <a:p>
            <a:pPr>
              <a:defRPr/>
            </a:pPr>
            <a:endParaRPr lang="en-US"/>
          </a:p>
        </c:txPr>
        <c:crossAx val="129129088"/>
        <c:crosses val="max"/>
        <c:crossBetween val="between"/>
        <c:minorUnit val="0.01"/>
      </c:valAx>
      <c:spPr>
        <a:noFill/>
        <a:ln>
          <a:solidFill>
            <a:sysClr val="window" lastClr="FFFFFF"/>
          </a:solidFill>
        </a:ln>
        <a:effectLst/>
      </c:spPr>
    </c:plotArea>
    <c:plotVisOnly val="1"/>
    <c:dispBlanksAs val="gap"/>
    <c:showDLblsOverMax val="0"/>
  </c:chart>
  <c:spPr>
    <a:solidFill>
      <a:schemeClr val="bg1"/>
    </a:solidFill>
    <a:ln w="9525" cap="flat" cmpd="sng" algn="ctr">
      <a:noFill/>
      <a:round/>
    </a:ln>
    <a:effectLst/>
  </c:spPr>
  <c:txPr>
    <a:bodyPr/>
    <a:lstStyle/>
    <a:p>
      <a:pPr>
        <a:defRPr sz="1000" b="0">
          <a:solidFill>
            <a:sysClr val="windowText" lastClr="000000"/>
          </a:solidFill>
          <a:latin typeface="+mn-lt"/>
        </a:defRPr>
      </a:pPr>
      <a:endParaRPr lang="en-US"/>
    </a:p>
  </c:tx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'Figure 7.21'!$B$1</c:f>
              <c:strCache>
                <c:ptCount val="1"/>
                <c:pt idx="0">
                  <c:v>Percent</c:v>
                </c:pt>
              </c:strCache>
            </c:strRef>
          </c:tx>
          <c:spPr>
            <a:solidFill>
              <a:srgbClr val="203864">
                <a:alpha val="92000"/>
              </a:srgbClr>
            </a:solidFill>
            <a:ln>
              <a:noFill/>
            </a:ln>
            <a:effectLst/>
          </c:spPr>
          <c:invertIfNegative val="0"/>
          <c:dLbls>
            <c:spPr>
              <a:noFill/>
              <a:ln>
                <a:noFill/>
              </a:ln>
              <a:effectLst/>
            </c:spPr>
            <c:txPr>
              <a:bodyPr rot="0" spcFirstLastPara="1" vertOverflow="ellipsis" vert="horz" wrap="square" anchor="ctr" anchorCtr="1"/>
              <a:lstStyle/>
              <a:p>
                <a:pPr>
                  <a:defRPr sz="1050" b="0" i="0" u="none" strike="noStrike" kern="1200" baseline="0">
                    <a:solidFill>
                      <a:schemeClr val="bg1"/>
                    </a:solidFill>
                    <a:latin typeface="+mn-lt"/>
                    <a:ea typeface="+mn-ea"/>
                    <a:cs typeface="+mn-cs"/>
                  </a:defRPr>
                </a:pPr>
                <a:endParaRPr lang="en-US"/>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'Figure 7.21'!$A$2:$A$15</c:f>
              <c:strCache>
                <c:ptCount val="14"/>
                <c:pt idx="0">
                  <c:v>None of the above</c:v>
                </c:pt>
                <c:pt idx="1">
                  <c:v>Other special populations</c:v>
                </c:pt>
                <c:pt idx="2">
                  <c:v>Farm workers</c:v>
                </c:pt>
                <c:pt idx="3">
                  <c:v>Isolated rural residents</c:v>
                </c:pt>
                <c:pt idx="4">
                  <c:v>Pregnant women and infants</c:v>
                </c:pt>
                <c:pt idx="5">
                  <c:v>Sexual minorities (i.e., LGBTQ)</c:v>
                </c:pt>
                <c:pt idx="6">
                  <c:v>History of frequent ED use</c:v>
                </c:pt>
                <c:pt idx="7">
                  <c:v>Uninsured individuals</c:v>
                </c:pt>
                <c:pt idx="8">
                  <c:v>Children/adolescents</c:v>
                </c:pt>
                <c:pt idx="9">
                  <c:v>History of frequent hospitalization</c:v>
                </c:pt>
                <c:pt idx="10">
                  <c:v>Individuals without a PCP</c:v>
                </c:pt>
                <c:pt idx="11">
                  <c:v>Foreign nationals/immigrants/refugees</c:v>
                </c:pt>
                <c:pt idx="12">
                  <c:v>Seniors (ages 65 and up)</c:v>
                </c:pt>
                <c:pt idx="13">
                  <c:v>Homeless individuals</c:v>
                </c:pt>
              </c:strCache>
            </c:strRef>
          </c:cat>
          <c:val>
            <c:numRef>
              <c:f>'Figure 7.21'!$B$2:$B$15</c:f>
              <c:numCache>
                <c:formatCode>General</c:formatCode>
                <c:ptCount val="14"/>
                <c:pt idx="0">
                  <c:v>3</c:v>
                </c:pt>
                <c:pt idx="1">
                  <c:v>21</c:v>
                </c:pt>
                <c:pt idx="2">
                  <c:v>3</c:v>
                </c:pt>
                <c:pt idx="3">
                  <c:v>10</c:v>
                </c:pt>
                <c:pt idx="4">
                  <c:v>25</c:v>
                </c:pt>
                <c:pt idx="5">
                  <c:v>25</c:v>
                </c:pt>
                <c:pt idx="6">
                  <c:v>29</c:v>
                </c:pt>
                <c:pt idx="7">
                  <c:v>32</c:v>
                </c:pt>
                <c:pt idx="8">
                  <c:v>36</c:v>
                </c:pt>
                <c:pt idx="9">
                  <c:v>37</c:v>
                </c:pt>
                <c:pt idx="10">
                  <c:v>38</c:v>
                </c:pt>
                <c:pt idx="11">
                  <c:v>38</c:v>
                </c:pt>
                <c:pt idx="12">
                  <c:v>44</c:v>
                </c:pt>
                <c:pt idx="13">
                  <c:v>54</c:v>
                </c:pt>
              </c:numCache>
            </c:numRef>
          </c:val>
          <c:extLst xmlns:c16r2="http://schemas.microsoft.com/office/drawing/2015/06/chart">
            <c:ext xmlns:c16="http://schemas.microsoft.com/office/drawing/2014/chart" uri="{C3380CC4-5D6E-409C-BE32-E72D297353CC}">
              <c16:uniqueId val="{00000000-6D30-49BE-8A4C-8CACBD7BCFD6}"/>
            </c:ext>
          </c:extLst>
        </c:ser>
        <c:dLbls>
          <c:showLegendKey val="0"/>
          <c:showVal val="0"/>
          <c:showCatName val="0"/>
          <c:showSerName val="0"/>
          <c:showPercent val="0"/>
          <c:showBubbleSize val="0"/>
        </c:dLbls>
        <c:gapWidth val="108"/>
        <c:overlap val="-16"/>
        <c:axId val="131490944"/>
        <c:axId val="131492480"/>
      </c:barChart>
      <c:catAx>
        <c:axId val="13149094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crossAx val="131492480"/>
        <c:crosses val="autoZero"/>
        <c:auto val="1"/>
        <c:lblAlgn val="ctr"/>
        <c:lblOffset val="100"/>
        <c:noMultiLvlLbl val="0"/>
      </c:catAx>
      <c:valAx>
        <c:axId val="131492480"/>
        <c:scaling>
          <c:orientation val="minMax"/>
        </c:scaling>
        <c:delete val="1"/>
        <c:axPos val="b"/>
        <c:title>
          <c:tx>
            <c:rich>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b="1"/>
                  <a:t>Percent</a:t>
                </a:r>
              </a:p>
            </c:rich>
          </c:tx>
          <c:overlay val="0"/>
          <c:spPr>
            <a:noFill/>
            <a:ln>
              <a:noFill/>
            </a:ln>
            <a:effectLst/>
          </c:spPr>
        </c:title>
        <c:numFmt formatCode="General" sourceLinked="1"/>
        <c:majorTickMark val="none"/>
        <c:minorTickMark val="none"/>
        <c:tickLblPos val="nextTo"/>
        <c:crossAx val="13149094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bg1"/>
      </a:solidFill>
      <a:round/>
    </a:ln>
    <a:effectLst/>
  </c:spPr>
  <c:txPr>
    <a:bodyPr/>
    <a:lstStyle/>
    <a:p>
      <a:pPr>
        <a:defRPr sz="1000">
          <a:solidFill>
            <a:sysClr val="windowText" lastClr="000000"/>
          </a:solidFill>
          <a:latin typeface="+mn-lt"/>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7332239720035"/>
          <c:y val="5.5363321799308002E-2"/>
          <c:w val="0.77626093613298297"/>
          <c:h val="0.76389909594633998"/>
        </c:manualLayout>
      </c:layout>
      <c:barChart>
        <c:barDir val="bar"/>
        <c:grouping val="clustered"/>
        <c:varyColors val="0"/>
        <c:ser>
          <c:idx val="0"/>
          <c:order val="0"/>
          <c:tx>
            <c:strRef>
              <c:f>'Figure 7.5'!$C$3</c:f>
              <c:strCache>
                <c:ptCount val="1"/>
                <c:pt idx="0">
                  <c:v>Percentage</c:v>
                </c:pt>
              </c:strCache>
            </c:strRef>
          </c:tx>
          <c:spPr>
            <a:solidFill>
              <a:srgbClr val="203864"/>
            </a:solidFill>
          </c:spPr>
          <c:invertIfNegative val="0"/>
          <c:dLbls>
            <c:spPr>
              <a:noFill/>
              <a:ln>
                <a:noFill/>
              </a:ln>
              <a:effectLst/>
            </c:spPr>
            <c:txPr>
              <a:bodyPr wrap="square" lIns="38100" tIns="19050" rIns="38100" bIns="19050" anchor="ctr">
                <a:spAutoFit/>
              </a:bodyPr>
              <a:lstStyle/>
              <a:p>
                <a:pPr>
                  <a:defRPr sz="1050">
                    <a:solidFill>
                      <a:schemeClr val="bg1"/>
                    </a:solidFill>
                  </a:defRPr>
                </a:pPr>
                <a:endParaRPr lang="en-US"/>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'Figure 7.5'!$B$4:$B$6</c:f>
              <c:strCache>
                <c:ptCount val="3"/>
                <c:pt idx="0">
                  <c:v>0-19</c:v>
                </c:pt>
                <c:pt idx="1">
                  <c:v>20-64</c:v>
                </c:pt>
                <c:pt idx="2">
                  <c:v>65+</c:v>
                </c:pt>
              </c:strCache>
            </c:strRef>
          </c:cat>
          <c:val>
            <c:numRef>
              <c:f>'Figure 7.5'!$C$4:$C$6</c:f>
              <c:numCache>
                <c:formatCode>General</c:formatCode>
                <c:ptCount val="3"/>
                <c:pt idx="0">
                  <c:v>23</c:v>
                </c:pt>
                <c:pt idx="1">
                  <c:v>65</c:v>
                </c:pt>
                <c:pt idx="2">
                  <c:v>13</c:v>
                </c:pt>
              </c:numCache>
            </c:numRef>
          </c:val>
          <c:extLst xmlns:c16r2="http://schemas.microsoft.com/office/drawing/2015/06/chart">
            <c:ext xmlns:c16="http://schemas.microsoft.com/office/drawing/2014/chart" uri="{C3380CC4-5D6E-409C-BE32-E72D297353CC}">
              <c16:uniqueId val="{00000000-B468-472C-A410-E06B6DECBDC5}"/>
            </c:ext>
          </c:extLst>
        </c:ser>
        <c:dLbls>
          <c:showLegendKey val="0"/>
          <c:showVal val="0"/>
          <c:showCatName val="0"/>
          <c:showSerName val="0"/>
          <c:showPercent val="0"/>
          <c:showBubbleSize val="0"/>
        </c:dLbls>
        <c:gapWidth val="108"/>
        <c:overlap val="-16"/>
        <c:axId val="129156992"/>
        <c:axId val="129171456"/>
      </c:barChart>
      <c:catAx>
        <c:axId val="129156992"/>
        <c:scaling>
          <c:orientation val="maxMin"/>
        </c:scaling>
        <c:delete val="0"/>
        <c:axPos val="l"/>
        <c:title>
          <c:tx>
            <c:rich>
              <a:bodyPr/>
              <a:lstStyle/>
              <a:p>
                <a:pPr>
                  <a:defRPr b="1"/>
                </a:pPr>
                <a:r>
                  <a:rPr lang="en-US" b="1"/>
                  <a:t>Age</a:t>
                </a:r>
              </a:p>
            </c:rich>
          </c:tx>
          <c:layout>
            <c:manualLayout>
              <c:xMode val="edge"/>
              <c:yMode val="edge"/>
              <c:x val="2.9866579177602786E-3"/>
              <c:y val="0.38676873724117816"/>
            </c:manualLayout>
          </c:layout>
          <c:overlay val="0"/>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en-US"/>
          </a:p>
        </c:txPr>
        <c:crossAx val="129171456"/>
        <c:crosses val="autoZero"/>
        <c:auto val="1"/>
        <c:lblAlgn val="ctr"/>
        <c:lblOffset val="100"/>
        <c:noMultiLvlLbl val="0"/>
      </c:catAx>
      <c:valAx>
        <c:axId val="129171456"/>
        <c:scaling>
          <c:orientation val="minMax"/>
        </c:scaling>
        <c:delete val="0"/>
        <c:axPos val="b"/>
        <c:majorGridlines>
          <c:spPr>
            <a:ln w="9525" cap="flat" cmpd="sng" algn="ctr">
              <a:noFill/>
              <a:round/>
            </a:ln>
            <a:effectLst/>
          </c:spPr>
        </c:majorGridlines>
        <c:title>
          <c:tx>
            <c:rich>
              <a:bodyPr rot="0" vert="horz"/>
              <a:lstStyle/>
              <a:p>
                <a:pPr algn="ctr" rtl="0">
                  <a:defRPr b="1"/>
                </a:pPr>
                <a:r>
                  <a:rPr lang="en-US" b="1"/>
                  <a:t>Percent of Population</a:t>
                </a:r>
              </a:p>
            </c:rich>
          </c:tx>
          <c:layout>
            <c:manualLayout>
              <c:xMode val="edge"/>
              <c:yMode val="edge"/>
              <c:x val="0.44340879265091898"/>
              <c:y val="0.91665390784485301"/>
            </c:manualLayout>
          </c:layout>
          <c:overlay val="0"/>
          <c:spPr>
            <a:noFill/>
            <a:ln>
              <a:noFill/>
            </a:ln>
            <a:effectLst/>
          </c:spPr>
        </c:title>
        <c:numFmt formatCode="#,##0" sourceLinked="0"/>
        <c:majorTickMark val="none"/>
        <c:minorTickMark val="none"/>
        <c:tickLblPos val="nextTo"/>
        <c:spPr>
          <a:noFill/>
          <a:ln>
            <a:noFill/>
          </a:ln>
          <a:effectLst/>
        </c:spPr>
        <c:txPr>
          <a:bodyPr rot="-60000000" vert="horz"/>
          <a:lstStyle/>
          <a:p>
            <a:pPr>
              <a:defRPr/>
            </a:pPr>
            <a:endParaRPr lang="en-US"/>
          </a:p>
        </c:txPr>
        <c:crossAx val="129156992"/>
        <c:crosses val="max"/>
        <c:crossBetween val="between"/>
        <c:minorUnit val="0.01"/>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1000" b="0">
          <a:solidFill>
            <a:sysClr val="windowText" lastClr="000000"/>
          </a:solidFill>
          <a:latin typeface="+mn-lt"/>
        </a:defRPr>
      </a:pPr>
      <a:endParaRPr lang="en-U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4193523207368597"/>
          <c:y val="8.0493833818717872E-2"/>
          <c:w val="0.83823824995853213"/>
          <c:h val="0.7936405637651458"/>
        </c:manualLayout>
      </c:layout>
      <c:barChart>
        <c:barDir val="col"/>
        <c:grouping val="clustered"/>
        <c:varyColors val="0"/>
        <c:ser>
          <c:idx val="0"/>
          <c:order val="0"/>
          <c:tx>
            <c:strRef>
              <c:f>'Figure 7.6'!$D$2</c:f>
              <c:strCache>
                <c:ptCount val="1"/>
                <c:pt idx="0">
                  <c:v>Percentage</c:v>
                </c:pt>
              </c:strCache>
            </c:strRef>
          </c:tx>
          <c:spPr>
            <a:solidFill>
              <a:srgbClr val="203864"/>
            </a:solidFill>
          </c:spPr>
          <c:invertIfNegative val="0"/>
          <c:dPt>
            <c:idx val="1"/>
            <c:invertIfNegative val="0"/>
            <c:bubble3D val="0"/>
            <c:spPr>
              <a:pattFill prst="dkUpDiag">
                <a:fgClr>
                  <a:srgbClr val="6BAED6"/>
                </a:fgClr>
                <a:bgClr>
                  <a:sysClr val="window" lastClr="FFFFFF"/>
                </a:bgClr>
              </a:pattFill>
            </c:spPr>
            <c:extLst xmlns:c16r2="http://schemas.microsoft.com/office/drawing/2015/06/chart">
              <c:ext xmlns:c16="http://schemas.microsoft.com/office/drawing/2014/chart" uri="{C3380CC4-5D6E-409C-BE32-E72D297353CC}">
                <c16:uniqueId val="{00000001-2E53-414B-8BFE-742256E57A06}"/>
              </c:ext>
            </c:extLst>
          </c:dPt>
          <c:dPt>
            <c:idx val="2"/>
            <c:invertIfNegative val="0"/>
            <c:bubble3D val="0"/>
            <c:spPr>
              <a:solidFill>
                <a:srgbClr val="3182BD"/>
              </a:solidFill>
            </c:spPr>
            <c:extLst xmlns:c16r2="http://schemas.microsoft.com/office/drawing/2015/06/chart">
              <c:ext xmlns:c16="http://schemas.microsoft.com/office/drawing/2014/chart" uri="{C3380CC4-5D6E-409C-BE32-E72D297353CC}">
                <c16:uniqueId val="{00000002-2E53-414B-8BFE-742256E57A06}"/>
              </c:ext>
            </c:extLst>
          </c:dPt>
          <c:dPt>
            <c:idx val="3"/>
            <c:invertIfNegative val="0"/>
            <c:bubble3D val="0"/>
            <c:spPr>
              <a:pattFill prst="dkDnDiag">
                <a:fgClr>
                  <a:srgbClr val="3182BD"/>
                </a:fgClr>
                <a:bgClr>
                  <a:sysClr val="window" lastClr="FFFFFF"/>
                </a:bgClr>
              </a:pattFill>
            </c:spPr>
            <c:extLst xmlns:c16r2="http://schemas.microsoft.com/office/drawing/2015/06/chart">
              <c:ext xmlns:c16="http://schemas.microsoft.com/office/drawing/2014/chart" uri="{C3380CC4-5D6E-409C-BE32-E72D297353CC}">
                <c16:uniqueId val="{00000003-2E53-414B-8BFE-742256E57A06}"/>
              </c:ext>
            </c:extLst>
          </c:dPt>
          <c:dPt>
            <c:idx val="4"/>
            <c:invertIfNegative val="0"/>
            <c:bubble3D val="0"/>
            <c:spPr>
              <a:solidFill>
                <a:srgbClr val="9ECAE1"/>
              </a:solidFill>
            </c:spPr>
            <c:extLst xmlns:c16r2="http://schemas.microsoft.com/office/drawing/2015/06/chart">
              <c:ext xmlns:c16="http://schemas.microsoft.com/office/drawing/2014/chart" uri="{C3380CC4-5D6E-409C-BE32-E72D297353CC}">
                <c16:uniqueId val="{00000004-2E53-414B-8BFE-742256E57A06}"/>
              </c:ext>
            </c:extLst>
          </c:dPt>
          <c:dLbls>
            <c:spPr>
              <a:noFill/>
              <a:ln>
                <a:noFill/>
              </a:ln>
              <a:effectLst/>
            </c:spPr>
            <c:txPr>
              <a:bodyPr wrap="square" lIns="38100" tIns="19050" rIns="38100" bIns="19050" anchor="ctr">
                <a:spAutoFit/>
              </a:bodyPr>
              <a:lstStyle/>
              <a:p>
                <a:pPr>
                  <a:defRPr sz="1050"/>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'Figure 7.6'!$C$3:$C$7</c:f>
              <c:strCache>
                <c:ptCount val="5"/>
                <c:pt idx="0">
                  <c:v>CommCare</c:v>
                </c:pt>
                <c:pt idx="1">
                  <c:v>Commercial</c:v>
                </c:pt>
                <c:pt idx="2">
                  <c:v>MassHealth</c:v>
                </c:pt>
                <c:pt idx="3">
                  <c:v>Medicare</c:v>
                </c:pt>
                <c:pt idx="4">
                  <c:v>Other Payers</c:v>
                </c:pt>
              </c:strCache>
            </c:strRef>
          </c:cat>
          <c:val>
            <c:numRef>
              <c:f>'Figure 7.6'!$D$3:$D$7</c:f>
              <c:numCache>
                <c:formatCode>General</c:formatCode>
                <c:ptCount val="5"/>
                <c:pt idx="0">
                  <c:v>3</c:v>
                </c:pt>
                <c:pt idx="1">
                  <c:v>33</c:v>
                </c:pt>
                <c:pt idx="2">
                  <c:v>31</c:v>
                </c:pt>
                <c:pt idx="3">
                  <c:v>18</c:v>
                </c:pt>
                <c:pt idx="4">
                  <c:v>14</c:v>
                </c:pt>
              </c:numCache>
            </c:numRef>
          </c:val>
          <c:extLst xmlns:c16r2="http://schemas.microsoft.com/office/drawing/2015/06/chart">
            <c:ext xmlns:c16="http://schemas.microsoft.com/office/drawing/2014/chart" uri="{C3380CC4-5D6E-409C-BE32-E72D297353CC}">
              <c16:uniqueId val="{00000000-2E53-414B-8BFE-742256E57A06}"/>
            </c:ext>
          </c:extLst>
        </c:ser>
        <c:dLbls>
          <c:showLegendKey val="0"/>
          <c:showVal val="0"/>
          <c:showCatName val="0"/>
          <c:showSerName val="0"/>
          <c:showPercent val="0"/>
          <c:showBubbleSize val="0"/>
        </c:dLbls>
        <c:gapWidth val="108"/>
        <c:overlap val="-16"/>
        <c:axId val="129458560"/>
        <c:axId val="129460096"/>
      </c:barChart>
      <c:catAx>
        <c:axId val="1294585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129460096"/>
        <c:crosses val="autoZero"/>
        <c:auto val="1"/>
        <c:lblAlgn val="ctr"/>
        <c:lblOffset val="100"/>
        <c:noMultiLvlLbl val="0"/>
      </c:catAx>
      <c:valAx>
        <c:axId val="129460096"/>
        <c:scaling>
          <c:orientation val="minMax"/>
          <c:max val="50"/>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000" b="1" i="0" u="none" strike="noStrike" kern="1200" baseline="0">
                    <a:solidFill>
                      <a:schemeClr val="tx1"/>
                    </a:solidFill>
                    <a:latin typeface="+mn-lt"/>
                    <a:ea typeface="+mn-ea"/>
                    <a:cs typeface="+mn-cs"/>
                  </a:defRPr>
                </a:pPr>
                <a:r>
                  <a:rPr lang="en-US" b="1"/>
                  <a:t>Percent of  Discharges</a:t>
                </a:r>
              </a:p>
            </c:rich>
          </c:tx>
          <c:layout>
            <c:manualLayout>
              <c:xMode val="edge"/>
              <c:yMode val="edge"/>
              <c:x val="3.7076564314219088E-2"/>
              <c:y val="0.19699241361953043"/>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129458560"/>
        <c:crosses val="autoZero"/>
        <c:crossBetween val="between"/>
        <c:majorUnit val="10"/>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1000">
          <a:solidFill>
            <a:schemeClr val="tx1"/>
          </a:solidFill>
          <a:latin typeface="+mn-lt"/>
        </a:defRPr>
      </a:pPr>
      <a:endParaRPr lang="en-US"/>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02242141562067"/>
          <c:y val="0.10404199475065599"/>
          <c:w val="0.83256705497429195"/>
          <c:h val="0.67862993994078202"/>
        </c:manualLayout>
      </c:layout>
      <c:barChart>
        <c:barDir val="col"/>
        <c:grouping val="clustered"/>
        <c:varyColors val="0"/>
        <c:ser>
          <c:idx val="0"/>
          <c:order val="0"/>
          <c:tx>
            <c:strRef>
              <c:f>'Figure 7.7'!$B$2</c:f>
              <c:strCache>
                <c:ptCount val="1"/>
                <c:pt idx="0">
                  <c:v>2011</c:v>
                </c:pt>
              </c:strCache>
            </c:strRef>
          </c:tx>
          <c:spPr>
            <a:solidFill>
              <a:srgbClr val="203864"/>
            </a:solidFill>
          </c:spPr>
          <c:invertIfNegative val="0"/>
          <c:dLbls>
            <c:dLbl>
              <c:idx val="4"/>
              <c:layout>
                <c:manualLayout>
                  <c:x val="1.4269406392693499E-3"/>
                  <c:y val="1.1582714030542699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9EA4-4439-B88B-4F2EA7EB2E6A}"/>
                </c:ext>
              </c:extLst>
            </c:dLbl>
            <c:dLbl>
              <c:idx val="5"/>
              <c:layout>
                <c:manualLayout>
                  <c:x val="0"/>
                  <c:y val="1.44783925381785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9EA4-4439-B88B-4F2EA7EB2E6A}"/>
                </c:ext>
              </c:extLst>
            </c:dLbl>
            <c:spPr>
              <a:noFill/>
              <a:ln>
                <a:noFill/>
              </a:ln>
              <a:effectLst/>
            </c:spPr>
            <c:txPr>
              <a:bodyPr/>
              <a:lstStyle/>
              <a:p>
                <a:pPr>
                  <a:defRPr sz="1050"/>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'Figure 7.7'!$A$3:$A$4</c:f>
              <c:strCache>
                <c:ptCount val="2"/>
                <c:pt idx="0">
                  <c:v>Serious injury or death after a fall</c:v>
                </c:pt>
                <c:pt idx="1">
                  <c:v>Stage 3, Stage 4 or unstageable pressure ulcer</c:v>
                </c:pt>
              </c:strCache>
            </c:strRef>
          </c:cat>
          <c:val>
            <c:numRef>
              <c:f>'Figure 7.7'!$B$3:$B$4</c:f>
              <c:numCache>
                <c:formatCode>General</c:formatCode>
                <c:ptCount val="2"/>
                <c:pt idx="0">
                  <c:v>203</c:v>
                </c:pt>
                <c:pt idx="1">
                  <c:v>64</c:v>
                </c:pt>
              </c:numCache>
            </c:numRef>
          </c:val>
          <c:extLst xmlns:c16r2="http://schemas.microsoft.com/office/drawing/2015/06/chart">
            <c:ext xmlns:c16="http://schemas.microsoft.com/office/drawing/2014/chart" uri="{C3380CC4-5D6E-409C-BE32-E72D297353CC}">
              <c16:uniqueId val="{00000002-9EA4-4439-B88B-4F2EA7EB2E6A}"/>
            </c:ext>
          </c:extLst>
        </c:ser>
        <c:ser>
          <c:idx val="1"/>
          <c:order val="1"/>
          <c:tx>
            <c:strRef>
              <c:f>'Figure 7.7'!$C$2</c:f>
              <c:strCache>
                <c:ptCount val="1"/>
                <c:pt idx="0">
                  <c:v>2012</c:v>
                </c:pt>
              </c:strCache>
            </c:strRef>
          </c:tx>
          <c:spPr>
            <a:pattFill prst="dkUpDiag">
              <a:fgClr>
                <a:srgbClr val="6BAED6"/>
              </a:fgClr>
              <a:bgClr>
                <a:schemeClr val="bg1"/>
              </a:bgClr>
            </a:pattFill>
          </c:spPr>
          <c:invertIfNegative val="0"/>
          <c:dLbls>
            <c:dLbl>
              <c:idx val="4"/>
              <c:layout>
                <c:manualLayout>
                  <c:x val="0"/>
                  <c:y val="1.44783925381785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9EA4-4439-B88B-4F2EA7EB2E6A}"/>
                </c:ext>
              </c:extLst>
            </c:dLbl>
            <c:dLbl>
              <c:idx val="5"/>
              <c:layout>
                <c:manualLayout>
                  <c:x val="0"/>
                  <c:y val="1.1582714030542699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9EA4-4439-B88B-4F2EA7EB2E6A}"/>
                </c:ext>
              </c:extLst>
            </c:dLbl>
            <c:spPr>
              <a:noFill/>
              <a:ln>
                <a:noFill/>
              </a:ln>
              <a:effectLst/>
            </c:spPr>
            <c:txPr>
              <a:bodyPr/>
              <a:lstStyle/>
              <a:p>
                <a:pPr>
                  <a:defRPr sz="1050"/>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'Figure 7.7'!$A$3:$A$4</c:f>
              <c:strCache>
                <c:ptCount val="2"/>
                <c:pt idx="0">
                  <c:v>Serious injury or death after a fall</c:v>
                </c:pt>
                <c:pt idx="1">
                  <c:v>Stage 3, Stage 4 or unstageable pressure ulcer</c:v>
                </c:pt>
              </c:strCache>
            </c:strRef>
          </c:cat>
          <c:val>
            <c:numRef>
              <c:f>'Figure 7.7'!$C$3:$C$4</c:f>
              <c:numCache>
                <c:formatCode>General</c:formatCode>
                <c:ptCount val="2"/>
                <c:pt idx="0">
                  <c:v>179</c:v>
                </c:pt>
                <c:pt idx="1">
                  <c:v>93</c:v>
                </c:pt>
              </c:numCache>
            </c:numRef>
          </c:val>
          <c:extLst xmlns:c16r2="http://schemas.microsoft.com/office/drawing/2015/06/chart">
            <c:ext xmlns:c16="http://schemas.microsoft.com/office/drawing/2014/chart" uri="{C3380CC4-5D6E-409C-BE32-E72D297353CC}">
              <c16:uniqueId val="{00000005-9EA4-4439-B88B-4F2EA7EB2E6A}"/>
            </c:ext>
          </c:extLst>
        </c:ser>
        <c:ser>
          <c:idx val="2"/>
          <c:order val="2"/>
          <c:tx>
            <c:strRef>
              <c:f>'Figure 7.7'!$D$2</c:f>
              <c:strCache>
                <c:ptCount val="1"/>
                <c:pt idx="0">
                  <c:v>2013</c:v>
                </c:pt>
              </c:strCache>
            </c:strRef>
          </c:tx>
          <c:spPr>
            <a:solidFill>
              <a:srgbClr val="3182BD"/>
            </a:solidFill>
          </c:spPr>
          <c:invertIfNegative val="0"/>
          <c:dLbls>
            <c:dLbl>
              <c:idx val="3"/>
              <c:layout>
                <c:manualLayout>
                  <c:x val="-2.85388127853881E-3"/>
                  <c:y val="5.7913570152714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9EA4-4439-B88B-4F2EA7EB2E6A}"/>
                </c:ext>
              </c:extLst>
            </c:dLbl>
            <c:dLbl>
              <c:idx val="4"/>
              <c:layout>
                <c:manualLayout>
                  <c:x val="-6.0124761802035501E-3"/>
                  <c:y val="1.18120882493366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9EA4-4439-B88B-4F2EA7EB2E6A}"/>
                </c:ext>
              </c:extLst>
            </c:dLbl>
            <c:dLbl>
              <c:idx val="5"/>
              <c:layout>
                <c:manualLayout>
                  <c:x val="-1.3835613931131399E-2"/>
                  <c:y val="1.1227891281824399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9EA4-4439-B88B-4F2EA7EB2E6A}"/>
                </c:ext>
              </c:extLst>
            </c:dLbl>
            <c:spPr>
              <a:noFill/>
              <a:ln>
                <a:noFill/>
              </a:ln>
              <a:effectLst/>
            </c:spPr>
            <c:txPr>
              <a:bodyPr/>
              <a:lstStyle/>
              <a:p>
                <a:pPr>
                  <a:defRPr sz="1100"/>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'Figure 7.7'!$A$3:$A$4</c:f>
              <c:strCache>
                <c:ptCount val="2"/>
                <c:pt idx="0">
                  <c:v>Serious injury or death after a fall</c:v>
                </c:pt>
                <c:pt idx="1">
                  <c:v>Stage 3, Stage 4 or unstageable pressure ulcer</c:v>
                </c:pt>
              </c:strCache>
            </c:strRef>
          </c:cat>
          <c:val>
            <c:numRef>
              <c:f>'Figure 7.7'!$D$3:$D$4</c:f>
              <c:numCache>
                <c:formatCode>General</c:formatCode>
                <c:ptCount val="2"/>
                <c:pt idx="0">
                  <c:v>282</c:v>
                </c:pt>
                <c:pt idx="1">
                  <c:v>230</c:v>
                </c:pt>
              </c:numCache>
            </c:numRef>
          </c:val>
          <c:extLst xmlns:c16r2="http://schemas.microsoft.com/office/drawing/2015/06/chart">
            <c:ext xmlns:c16="http://schemas.microsoft.com/office/drawing/2014/chart" uri="{C3380CC4-5D6E-409C-BE32-E72D297353CC}">
              <c16:uniqueId val="{00000009-9EA4-4439-B88B-4F2EA7EB2E6A}"/>
            </c:ext>
          </c:extLst>
        </c:ser>
        <c:ser>
          <c:idx val="3"/>
          <c:order val="3"/>
          <c:tx>
            <c:strRef>
              <c:f>'Figure 7.7'!$E$2</c:f>
              <c:strCache>
                <c:ptCount val="1"/>
                <c:pt idx="0">
                  <c:v>2014</c:v>
                </c:pt>
              </c:strCache>
            </c:strRef>
          </c:tx>
          <c:spPr>
            <a:pattFill prst="dkDnDiag">
              <a:fgClr>
                <a:srgbClr val="3182BD"/>
              </a:fgClr>
              <a:bgClr>
                <a:schemeClr val="bg1"/>
              </a:bgClr>
            </a:pattFill>
          </c:spPr>
          <c:invertIfNegative val="0"/>
          <c:dLbls>
            <c:dLbl>
              <c:idx val="3"/>
              <c:layout>
                <c:manualLayout>
                  <c:x val="0"/>
                  <c:y val="1.4478392538178401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A-9EA4-4439-B88B-4F2EA7EB2E6A}"/>
                </c:ext>
              </c:extLst>
            </c:dLbl>
            <c:dLbl>
              <c:idx val="4"/>
              <c:layout>
                <c:manualLayout>
                  <c:x val="-1.1635073262648601E-16"/>
                  <c:y val="-8.6870355229071005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B-9EA4-4439-B88B-4F2EA7EB2E6A}"/>
                </c:ext>
              </c:extLst>
            </c:dLbl>
            <c:dLbl>
              <c:idx val="5"/>
              <c:layout>
                <c:manualLayout>
                  <c:x val="7.5156325156325197E-3"/>
                  <c:y val="9.3749999999999997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C-9EA4-4439-B88B-4F2EA7EB2E6A}"/>
                </c:ext>
              </c:extLst>
            </c:dLbl>
            <c:dLbl>
              <c:idx val="8"/>
              <c:layout>
                <c:manualLayout>
                  <c:x val="-1.04641104723452E-16"/>
                  <c:y val="8.6870355229069895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D-9EA4-4439-B88B-4F2EA7EB2E6A}"/>
                </c:ext>
              </c:extLst>
            </c:dLbl>
            <c:spPr>
              <a:noFill/>
              <a:ln>
                <a:noFill/>
              </a:ln>
              <a:effectLst/>
            </c:spPr>
            <c:txPr>
              <a:bodyPr/>
              <a:lstStyle/>
              <a:p>
                <a:pPr>
                  <a:defRPr sz="1050"/>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'Figure 7.7'!$A$3:$A$4</c:f>
              <c:strCache>
                <c:ptCount val="2"/>
                <c:pt idx="0">
                  <c:v>Serious injury or death after a fall</c:v>
                </c:pt>
                <c:pt idx="1">
                  <c:v>Stage 3, Stage 4 or unstageable pressure ulcer</c:v>
                </c:pt>
              </c:strCache>
            </c:strRef>
          </c:cat>
          <c:val>
            <c:numRef>
              <c:f>'Figure 7.7'!$E$3:$E$4</c:f>
              <c:numCache>
                <c:formatCode>General</c:formatCode>
                <c:ptCount val="2"/>
                <c:pt idx="0">
                  <c:v>290</c:v>
                </c:pt>
                <c:pt idx="1">
                  <c:v>224</c:v>
                </c:pt>
              </c:numCache>
            </c:numRef>
          </c:val>
          <c:extLst xmlns:c16r2="http://schemas.microsoft.com/office/drawing/2015/06/chart">
            <c:ext xmlns:c16="http://schemas.microsoft.com/office/drawing/2014/chart" uri="{C3380CC4-5D6E-409C-BE32-E72D297353CC}">
              <c16:uniqueId val="{0000000E-9EA4-4439-B88B-4F2EA7EB2E6A}"/>
            </c:ext>
          </c:extLst>
        </c:ser>
        <c:ser>
          <c:idx val="4"/>
          <c:order val="4"/>
          <c:tx>
            <c:strRef>
              <c:f>'Figure 7.7'!$F$2</c:f>
              <c:strCache>
                <c:ptCount val="1"/>
                <c:pt idx="0">
                  <c:v>2015</c:v>
                </c:pt>
              </c:strCache>
            </c:strRef>
          </c:tx>
          <c:spPr>
            <a:solidFill>
              <a:srgbClr val="9ECAE1"/>
            </a:solidFill>
          </c:spPr>
          <c:invertIfNegative val="0"/>
          <c:dLbls>
            <c:dLbl>
              <c:idx val="4"/>
              <c:layout>
                <c:manualLayout>
                  <c:x val="1.42694063926941E-3"/>
                  <c:y val="5.7913570152714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0-9EA4-4439-B88B-4F2EA7EB2E6A}"/>
                </c:ext>
              </c:extLst>
            </c:dLbl>
            <c:dLbl>
              <c:idx val="5"/>
              <c:layout>
                <c:manualLayout>
                  <c:x val="1.5696347031963501E-2"/>
                  <c:y val="8.6870355229071005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1-9EA4-4439-B88B-4F2EA7EB2E6A}"/>
                </c:ext>
              </c:extLst>
            </c:dLbl>
            <c:spPr>
              <a:noFill/>
              <a:ln>
                <a:noFill/>
              </a:ln>
              <a:effectLst/>
            </c:spPr>
            <c:txPr>
              <a:bodyPr/>
              <a:lstStyle/>
              <a:p>
                <a:pPr>
                  <a:defRPr sz="1050"/>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strRef>
              <c:f>'Figure 7.7'!$A$3:$A$4</c:f>
              <c:strCache>
                <c:ptCount val="2"/>
                <c:pt idx="0">
                  <c:v>Serious injury or death after a fall</c:v>
                </c:pt>
                <c:pt idx="1">
                  <c:v>Stage 3, Stage 4 or unstageable pressure ulcer</c:v>
                </c:pt>
              </c:strCache>
            </c:strRef>
          </c:cat>
          <c:val>
            <c:numRef>
              <c:f>'Figure 7.7'!$F$3:$F$4</c:f>
              <c:numCache>
                <c:formatCode>General</c:formatCode>
                <c:ptCount val="2"/>
                <c:pt idx="0">
                  <c:v>309</c:v>
                </c:pt>
                <c:pt idx="1">
                  <c:v>228</c:v>
                </c:pt>
              </c:numCache>
            </c:numRef>
          </c:val>
          <c:extLst xmlns:c16r2="http://schemas.microsoft.com/office/drawing/2015/06/chart">
            <c:ext xmlns:c16="http://schemas.microsoft.com/office/drawing/2014/chart" uri="{C3380CC4-5D6E-409C-BE32-E72D297353CC}">
              <c16:uniqueId val="{00000012-9EA4-4439-B88B-4F2EA7EB2E6A}"/>
            </c:ext>
          </c:extLst>
        </c:ser>
        <c:dLbls>
          <c:showLegendKey val="0"/>
          <c:showVal val="0"/>
          <c:showCatName val="0"/>
          <c:showSerName val="0"/>
          <c:showPercent val="0"/>
          <c:showBubbleSize val="0"/>
        </c:dLbls>
        <c:gapWidth val="108"/>
        <c:overlap val="-16"/>
        <c:axId val="129538688"/>
        <c:axId val="129548672"/>
      </c:barChart>
      <c:catAx>
        <c:axId val="129538688"/>
        <c:scaling>
          <c:orientation val="minMax"/>
        </c:scaling>
        <c:delete val="0"/>
        <c:axPos val="b"/>
        <c:numFmt formatCode="General" sourceLinked="0"/>
        <c:majorTickMark val="out"/>
        <c:minorTickMark val="none"/>
        <c:tickLblPos val="nextTo"/>
        <c:txPr>
          <a:bodyPr/>
          <a:lstStyle/>
          <a:p>
            <a:pPr>
              <a:defRPr b="0"/>
            </a:pPr>
            <a:endParaRPr lang="en-US"/>
          </a:p>
        </c:txPr>
        <c:crossAx val="129548672"/>
        <c:crosses val="autoZero"/>
        <c:auto val="1"/>
        <c:lblAlgn val="ctr"/>
        <c:lblOffset val="100"/>
        <c:noMultiLvlLbl val="0"/>
      </c:catAx>
      <c:valAx>
        <c:axId val="129548672"/>
        <c:scaling>
          <c:orientation val="minMax"/>
        </c:scaling>
        <c:delete val="0"/>
        <c:axPos val="l"/>
        <c:title>
          <c:tx>
            <c:rich>
              <a:bodyPr/>
              <a:lstStyle/>
              <a:p>
                <a:pPr>
                  <a:defRPr/>
                </a:pPr>
                <a:r>
                  <a:rPr lang="en-US"/>
                  <a:t>Number</a:t>
                </a:r>
              </a:p>
            </c:rich>
          </c:tx>
          <c:layout>
            <c:manualLayout>
              <c:xMode val="edge"/>
              <c:yMode val="edge"/>
              <c:x val="4.6466567681751336E-3"/>
              <c:y val="0.34449266063964229"/>
            </c:manualLayout>
          </c:layout>
          <c:overlay val="0"/>
        </c:title>
        <c:numFmt formatCode="General" sourceLinked="1"/>
        <c:majorTickMark val="out"/>
        <c:minorTickMark val="none"/>
        <c:tickLblPos val="nextTo"/>
        <c:crossAx val="129538688"/>
        <c:crosses val="autoZero"/>
        <c:crossBetween val="between"/>
      </c:valAx>
    </c:plotArea>
    <c:legend>
      <c:legendPos val="r"/>
      <c:layout>
        <c:manualLayout>
          <c:xMode val="edge"/>
          <c:yMode val="edge"/>
          <c:x val="0.16915740470712801"/>
          <c:y val="1.3040789830096799E-2"/>
          <c:w val="0.66770156134329395"/>
          <c:h val="7.7010227901298897E-2"/>
        </c:manualLayout>
      </c:layout>
      <c:overlay val="0"/>
    </c:legend>
    <c:plotVisOnly val="1"/>
    <c:dispBlanksAs val="gap"/>
    <c:showDLblsOverMax val="0"/>
  </c:chart>
  <c:spPr>
    <a:ln>
      <a:solidFill>
        <a:schemeClr val="bg1"/>
      </a:solidFill>
    </a:ln>
  </c:spPr>
  <c:txPr>
    <a:bodyPr/>
    <a:lstStyle/>
    <a:p>
      <a:pPr>
        <a:defRPr sz="1000">
          <a:latin typeface="+mn-lt"/>
        </a:defRPr>
      </a:pPr>
      <a:endParaRPr lang="en-US"/>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902549462019002"/>
          <c:y val="5.8255209073595042E-2"/>
          <c:w val="0.7438567328206781"/>
          <c:h val="0.76616175990049451"/>
        </c:manualLayout>
      </c:layout>
      <c:lineChart>
        <c:grouping val="standard"/>
        <c:varyColors val="0"/>
        <c:ser>
          <c:idx val="0"/>
          <c:order val="0"/>
          <c:tx>
            <c:strRef>
              <c:f>'Figure 7.8'!$B$2</c:f>
              <c:strCache>
                <c:ptCount val="1"/>
                <c:pt idx="0">
                  <c:v>Percent of Patients</c:v>
                </c:pt>
              </c:strCache>
            </c:strRef>
          </c:tx>
          <c:spPr>
            <a:ln>
              <a:solidFill>
                <a:srgbClr val="002060"/>
              </a:solidFill>
            </a:ln>
          </c:spPr>
          <c:marker>
            <c:symbol val="circle"/>
            <c:size val="7"/>
            <c:spPr>
              <a:solidFill>
                <a:schemeClr val="bg1"/>
              </a:solidFill>
              <a:ln>
                <a:solidFill>
                  <a:srgbClr val="203864"/>
                </a:solidFill>
              </a:ln>
            </c:spPr>
          </c:marker>
          <c:dLbls>
            <c:spPr>
              <a:noFill/>
              <a:ln>
                <a:noFill/>
              </a:ln>
              <a:effectLst/>
            </c:spPr>
            <c:txPr>
              <a:bodyPr wrap="square" lIns="38100" tIns="19050" rIns="38100" bIns="19050" anchor="b" anchorCtr="0">
                <a:spAutoFit/>
              </a:bodyPr>
              <a:lstStyle/>
              <a:p>
                <a:pPr>
                  <a:defRPr sz="1050"/>
                </a:pPr>
                <a:endParaRPr lang="en-US"/>
              </a:p>
            </c:txPr>
            <c:dLblPos val="b"/>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numRef>
              <c:f>'Figure 7.8'!$A$3:$A$11</c:f>
              <c:numCache>
                <c:formatCode>General</c:formatCode>
                <c:ptCount val="9"/>
                <c:pt idx="0">
                  <c:v>2008</c:v>
                </c:pt>
                <c:pt idx="1">
                  <c:v>2009</c:v>
                </c:pt>
                <c:pt idx="2">
                  <c:v>2010</c:v>
                </c:pt>
                <c:pt idx="3">
                  <c:v>2011</c:v>
                </c:pt>
                <c:pt idx="4">
                  <c:v>2012</c:v>
                </c:pt>
                <c:pt idx="5">
                  <c:v>2013</c:v>
                </c:pt>
                <c:pt idx="6">
                  <c:v>2014</c:v>
                </c:pt>
                <c:pt idx="7">
                  <c:v>2015</c:v>
                </c:pt>
                <c:pt idx="8">
                  <c:v>2016</c:v>
                </c:pt>
              </c:numCache>
            </c:numRef>
          </c:cat>
          <c:val>
            <c:numRef>
              <c:f>'Figure 7.8'!$B$3:$B$11</c:f>
              <c:numCache>
                <c:formatCode>General</c:formatCode>
                <c:ptCount val="9"/>
                <c:pt idx="0">
                  <c:v>25.9</c:v>
                </c:pt>
                <c:pt idx="1">
                  <c:v>28.5</c:v>
                </c:pt>
                <c:pt idx="2">
                  <c:v>27.999999999999996</c:v>
                </c:pt>
                <c:pt idx="3">
                  <c:v>28.3</c:v>
                </c:pt>
                <c:pt idx="4">
                  <c:v>30.799999999999997</c:v>
                </c:pt>
                <c:pt idx="5">
                  <c:v>29.4</c:v>
                </c:pt>
                <c:pt idx="6">
                  <c:v>28.499999999999996</c:v>
                </c:pt>
                <c:pt idx="7">
                  <c:v>28.6</c:v>
                </c:pt>
                <c:pt idx="8">
                  <c:v>29.6</c:v>
                </c:pt>
              </c:numCache>
            </c:numRef>
          </c:val>
          <c:smooth val="0"/>
          <c:extLst xmlns:c16r2="http://schemas.microsoft.com/office/drawing/2015/06/chart">
            <c:ext xmlns:c16="http://schemas.microsoft.com/office/drawing/2014/chart" uri="{C3380CC4-5D6E-409C-BE32-E72D297353CC}">
              <c16:uniqueId val="{00000001-B8B0-4875-8FAE-2272E502A59C}"/>
            </c:ext>
          </c:extLst>
        </c:ser>
        <c:dLbls>
          <c:showLegendKey val="0"/>
          <c:showVal val="0"/>
          <c:showCatName val="0"/>
          <c:showSerName val="0"/>
          <c:showPercent val="0"/>
          <c:showBubbleSize val="0"/>
        </c:dLbls>
        <c:marker val="1"/>
        <c:smooth val="0"/>
        <c:axId val="129648512"/>
        <c:axId val="129650048"/>
        <c:extLst xmlns:c16r2="http://schemas.microsoft.com/office/drawing/2015/06/chart">
          <c:ext xmlns:c15="http://schemas.microsoft.com/office/drawing/2012/chart" uri="{02D57815-91ED-43cb-92C2-25804820EDAC}">
            <c15:filteredLineSeries>
              <c15:ser>
                <c:idx val="1"/>
                <c:order val="0"/>
                <c:tx>
                  <c:strRef>
                    <c:extLst>
                      <c:ext uri="{02D57815-91ED-43cb-92C2-25804820EDAC}">
                        <c15:formulaRef>
                          <c15:sqref>'Figure 7.8'!$A$2</c15:sqref>
                        </c15:formulaRef>
                      </c:ext>
                    </c:extLst>
                    <c:strCache>
                      <c:ptCount val="1"/>
                      <c:pt idx="0">
                        <c:v>Year</c:v>
                      </c:pt>
                    </c:strCache>
                  </c:strRef>
                </c:tx>
                <c:marker>
                  <c:symbol val="circle"/>
                  <c:size val="7"/>
                  <c:spPr>
                    <a:solidFill>
                      <a:schemeClr val="bg1"/>
                    </a:solidFill>
                    <a:ln>
                      <a:solidFill>
                        <a:srgbClr val="203864"/>
                      </a:solidFill>
                    </a:ln>
                  </c:spPr>
                </c:marker>
                <c:cat>
                  <c:numRef>
                    <c:extLst>
                      <c:ext uri="{02D57815-91ED-43cb-92C2-25804820EDAC}">
                        <c15:formulaRef>
                          <c15:sqref>'Figure 7.8'!$A$3:$A$11</c15:sqref>
                        </c15:formulaRef>
                      </c:ext>
                    </c:extLst>
                    <c:numCache>
                      <c:formatCode>General</c:formatCode>
                      <c:ptCount val="9"/>
                      <c:pt idx="0">
                        <c:v>2008</c:v>
                      </c:pt>
                      <c:pt idx="1">
                        <c:v>2009</c:v>
                      </c:pt>
                      <c:pt idx="2">
                        <c:v>2010</c:v>
                      </c:pt>
                      <c:pt idx="3">
                        <c:v>2011</c:v>
                      </c:pt>
                      <c:pt idx="4">
                        <c:v>2012</c:v>
                      </c:pt>
                      <c:pt idx="5">
                        <c:v>2013</c:v>
                      </c:pt>
                      <c:pt idx="6">
                        <c:v>2014</c:v>
                      </c:pt>
                      <c:pt idx="7">
                        <c:v>2015</c:v>
                      </c:pt>
                      <c:pt idx="8">
                        <c:v>2016</c:v>
                      </c:pt>
                    </c:numCache>
                  </c:numRef>
                </c:cat>
                <c:val>
                  <c:numRef>
                    <c:extLst>
                      <c:ext uri="{02D57815-91ED-43cb-92C2-25804820EDAC}">
                        <c15:formulaRef>
                          <c15:sqref>'Figure 7.8'!$A$3:$A$11</c15:sqref>
                        </c15:formulaRef>
                      </c:ext>
                    </c:extLst>
                    <c:numCache>
                      <c:formatCode>General</c:formatCode>
                      <c:ptCount val="9"/>
                      <c:pt idx="0">
                        <c:v>2008</c:v>
                      </c:pt>
                      <c:pt idx="1">
                        <c:v>2009</c:v>
                      </c:pt>
                      <c:pt idx="2">
                        <c:v>2010</c:v>
                      </c:pt>
                      <c:pt idx="3">
                        <c:v>2011</c:v>
                      </c:pt>
                      <c:pt idx="4">
                        <c:v>2012</c:v>
                      </c:pt>
                      <c:pt idx="5">
                        <c:v>2013</c:v>
                      </c:pt>
                      <c:pt idx="6">
                        <c:v>2014</c:v>
                      </c:pt>
                      <c:pt idx="7">
                        <c:v>2015</c:v>
                      </c:pt>
                      <c:pt idx="8">
                        <c:v>2016</c:v>
                      </c:pt>
                    </c:numCache>
                  </c:numRef>
                </c:val>
                <c:smooth val="0"/>
                <c:extLst>
                  <c:ext xmlns:c16="http://schemas.microsoft.com/office/drawing/2014/chart" uri="{C3380CC4-5D6E-409C-BE32-E72D297353CC}">
                    <c16:uniqueId val="{00000000-B8B0-4875-8FAE-2272E502A59C}"/>
                  </c:ext>
                </c:extLst>
              </c15:ser>
            </c15:filteredLineSeries>
          </c:ext>
        </c:extLst>
      </c:lineChart>
      <c:catAx>
        <c:axId val="129648512"/>
        <c:scaling>
          <c:orientation val="minMax"/>
        </c:scaling>
        <c:delete val="0"/>
        <c:axPos val="b"/>
        <c:numFmt formatCode="General" sourceLinked="1"/>
        <c:majorTickMark val="out"/>
        <c:minorTickMark val="none"/>
        <c:tickLblPos val="nextTo"/>
        <c:crossAx val="129650048"/>
        <c:crosses val="autoZero"/>
        <c:auto val="1"/>
        <c:lblAlgn val="ctr"/>
        <c:lblOffset val="100"/>
        <c:noMultiLvlLbl val="0"/>
      </c:catAx>
      <c:valAx>
        <c:axId val="129650048"/>
        <c:scaling>
          <c:orientation val="minMax"/>
          <c:min val="22"/>
        </c:scaling>
        <c:delete val="0"/>
        <c:axPos val="l"/>
        <c:title>
          <c:tx>
            <c:rich>
              <a:bodyPr/>
              <a:lstStyle/>
              <a:p>
                <a:pPr marL="0" marR="0" lvl="0" indent="0" algn="ctr" defTabSz="914400" rtl="0" eaLnBrk="1" fontAlgn="auto" latinLnBrk="0" hangingPunct="1">
                  <a:lnSpc>
                    <a:spcPct val="100000"/>
                  </a:lnSpc>
                  <a:spcBef>
                    <a:spcPts val="0"/>
                  </a:spcBef>
                  <a:spcAft>
                    <a:spcPts val="0"/>
                  </a:spcAft>
                  <a:buClrTx/>
                  <a:buSzTx/>
                  <a:buFontTx/>
                  <a:buNone/>
                  <a:tabLst/>
                  <a:defRPr sz="1000" b="1" i="0" u="none" strike="noStrike" kern="1200" baseline="0">
                    <a:solidFill>
                      <a:sysClr val="windowText" lastClr="000000"/>
                    </a:solidFill>
                    <a:latin typeface="+mn-lt"/>
                    <a:ea typeface="+mn-ea"/>
                    <a:cs typeface="+mn-cs"/>
                  </a:defRPr>
                </a:pPr>
                <a:r>
                  <a:rPr lang="en-US" sz="1000" b="1" i="0" baseline="0">
                    <a:effectLst/>
                  </a:rPr>
                  <a:t>Percent of Patients</a:t>
                </a:r>
                <a:endParaRPr lang="en-US" sz="1000">
                  <a:effectLst/>
                </a:endParaRPr>
              </a:p>
              <a:p>
                <a:pPr marL="0" marR="0" lvl="0" indent="0" algn="ctr" defTabSz="914400" rtl="0" eaLnBrk="1" fontAlgn="auto" latinLnBrk="0" hangingPunct="1">
                  <a:lnSpc>
                    <a:spcPct val="100000"/>
                  </a:lnSpc>
                  <a:spcBef>
                    <a:spcPts val="0"/>
                  </a:spcBef>
                  <a:spcAft>
                    <a:spcPts val="0"/>
                  </a:spcAft>
                  <a:buClrTx/>
                  <a:buSzTx/>
                  <a:buFontTx/>
                  <a:buNone/>
                  <a:tabLst/>
                  <a:defRPr sz="1000" b="1" i="0" u="none" strike="noStrike" kern="1200" baseline="0">
                    <a:solidFill>
                      <a:sysClr val="windowText" lastClr="000000"/>
                    </a:solidFill>
                    <a:latin typeface="+mn-lt"/>
                    <a:ea typeface="+mn-ea"/>
                    <a:cs typeface="+mn-cs"/>
                  </a:defRPr>
                </a:pPr>
                <a:endParaRPr lang="en-US" sz="1000"/>
              </a:p>
            </c:rich>
          </c:tx>
          <c:layout>
            <c:manualLayout>
              <c:xMode val="edge"/>
              <c:yMode val="edge"/>
              <c:x val="2.8468327423984283E-2"/>
              <c:y val="0.19915972597288154"/>
            </c:manualLayout>
          </c:layout>
          <c:overlay val="0"/>
        </c:title>
        <c:numFmt formatCode="General" sourceLinked="1"/>
        <c:majorTickMark val="out"/>
        <c:minorTickMark val="none"/>
        <c:tickLblPos val="nextTo"/>
        <c:crossAx val="129648512"/>
        <c:crosses val="autoZero"/>
        <c:crossBetween val="between"/>
        <c:majorUnit val="2"/>
      </c:valAx>
    </c:plotArea>
    <c:plotVisOnly val="1"/>
    <c:dispBlanksAs val="gap"/>
    <c:showDLblsOverMax val="0"/>
  </c:chart>
  <c:spPr>
    <a:ln>
      <a:noFill/>
    </a:ln>
  </c:sp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8846322648782708E-2"/>
          <c:y val="3.1869439313763515E-2"/>
          <c:w val="0.68501749507613108"/>
          <c:h val="0.80996048245578334"/>
        </c:manualLayout>
      </c:layout>
      <c:barChart>
        <c:barDir val="col"/>
        <c:grouping val="clustered"/>
        <c:varyColors val="0"/>
        <c:ser>
          <c:idx val="0"/>
          <c:order val="0"/>
          <c:tx>
            <c:strRef>
              <c:f>'Figure 7.10'!$A$4</c:f>
              <c:strCache>
                <c:ptCount val="1"/>
                <c:pt idx="0">
                  <c:v>White non-Hispanic</c:v>
                </c:pt>
              </c:strCache>
            </c:strRef>
          </c:tx>
          <c:spPr>
            <a:solidFill>
              <a:srgbClr val="203864"/>
            </a:solidFill>
          </c:spPr>
          <c:invertIfNegative val="0"/>
          <c:dLbls>
            <c:dLbl>
              <c:idx val="0"/>
              <c:layout>
                <c:manualLayout>
                  <c:x val="0"/>
                  <c:y val="-2.3362527294606198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4DEB-4D37-9121-7AA5352E4881}"/>
                </c:ext>
              </c:extLst>
            </c:dLbl>
            <c:dLbl>
              <c:idx val="1"/>
              <c:layout>
                <c:manualLayout>
                  <c:x val="0"/>
                  <c:y val="-3.3375038992294603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4DEB-4D37-9121-7AA5352E4881}"/>
                </c:ext>
              </c:extLst>
            </c:dLbl>
            <c:spPr>
              <a:noFill/>
              <a:ln>
                <a:noFill/>
              </a:ln>
              <a:effectLst/>
            </c:spPr>
            <c:txPr>
              <a:bodyPr/>
              <a:lstStyle/>
              <a:p>
                <a:pPr>
                  <a:defRPr sz="1050"/>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errBars>
            <c:errBarType val="both"/>
            <c:errValType val="cust"/>
            <c:noEndCap val="0"/>
            <c:plus>
              <c:numRef>
                <c:f>('Figure 7.10'!$B$16,'Figure 7.10'!$D$16)</c:f>
                <c:numCache>
                  <c:formatCode>General</c:formatCode>
                  <c:ptCount val="2"/>
                  <c:pt idx="0">
                    <c:v>2.9</c:v>
                  </c:pt>
                  <c:pt idx="1">
                    <c:v>3.4000000000000057</c:v>
                  </c:pt>
                </c:numCache>
              </c:numRef>
            </c:plus>
            <c:minus>
              <c:numRef>
                <c:f>('[1]Figure 3'!$C$16,'[1]Figure 3'!$E$16)</c:f>
                <c:numCache>
                  <c:formatCode>General</c:formatCode>
                  <c:ptCount val="2"/>
                  <c:pt idx="0">
                    <c:v>3.3000000000000114</c:v>
                  </c:pt>
                  <c:pt idx="1">
                    <c:v>3.5</c:v>
                  </c:pt>
                </c:numCache>
              </c:numRef>
            </c:minus>
            <c:spPr>
              <a:ln>
                <a:solidFill>
                  <a:schemeClr val="bg1">
                    <a:lumMod val="65000"/>
                  </a:schemeClr>
                </a:solidFill>
              </a:ln>
            </c:spPr>
          </c:errBars>
          <c:cat>
            <c:strRef>
              <c:f>'Figure 7.10'!$C$22</c:f>
              <c:strCache>
                <c:ptCount val="1"/>
                <c:pt idx="0">
                  <c:v>Teeth Cleaned During Pregnancy</c:v>
                </c:pt>
              </c:strCache>
            </c:strRef>
          </c:cat>
          <c:val>
            <c:numRef>
              <c:f>('Figure 7.10'!$C$4,'Figure 7.10'!$E$4)</c:f>
              <c:numCache>
                <c:formatCode>0.0</c:formatCode>
                <c:ptCount val="2"/>
                <c:pt idx="0">
                  <c:v>78.400000000000006</c:v>
                </c:pt>
                <c:pt idx="1">
                  <c:v>67.3</c:v>
                </c:pt>
              </c:numCache>
            </c:numRef>
          </c:val>
          <c:extLst xmlns:c16r2="http://schemas.microsoft.com/office/drawing/2015/06/chart">
            <c:ext xmlns:c16="http://schemas.microsoft.com/office/drawing/2014/chart" uri="{C3380CC4-5D6E-409C-BE32-E72D297353CC}">
              <c16:uniqueId val="{00000002-4DEB-4D37-9121-7AA5352E4881}"/>
            </c:ext>
          </c:extLst>
        </c:ser>
        <c:ser>
          <c:idx val="1"/>
          <c:order val="1"/>
          <c:tx>
            <c:strRef>
              <c:f>'Figure 7.10'!$A$5</c:f>
              <c:strCache>
                <c:ptCount val="1"/>
                <c:pt idx="0">
                  <c:v>Black non-Hispanic</c:v>
                </c:pt>
              </c:strCache>
            </c:strRef>
          </c:tx>
          <c:spPr>
            <a:pattFill prst="dkUpDiag">
              <a:fgClr>
                <a:srgbClr val="6BAED6"/>
              </a:fgClr>
              <a:bgClr>
                <a:schemeClr val="bg1"/>
              </a:bgClr>
            </a:pattFill>
          </c:spPr>
          <c:invertIfNegative val="0"/>
          <c:dLbls>
            <c:dLbl>
              <c:idx val="0"/>
              <c:layout>
                <c:manualLayout>
                  <c:x val="0"/>
                  <c:y val="-5.0062558488441856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4DEB-4D37-9121-7AA5352E4881}"/>
                </c:ext>
              </c:extLst>
            </c:dLbl>
            <c:dLbl>
              <c:idx val="1"/>
              <c:layout>
                <c:manualLayout>
                  <c:x val="1.893939111497985E-3"/>
                  <c:y val="-6.0075070186130231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4DEB-4D37-9121-7AA5352E4881}"/>
                </c:ext>
              </c:extLst>
            </c:dLbl>
            <c:spPr>
              <a:noFill/>
              <a:ln>
                <a:noFill/>
              </a:ln>
              <a:effectLst/>
            </c:spPr>
            <c:txPr>
              <a:bodyPr/>
              <a:lstStyle/>
              <a:p>
                <a:pPr>
                  <a:defRPr sz="1050"/>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errBars>
            <c:errBarType val="both"/>
            <c:errValType val="cust"/>
            <c:noEndCap val="0"/>
            <c:plus>
              <c:numRef>
                <c:f>('Figure 7.10'!$B$17,'Figure 7.10'!$D$17)</c:f>
                <c:numCache>
                  <c:formatCode>General</c:formatCode>
                  <c:ptCount val="2"/>
                  <c:pt idx="0">
                    <c:v>4.2999999999999972</c:v>
                  </c:pt>
                  <c:pt idx="1">
                    <c:v>4.5</c:v>
                  </c:pt>
                </c:numCache>
              </c:numRef>
            </c:plus>
            <c:minus>
              <c:numRef>
                <c:f>('[1]Figure 3'!$C$17,'[1]Figure 3'!$E$17)</c:f>
                <c:numCache>
                  <c:formatCode>General</c:formatCode>
                  <c:ptCount val="2"/>
                  <c:pt idx="0">
                    <c:v>4.5</c:v>
                  </c:pt>
                  <c:pt idx="1">
                    <c:v>4.6000000000000014</c:v>
                  </c:pt>
                </c:numCache>
              </c:numRef>
            </c:minus>
            <c:spPr>
              <a:ln>
                <a:solidFill>
                  <a:schemeClr val="bg1">
                    <a:lumMod val="65000"/>
                  </a:schemeClr>
                </a:solidFill>
              </a:ln>
            </c:spPr>
          </c:errBars>
          <c:cat>
            <c:strRef>
              <c:f>'Figure 7.10'!$C$22</c:f>
              <c:strCache>
                <c:ptCount val="1"/>
                <c:pt idx="0">
                  <c:v>Teeth Cleaned During Pregnancy</c:v>
                </c:pt>
              </c:strCache>
            </c:strRef>
          </c:cat>
          <c:val>
            <c:numRef>
              <c:f>('Figure 7.10'!$C$5,'Figure 7.10'!$E$5)</c:f>
              <c:numCache>
                <c:formatCode>0.0</c:formatCode>
                <c:ptCount val="2"/>
                <c:pt idx="0">
                  <c:v>57</c:v>
                </c:pt>
                <c:pt idx="1">
                  <c:v>49.2</c:v>
                </c:pt>
              </c:numCache>
            </c:numRef>
          </c:val>
          <c:extLst xmlns:c16r2="http://schemas.microsoft.com/office/drawing/2015/06/chart">
            <c:ext xmlns:c16="http://schemas.microsoft.com/office/drawing/2014/chart" uri="{C3380CC4-5D6E-409C-BE32-E72D297353CC}">
              <c16:uniqueId val="{00000005-4DEB-4D37-9121-7AA5352E4881}"/>
            </c:ext>
          </c:extLst>
        </c:ser>
        <c:ser>
          <c:idx val="2"/>
          <c:order val="2"/>
          <c:tx>
            <c:strRef>
              <c:f>'Figure 7.10'!$A$6</c:f>
              <c:strCache>
                <c:ptCount val="1"/>
                <c:pt idx="0">
                  <c:v>Hispanic</c:v>
                </c:pt>
              </c:strCache>
            </c:strRef>
          </c:tx>
          <c:spPr>
            <a:solidFill>
              <a:srgbClr val="3182BD"/>
            </a:solidFill>
          </c:spPr>
          <c:invertIfNegative val="0"/>
          <c:dLbls>
            <c:dLbl>
              <c:idx val="0"/>
              <c:layout>
                <c:manualLayout>
                  <c:x val="-3.4721815934749119E-17"/>
                  <c:y val="-5.0062558488441856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4DEB-4D37-9121-7AA5352E4881}"/>
                </c:ext>
              </c:extLst>
            </c:dLbl>
            <c:dLbl>
              <c:idx val="1"/>
              <c:layout>
                <c:manualLayout>
                  <c:x val="6.9443631869498237E-17"/>
                  <c:y val="-5.340006238767131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4DEB-4D37-9121-7AA5352E4881}"/>
                </c:ext>
              </c:extLst>
            </c:dLbl>
            <c:spPr>
              <a:noFill/>
              <a:ln>
                <a:noFill/>
              </a:ln>
              <a:effectLst/>
            </c:spPr>
            <c:txPr>
              <a:bodyPr/>
              <a:lstStyle/>
              <a:p>
                <a:pPr>
                  <a:defRPr sz="1050"/>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errBars>
            <c:errBarType val="both"/>
            <c:errValType val="cust"/>
            <c:noEndCap val="0"/>
            <c:plus>
              <c:numRef>
                <c:f>('Figure 7.10'!$B$18,'Figure 7.10'!$D$18)</c:f>
                <c:numCache>
                  <c:formatCode>General</c:formatCode>
                  <c:ptCount val="2"/>
                  <c:pt idx="0">
                    <c:v>3.7999999999999972</c:v>
                  </c:pt>
                  <c:pt idx="1">
                    <c:v>3.8999999999999986</c:v>
                  </c:pt>
                </c:numCache>
              </c:numRef>
            </c:plus>
            <c:minus>
              <c:numRef>
                <c:f>('[1]Figure 3'!$C$18,'[1]Figure 3'!$E$18)</c:f>
                <c:numCache>
                  <c:formatCode>General</c:formatCode>
                  <c:ptCount val="2"/>
                  <c:pt idx="0">
                    <c:v>4</c:v>
                  </c:pt>
                  <c:pt idx="1">
                    <c:v>4</c:v>
                  </c:pt>
                </c:numCache>
              </c:numRef>
            </c:minus>
            <c:spPr>
              <a:ln>
                <a:solidFill>
                  <a:schemeClr val="bg1">
                    <a:lumMod val="65000"/>
                  </a:schemeClr>
                </a:solidFill>
              </a:ln>
            </c:spPr>
          </c:errBars>
          <c:cat>
            <c:strRef>
              <c:f>'Figure 7.10'!$C$22</c:f>
              <c:strCache>
                <c:ptCount val="1"/>
                <c:pt idx="0">
                  <c:v>Teeth Cleaned During Pregnancy</c:v>
                </c:pt>
              </c:strCache>
            </c:strRef>
          </c:cat>
          <c:val>
            <c:numRef>
              <c:f>('Figure 7.10'!$C$6,'Figure 7.10'!$E$6)</c:f>
              <c:numCache>
                <c:formatCode>0.0</c:formatCode>
                <c:ptCount val="2"/>
                <c:pt idx="0">
                  <c:v>64.3</c:v>
                </c:pt>
                <c:pt idx="1">
                  <c:v>56.2</c:v>
                </c:pt>
              </c:numCache>
            </c:numRef>
          </c:val>
          <c:extLst xmlns:c16r2="http://schemas.microsoft.com/office/drawing/2015/06/chart">
            <c:ext xmlns:c16="http://schemas.microsoft.com/office/drawing/2014/chart" uri="{C3380CC4-5D6E-409C-BE32-E72D297353CC}">
              <c16:uniqueId val="{00000008-4DEB-4D37-9121-7AA5352E4881}"/>
            </c:ext>
          </c:extLst>
        </c:ser>
        <c:ser>
          <c:idx val="3"/>
          <c:order val="3"/>
          <c:tx>
            <c:strRef>
              <c:f>'Figure 7.10'!$A$7</c:f>
              <c:strCache>
                <c:ptCount val="1"/>
                <c:pt idx="0">
                  <c:v>Asian non-Hispanic</c:v>
                </c:pt>
              </c:strCache>
            </c:strRef>
          </c:tx>
          <c:spPr>
            <a:pattFill prst="dkDnDiag">
              <a:fgClr>
                <a:srgbClr val="3182BD"/>
              </a:fgClr>
              <a:bgClr>
                <a:schemeClr val="bg1"/>
              </a:bgClr>
            </a:pattFill>
          </c:spPr>
          <c:invertIfNegative val="0"/>
          <c:dLbls>
            <c:dLbl>
              <c:idx val="0"/>
              <c:layout>
                <c:manualLayout>
                  <c:x val="3.4721815934749119E-17"/>
                  <c:y val="-5.0062558488441856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4DEB-4D37-9121-7AA5352E4881}"/>
                </c:ext>
              </c:extLst>
            </c:dLbl>
            <c:dLbl>
              <c:idx val="1"/>
              <c:layout>
                <c:manualLayout>
                  <c:x val="0"/>
                  <c:y val="-4.3387550689982943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A-4DEB-4D37-9121-7AA5352E4881}"/>
                </c:ext>
              </c:extLst>
            </c:dLbl>
            <c:spPr>
              <a:noFill/>
              <a:ln>
                <a:noFill/>
              </a:ln>
              <a:effectLst/>
            </c:spPr>
            <c:txPr>
              <a:bodyPr/>
              <a:lstStyle/>
              <a:p>
                <a:pPr>
                  <a:defRPr sz="1050"/>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errBars>
            <c:errBarType val="both"/>
            <c:errValType val="cust"/>
            <c:noEndCap val="0"/>
            <c:plus>
              <c:numRef>
                <c:f>('Figure 7.10'!$B$19,'Figure 7.10'!$D$19)</c:f>
                <c:numCache>
                  <c:formatCode>General</c:formatCode>
                  <c:ptCount val="2"/>
                  <c:pt idx="0">
                    <c:v>4.2000000000000028</c:v>
                  </c:pt>
                  <c:pt idx="1">
                    <c:v>4.2999999999999972</c:v>
                  </c:pt>
                </c:numCache>
              </c:numRef>
            </c:plus>
            <c:minus>
              <c:numRef>
                <c:f>('[1]Figure 3'!$C$19,'[1]Figure 3'!$E$19)</c:f>
                <c:numCache>
                  <c:formatCode>General</c:formatCode>
                  <c:ptCount val="2"/>
                  <c:pt idx="0">
                    <c:v>4.3999999999999986</c:v>
                  </c:pt>
                  <c:pt idx="1">
                    <c:v>4.3000000000000043</c:v>
                  </c:pt>
                </c:numCache>
              </c:numRef>
            </c:minus>
            <c:spPr>
              <a:ln>
                <a:solidFill>
                  <a:schemeClr val="bg1">
                    <a:lumMod val="65000"/>
                  </a:schemeClr>
                </a:solidFill>
              </a:ln>
            </c:spPr>
          </c:errBars>
          <c:cat>
            <c:strRef>
              <c:f>'Figure 7.10'!$C$22</c:f>
              <c:strCache>
                <c:ptCount val="1"/>
                <c:pt idx="0">
                  <c:v>Teeth Cleaned During Pregnancy</c:v>
                </c:pt>
              </c:strCache>
            </c:strRef>
          </c:cat>
          <c:val>
            <c:numRef>
              <c:f>('Figure 7.10'!$C$7,'Figure 7.10'!$E$7)</c:f>
              <c:numCache>
                <c:formatCode>0.0</c:formatCode>
                <c:ptCount val="2"/>
                <c:pt idx="0">
                  <c:v>58.8</c:v>
                </c:pt>
                <c:pt idx="1">
                  <c:v>54.2</c:v>
                </c:pt>
              </c:numCache>
            </c:numRef>
          </c:val>
          <c:extLst xmlns:c16r2="http://schemas.microsoft.com/office/drawing/2015/06/chart">
            <c:ext xmlns:c16="http://schemas.microsoft.com/office/drawing/2014/chart" uri="{C3380CC4-5D6E-409C-BE32-E72D297353CC}">
              <c16:uniqueId val="{0000000B-4DEB-4D37-9121-7AA5352E4881}"/>
            </c:ext>
          </c:extLst>
        </c:ser>
        <c:ser>
          <c:idx val="4"/>
          <c:order val="4"/>
          <c:tx>
            <c:strRef>
              <c:f>'Figure 7.10'!$A$8</c:f>
              <c:strCache>
                <c:ptCount val="1"/>
                <c:pt idx="0">
                  <c:v>Other non-Hispanic</c:v>
                </c:pt>
              </c:strCache>
            </c:strRef>
          </c:tx>
          <c:spPr>
            <a:solidFill>
              <a:srgbClr val="9ECAE1"/>
            </a:solidFill>
          </c:spPr>
          <c:invertIfNegative val="0"/>
          <c:dLbls>
            <c:dLbl>
              <c:idx val="0"/>
              <c:layout>
                <c:manualLayout>
                  <c:x val="1.893939111497985E-3"/>
                  <c:y val="-9.3450109178424792E-2"/>
                </c:manualLayout>
              </c:layout>
              <c:spPr/>
              <c:txPr>
                <a:bodyPr/>
                <a:lstStyle/>
                <a:p>
                  <a:pPr>
                    <a:defRPr sz="1050"/>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C-4DEB-4D37-9121-7AA5352E4881}"/>
                </c:ext>
              </c:extLst>
            </c:dLbl>
            <c:dLbl>
              <c:idx val="1"/>
              <c:layout>
                <c:manualLayout>
                  <c:x val="3.7878782229959699E-3"/>
                  <c:y val="-9.6787613077654253E-2"/>
                </c:manualLayout>
              </c:layout>
              <c:spPr/>
              <c:txPr>
                <a:bodyPr/>
                <a:lstStyle/>
                <a:p>
                  <a:pPr>
                    <a:defRPr sz="1050"/>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D-4DEB-4D37-9121-7AA5352E4881}"/>
                </c:ext>
              </c:extLst>
            </c:dLbl>
            <c:spPr>
              <a:noFill/>
              <a:ln>
                <a:noFill/>
              </a:ln>
              <a:effectLst/>
            </c:spPr>
            <c:txPr>
              <a:bodyPr/>
              <a:lstStyle/>
              <a:p>
                <a:pPr>
                  <a:defRPr sz="1050"/>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errBars>
            <c:errBarType val="both"/>
            <c:errValType val="cust"/>
            <c:noEndCap val="0"/>
            <c:plus>
              <c:numRef>
                <c:f>('Figure 7.10'!$B$20,'Figure 7.10'!$D$20)</c:f>
                <c:numCache>
                  <c:formatCode>General</c:formatCode>
                  <c:ptCount val="2"/>
                  <c:pt idx="0">
                    <c:v>10.900000000000006</c:v>
                  </c:pt>
                  <c:pt idx="1">
                    <c:v>11.699999999999996</c:v>
                  </c:pt>
                </c:numCache>
              </c:numRef>
            </c:plus>
            <c:minus>
              <c:numRef>
                <c:f>('[1]Figure 3'!$C$20,'[1]Figure 3'!$E$20)</c:f>
                <c:numCache>
                  <c:formatCode>General</c:formatCode>
                  <c:ptCount val="2"/>
                  <c:pt idx="0">
                    <c:v>12.399999999999999</c:v>
                  </c:pt>
                  <c:pt idx="1">
                    <c:v>11.899999999999999</c:v>
                  </c:pt>
                </c:numCache>
              </c:numRef>
            </c:minus>
            <c:spPr>
              <a:ln>
                <a:solidFill>
                  <a:schemeClr val="bg1">
                    <a:lumMod val="65000"/>
                  </a:schemeClr>
                </a:solidFill>
              </a:ln>
            </c:spPr>
          </c:errBars>
          <c:cat>
            <c:strRef>
              <c:f>'Figure 7.10'!$C$22</c:f>
              <c:strCache>
                <c:ptCount val="1"/>
                <c:pt idx="0">
                  <c:v>Teeth Cleaned During Pregnancy</c:v>
                </c:pt>
              </c:strCache>
            </c:strRef>
          </c:cat>
          <c:val>
            <c:numRef>
              <c:f>('Figure 7.10'!$C$8,'Figure 7.10'!$E$8)</c:f>
              <c:numCache>
                <c:formatCode>0.0</c:formatCode>
                <c:ptCount val="2"/>
                <c:pt idx="0">
                  <c:v>63.3</c:v>
                </c:pt>
                <c:pt idx="1">
                  <c:v>52.9</c:v>
                </c:pt>
              </c:numCache>
            </c:numRef>
          </c:val>
          <c:extLst xmlns:c16r2="http://schemas.microsoft.com/office/drawing/2015/06/chart">
            <c:ext xmlns:c16="http://schemas.microsoft.com/office/drawing/2014/chart" uri="{C3380CC4-5D6E-409C-BE32-E72D297353CC}">
              <c16:uniqueId val="{0000000E-4DEB-4D37-9121-7AA5352E4881}"/>
            </c:ext>
          </c:extLst>
        </c:ser>
        <c:dLbls>
          <c:showLegendKey val="0"/>
          <c:showVal val="0"/>
          <c:showCatName val="0"/>
          <c:showSerName val="0"/>
          <c:showPercent val="0"/>
          <c:showBubbleSize val="0"/>
        </c:dLbls>
        <c:gapWidth val="108"/>
        <c:overlap val="-16"/>
        <c:axId val="130094976"/>
        <c:axId val="130096512"/>
      </c:barChart>
      <c:catAx>
        <c:axId val="130094976"/>
        <c:scaling>
          <c:orientation val="minMax"/>
        </c:scaling>
        <c:delete val="1"/>
        <c:axPos val="b"/>
        <c:numFmt formatCode="General" sourceLinked="0"/>
        <c:majorTickMark val="out"/>
        <c:minorTickMark val="none"/>
        <c:tickLblPos val="nextTo"/>
        <c:crossAx val="130096512"/>
        <c:crosses val="autoZero"/>
        <c:auto val="1"/>
        <c:lblAlgn val="ctr"/>
        <c:lblOffset val="100"/>
        <c:noMultiLvlLbl val="0"/>
      </c:catAx>
      <c:valAx>
        <c:axId val="130096512"/>
        <c:scaling>
          <c:orientation val="minMax"/>
          <c:max val="100"/>
        </c:scaling>
        <c:delete val="0"/>
        <c:axPos val="l"/>
        <c:title>
          <c:tx>
            <c:rich>
              <a:bodyPr rot="-5400000" vert="horz"/>
              <a:lstStyle/>
              <a:p>
                <a:pPr>
                  <a:defRPr/>
                </a:pPr>
                <a:r>
                  <a:rPr lang="en-US"/>
                  <a:t>Percent of Pregnant Women</a:t>
                </a:r>
              </a:p>
            </c:rich>
          </c:tx>
          <c:overlay val="0"/>
        </c:title>
        <c:numFmt formatCode="0" sourceLinked="0"/>
        <c:majorTickMark val="out"/>
        <c:minorTickMark val="none"/>
        <c:tickLblPos val="nextTo"/>
        <c:crossAx val="130094976"/>
        <c:crosses val="autoZero"/>
        <c:crossBetween val="between"/>
      </c:valAx>
    </c:plotArea>
    <c:legend>
      <c:legendPos val="r"/>
      <c:layout>
        <c:manualLayout>
          <c:xMode val="edge"/>
          <c:yMode val="edge"/>
          <c:x val="0.78655987647983316"/>
          <c:y val="0.29310149732427609"/>
          <c:w val="0.19839498811394812"/>
          <c:h val="0.52363646191823277"/>
        </c:manualLayout>
      </c:layout>
      <c:overlay val="0"/>
    </c:legend>
    <c:plotVisOnly val="1"/>
    <c:dispBlanksAs val="gap"/>
    <c:showDLblsOverMax val="0"/>
  </c:chart>
  <c:spPr>
    <a:solidFill>
      <a:sysClr val="window" lastClr="FFFFFF"/>
    </a:solidFill>
    <a:ln>
      <a:solidFill>
        <a:schemeClr val="bg1"/>
      </a:solidFill>
    </a:ln>
  </c:spPr>
  <c:txPr>
    <a:bodyPr/>
    <a:lstStyle/>
    <a:p>
      <a:pPr>
        <a:defRPr sz="1000">
          <a:solidFill>
            <a:sysClr val="windowText" lastClr="000000"/>
          </a:solidFill>
          <a:latin typeface="+mn-lt"/>
        </a:defRPr>
      </a:pPr>
      <a:endParaRPr lang="en-US"/>
    </a:p>
  </c:txPr>
  <c:externalData r:id="rId2">
    <c:autoUpdate val="0"/>
  </c:externalData>
  <c:userShapes r:id="rId3"/>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315903263327669"/>
          <c:y val="0.18694057133208339"/>
          <c:w val="0.82987127432794128"/>
          <c:h val="0.50493558597676746"/>
        </c:manualLayout>
      </c:layout>
      <c:barChart>
        <c:barDir val="col"/>
        <c:grouping val="clustered"/>
        <c:varyColors val="0"/>
        <c:ser>
          <c:idx val="0"/>
          <c:order val="0"/>
          <c:tx>
            <c:strRef>
              <c:f>'Figure 7.15'!$B$1</c:f>
              <c:strCache>
                <c:ptCount val="1"/>
                <c:pt idx="0">
                  <c:v>PCPs</c:v>
                </c:pt>
              </c:strCache>
            </c:strRef>
          </c:tx>
          <c:spPr>
            <a:solidFill>
              <a:srgbClr val="203864"/>
            </a:solidFill>
          </c:spPr>
          <c:invertIfNegative val="0"/>
          <c:dLbls>
            <c:spPr>
              <a:noFill/>
              <a:ln>
                <a:noFill/>
              </a:ln>
              <a:effectLst/>
            </c:spPr>
            <c:txPr>
              <a:bodyPr wrap="square" lIns="38100" tIns="19050" rIns="38100" bIns="19050" anchor="ctr">
                <a:spAutoFit/>
              </a:bodyPr>
              <a:lstStyle/>
              <a:p>
                <a:pPr>
                  <a:defRPr sz="1050"/>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strRef>
              <c:f>'Figure 7.15'!$A$2:$A$6</c:f>
              <c:strCache>
                <c:ptCount val="5"/>
                <c:pt idx="0">
                  <c:v>Female</c:v>
                </c:pt>
                <c:pt idx="1">
                  <c:v>Accepting New Patients</c:v>
                </c:pt>
                <c:pt idx="2">
                  <c:v>Accepting MassHealth</c:v>
                </c:pt>
                <c:pt idx="3">
                  <c:v>10 or More Outpatient Hours per Week</c:v>
                </c:pt>
                <c:pt idx="4">
                  <c:v>10 or More Inpatient Hours Per Week</c:v>
                </c:pt>
              </c:strCache>
            </c:strRef>
          </c:cat>
          <c:val>
            <c:numRef>
              <c:f>'Figure 7.15'!$D$2:$D$6</c:f>
              <c:numCache>
                <c:formatCode>General</c:formatCode>
                <c:ptCount val="5"/>
                <c:pt idx="0">
                  <c:v>56</c:v>
                </c:pt>
                <c:pt idx="1">
                  <c:v>73</c:v>
                </c:pt>
                <c:pt idx="2">
                  <c:v>73</c:v>
                </c:pt>
                <c:pt idx="3">
                  <c:v>95</c:v>
                </c:pt>
                <c:pt idx="4">
                  <c:v>20</c:v>
                </c:pt>
              </c:numCache>
            </c:numRef>
          </c:val>
          <c:extLst xmlns:c16r2="http://schemas.microsoft.com/office/drawing/2015/06/chart">
            <c:ext xmlns:c16="http://schemas.microsoft.com/office/drawing/2014/chart" uri="{C3380CC4-5D6E-409C-BE32-E72D297353CC}">
              <c16:uniqueId val="{00000000-2AA9-440E-832F-8F5C626377BC}"/>
            </c:ext>
          </c:extLst>
        </c:ser>
        <c:ser>
          <c:idx val="1"/>
          <c:order val="1"/>
          <c:tx>
            <c:strRef>
              <c:f>'Figure 7.15'!$C$1</c:f>
              <c:strCache>
                <c:ptCount val="1"/>
                <c:pt idx="0">
                  <c:v>Non-PCPs</c:v>
                </c:pt>
              </c:strCache>
            </c:strRef>
          </c:tx>
          <c:spPr>
            <a:pattFill prst="dkUpDiag">
              <a:fgClr>
                <a:srgbClr val="6BAED6"/>
              </a:fgClr>
              <a:bgClr>
                <a:schemeClr val="bg1"/>
              </a:bgClr>
            </a:pattFill>
          </c:spPr>
          <c:invertIfNegative val="0"/>
          <c:dLbls>
            <c:spPr>
              <a:noFill/>
              <a:ln>
                <a:noFill/>
              </a:ln>
              <a:effectLst/>
            </c:spPr>
            <c:txPr>
              <a:bodyPr wrap="square" lIns="38100" tIns="19050" rIns="38100" bIns="19050" anchor="ctr">
                <a:spAutoFit/>
              </a:bodyPr>
              <a:lstStyle/>
              <a:p>
                <a:pPr>
                  <a:defRPr sz="1050"/>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strRef>
              <c:f>'Figure 7.15'!$A$2:$A$6</c:f>
              <c:strCache>
                <c:ptCount val="5"/>
                <c:pt idx="0">
                  <c:v>Female</c:v>
                </c:pt>
                <c:pt idx="1">
                  <c:v>Accepting New Patients</c:v>
                </c:pt>
                <c:pt idx="2">
                  <c:v>Accepting MassHealth</c:v>
                </c:pt>
                <c:pt idx="3">
                  <c:v>10 or More Outpatient Hours per Week</c:v>
                </c:pt>
                <c:pt idx="4">
                  <c:v>10 or More Inpatient Hours Per Week</c:v>
                </c:pt>
              </c:strCache>
            </c:strRef>
          </c:cat>
          <c:val>
            <c:numRef>
              <c:f>'Figure 7.15'!$E$2:$E$6</c:f>
              <c:numCache>
                <c:formatCode>General</c:formatCode>
                <c:ptCount val="5"/>
                <c:pt idx="0">
                  <c:v>36</c:v>
                </c:pt>
                <c:pt idx="1">
                  <c:v>63</c:v>
                </c:pt>
                <c:pt idx="2">
                  <c:v>27</c:v>
                </c:pt>
                <c:pt idx="3">
                  <c:v>63</c:v>
                </c:pt>
                <c:pt idx="4">
                  <c:v>48</c:v>
                </c:pt>
              </c:numCache>
            </c:numRef>
          </c:val>
          <c:extLst xmlns:c16r2="http://schemas.microsoft.com/office/drawing/2015/06/chart">
            <c:ext xmlns:c16="http://schemas.microsoft.com/office/drawing/2014/chart" uri="{C3380CC4-5D6E-409C-BE32-E72D297353CC}">
              <c16:uniqueId val="{00000001-2AA9-440E-832F-8F5C626377BC}"/>
            </c:ext>
          </c:extLst>
        </c:ser>
        <c:dLbls>
          <c:showLegendKey val="0"/>
          <c:showVal val="0"/>
          <c:showCatName val="0"/>
          <c:showSerName val="0"/>
          <c:showPercent val="0"/>
          <c:showBubbleSize val="0"/>
        </c:dLbls>
        <c:gapWidth val="108"/>
        <c:overlap val="-16"/>
        <c:axId val="131158016"/>
        <c:axId val="131159552"/>
      </c:barChart>
      <c:catAx>
        <c:axId val="131158016"/>
        <c:scaling>
          <c:orientation val="minMax"/>
        </c:scaling>
        <c:delete val="0"/>
        <c:axPos val="b"/>
        <c:numFmt formatCode="General" sourceLinked="1"/>
        <c:majorTickMark val="none"/>
        <c:minorTickMark val="none"/>
        <c:tickLblPos val="nextTo"/>
        <c:spPr>
          <a:ln>
            <a:solidFill>
              <a:schemeClr val="bg1">
                <a:lumMod val="75000"/>
              </a:schemeClr>
            </a:solidFill>
          </a:ln>
        </c:spPr>
        <c:crossAx val="131159552"/>
        <c:crosses val="autoZero"/>
        <c:auto val="1"/>
        <c:lblAlgn val="ctr"/>
        <c:lblOffset val="100"/>
        <c:noMultiLvlLbl val="0"/>
      </c:catAx>
      <c:valAx>
        <c:axId val="131159552"/>
        <c:scaling>
          <c:orientation val="minMax"/>
          <c:max val="100"/>
        </c:scaling>
        <c:delete val="0"/>
        <c:axPos val="l"/>
        <c:title>
          <c:tx>
            <c:rich>
              <a:bodyPr/>
              <a:lstStyle/>
              <a:p>
                <a:pPr>
                  <a:defRPr/>
                </a:pPr>
                <a:r>
                  <a:rPr lang="en-US"/>
                  <a:t>Percent</a:t>
                </a:r>
                <a:r>
                  <a:rPr lang="en-US" baseline="0"/>
                  <a:t> of Physicians</a:t>
                </a:r>
                <a:endParaRPr lang="en-US"/>
              </a:p>
            </c:rich>
          </c:tx>
          <c:overlay val="0"/>
        </c:title>
        <c:numFmt formatCode="#,##0" sourceLinked="0"/>
        <c:majorTickMark val="none"/>
        <c:minorTickMark val="none"/>
        <c:tickLblPos val="nextTo"/>
        <c:spPr>
          <a:ln>
            <a:solidFill>
              <a:schemeClr val="bg1">
                <a:lumMod val="85000"/>
              </a:schemeClr>
            </a:solidFill>
          </a:ln>
        </c:spPr>
        <c:crossAx val="131158016"/>
        <c:crosses val="autoZero"/>
        <c:crossBetween val="between"/>
        <c:majorUnit val="20"/>
        <c:minorUnit val="1"/>
      </c:valAx>
    </c:plotArea>
    <c:legend>
      <c:legendPos val="b"/>
      <c:layout>
        <c:manualLayout>
          <c:xMode val="edge"/>
          <c:yMode val="edge"/>
          <c:x val="0.39304215473889481"/>
          <c:y val="0.88254034825705241"/>
          <c:w val="0.21391551756195221"/>
          <c:h val="0.11745965174294752"/>
        </c:manualLayout>
      </c:layout>
      <c:overlay val="0"/>
    </c:legend>
    <c:plotVisOnly val="1"/>
    <c:dispBlanksAs val="gap"/>
    <c:showDLblsOverMax val="0"/>
  </c:chart>
  <c:spPr>
    <a:ln>
      <a:noFill/>
    </a:ln>
  </c:spPr>
  <c:txPr>
    <a:bodyPr/>
    <a:lstStyle/>
    <a:p>
      <a:pPr>
        <a:defRPr sz="1000">
          <a:solidFill>
            <a:sysClr val="windowText" lastClr="000000"/>
          </a:solidFill>
          <a:latin typeface="+mn-lt"/>
        </a:defRPr>
      </a:pPr>
      <a:endParaRPr lang="en-US"/>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4684874696836561"/>
          <c:y val="7.8763891605371811E-2"/>
          <c:w val="0.82800571922357047"/>
          <c:h val="0.67947327823207138"/>
        </c:manualLayout>
      </c:layout>
      <c:barChart>
        <c:barDir val="col"/>
        <c:grouping val="clustered"/>
        <c:varyColors val="0"/>
        <c:ser>
          <c:idx val="0"/>
          <c:order val="0"/>
          <c:tx>
            <c:strRef>
              <c:f>'Figure 7.17'!$B$1</c:f>
              <c:strCache>
                <c:ptCount val="1"/>
                <c:pt idx="0">
                  <c:v> MA Residents</c:v>
                </c:pt>
              </c:strCache>
            </c:strRef>
          </c:tx>
          <c:spPr>
            <a:solidFill>
              <a:srgbClr val="203864"/>
            </a:solidFill>
          </c:spPr>
          <c:invertIfNegative val="0"/>
          <c:dLbls>
            <c:spPr>
              <a:noFill/>
              <a:ln>
                <a:noFill/>
              </a:ln>
              <a:effectLst/>
            </c:spPr>
            <c:txPr>
              <a:bodyPr/>
              <a:lstStyle/>
              <a:p>
                <a:pPr>
                  <a:defRPr sz="1050"/>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'Figure 7.17'!$A$2:$A$4</c:f>
              <c:strCache>
                <c:ptCount val="3"/>
                <c:pt idx="0">
                  <c:v>Spanish</c:v>
                </c:pt>
                <c:pt idx="1">
                  <c:v>Portuguese</c:v>
                </c:pt>
                <c:pt idx="2">
                  <c:v>Chinese</c:v>
                </c:pt>
              </c:strCache>
            </c:strRef>
          </c:cat>
          <c:val>
            <c:numRef>
              <c:f>'Figure 7.17'!$B$2:$B$4</c:f>
              <c:numCache>
                <c:formatCode>0.0%</c:formatCode>
                <c:ptCount val="3"/>
                <c:pt idx="0">
                  <c:v>8.3000000000000004E-2</c:v>
                </c:pt>
                <c:pt idx="1">
                  <c:v>2.9000000000000001E-2</c:v>
                </c:pt>
                <c:pt idx="2">
                  <c:v>1.7999999999999999E-2</c:v>
                </c:pt>
              </c:numCache>
            </c:numRef>
          </c:val>
          <c:extLst xmlns:c16r2="http://schemas.microsoft.com/office/drawing/2015/06/chart">
            <c:ext xmlns:c16="http://schemas.microsoft.com/office/drawing/2014/chart" uri="{C3380CC4-5D6E-409C-BE32-E72D297353CC}">
              <c16:uniqueId val="{00000000-3E8B-423B-9D21-CB5252F77856}"/>
            </c:ext>
          </c:extLst>
        </c:ser>
        <c:ser>
          <c:idx val="1"/>
          <c:order val="1"/>
          <c:tx>
            <c:strRef>
              <c:f>'Figure 7.17'!$C$1</c:f>
              <c:strCache>
                <c:ptCount val="1"/>
                <c:pt idx="0">
                  <c:v>RNs</c:v>
                </c:pt>
              </c:strCache>
            </c:strRef>
          </c:tx>
          <c:spPr>
            <a:solidFill>
              <a:srgbClr val="6BAED6"/>
            </a:solidFill>
          </c:spPr>
          <c:invertIfNegative val="0"/>
          <c:dPt>
            <c:idx val="0"/>
            <c:invertIfNegative val="0"/>
            <c:bubble3D val="0"/>
            <c:extLst xmlns:c16r2="http://schemas.microsoft.com/office/drawing/2015/06/chart">
              <c:ext xmlns:c16="http://schemas.microsoft.com/office/drawing/2014/chart" uri="{C3380CC4-5D6E-409C-BE32-E72D297353CC}">
                <c16:uniqueId val="{00000002-3E8B-423B-9D21-CB5252F77856}"/>
              </c:ext>
            </c:extLst>
          </c:dPt>
          <c:dLbls>
            <c:spPr>
              <a:noFill/>
              <a:ln>
                <a:noFill/>
              </a:ln>
              <a:effectLst/>
            </c:spPr>
            <c:txPr>
              <a:bodyPr/>
              <a:lstStyle/>
              <a:p>
                <a:pPr>
                  <a:defRPr sz="1050"/>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'Figure 7.17'!$A$2:$A$4</c:f>
              <c:strCache>
                <c:ptCount val="3"/>
                <c:pt idx="0">
                  <c:v>Spanish</c:v>
                </c:pt>
                <c:pt idx="1">
                  <c:v>Portuguese</c:v>
                </c:pt>
                <c:pt idx="2">
                  <c:v>Chinese</c:v>
                </c:pt>
              </c:strCache>
            </c:strRef>
          </c:cat>
          <c:val>
            <c:numRef>
              <c:f>'Figure 7.17'!$C$2:$C$4</c:f>
              <c:numCache>
                <c:formatCode>0.0%</c:formatCode>
                <c:ptCount val="3"/>
                <c:pt idx="0">
                  <c:v>4.3999999999999997E-2</c:v>
                </c:pt>
                <c:pt idx="1">
                  <c:v>1.4E-2</c:v>
                </c:pt>
                <c:pt idx="2">
                  <c:v>4.0000000000000001E-3</c:v>
                </c:pt>
              </c:numCache>
            </c:numRef>
          </c:val>
          <c:extLst xmlns:c16r2="http://schemas.microsoft.com/office/drawing/2015/06/chart">
            <c:ext xmlns:c16="http://schemas.microsoft.com/office/drawing/2014/chart" uri="{C3380CC4-5D6E-409C-BE32-E72D297353CC}">
              <c16:uniqueId val="{00000001-3E8B-423B-9D21-CB5252F77856}"/>
            </c:ext>
          </c:extLst>
        </c:ser>
        <c:dLbls>
          <c:showLegendKey val="0"/>
          <c:showVal val="0"/>
          <c:showCatName val="0"/>
          <c:showSerName val="0"/>
          <c:showPercent val="0"/>
          <c:showBubbleSize val="0"/>
        </c:dLbls>
        <c:gapWidth val="108"/>
        <c:overlap val="-16"/>
        <c:axId val="131183744"/>
        <c:axId val="131185280"/>
      </c:barChart>
      <c:catAx>
        <c:axId val="131183744"/>
        <c:scaling>
          <c:orientation val="minMax"/>
        </c:scaling>
        <c:delete val="0"/>
        <c:axPos val="b"/>
        <c:numFmt formatCode="General" sourceLinked="1"/>
        <c:majorTickMark val="out"/>
        <c:minorTickMark val="none"/>
        <c:tickLblPos val="nextTo"/>
        <c:crossAx val="131185280"/>
        <c:crosses val="autoZero"/>
        <c:auto val="1"/>
        <c:lblAlgn val="ctr"/>
        <c:lblOffset val="100"/>
        <c:noMultiLvlLbl val="0"/>
      </c:catAx>
      <c:valAx>
        <c:axId val="131185280"/>
        <c:scaling>
          <c:orientation val="minMax"/>
        </c:scaling>
        <c:delete val="0"/>
        <c:axPos val="l"/>
        <c:title>
          <c:tx>
            <c:rich>
              <a:bodyPr/>
              <a:lstStyle/>
              <a:p>
                <a:pPr>
                  <a:defRPr/>
                </a:pPr>
                <a:r>
                  <a:rPr lang="en-US"/>
                  <a:t>Percent </a:t>
                </a:r>
              </a:p>
            </c:rich>
          </c:tx>
          <c:overlay val="0"/>
        </c:title>
        <c:numFmt formatCode="0%" sourceLinked="0"/>
        <c:majorTickMark val="out"/>
        <c:minorTickMark val="none"/>
        <c:tickLblPos val="nextTo"/>
        <c:crossAx val="131183744"/>
        <c:crosses val="autoZero"/>
        <c:crossBetween val="between"/>
        <c:majorUnit val="5.000000000000001E-2"/>
      </c:valAx>
    </c:plotArea>
    <c:legend>
      <c:legendPos val="b"/>
      <c:layout>
        <c:manualLayout>
          <c:xMode val="edge"/>
          <c:yMode val="edge"/>
          <c:x val="0.30731294107727919"/>
          <c:y val="0.8734132769630607"/>
          <c:w val="0.38537411784544162"/>
          <c:h val="7.0583922896932244E-2"/>
        </c:manualLayout>
      </c:layout>
      <c:overlay val="0"/>
    </c:legend>
    <c:plotVisOnly val="1"/>
    <c:dispBlanksAs val="gap"/>
    <c:showDLblsOverMax val="0"/>
  </c:chart>
  <c:spPr>
    <a:solidFill>
      <a:schemeClr val="bg1"/>
    </a:solidFill>
    <a:ln>
      <a:noFill/>
    </a:ln>
  </c:spPr>
  <c:txPr>
    <a:bodyPr/>
    <a:lstStyle/>
    <a:p>
      <a:pPr>
        <a:defRPr sz="1000">
          <a:latin typeface="+mn-lt"/>
        </a:defRPr>
      </a:pPr>
      <a:endParaRPr lang="en-US"/>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1"/>
          <c:order val="0"/>
          <c:spPr>
            <a:solidFill>
              <a:srgbClr val="203864"/>
            </a:solidFill>
          </c:spPr>
          <c:invertIfNegative val="0"/>
          <c:dPt>
            <c:idx val="1"/>
            <c:invertIfNegative val="0"/>
            <c:bubble3D val="0"/>
            <c:spPr>
              <a:pattFill prst="dkUpDiag">
                <a:fgClr>
                  <a:srgbClr val="6BAED6"/>
                </a:fgClr>
                <a:bgClr>
                  <a:schemeClr val="bg1"/>
                </a:bgClr>
              </a:pattFill>
            </c:spPr>
            <c:extLst xmlns:c16r2="http://schemas.microsoft.com/office/drawing/2015/06/chart">
              <c:ext xmlns:c16="http://schemas.microsoft.com/office/drawing/2014/chart" uri="{C3380CC4-5D6E-409C-BE32-E72D297353CC}">
                <c16:uniqueId val="{00000008-2E4D-44AB-B404-C604770E8F85}"/>
              </c:ext>
            </c:extLst>
          </c:dPt>
          <c:dPt>
            <c:idx val="2"/>
            <c:invertIfNegative val="0"/>
            <c:bubble3D val="0"/>
            <c:spPr>
              <a:solidFill>
                <a:srgbClr val="9ECAE1"/>
              </a:solidFill>
            </c:spPr>
            <c:extLst xmlns:c16r2="http://schemas.microsoft.com/office/drawing/2015/06/chart">
              <c:ext xmlns:c16="http://schemas.microsoft.com/office/drawing/2014/chart" uri="{C3380CC4-5D6E-409C-BE32-E72D297353CC}">
                <c16:uniqueId val="{0000000C-2E4D-44AB-B404-C604770E8F85}"/>
              </c:ext>
            </c:extLst>
          </c:dPt>
          <c:dLbls>
            <c:spPr>
              <a:noFill/>
              <a:ln>
                <a:noFill/>
              </a:ln>
              <a:effectLst/>
            </c:spPr>
            <c:txPr>
              <a:bodyPr/>
              <a:lstStyle/>
              <a:p>
                <a:pPr>
                  <a:defRPr sz="1050"/>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strRef>
              <c:f>'Figure 7.20'!$A$2:$A$4</c:f>
              <c:strCache>
                <c:ptCount val="3"/>
                <c:pt idx="0">
                  <c:v>English only</c:v>
                </c:pt>
                <c:pt idx="1">
                  <c:v>Any Spanish (1 or more languages including Spanish)</c:v>
                </c:pt>
                <c:pt idx="2">
                  <c:v>Any non-Spanish (1 or more languages not including Spanish)</c:v>
                </c:pt>
              </c:strCache>
            </c:strRef>
          </c:cat>
          <c:val>
            <c:numRef>
              <c:f>'Figure 7.20'!$C$2:$C$4</c:f>
              <c:numCache>
                <c:formatCode>General</c:formatCode>
                <c:ptCount val="3"/>
                <c:pt idx="0">
                  <c:v>51</c:v>
                </c:pt>
                <c:pt idx="1">
                  <c:v>33</c:v>
                </c:pt>
                <c:pt idx="2">
                  <c:v>16</c:v>
                </c:pt>
              </c:numCache>
            </c:numRef>
          </c:val>
          <c:extLst xmlns:c16r2="http://schemas.microsoft.com/office/drawing/2015/06/chart">
            <c:ext xmlns:c16="http://schemas.microsoft.com/office/drawing/2014/chart" uri="{C3380CC4-5D6E-409C-BE32-E72D297353CC}">
              <c16:uniqueId val="{00000001-2E4D-44AB-B404-C604770E8F85}"/>
            </c:ext>
          </c:extLst>
        </c:ser>
        <c:dLbls>
          <c:showLegendKey val="0"/>
          <c:showVal val="0"/>
          <c:showCatName val="0"/>
          <c:showSerName val="0"/>
          <c:showPercent val="0"/>
          <c:showBubbleSize val="0"/>
        </c:dLbls>
        <c:gapWidth val="108"/>
        <c:overlap val="-16"/>
        <c:axId val="131475328"/>
        <c:axId val="131476864"/>
        <c:extLst xmlns:c16r2="http://schemas.microsoft.com/office/drawing/2015/06/chart">
          <c:ext xmlns:c15="http://schemas.microsoft.com/office/drawing/2012/chart" uri="{02D57815-91ED-43cb-92C2-25804820EDAC}">
            <c15:filteredBarSeries>
              <c15:ser>
                <c:idx val="0"/>
                <c:order val="0"/>
                <c:invertIfNegative val="0"/>
                <c:dLbls>
                  <c:spPr>
                    <a:noFill/>
                    <a:ln>
                      <a:noFill/>
                    </a:ln>
                    <a:effectLst/>
                  </c:spPr>
                  <c:showLegendKey val="0"/>
                  <c:showVal val="1"/>
                  <c:showCatName val="0"/>
                  <c:showSerName val="0"/>
                  <c:showPercent val="0"/>
                  <c:showBubbleSize val="0"/>
                  <c:showLeaderLines val="0"/>
                  <c:extLst>
                    <c:ext uri="{CE6537A1-D6FC-4f65-9D91-7224C49458BB}">
                      <c15:showLeaderLines val="1"/>
                    </c:ext>
                  </c:extLst>
                </c:dLbls>
                <c:cat>
                  <c:strRef>
                    <c:extLst>
                      <c:ext uri="{02D57815-91ED-43cb-92C2-25804820EDAC}">
                        <c15:formulaRef>
                          <c15:sqref>'Figure 7.20'!$A$2:$A$4</c15:sqref>
                        </c15:formulaRef>
                      </c:ext>
                    </c:extLst>
                    <c:strCache>
                      <c:ptCount val="3"/>
                      <c:pt idx="0">
                        <c:v>English only</c:v>
                      </c:pt>
                      <c:pt idx="1">
                        <c:v>Any Spanish (1 or more languages including Spanish)</c:v>
                      </c:pt>
                      <c:pt idx="2">
                        <c:v>Any non-Spanish (1 or more languages not including Spanish)</c:v>
                      </c:pt>
                    </c:strCache>
                  </c:strRef>
                </c:cat>
                <c:val>
                  <c:numRef>
                    <c:extLst>
                      <c:ext uri="{02D57815-91ED-43cb-92C2-25804820EDAC}">
                        <c15:formulaRef>
                          <c15:sqref>'Figure 7.20'!$B$2:$B$4</c15:sqref>
                        </c15:formulaRef>
                      </c:ext>
                    </c:extLst>
                    <c:numCache>
                      <c:formatCode>0.00</c:formatCode>
                      <c:ptCount val="3"/>
                      <c:pt idx="0">
                        <c:v>0.51</c:v>
                      </c:pt>
                      <c:pt idx="1">
                        <c:v>0.33</c:v>
                      </c:pt>
                      <c:pt idx="2">
                        <c:v>0.16</c:v>
                      </c:pt>
                    </c:numCache>
                  </c:numRef>
                </c:val>
                <c:extLst>
                  <c:ext xmlns:c16="http://schemas.microsoft.com/office/drawing/2014/chart" uri="{C3380CC4-5D6E-409C-BE32-E72D297353CC}">
                    <c16:uniqueId val="{00000000-2E4D-44AB-B404-C604770E8F85}"/>
                  </c:ext>
                </c:extLst>
              </c15:ser>
            </c15:filteredBarSeries>
          </c:ext>
        </c:extLst>
      </c:barChart>
      <c:catAx>
        <c:axId val="131475328"/>
        <c:scaling>
          <c:orientation val="minMax"/>
        </c:scaling>
        <c:delete val="0"/>
        <c:axPos val="b"/>
        <c:numFmt formatCode="General" sourceLinked="1"/>
        <c:majorTickMark val="none"/>
        <c:minorTickMark val="none"/>
        <c:tickLblPos val="nextTo"/>
        <c:crossAx val="131476864"/>
        <c:crosses val="autoZero"/>
        <c:auto val="1"/>
        <c:lblAlgn val="ctr"/>
        <c:lblOffset val="100"/>
        <c:noMultiLvlLbl val="0"/>
      </c:catAx>
      <c:valAx>
        <c:axId val="131476864"/>
        <c:scaling>
          <c:orientation val="minMax"/>
        </c:scaling>
        <c:delete val="0"/>
        <c:axPos val="l"/>
        <c:title>
          <c:tx>
            <c:rich>
              <a:bodyPr/>
              <a:lstStyle/>
              <a:p>
                <a:pPr>
                  <a:defRPr/>
                </a:pPr>
                <a:r>
                  <a:rPr lang="en-US"/>
                  <a:t>Percent</a:t>
                </a:r>
              </a:p>
            </c:rich>
          </c:tx>
          <c:overlay val="0"/>
        </c:title>
        <c:numFmt formatCode="#,##0" sourceLinked="0"/>
        <c:majorTickMark val="none"/>
        <c:minorTickMark val="none"/>
        <c:tickLblPos val="nextTo"/>
        <c:crossAx val="131475328"/>
        <c:crosses val="autoZero"/>
        <c:crossBetween val="between"/>
        <c:majorUnit val="20"/>
      </c:valAx>
      <c:spPr>
        <a:noFill/>
        <a:ln w="25400">
          <a:noFill/>
        </a:ln>
      </c:spPr>
    </c:plotArea>
    <c:plotVisOnly val="1"/>
    <c:dispBlanksAs val="gap"/>
    <c:showDLblsOverMax val="0"/>
  </c:chart>
  <c:spPr>
    <a:ln>
      <a:noFill/>
    </a:ln>
  </c:spPr>
  <c:txPr>
    <a:bodyPr/>
    <a:lstStyle/>
    <a:p>
      <a:pPr>
        <a:defRPr sz="1000">
          <a:latin typeface="+mn-lt"/>
        </a:defRPr>
      </a:pPr>
      <a:endParaRPr lang="en-US"/>
    </a:p>
  </c:txPr>
  <c:externalData r:id="rId2">
    <c:autoUpdate val="0"/>
  </c:externalData>
</c:chartSpace>
</file>

<file path=word/drawings/drawing1.xml><?xml version="1.0" encoding="utf-8"?>
<c:userShapes xmlns:c="http://schemas.openxmlformats.org/drawingml/2006/chart">
  <cdr:relSizeAnchor xmlns:cdr="http://schemas.openxmlformats.org/drawingml/2006/chartDrawing">
    <cdr:from>
      <cdr:x>0.27557</cdr:x>
      <cdr:y>0.97747</cdr:y>
    </cdr:from>
    <cdr:to>
      <cdr:x>0.69034</cdr:x>
      <cdr:y>0.98999</cdr:y>
    </cdr:to>
    <cdr:sp macro="" textlink="">
      <cdr:nvSpPr>
        <cdr:cNvPr id="2" name="TextBox 1">
          <a:extLst xmlns:a="http://schemas.openxmlformats.org/drawingml/2006/main">
            <a:ext uri="{FF2B5EF4-FFF2-40B4-BE49-F238E27FC236}">
              <a16:creationId xmlns="" xmlns:a16="http://schemas.microsoft.com/office/drawing/2014/main" id="{DAD01A28-FF84-4221-87AF-A7B1F7746B96}"/>
            </a:ext>
          </a:extLst>
        </cdr:cNvPr>
        <cdr:cNvSpPr txBox="1"/>
      </cdr:nvSpPr>
      <cdr:spPr>
        <a:xfrm xmlns:a="http://schemas.openxmlformats.org/drawingml/2006/main">
          <a:off x="1847851" y="3719514"/>
          <a:ext cx="2781300" cy="476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sz="1100"/>
        </a:p>
      </cdr:txBody>
    </cdr:sp>
  </cdr:relSizeAnchor>
  <cdr:relSizeAnchor xmlns:cdr="http://schemas.openxmlformats.org/drawingml/2006/chartDrawing">
    <cdr:from>
      <cdr:x>0.1321</cdr:x>
      <cdr:y>0.86512</cdr:y>
    </cdr:from>
    <cdr:to>
      <cdr:x>0.40341</cdr:x>
      <cdr:y>1</cdr:y>
    </cdr:to>
    <cdr:sp macro="" textlink="">
      <cdr:nvSpPr>
        <cdr:cNvPr id="3" name="TextBox 2">
          <a:extLst xmlns:a="http://schemas.openxmlformats.org/drawingml/2006/main">
            <a:ext uri="{FF2B5EF4-FFF2-40B4-BE49-F238E27FC236}">
              <a16:creationId xmlns="" xmlns:a16="http://schemas.microsoft.com/office/drawing/2014/main" id="{B61856D1-593C-4144-909B-7F6B43B5A0F7}"/>
            </a:ext>
          </a:extLst>
        </cdr:cNvPr>
        <cdr:cNvSpPr txBox="1"/>
      </cdr:nvSpPr>
      <cdr:spPr>
        <a:xfrm xmlns:a="http://schemas.openxmlformats.org/drawingml/2006/main">
          <a:off x="669055" y="2404550"/>
          <a:ext cx="1374120" cy="37427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en-US" sz="1000">
              <a:latin typeface="+mn-lt"/>
            </a:rPr>
            <a:t>Teeth Cleaned 12 Months Before Prenancy</a:t>
          </a:r>
        </a:p>
      </cdr:txBody>
    </cdr:sp>
  </cdr:relSizeAnchor>
  <cdr:relSizeAnchor xmlns:cdr="http://schemas.openxmlformats.org/drawingml/2006/chartDrawing">
    <cdr:from>
      <cdr:x>0.51989</cdr:x>
      <cdr:y>0.86422</cdr:y>
    </cdr:from>
    <cdr:to>
      <cdr:x>0.71733</cdr:x>
      <cdr:y>1</cdr:y>
    </cdr:to>
    <cdr:sp macro="" textlink="">
      <cdr:nvSpPr>
        <cdr:cNvPr id="4" name="TextBox 3">
          <a:extLst xmlns:a="http://schemas.openxmlformats.org/drawingml/2006/main">
            <a:ext uri="{FF2B5EF4-FFF2-40B4-BE49-F238E27FC236}">
              <a16:creationId xmlns="" xmlns:a16="http://schemas.microsoft.com/office/drawing/2014/main" id="{BFDE2C59-B317-4512-BEFD-9E14CD1E2DF0}"/>
            </a:ext>
          </a:extLst>
        </cdr:cNvPr>
        <cdr:cNvSpPr txBox="1"/>
      </cdr:nvSpPr>
      <cdr:spPr>
        <a:xfrm xmlns:a="http://schemas.openxmlformats.org/drawingml/2006/main">
          <a:off x="2994280" y="2791578"/>
          <a:ext cx="1137146" cy="43851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en-US" sz="1000">
              <a:latin typeface="+mn-lt"/>
            </a:rPr>
            <a:t>Teeth</a:t>
          </a:r>
          <a:r>
            <a:rPr lang="en-US" sz="1000" baseline="0">
              <a:latin typeface="+mn-lt"/>
            </a:rPr>
            <a:t> Cleaned During Pregnancy</a:t>
          </a:r>
          <a:endParaRPr lang="en-US" sz="1000">
            <a:latin typeface="+mn-lt"/>
          </a:endParaRP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8887D3-9C87-4E7C-B306-8B91FDDB37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53</Pages>
  <Words>9997</Words>
  <Characters>56987</Characters>
  <Application>Microsoft Office Word</Application>
  <DocSecurity>0</DocSecurity>
  <Lines>474</Lines>
  <Paragraphs>133</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66851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Errichetti</dc:creator>
  <cp:lastModifiedBy>Antonia Blinn</cp:lastModifiedBy>
  <cp:revision>5</cp:revision>
  <cp:lastPrinted>2017-11-02T16:19:00Z</cp:lastPrinted>
  <dcterms:created xsi:type="dcterms:W3CDTF">2017-11-03T15:04:00Z</dcterms:created>
  <dcterms:modified xsi:type="dcterms:W3CDTF">2017-11-03T16:28:00Z</dcterms:modified>
</cp:coreProperties>
</file>